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jc w:val="center"/>
        <w:rPr>
          <w:rFonts w:ascii="Times New Roman" w:hAnsi="Times New Roman" w:eastAsia="宋体" w:cs="Times New Roman"/>
          <w:color w:val="auto"/>
          <w:sz w:val="48"/>
          <w:szCs w:val="48"/>
          <w:highlight w:val="none"/>
        </w:rPr>
      </w:pPr>
      <w:bookmarkStart w:id="248" w:name="_GoBack"/>
      <w:bookmarkEnd w:id="248"/>
    </w:p>
    <w:p>
      <w:pPr>
        <w:keepNext w:val="0"/>
        <w:keepLines w:val="0"/>
        <w:pageBreakBefore w:val="0"/>
        <w:widowControl w:val="0"/>
        <w:tabs>
          <w:tab w:val="left" w:pos="567"/>
        </w:tabs>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b/>
          <w:color w:val="auto"/>
          <w:sz w:val="48"/>
          <w:szCs w:val="48"/>
        </w:rPr>
      </w:pPr>
      <w:r>
        <w:rPr>
          <w:rFonts w:hint="eastAsia" w:ascii="宋体" w:hAnsi="宋体"/>
          <w:b/>
          <w:color w:val="auto"/>
          <w:sz w:val="48"/>
          <w:szCs w:val="48"/>
          <w:lang w:val="en-US" w:eastAsia="zh-CN"/>
        </w:rPr>
        <w:t>四川省</w:t>
      </w:r>
      <w:r>
        <w:rPr>
          <w:rFonts w:hint="eastAsia" w:ascii="宋体" w:hAnsi="宋体"/>
          <w:b/>
          <w:color w:val="auto"/>
          <w:sz w:val="48"/>
          <w:szCs w:val="48"/>
        </w:rPr>
        <w:t>大英县</w:t>
      </w:r>
      <w:r>
        <w:rPr>
          <w:rFonts w:hint="eastAsia" w:ascii="宋体" w:hAnsi="宋体"/>
          <w:b/>
          <w:color w:val="auto"/>
          <w:sz w:val="48"/>
          <w:szCs w:val="48"/>
          <w:lang w:val="en-US" w:eastAsia="zh-CN"/>
        </w:rPr>
        <w:t>浅垭子</w:t>
      </w:r>
      <w:r>
        <w:rPr>
          <w:rFonts w:hint="eastAsia" w:ascii="宋体" w:hAnsi="宋体"/>
          <w:b/>
          <w:color w:val="auto"/>
          <w:sz w:val="48"/>
          <w:szCs w:val="48"/>
        </w:rPr>
        <w:t>砖瓦用页岩矿</w:t>
      </w:r>
    </w:p>
    <w:p>
      <w:pPr>
        <w:keepNext w:val="0"/>
        <w:keepLines w:val="0"/>
        <w:pageBreakBefore w:val="0"/>
        <w:widowControl w:val="0"/>
        <w:kinsoku/>
        <w:wordWrap/>
        <w:overflowPunct/>
        <w:topLinePunct w:val="0"/>
        <w:autoSpaceDE/>
        <w:autoSpaceDN/>
        <w:bidi w:val="0"/>
        <w:spacing w:before="312" w:beforeLines="100" w:after="312" w:afterLines="100"/>
        <w:ind w:firstLine="0" w:firstLineChars="0"/>
        <w:jc w:val="center"/>
        <w:textAlignment w:val="auto"/>
        <w:rPr>
          <w:rFonts w:ascii="Times New Roman" w:hAnsi="Times New Roman" w:eastAsia="黑体" w:cs="Times New Roman"/>
          <w:color w:val="auto"/>
          <w:sz w:val="48"/>
          <w:szCs w:val="48"/>
          <w:highlight w:val="none"/>
        </w:rPr>
      </w:pPr>
      <w:r>
        <w:rPr>
          <w:rFonts w:hint="eastAsia" w:ascii="宋体" w:hAnsi="宋体"/>
          <w:b/>
          <w:color w:val="auto"/>
          <w:sz w:val="48"/>
          <w:szCs w:val="48"/>
        </w:rPr>
        <w:t>矿山地质环境保护与土地复垦方案</w:t>
      </w:r>
    </w:p>
    <w:p>
      <w:pPr>
        <w:keepNext w:val="0"/>
        <w:keepLines w:val="0"/>
        <w:pageBreakBefore w:val="0"/>
        <w:widowControl w:val="0"/>
        <w:kinsoku/>
        <w:wordWrap/>
        <w:overflowPunct/>
        <w:topLinePunct w:val="0"/>
        <w:autoSpaceDE/>
        <w:autoSpaceDN/>
        <w:bidi w:val="0"/>
        <w:spacing w:before="312" w:beforeLines="100" w:after="312" w:afterLines="100"/>
        <w:ind w:firstLine="0" w:firstLineChars="0"/>
        <w:jc w:val="center"/>
        <w:textAlignment w:val="auto"/>
        <w:rPr>
          <w:rFonts w:ascii="Times New Roman" w:hAnsi="Times New Roman" w:eastAsia="宋体" w:cs="Times New Roman"/>
          <w:color w:val="auto"/>
          <w:sz w:val="52"/>
          <w:szCs w:val="52"/>
          <w:highlight w:val="none"/>
        </w:rPr>
      </w:pPr>
    </w:p>
    <w:p>
      <w:pP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jc w:val="center"/>
        <w:rPr>
          <w:rFonts w:ascii="Times New Roman" w:hAnsi="Times New Roman" w:eastAsia="宋体" w:cs="Times New Roman"/>
          <w:color w:val="auto"/>
          <w:sz w:val="44"/>
          <w:szCs w:val="44"/>
          <w:highlight w:val="none"/>
        </w:rPr>
      </w:pPr>
    </w:p>
    <w:p>
      <w:pPr>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rPr>
        <w:t>提交单位：大英县顺盛矿业有限责任公司</w:t>
      </w:r>
    </w:p>
    <w:p>
      <w:pPr>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rPr>
        <w:t>编制单位：成都市巨匠工程环境技术服务有限公司</w:t>
      </w:r>
    </w:p>
    <w:p>
      <w:pPr>
        <w:spacing w:after="240"/>
        <w:jc w:val="center"/>
        <w:rPr>
          <w:rFonts w:ascii="Times New Roman" w:hAnsi="Times New Roman" w:eastAsia="宋体" w:cs="Times New Roman"/>
          <w:b/>
          <w:bCs/>
          <w:color w:val="auto"/>
          <w:sz w:val="32"/>
          <w:szCs w:val="32"/>
          <w:highlight w:val="none"/>
        </w:rPr>
        <w:sectPr>
          <w:pgSz w:w="11906" w:h="16838"/>
          <w:pgMar w:top="1440" w:right="1800" w:bottom="1440" w:left="1800" w:header="851" w:footer="992" w:gutter="0"/>
          <w:cols w:space="425" w:num="1"/>
          <w:docGrid w:type="lines" w:linePitch="312" w:charSpace="0"/>
        </w:sectPr>
      </w:pPr>
      <w:bookmarkStart w:id="0" w:name="_Hlk39584521"/>
      <w:r>
        <w:rPr>
          <w:rFonts w:hint="eastAsia" w:ascii="仿宋_GB2312" w:hAnsi="仿宋_GB2312" w:eastAsia="仿宋_GB2312" w:cs="仿宋_GB2312"/>
          <w:b/>
          <w:bCs/>
          <w:color w:val="auto"/>
          <w:sz w:val="32"/>
          <w:szCs w:val="32"/>
        </w:rPr>
        <w:t>二〇二</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年</w:t>
      </w:r>
      <w:r>
        <w:rPr>
          <w:rFonts w:hint="eastAsia" w:ascii="仿宋_GB2312" w:hAnsi="仿宋_GB2312" w:eastAsia="仿宋_GB2312" w:cs="仿宋_GB2312"/>
          <w:b/>
          <w:bCs/>
          <w:color w:val="auto"/>
          <w:sz w:val="32"/>
          <w:szCs w:val="32"/>
          <w:lang w:val="en-US" w:eastAsia="zh-CN"/>
        </w:rPr>
        <w:t>六</w:t>
      </w:r>
      <w:r>
        <w:rPr>
          <w:rFonts w:hint="eastAsia" w:ascii="仿宋_GB2312" w:hAnsi="仿宋_GB2312" w:eastAsia="仿宋_GB2312" w:cs="仿宋_GB2312"/>
          <w:b/>
          <w:bCs/>
          <w:color w:val="auto"/>
          <w:sz w:val="32"/>
          <w:szCs w:val="32"/>
        </w:rPr>
        <w:t>月</w:t>
      </w:r>
      <w:bookmarkEnd w:id="0"/>
    </w:p>
    <w:p>
      <w:pPr>
        <w:tabs>
          <w:tab w:val="left" w:pos="567"/>
        </w:tabs>
        <w:adjustRightInd w:val="0"/>
        <w:snapToGrid w:val="0"/>
        <w:spacing w:line="360" w:lineRule="auto"/>
        <w:ind w:left="315" w:leftChars="150"/>
        <w:jc w:val="center"/>
        <w:rPr>
          <w:rFonts w:hint="eastAsia" w:ascii="宋体" w:hAnsi="宋体"/>
          <w:b/>
          <w:color w:val="auto"/>
          <w:sz w:val="36"/>
          <w:szCs w:val="44"/>
        </w:rPr>
      </w:pPr>
    </w:p>
    <w:p>
      <w:pPr>
        <w:keepNext w:val="0"/>
        <w:keepLines w:val="0"/>
        <w:pageBreakBefore w:val="0"/>
        <w:widowControl w:val="0"/>
        <w:tabs>
          <w:tab w:val="left" w:pos="567"/>
        </w:tabs>
        <w:kinsoku/>
        <w:wordWrap/>
        <w:overflowPunct/>
        <w:topLinePunct w:val="0"/>
        <w:autoSpaceDE/>
        <w:autoSpaceDN/>
        <w:bidi w:val="0"/>
        <w:adjustRightInd w:val="0"/>
        <w:snapToGrid w:val="0"/>
        <w:spacing w:line="360" w:lineRule="auto"/>
        <w:ind w:left="315" w:leftChars="150" w:firstLine="0" w:firstLineChars="0"/>
        <w:jc w:val="both"/>
        <w:textAlignment w:val="auto"/>
        <w:rPr>
          <w:rFonts w:hint="eastAsia" w:ascii="宋体" w:hAnsi="宋体"/>
          <w:b/>
          <w:color w:val="auto"/>
          <w:sz w:val="36"/>
          <w:szCs w:val="44"/>
        </w:rPr>
      </w:pPr>
    </w:p>
    <w:p>
      <w:pPr>
        <w:keepNext w:val="0"/>
        <w:keepLines w:val="0"/>
        <w:pageBreakBefore w:val="0"/>
        <w:widowControl w:val="0"/>
        <w:tabs>
          <w:tab w:val="left" w:pos="567"/>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b/>
          <w:color w:val="auto"/>
          <w:sz w:val="36"/>
          <w:szCs w:val="44"/>
        </w:rPr>
      </w:pPr>
      <w:r>
        <w:rPr>
          <w:rFonts w:hint="eastAsia" w:ascii="宋体" w:hAnsi="宋体"/>
          <w:b/>
          <w:color w:val="auto"/>
          <w:sz w:val="36"/>
          <w:szCs w:val="44"/>
          <w:lang w:val="en-US" w:eastAsia="zh-CN"/>
        </w:rPr>
        <w:t>四川省</w:t>
      </w:r>
      <w:r>
        <w:rPr>
          <w:rFonts w:hint="eastAsia" w:ascii="宋体" w:hAnsi="宋体"/>
          <w:b/>
          <w:color w:val="auto"/>
          <w:sz w:val="36"/>
          <w:szCs w:val="44"/>
        </w:rPr>
        <w:t>大英县</w:t>
      </w:r>
      <w:r>
        <w:rPr>
          <w:rFonts w:hint="eastAsia" w:ascii="宋体" w:hAnsi="宋体"/>
          <w:b/>
          <w:color w:val="auto"/>
          <w:sz w:val="36"/>
          <w:szCs w:val="44"/>
          <w:lang w:val="en-US" w:eastAsia="zh-CN"/>
        </w:rPr>
        <w:t>玉峰镇浅垭子</w:t>
      </w:r>
      <w:r>
        <w:rPr>
          <w:rFonts w:hint="eastAsia" w:ascii="宋体" w:hAnsi="宋体"/>
          <w:b/>
          <w:color w:val="auto"/>
          <w:sz w:val="36"/>
          <w:szCs w:val="44"/>
        </w:rPr>
        <w:t>砖瓦用页岩矿</w:t>
      </w:r>
    </w:p>
    <w:p>
      <w:pPr>
        <w:keepNext w:val="0"/>
        <w:keepLines w:val="0"/>
        <w:pageBreakBefore w:val="0"/>
        <w:widowControl w:val="0"/>
        <w:kinsoku/>
        <w:wordWrap/>
        <w:overflowPunct/>
        <w:topLinePunct w:val="0"/>
        <w:autoSpaceDE/>
        <w:autoSpaceDN/>
        <w:bidi w:val="0"/>
        <w:spacing w:before="312" w:beforeLines="100" w:after="312" w:afterLines="100"/>
        <w:ind w:firstLine="0" w:firstLineChars="0"/>
        <w:jc w:val="center"/>
        <w:textAlignment w:val="auto"/>
        <w:rPr>
          <w:rFonts w:ascii="Times New Roman" w:hAnsi="Times New Roman" w:eastAsia="黑体" w:cs="Times New Roman"/>
          <w:color w:val="auto"/>
          <w:sz w:val="52"/>
          <w:szCs w:val="52"/>
          <w:highlight w:val="none"/>
        </w:rPr>
      </w:pPr>
      <w:r>
        <w:rPr>
          <w:rFonts w:hint="eastAsia" w:ascii="宋体" w:hAnsi="宋体"/>
          <w:b/>
          <w:color w:val="auto"/>
          <w:sz w:val="44"/>
          <w:szCs w:val="44"/>
        </w:rPr>
        <w:t>矿山地质环境保护与土地复垦方案</w:t>
      </w:r>
    </w:p>
    <w:p>
      <w:pPr>
        <w:spacing w:before="312" w:beforeLines="100" w:after="312" w:afterLines="100"/>
        <w:jc w:val="center"/>
        <w:rPr>
          <w:rFonts w:ascii="Times New Roman" w:hAnsi="Times New Roman" w:eastAsia="宋体" w:cs="Times New Roman"/>
          <w:color w:val="auto"/>
          <w:sz w:val="52"/>
          <w:szCs w:val="52"/>
          <w:highlight w:val="none"/>
        </w:rPr>
      </w:pPr>
    </w:p>
    <w:p>
      <w:pPr>
        <w:pStyle w:val="22"/>
        <w:ind w:firstLine="1040"/>
        <w:rPr>
          <w:rFonts w:ascii="Times New Roman" w:hAnsi="Times New Roman" w:eastAsia="宋体" w:cs="Times New Roman"/>
          <w:color w:val="auto"/>
          <w:sz w:val="52"/>
          <w:szCs w:val="52"/>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jc w:val="center"/>
        <w:rPr>
          <w:rFonts w:ascii="Times New Roman" w:hAnsi="Times New Roman" w:eastAsia="宋体" w:cs="Times New Roman"/>
          <w:color w:val="auto"/>
          <w:sz w:val="52"/>
          <w:szCs w:val="52"/>
          <w:highlight w:val="none"/>
        </w:rPr>
      </w:pPr>
    </w:p>
    <w:tbl>
      <w:tblPr>
        <w:tblStyle w:val="23"/>
        <w:tblW w:w="9081" w:type="dxa"/>
        <w:jc w:val="center"/>
        <w:tblLayout w:type="autofit"/>
        <w:tblCellMar>
          <w:top w:w="0" w:type="dxa"/>
          <w:left w:w="108" w:type="dxa"/>
          <w:bottom w:w="0" w:type="dxa"/>
          <w:right w:w="108" w:type="dxa"/>
        </w:tblCellMar>
      </w:tblPr>
      <w:tblGrid>
        <w:gridCol w:w="2359"/>
        <w:gridCol w:w="6722"/>
      </w:tblGrid>
      <w:tr>
        <w:tblPrEx>
          <w:tblCellMar>
            <w:top w:w="0" w:type="dxa"/>
            <w:left w:w="108" w:type="dxa"/>
            <w:bottom w:w="0" w:type="dxa"/>
            <w:right w:w="108" w:type="dxa"/>
          </w:tblCellMar>
        </w:tblPrEx>
        <w:trPr>
          <w:trHeight w:val="692" w:hRule="atLeast"/>
          <w:jc w:val="center"/>
        </w:trPr>
        <w:tc>
          <w:tcPr>
            <w:tcW w:w="23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申报单位：</w:t>
            </w:r>
          </w:p>
        </w:tc>
        <w:tc>
          <w:tcPr>
            <w:tcW w:w="67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大英县顺盛矿业有限责任公司</w:t>
            </w:r>
          </w:p>
        </w:tc>
      </w:tr>
      <w:tr>
        <w:tblPrEx>
          <w:tblCellMar>
            <w:top w:w="0" w:type="dxa"/>
            <w:left w:w="108" w:type="dxa"/>
            <w:bottom w:w="0" w:type="dxa"/>
            <w:right w:w="108" w:type="dxa"/>
          </w:tblCellMar>
        </w:tblPrEx>
        <w:trPr>
          <w:trHeight w:val="692" w:hRule="atLeast"/>
          <w:jc w:val="center"/>
        </w:trPr>
        <w:tc>
          <w:tcPr>
            <w:tcW w:w="23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编制单位：</w:t>
            </w:r>
          </w:p>
        </w:tc>
        <w:tc>
          <w:tcPr>
            <w:tcW w:w="67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成都市巨匠工程环境技术服务有限公司</w:t>
            </w:r>
          </w:p>
        </w:tc>
      </w:tr>
      <w:tr>
        <w:tblPrEx>
          <w:tblCellMar>
            <w:top w:w="0" w:type="dxa"/>
            <w:left w:w="108" w:type="dxa"/>
            <w:bottom w:w="0" w:type="dxa"/>
            <w:right w:w="108" w:type="dxa"/>
          </w:tblCellMar>
        </w:tblPrEx>
        <w:trPr>
          <w:trHeight w:val="692" w:hRule="atLeast"/>
          <w:jc w:val="center"/>
        </w:trPr>
        <w:tc>
          <w:tcPr>
            <w:tcW w:w="23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法人代表：</w:t>
            </w:r>
          </w:p>
        </w:tc>
        <w:tc>
          <w:tcPr>
            <w:tcW w:w="67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刘  畅</w:t>
            </w:r>
          </w:p>
        </w:tc>
      </w:tr>
      <w:tr>
        <w:tblPrEx>
          <w:tblCellMar>
            <w:top w:w="0" w:type="dxa"/>
            <w:left w:w="108" w:type="dxa"/>
            <w:bottom w:w="0" w:type="dxa"/>
            <w:right w:w="108" w:type="dxa"/>
          </w:tblCellMar>
        </w:tblPrEx>
        <w:trPr>
          <w:trHeight w:val="692" w:hRule="atLeast"/>
          <w:jc w:val="center"/>
        </w:trPr>
        <w:tc>
          <w:tcPr>
            <w:tcW w:w="23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项目负责人：</w:t>
            </w:r>
          </w:p>
        </w:tc>
        <w:tc>
          <w:tcPr>
            <w:tcW w:w="67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姬景鑫</w:t>
            </w:r>
          </w:p>
        </w:tc>
      </w:tr>
      <w:tr>
        <w:tblPrEx>
          <w:tblCellMar>
            <w:top w:w="0" w:type="dxa"/>
            <w:left w:w="108" w:type="dxa"/>
            <w:bottom w:w="0" w:type="dxa"/>
            <w:right w:w="108" w:type="dxa"/>
          </w:tblCellMar>
        </w:tblPrEx>
        <w:trPr>
          <w:trHeight w:val="692" w:hRule="atLeast"/>
          <w:jc w:val="center"/>
        </w:trPr>
        <w:tc>
          <w:tcPr>
            <w:tcW w:w="23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编写人员：</w:t>
            </w:r>
          </w:p>
        </w:tc>
        <w:tc>
          <w:tcPr>
            <w:tcW w:w="67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王 磊</w:t>
            </w:r>
          </w:p>
        </w:tc>
      </w:tr>
      <w:tr>
        <w:tblPrEx>
          <w:tblCellMar>
            <w:top w:w="0" w:type="dxa"/>
            <w:left w:w="108" w:type="dxa"/>
            <w:bottom w:w="0" w:type="dxa"/>
            <w:right w:w="108" w:type="dxa"/>
          </w:tblCellMar>
        </w:tblPrEx>
        <w:trPr>
          <w:trHeight w:val="692" w:hRule="atLeast"/>
          <w:jc w:val="center"/>
        </w:trPr>
        <w:tc>
          <w:tcPr>
            <w:tcW w:w="23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 xml:space="preserve">提交报告时间： </w:t>
            </w:r>
          </w:p>
        </w:tc>
        <w:tc>
          <w:tcPr>
            <w:tcW w:w="67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二〇二</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年</w:t>
            </w:r>
            <w:r>
              <w:rPr>
                <w:rFonts w:hint="eastAsia" w:ascii="仿宋_GB2312" w:hAnsi="仿宋_GB2312" w:eastAsia="仿宋_GB2312" w:cs="仿宋_GB2312"/>
                <w:b/>
                <w:bCs/>
                <w:color w:val="auto"/>
                <w:sz w:val="32"/>
                <w:szCs w:val="32"/>
                <w:lang w:val="en-US" w:eastAsia="zh-CN"/>
              </w:rPr>
              <w:t>六</w:t>
            </w:r>
            <w:r>
              <w:rPr>
                <w:rFonts w:hint="eastAsia" w:ascii="仿宋_GB2312" w:hAnsi="仿宋_GB2312" w:eastAsia="仿宋_GB2312" w:cs="仿宋_GB2312"/>
                <w:b/>
                <w:bCs/>
                <w:color w:val="auto"/>
                <w:sz w:val="32"/>
                <w:szCs w:val="32"/>
              </w:rPr>
              <w:t>月</w:t>
            </w:r>
          </w:p>
        </w:tc>
      </w:tr>
    </w:tbl>
    <w:p>
      <w:pPr>
        <w:ind w:firstLine="1280" w:firstLineChars="400"/>
        <w:rPr>
          <w:rFonts w:ascii="Times New Roman" w:hAnsi="Times New Roman" w:eastAsia="宋体" w:cs="Times New Roman"/>
          <w:color w:val="auto"/>
          <w:sz w:val="32"/>
          <w:szCs w:val="32"/>
          <w:highlight w:val="none"/>
        </w:rPr>
        <w:sectPr>
          <w:pgSz w:w="11906" w:h="16838"/>
          <w:pgMar w:top="1440" w:right="1800" w:bottom="1440" w:left="1800" w:header="851" w:footer="992" w:gutter="0"/>
          <w:cols w:space="425" w:num="1"/>
          <w:docGrid w:type="lines" w:linePitch="312" w:charSpace="0"/>
        </w:sectPr>
      </w:pPr>
    </w:p>
    <w:p>
      <w:pPr>
        <w:pStyle w:val="18"/>
        <w:tabs>
          <w:tab w:val="right" w:leader="dot" w:pos="8306"/>
        </w:tabs>
        <w:jc w:val="center"/>
        <w:rPr>
          <w:rFonts w:ascii="Times New Roman" w:hAnsi="Times New Roman" w:eastAsia="宋体" w:cs="Times New Roman"/>
          <w:b/>
          <w:bCs/>
          <w:color w:val="auto"/>
          <w:sz w:val="32"/>
          <w:szCs w:val="32"/>
          <w:highlight w:val="none"/>
        </w:rPr>
      </w:pPr>
      <w:r>
        <w:rPr>
          <w:rFonts w:ascii="Times New Roman" w:hAnsi="Times New Roman" w:eastAsia="宋体" w:cs="Times New Roman"/>
          <w:b/>
          <w:bCs/>
          <w:color w:val="auto"/>
          <w:sz w:val="32"/>
          <w:szCs w:val="32"/>
          <w:highlight w:val="none"/>
        </w:rPr>
        <w:t>目  录</w:t>
      </w:r>
    </w:p>
    <w:p>
      <w:pPr>
        <w:pStyle w:val="18"/>
        <w:tabs>
          <w:tab w:val="right" w:leader="dot" w:pos="8306"/>
        </w:tabs>
      </w:pPr>
      <w:r>
        <w:rPr>
          <w:rFonts w:ascii="Times New Roman" w:hAnsi="Times New Roman" w:eastAsia="宋体" w:cs="Times New Roman"/>
          <w:color w:val="auto"/>
          <w:sz w:val="24"/>
          <w:szCs w:val="24"/>
          <w:highlight w:val="none"/>
        </w:rPr>
        <w:fldChar w:fldCharType="begin"/>
      </w:r>
      <w:r>
        <w:rPr>
          <w:rFonts w:ascii="Times New Roman" w:hAnsi="Times New Roman" w:eastAsia="宋体" w:cs="Times New Roman"/>
          <w:color w:val="auto"/>
          <w:sz w:val="24"/>
          <w:szCs w:val="24"/>
          <w:highlight w:val="none"/>
        </w:rPr>
        <w:instrText xml:space="preserve">TOC \o "1-3" \h \u </w:instrText>
      </w:r>
      <w:r>
        <w:rPr>
          <w:rFonts w:ascii="Times New Roman" w:hAnsi="Times New Roman" w:eastAsia="宋体" w:cs="Times New Roman"/>
          <w:color w:val="auto"/>
          <w:sz w:val="24"/>
          <w:szCs w:val="24"/>
          <w:highlight w:val="none"/>
        </w:rPr>
        <w:fldChar w:fldCharType="separate"/>
      </w: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_Toc11408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前  言</w:t>
      </w:r>
      <w:r>
        <w:tab/>
      </w:r>
      <w:r>
        <w:fldChar w:fldCharType="begin"/>
      </w:r>
      <w:r>
        <w:instrText xml:space="preserve"> PAGEREF _Toc11408 \h </w:instrText>
      </w:r>
      <w:r>
        <w:fldChar w:fldCharType="separate"/>
      </w:r>
      <w:r>
        <w:t>1</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_Toc28512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一、任务的由来</w:t>
      </w:r>
      <w:r>
        <w:tab/>
      </w:r>
      <w:r>
        <w:fldChar w:fldCharType="begin"/>
      </w:r>
      <w:r>
        <w:instrText xml:space="preserve"> PAGEREF _Toc28512 \h </w:instrText>
      </w:r>
      <w:r>
        <w:fldChar w:fldCharType="separate"/>
      </w:r>
      <w:r>
        <w:t>1</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_Toc5298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二、编制目的</w:t>
      </w:r>
      <w:r>
        <w:tab/>
      </w:r>
      <w:r>
        <w:fldChar w:fldCharType="begin"/>
      </w:r>
      <w:r>
        <w:instrText xml:space="preserve"> PAGEREF _Toc5298 \h </w:instrText>
      </w:r>
      <w:r>
        <w:fldChar w:fldCharType="separate"/>
      </w:r>
      <w:r>
        <w:t>2</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_Toc14760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三、编制依据</w:t>
      </w:r>
      <w:r>
        <w:tab/>
      </w:r>
      <w:r>
        <w:fldChar w:fldCharType="begin"/>
      </w:r>
      <w:r>
        <w:instrText xml:space="preserve"> PAGEREF _Toc14760 \h </w:instrText>
      </w:r>
      <w:r>
        <w:fldChar w:fldCharType="separate"/>
      </w:r>
      <w:r>
        <w:t>4</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_Toc12663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（一）法律法规</w:t>
      </w:r>
      <w:r>
        <w:tab/>
      </w:r>
      <w:r>
        <w:fldChar w:fldCharType="begin"/>
      </w:r>
      <w:r>
        <w:instrText xml:space="preserve"> PAGEREF _Toc12663 \h </w:instrText>
      </w:r>
      <w:r>
        <w:fldChar w:fldCharType="separate"/>
      </w:r>
      <w:r>
        <w:t>4</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_Toc26025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（二）规程规范</w:t>
      </w:r>
      <w:r>
        <w:tab/>
      </w:r>
      <w:r>
        <w:fldChar w:fldCharType="begin"/>
      </w:r>
      <w:r>
        <w:instrText xml:space="preserve"> PAGEREF _Toc26025 \h </w:instrText>
      </w:r>
      <w:r>
        <w:fldChar w:fldCharType="separate"/>
      </w:r>
      <w:r>
        <w:t>5</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_Toc18212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（三）技术文件及资料</w:t>
      </w:r>
      <w:r>
        <w:tab/>
      </w:r>
      <w:r>
        <w:fldChar w:fldCharType="begin"/>
      </w:r>
      <w:r>
        <w:instrText xml:space="preserve"> PAGEREF _Toc18212 \h </w:instrText>
      </w:r>
      <w:r>
        <w:fldChar w:fldCharType="separate"/>
      </w:r>
      <w:r>
        <w:t>6</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_Toc30128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四、数学基础</w:t>
      </w:r>
      <w:r>
        <w:tab/>
      </w:r>
      <w:r>
        <w:fldChar w:fldCharType="begin"/>
      </w:r>
      <w:r>
        <w:instrText xml:space="preserve"> PAGEREF _Toc30128 \h </w:instrText>
      </w:r>
      <w:r>
        <w:fldChar w:fldCharType="separate"/>
      </w:r>
      <w:r>
        <w:t>7</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_Toc18825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（一）主要计量单位</w:t>
      </w:r>
      <w:r>
        <w:tab/>
      </w:r>
      <w:r>
        <w:fldChar w:fldCharType="begin"/>
      </w:r>
      <w:r>
        <w:instrText xml:space="preserve"> PAGEREF _Toc18825 \h </w:instrText>
      </w:r>
      <w:r>
        <w:fldChar w:fldCharType="separate"/>
      </w:r>
      <w:r>
        <w:t>7</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_Toc26162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（二）坐标系及投影信息</w:t>
      </w:r>
      <w:r>
        <w:tab/>
      </w:r>
      <w:r>
        <w:fldChar w:fldCharType="begin"/>
      </w:r>
      <w:r>
        <w:instrText xml:space="preserve"> PAGEREF _Toc26162 \h </w:instrText>
      </w:r>
      <w:r>
        <w:fldChar w:fldCharType="separate"/>
      </w:r>
      <w:r>
        <w:t>7</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_Toc25477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（三）土地利用现状分类标准</w:t>
      </w:r>
      <w:r>
        <w:tab/>
      </w:r>
      <w:r>
        <w:fldChar w:fldCharType="begin"/>
      </w:r>
      <w:r>
        <w:instrText xml:space="preserve"> PAGEREF _Toc25477 \h </w:instrText>
      </w:r>
      <w:r>
        <w:fldChar w:fldCharType="separate"/>
      </w:r>
      <w:r>
        <w:t>7</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_Toc24022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五、方案适用年限</w:t>
      </w:r>
      <w:r>
        <w:tab/>
      </w:r>
      <w:r>
        <w:fldChar w:fldCharType="begin"/>
      </w:r>
      <w:r>
        <w:instrText xml:space="preserve"> PAGEREF _Toc24022 \h </w:instrText>
      </w:r>
      <w:r>
        <w:fldChar w:fldCharType="separate"/>
      </w:r>
      <w:r>
        <w:t>8</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_Toc4986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（一）矿山服务年限</w:t>
      </w:r>
      <w:r>
        <w:tab/>
      </w:r>
      <w:r>
        <w:fldChar w:fldCharType="begin"/>
      </w:r>
      <w:r>
        <w:instrText xml:space="preserve"> PAGEREF _Toc4986 \h </w:instrText>
      </w:r>
      <w:r>
        <w:fldChar w:fldCharType="separate"/>
      </w:r>
      <w:r>
        <w:t>8</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_Toc21110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六、编制工作概况</w:t>
      </w:r>
      <w:r>
        <w:tab/>
      </w:r>
      <w:r>
        <w:fldChar w:fldCharType="begin"/>
      </w:r>
      <w:r>
        <w:instrText xml:space="preserve"> PAGEREF _Toc21110 \h </w:instrText>
      </w:r>
      <w:r>
        <w:fldChar w:fldCharType="separate"/>
      </w:r>
      <w:r>
        <w:t>9</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_Toc19641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（一）工作程序</w:t>
      </w:r>
      <w:r>
        <w:tab/>
      </w:r>
      <w:r>
        <w:fldChar w:fldCharType="begin"/>
      </w:r>
      <w:r>
        <w:instrText xml:space="preserve"> PAGEREF _Toc19641 \h </w:instrText>
      </w:r>
      <w:r>
        <w:fldChar w:fldCharType="separate"/>
      </w:r>
      <w:r>
        <w:t>9</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_Toc29568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（二）工作方法</w:t>
      </w:r>
      <w:r>
        <w:tab/>
      </w:r>
      <w:r>
        <w:fldChar w:fldCharType="begin"/>
      </w:r>
      <w:r>
        <w:instrText xml:space="preserve"> PAGEREF _Toc29568 \h </w:instrText>
      </w:r>
      <w:r>
        <w:fldChar w:fldCharType="separate"/>
      </w:r>
      <w:r>
        <w:t>10</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_Toc19687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highlight w:val="none"/>
        </w:rPr>
        <w:t>（三）现场调查工作量</w:t>
      </w:r>
      <w:r>
        <w:tab/>
      </w:r>
      <w:r>
        <w:fldChar w:fldCharType="begin"/>
      </w:r>
      <w:r>
        <w:instrText xml:space="preserve"> PAGEREF _Toc19687 \h </w:instrText>
      </w:r>
      <w:r>
        <w:fldChar w:fldCharType="separate"/>
      </w:r>
      <w:r>
        <w:t>12</w:t>
      </w:r>
      <w:r>
        <w:fldChar w:fldCharType="end"/>
      </w:r>
      <w:r>
        <w:rPr>
          <w:rFonts w:ascii="Times New Roman" w:hAnsi="Times New Roman" w:eastAsia="宋体" w:cs="Times New Roman"/>
          <w:color w:val="auto"/>
          <w:szCs w:val="24"/>
          <w:highlight w:val="none"/>
        </w:rPr>
        <w:fldChar w:fldCharType="end"/>
      </w:r>
    </w:p>
    <w:p>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_Toc27691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第1章  矿山基本情况</w:t>
      </w:r>
      <w:r>
        <w:tab/>
      </w:r>
      <w:r>
        <w:fldChar w:fldCharType="begin"/>
      </w:r>
      <w:r>
        <w:instrText xml:space="preserve"> PAGEREF _Toc27691 \h </w:instrText>
      </w:r>
      <w:r>
        <w:fldChar w:fldCharType="separate"/>
      </w:r>
      <w:r>
        <w:t>13</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_Toc3560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一、</w:t>
      </w:r>
      <w:r>
        <w:rPr>
          <w:rFonts w:ascii="Times New Roman" w:hAnsi="Times New Roman" w:eastAsia="宋体" w:cs="Times New Roman"/>
          <w:bCs/>
          <w:szCs w:val="32"/>
          <w:highlight w:val="none"/>
          <w:lang w:val="zh-CN"/>
        </w:rPr>
        <w:t>矿山简介</w:t>
      </w:r>
      <w:r>
        <w:tab/>
      </w:r>
      <w:r>
        <w:fldChar w:fldCharType="begin"/>
      </w:r>
      <w:r>
        <w:instrText xml:space="preserve"> PAGEREF _Toc3560 \h </w:instrText>
      </w:r>
      <w:r>
        <w:fldChar w:fldCharType="separate"/>
      </w:r>
      <w:r>
        <w:t>13</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_Toc25670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lang w:val="zh-CN"/>
        </w:rPr>
        <w:t>二、</w:t>
      </w:r>
      <w:r>
        <w:rPr>
          <w:rFonts w:hint="eastAsia" w:ascii="Times New Roman" w:hAnsi="Times New Roman" w:eastAsia="宋体" w:cs="Times New Roman"/>
          <w:highlight w:val="none"/>
          <w:lang w:val="en-US" w:eastAsia="zh-CN"/>
        </w:rPr>
        <w:t>采矿权</w:t>
      </w:r>
      <w:r>
        <w:rPr>
          <w:rFonts w:ascii="Times New Roman" w:hAnsi="Times New Roman" w:eastAsia="宋体" w:cs="Times New Roman"/>
          <w:highlight w:val="none"/>
          <w:lang w:val="zh-CN"/>
        </w:rPr>
        <w:t>范围及拐点坐标</w:t>
      </w:r>
      <w:r>
        <w:tab/>
      </w:r>
      <w:r>
        <w:fldChar w:fldCharType="begin"/>
      </w:r>
      <w:r>
        <w:instrText xml:space="preserve"> PAGEREF _Toc25670 \h </w:instrText>
      </w:r>
      <w:r>
        <w:fldChar w:fldCharType="separate"/>
      </w:r>
      <w:r>
        <w:t>14</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_Toc16348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三、</w:t>
      </w:r>
      <w:r>
        <w:rPr>
          <w:rFonts w:ascii="Times New Roman" w:hAnsi="Times New Roman" w:eastAsia="宋体" w:cs="Times New Roman"/>
          <w:highlight w:val="none"/>
          <w:lang w:val="zh-CN"/>
        </w:rPr>
        <w:t>矿山开发利用方案概述</w:t>
      </w:r>
      <w:r>
        <w:tab/>
      </w:r>
      <w:r>
        <w:fldChar w:fldCharType="begin"/>
      </w:r>
      <w:r>
        <w:instrText xml:space="preserve"> PAGEREF _Toc16348 \h </w:instrText>
      </w:r>
      <w:r>
        <w:fldChar w:fldCharType="separate"/>
      </w:r>
      <w:r>
        <w:t>14</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_Toc7356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szCs w:val="28"/>
          <w:highlight w:val="none"/>
          <w:lang w:eastAsia="zh-CN"/>
        </w:rPr>
        <w:t>（</w:t>
      </w:r>
      <w:r>
        <w:rPr>
          <w:rFonts w:hint="eastAsia" w:ascii="Times New Roman" w:hAnsi="Times New Roman" w:eastAsia="宋体" w:cs="Times New Roman"/>
          <w:szCs w:val="28"/>
          <w:highlight w:val="none"/>
          <w:lang w:val="en-US" w:eastAsia="zh-CN"/>
        </w:rPr>
        <w:t>一</w:t>
      </w:r>
      <w:r>
        <w:rPr>
          <w:rFonts w:hint="eastAsia" w:ascii="Times New Roman" w:hAnsi="Times New Roman" w:eastAsia="宋体" w:cs="Times New Roman"/>
          <w:szCs w:val="28"/>
          <w:highlight w:val="none"/>
          <w:lang w:eastAsia="zh-CN"/>
        </w:rPr>
        <w:t>）</w:t>
      </w:r>
      <w:r>
        <w:rPr>
          <w:rFonts w:hint="eastAsia" w:ascii="Times New Roman" w:hAnsi="Times New Roman" w:eastAsia="宋体" w:cs="Times New Roman"/>
          <w:szCs w:val="28"/>
          <w:highlight w:val="none"/>
        </w:rPr>
        <w:t>矿床开采方式和开采顺序</w:t>
      </w:r>
      <w:r>
        <w:tab/>
      </w:r>
      <w:r>
        <w:fldChar w:fldCharType="begin"/>
      </w:r>
      <w:r>
        <w:instrText xml:space="preserve"> PAGEREF _Toc7356 \h </w:instrText>
      </w:r>
      <w:r>
        <w:fldChar w:fldCharType="separate"/>
      </w:r>
      <w:r>
        <w:t>14</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_Toc21541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szCs w:val="28"/>
        </w:rPr>
        <w:t xml:space="preserve">（二） </w:t>
      </w:r>
      <w:r>
        <w:rPr>
          <w:rFonts w:hint="eastAsia" w:ascii="Times New Roman" w:hAnsi="Times New Roman" w:eastAsia="宋体" w:cs="Times New Roman"/>
          <w:szCs w:val="28"/>
          <w:highlight w:val="none"/>
        </w:rPr>
        <w:t>开采运输方案</w:t>
      </w:r>
      <w:r>
        <w:tab/>
      </w:r>
      <w:r>
        <w:fldChar w:fldCharType="begin"/>
      </w:r>
      <w:r>
        <w:instrText xml:space="preserve"> PAGEREF _Toc21541 \h </w:instrText>
      </w:r>
      <w:r>
        <w:fldChar w:fldCharType="separate"/>
      </w:r>
      <w:r>
        <w:t>15</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_Toc11521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szCs w:val="28"/>
        </w:rPr>
        <w:t xml:space="preserve">（三） </w:t>
      </w:r>
      <w:r>
        <w:rPr>
          <w:rFonts w:hint="eastAsia" w:ascii="Times New Roman" w:hAnsi="Times New Roman" w:eastAsia="宋体" w:cs="Times New Roman"/>
          <w:szCs w:val="28"/>
          <w:highlight w:val="none"/>
        </w:rPr>
        <w:t>采场边坡要素</w:t>
      </w:r>
      <w:r>
        <w:tab/>
      </w:r>
      <w:r>
        <w:fldChar w:fldCharType="begin"/>
      </w:r>
      <w:r>
        <w:instrText xml:space="preserve"> PAGEREF _Toc11521 \h </w:instrText>
      </w:r>
      <w:r>
        <w:fldChar w:fldCharType="separate"/>
      </w:r>
      <w:r>
        <w:t>16</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_Toc10649 </w:instrText>
      </w:r>
      <w:r>
        <w:rPr>
          <w:rFonts w:ascii="Times New Roman" w:hAnsi="Times New Roman" w:eastAsia="宋体" w:cs="Times New Roman"/>
          <w:szCs w:val="24"/>
          <w:highlight w:val="none"/>
        </w:rPr>
        <w:fldChar w:fldCharType="separate"/>
      </w:r>
      <w:r>
        <w:rPr>
          <w:rFonts w:hint="eastAsia"/>
        </w:rPr>
        <w:t>（</w:t>
      </w:r>
      <w:r>
        <w:rPr>
          <w:rFonts w:hint="eastAsia"/>
          <w:lang w:val="en-US" w:eastAsia="zh-CN"/>
        </w:rPr>
        <w:t>四</w:t>
      </w:r>
      <w:r>
        <w:rPr>
          <w:rFonts w:hint="eastAsia"/>
        </w:rPr>
        <w:t>）排土场设计情况</w:t>
      </w:r>
      <w:r>
        <w:tab/>
      </w:r>
      <w:r>
        <w:fldChar w:fldCharType="begin"/>
      </w:r>
      <w:r>
        <w:instrText xml:space="preserve"> PAGEREF _Toc10649 \h </w:instrText>
      </w:r>
      <w:r>
        <w:fldChar w:fldCharType="separate"/>
      </w:r>
      <w:r>
        <w:t>16</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_Toc20729 </w:instrText>
      </w:r>
      <w:r>
        <w:rPr>
          <w:rFonts w:ascii="Times New Roman" w:hAnsi="Times New Roman" w:eastAsia="宋体" w:cs="Times New Roman"/>
          <w:szCs w:val="24"/>
          <w:highlight w:val="none"/>
        </w:rPr>
        <w:fldChar w:fldCharType="separate"/>
      </w:r>
      <w:r>
        <w:rPr>
          <w:rFonts w:hint="eastAsia"/>
        </w:rPr>
        <w:t>（</w:t>
      </w:r>
      <w:r>
        <w:rPr>
          <w:rFonts w:hint="eastAsia"/>
          <w:lang w:val="en-US" w:eastAsia="zh-CN"/>
        </w:rPr>
        <w:t>五</w:t>
      </w:r>
      <w:r>
        <w:rPr>
          <w:rFonts w:hint="eastAsia"/>
        </w:rPr>
        <w:t>）矿床开采</w:t>
      </w:r>
      <w:r>
        <w:tab/>
      </w:r>
      <w:r>
        <w:fldChar w:fldCharType="begin"/>
      </w:r>
      <w:r>
        <w:instrText xml:space="preserve"> PAGEREF _Toc20729 \h </w:instrText>
      </w:r>
      <w:r>
        <w:fldChar w:fldCharType="separate"/>
      </w:r>
      <w:r>
        <w:t>17</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_Toc11085 </w:instrText>
      </w:r>
      <w:r>
        <w:rPr>
          <w:rFonts w:ascii="Times New Roman" w:hAnsi="Times New Roman" w:eastAsia="宋体" w:cs="Times New Roman"/>
          <w:szCs w:val="24"/>
          <w:highlight w:val="none"/>
        </w:rPr>
        <w:fldChar w:fldCharType="separate"/>
      </w:r>
      <w:r>
        <w:rPr>
          <w:rFonts w:hint="eastAsia"/>
        </w:rPr>
        <w:t>（</w:t>
      </w:r>
      <w:r>
        <w:rPr>
          <w:rFonts w:hint="eastAsia"/>
          <w:lang w:val="en-US" w:eastAsia="zh-CN"/>
        </w:rPr>
        <w:t>六</w:t>
      </w:r>
      <w:r>
        <w:rPr>
          <w:rFonts w:hint="eastAsia"/>
        </w:rPr>
        <w:t>）固体废弃物和废水的排放和处理情况</w:t>
      </w:r>
      <w:r>
        <w:tab/>
      </w:r>
      <w:r>
        <w:fldChar w:fldCharType="begin"/>
      </w:r>
      <w:r>
        <w:instrText xml:space="preserve"> PAGEREF _Toc11085 \h </w:instrText>
      </w:r>
      <w:r>
        <w:fldChar w:fldCharType="separate"/>
      </w:r>
      <w:r>
        <w:t>18</w:t>
      </w:r>
      <w:r>
        <w:fldChar w:fldCharType="end"/>
      </w:r>
      <w:r>
        <w:rPr>
          <w:rFonts w:ascii="Times New Roman" w:hAnsi="Times New Roman" w:eastAsia="宋体" w:cs="Times New Roman"/>
          <w:color w:val="auto"/>
          <w:szCs w:val="24"/>
          <w:highlight w:val="none"/>
        </w:rPr>
        <w:fldChar w:fldCharType="end"/>
      </w:r>
    </w:p>
    <w:p>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_Toc29476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第2章  矿区基础信息</w:t>
      </w:r>
      <w:r>
        <w:tab/>
      </w:r>
      <w:r>
        <w:fldChar w:fldCharType="begin"/>
      </w:r>
      <w:r>
        <w:instrText xml:space="preserve"> PAGEREF _Toc29476 \h </w:instrText>
      </w:r>
      <w:r>
        <w:fldChar w:fldCharType="separate"/>
      </w:r>
      <w:r>
        <w:t>21</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_Toc32406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一、</w:t>
      </w:r>
      <w:r>
        <w:rPr>
          <w:rFonts w:ascii="Times New Roman" w:hAnsi="Times New Roman" w:eastAsia="宋体" w:cs="Times New Roman"/>
          <w:bCs/>
          <w:szCs w:val="32"/>
          <w:highlight w:val="none"/>
          <w:lang w:val="zh-CN"/>
        </w:rPr>
        <w:t>矿区自然地理</w:t>
      </w:r>
      <w:r>
        <w:tab/>
      </w:r>
      <w:r>
        <w:fldChar w:fldCharType="begin"/>
      </w:r>
      <w:r>
        <w:instrText xml:space="preserve"> PAGEREF _Toc32406 \h </w:instrText>
      </w:r>
      <w:r>
        <w:fldChar w:fldCharType="separate"/>
      </w:r>
      <w:r>
        <w:t>21</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_Toc15630 </w:instrText>
      </w:r>
      <w:r>
        <w:rPr>
          <w:rFonts w:ascii="Times New Roman" w:hAnsi="Times New Roman" w:eastAsia="宋体" w:cs="Times New Roman"/>
          <w:szCs w:val="24"/>
          <w:highlight w:val="none"/>
        </w:rPr>
        <w:fldChar w:fldCharType="separate"/>
      </w:r>
      <w:r>
        <w:rPr>
          <w:rFonts w:hint="eastAsia"/>
        </w:rPr>
        <w:t>（一）气象</w:t>
      </w:r>
      <w:r>
        <w:tab/>
      </w:r>
      <w:r>
        <w:fldChar w:fldCharType="begin"/>
      </w:r>
      <w:r>
        <w:instrText xml:space="preserve"> PAGEREF _Toc15630 \h </w:instrText>
      </w:r>
      <w:r>
        <w:fldChar w:fldCharType="separate"/>
      </w:r>
      <w:r>
        <w:t>21</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_Toc562 </w:instrText>
      </w:r>
      <w:r>
        <w:rPr>
          <w:rFonts w:ascii="Times New Roman" w:hAnsi="Times New Roman" w:eastAsia="宋体" w:cs="Times New Roman"/>
          <w:szCs w:val="24"/>
          <w:highlight w:val="none"/>
        </w:rPr>
        <w:fldChar w:fldCharType="separate"/>
      </w:r>
      <w:r>
        <w:rPr>
          <w:rFonts w:hint="eastAsia"/>
        </w:rPr>
        <w:t>（二）水文</w:t>
      </w:r>
      <w:r>
        <w:tab/>
      </w:r>
      <w:r>
        <w:fldChar w:fldCharType="begin"/>
      </w:r>
      <w:r>
        <w:instrText xml:space="preserve"> PAGEREF _Toc562 \h </w:instrText>
      </w:r>
      <w:r>
        <w:fldChar w:fldCharType="separate"/>
      </w:r>
      <w:r>
        <w:t>21</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_Toc2128 </w:instrText>
      </w:r>
      <w:r>
        <w:rPr>
          <w:rFonts w:ascii="Times New Roman" w:hAnsi="Times New Roman" w:eastAsia="宋体" w:cs="Times New Roman"/>
          <w:szCs w:val="24"/>
          <w:highlight w:val="none"/>
        </w:rPr>
        <w:fldChar w:fldCharType="separate"/>
      </w:r>
      <w:r>
        <w:rPr>
          <w:rFonts w:hint="eastAsia"/>
        </w:rPr>
        <w:t>（三）地形地貌</w:t>
      </w:r>
      <w:r>
        <w:tab/>
      </w:r>
      <w:r>
        <w:fldChar w:fldCharType="begin"/>
      </w:r>
      <w:r>
        <w:instrText xml:space="preserve"> PAGEREF _Toc2128 \h </w:instrText>
      </w:r>
      <w:r>
        <w:fldChar w:fldCharType="separate"/>
      </w:r>
      <w:r>
        <w:t>22</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_Toc12228 </w:instrText>
      </w:r>
      <w:r>
        <w:rPr>
          <w:rFonts w:ascii="Times New Roman" w:hAnsi="Times New Roman" w:eastAsia="宋体" w:cs="Times New Roman"/>
          <w:szCs w:val="24"/>
          <w:highlight w:val="none"/>
        </w:rPr>
        <w:fldChar w:fldCharType="separate"/>
      </w:r>
      <w:r>
        <w:rPr>
          <w:rFonts w:hint="eastAsia"/>
        </w:rPr>
        <w:t>（四）植被</w:t>
      </w:r>
      <w:r>
        <w:tab/>
      </w:r>
      <w:r>
        <w:fldChar w:fldCharType="begin"/>
      </w:r>
      <w:r>
        <w:instrText xml:space="preserve"> PAGEREF _Toc12228 \h </w:instrText>
      </w:r>
      <w:r>
        <w:fldChar w:fldCharType="separate"/>
      </w:r>
      <w:r>
        <w:t>23</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_Toc7345 </w:instrText>
      </w:r>
      <w:r>
        <w:rPr>
          <w:rFonts w:ascii="Times New Roman" w:hAnsi="Times New Roman" w:eastAsia="宋体" w:cs="Times New Roman"/>
          <w:szCs w:val="24"/>
          <w:highlight w:val="none"/>
        </w:rPr>
        <w:fldChar w:fldCharType="separate"/>
      </w:r>
      <w:r>
        <w:rPr>
          <w:rFonts w:hint="eastAsia"/>
        </w:rPr>
        <w:t>（五）土壤</w:t>
      </w:r>
      <w:r>
        <w:tab/>
      </w:r>
      <w:r>
        <w:fldChar w:fldCharType="begin"/>
      </w:r>
      <w:r>
        <w:instrText xml:space="preserve"> PAGEREF _Toc7345 \h </w:instrText>
      </w:r>
      <w:r>
        <w:fldChar w:fldCharType="separate"/>
      </w:r>
      <w:r>
        <w:t>23</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_Toc14841 </w:instrText>
      </w:r>
      <w:r>
        <w:rPr>
          <w:rFonts w:ascii="Times New Roman" w:hAnsi="Times New Roman" w:eastAsia="宋体" w:cs="Times New Roman"/>
          <w:szCs w:val="24"/>
          <w:highlight w:val="none"/>
        </w:rPr>
        <w:fldChar w:fldCharType="separate"/>
      </w:r>
      <w:r>
        <w:rPr>
          <w:rFonts w:hint="eastAsia"/>
        </w:rPr>
        <w:t>二、矿区地质环境背景</w:t>
      </w:r>
      <w:r>
        <w:tab/>
      </w:r>
      <w:r>
        <w:fldChar w:fldCharType="begin"/>
      </w:r>
      <w:r>
        <w:instrText xml:space="preserve"> PAGEREF _Toc14841 \h </w:instrText>
      </w:r>
      <w:r>
        <w:fldChar w:fldCharType="separate"/>
      </w:r>
      <w:r>
        <w:t>24</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_Toc19490 </w:instrText>
      </w:r>
      <w:r>
        <w:rPr>
          <w:rFonts w:ascii="Times New Roman" w:hAnsi="Times New Roman" w:eastAsia="宋体" w:cs="Times New Roman"/>
          <w:szCs w:val="24"/>
          <w:highlight w:val="none"/>
        </w:rPr>
        <w:fldChar w:fldCharType="separate"/>
      </w:r>
      <w:r>
        <w:rPr>
          <w:rFonts w:hint="eastAsia"/>
        </w:rPr>
        <w:t>（一）地层岩性</w:t>
      </w:r>
      <w:r>
        <w:tab/>
      </w:r>
      <w:r>
        <w:fldChar w:fldCharType="begin"/>
      </w:r>
      <w:r>
        <w:instrText xml:space="preserve"> PAGEREF _Toc19490 \h </w:instrText>
      </w:r>
      <w:r>
        <w:fldChar w:fldCharType="separate"/>
      </w:r>
      <w:r>
        <w:t>24</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_Toc21782 </w:instrText>
      </w:r>
      <w:r>
        <w:rPr>
          <w:rFonts w:ascii="Times New Roman" w:hAnsi="Times New Roman" w:eastAsia="宋体" w:cs="Times New Roman"/>
          <w:szCs w:val="24"/>
          <w:highlight w:val="none"/>
        </w:rPr>
        <w:fldChar w:fldCharType="separate"/>
      </w:r>
      <w:r>
        <w:rPr>
          <w:rFonts w:hint="eastAsia"/>
        </w:rPr>
        <w:t>（二）地质构造</w:t>
      </w:r>
      <w:r>
        <w:tab/>
      </w:r>
      <w:r>
        <w:fldChar w:fldCharType="begin"/>
      </w:r>
      <w:r>
        <w:instrText xml:space="preserve"> PAGEREF _Toc21782 \h </w:instrText>
      </w:r>
      <w:r>
        <w:fldChar w:fldCharType="separate"/>
      </w:r>
      <w:r>
        <w:t>25</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_Toc17312 </w:instrText>
      </w:r>
      <w:r>
        <w:rPr>
          <w:rFonts w:ascii="Times New Roman" w:hAnsi="Times New Roman" w:eastAsia="宋体" w:cs="Times New Roman"/>
          <w:szCs w:val="24"/>
          <w:highlight w:val="none"/>
        </w:rPr>
        <w:fldChar w:fldCharType="separate"/>
      </w:r>
      <w:r>
        <w:rPr>
          <w:rFonts w:hint="eastAsia"/>
        </w:rPr>
        <w:t>（三）水文地质</w:t>
      </w:r>
      <w:r>
        <w:tab/>
      </w:r>
      <w:r>
        <w:fldChar w:fldCharType="begin"/>
      </w:r>
      <w:r>
        <w:instrText xml:space="preserve"> PAGEREF _Toc17312 \h </w:instrText>
      </w:r>
      <w:r>
        <w:fldChar w:fldCharType="separate"/>
      </w:r>
      <w:r>
        <w:t>27</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_Toc17601 </w:instrText>
      </w:r>
      <w:r>
        <w:rPr>
          <w:rFonts w:ascii="Times New Roman" w:hAnsi="Times New Roman" w:eastAsia="宋体" w:cs="Times New Roman"/>
          <w:szCs w:val="24"/>
          <w:highlight w:val="none"/>
        </w:rPr>
        <w:fldChar w:fldCharType="separate"/>
      </w:r>
      <w:r>
        <w:rPr>
          <w:rFonts w:hint="eastAsia"/>
        </w:rPr>
        <w:t>（四）工程地质</w:t>
      </w:r>
      <w:r>
        <w:tab/>
      </w:r>
      <w:r>
        <w:fldChar w:fldCharType="begin"/>
      </w:r>
      <w:r>
        <w:instrText xml:space="preserve"> PAGEREF _Toc17601 \h </w:instrText>
      </w:r>
      <w:r>
        <w:fldChar w:fldCharType="separate"/>
      </w:r>
      <w:r>
        <w:t>27</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_Toc24656 </w:instrText>
      </w:r>
      <w:r>
        <w:rPr>
          <w:rFonts w:ascii="Times New Roman" w:hAnsi="Times New Roman" w:eastAsia="宋体" w:cs="Times New Roman"/>
          <w:szCs w:val="24"/>
          <w:highlight w:val="none"/>
        </w:rPr>
        <w:fldChar w:fldCharType="separate"/>
      </w:r>
      <w:r>
        <w:rPr>
          <w:rFonts w:hint="eastAsia"/>
        </w:rPr>
        <w:t>（五）环境地质</w:t>
      </w:r>
      <w:r>
        <w:tab/>
      </w:r>
      <w:r>
        <w:fldChar w:fldCharType="begin"/>
      </w:r>
      <w:r>
        <w:instrText xml:space="preserve"> PAGEREF _Toc24656 \h </w:instrText>
      </w:r>
      <w:r>
        <w:fldChar w:fldCharType="separate"/>
      </w:r>
      <w:r>
        <w:t>28</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_Toc24896 </w:instrText>
      </w:r>
      <w:r>
        <w:rPr>
          <w:rFonts w:ascii="Times New Roman" w:hAnsi="Times New Roman" w:eastAsia="宋体" w:cs="Times New Roman"/>
          <w:szCs w:val="24"/>
          <w:highlight w:val="none"/>
        </w:rPr>
        <w:fldChar w:fldCharType="separate"/>
      </w:r>
      <w:r>
        <w:rPr>
          <w:rFonts w:hint="eastAsia"/>
        </w:rPr>
        <w:t>（六）矿体地质特征</w:t>
      </w:r>
      <w:r>
        <w:tab/>
      </w:r>
      <w:r>
        <w:fldChar w:fldCharType="begin"/>
      </w:r>
      <w:r>
        <w:instrText xml:space="preserve"> PAGEREF _Toc24896 \h </w:instrText>
      </w:r>
      <w:r>
        <w:fldChar w:fldCharType="separate"/>
      </w:r>
      <w:r>
        <w:t>28</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_Toc4683 </w:instrText>
      </w:r>
      <w:r>
        <w:rPr>
          <w:rFonts w:ascii="Times New Roman" w:hAnsi="Times New Roman" w:eastAsia="宋体" w:cs="Times New Roman"/>
          <w:szCs w:val="24"/>
          <w:highlight w:val="none"/>
        </w:rPr>
        <w:fldChar w:fldCharType="separate"/>
      </w:r>
      <w:r>
        <w:rPr>
          <w:rFonts w:hint="eastAsia"/>
        </w:rPr>
        <w:t>三、矿区社会经济概况</w:t>
      </w:r>
      <w:r>
        <w:tab/>
      </w:r>
      <w:r>
        <w:fldChar w:fldCharType="begin"/>
      </w:r>
      <w:r>
        <w:instrText xml:space="preserve"> PAGEREF _Toc4683 \h </w:instrText>
      </w:r>
      <w:r>
        <w:fldChar w:fldCharType="separate"/>
      </w:r>
      <w:r>
        <w:t>29</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_Toc6022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四、矿区土地利用现状</w:t>
      </w:r>
      <w:r>
        <w:tab/>
      </w:r>
      <w:r>
        <w:fldChar w:fldCharType="begin"/>
      </w:r>
      <w:r>
        <w:instrText xml:space="preserve"> PAGEREF _Toc6022 \h </w:instrText>
      </w:r>
      <w:r>
        <w:fldChar w:fldCharType="separate"/>
      </w:r>
      <w:r>
        <w:t>29</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_Toc25332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五、矿山及周边其他人类重大工程活动</w:t>
      </w:r>
      <w:r>
        <w:tab/>
      </w:r>
      <w:r>
        <w:fldChar w:fldCharType="begin"/>
      </w:r>
      <w:r>
        <w:instrText xml:space="preserve"> PAGEREF _Toc25332 \h </w:instrText>
      </w:r>
      <w:r>
        <w:fldChar w:fldCharType="separate"/>
      </w:r>
      <w:r>
        <w:t>30</w:t>
      </w:r>
      <w:r>
        <w:fldChar w:fldCharType="end"/>
      </w:r>
      <w:r>
        <w:rPr>
          <w:rFonts w:ascii="Times New Roman" w:hAnsi="Times New Roman" w:eastAsia="宋体" w:cs="Times New Roman"/>
          <w:color w:val="auto"/>
          <w:szCs w:val="24"/>
          <w:highlight w:val="none"/>
        </w:rPr>
        <w:fldChar w:fldCharType="end"/>
      </w:r>
    </w:p>
    <w:p>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_Toc17087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第3章 矿山地质环境影响和土地损毁评估</w:t>
      </w:r>
      <w:r>
        <w:tab/>
      </w:r>
      <w:r>
        <w:fldChar w:fldCharType="begin"/>
      </w:r>
      <w:r>
        <w:instrText xml:space="preserve"> PAGEREF _Toc17087 \h </w:instrText>
      </w:r>
      <w:r>
        <w:fldChar w:fldCharType="separate"/>
      </w:r>
      <w:r>
        <w:t>31</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_Toc8909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一、矿山地质环境与土地资源调查概述</w:t>
      </w:r>
      <w:r>
        <w:tab/>
      </w:r>
      <w:r>
        <w:fldChar w:fldCharType="begin"/>
      </w:r>
      <w:r>
        <w:instrText xml:space="preserve"> PAGEREF _Toc8909 \h </w:instrText>
      </w:r>
      <w:r>
        <w:fldChar w:fldCharType="separate"/>
      </w:r>
      <w:r>
        <w:t>31</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_Toc29508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二、矿山地质环境影响评估</w:t>
      </w:r>
      <w:r>
        <w:tab/>
      </w:r>
      <w:r>
        <w:fldChar w:fldCharType="begin"/>
      </w:r>
      <w:r>
        <w:instrText xml:space="preserve"> PAGEREF _Toc29508 \h </w:instrText>
      </w:r>
      <w:r>
        <w:fldChar w:fldCharType="separate"/>
      </w:r>
      <w:r>
        <w:t>32</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_Toc8999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（一）评估范围和评估级别</w:t>
      </w:r>
      <w:r>
        <w:tab/>
      </w:r>
      <w:r>
        <w:fldChar w:fldCharType="begin"/>
      </w:r>
      <w:r>
        <w:instrText xml:space="preserve"> PAGEREF _Toc8999 \h </w:instrText>
      </w:r>
      <w:r>
        <w:fldChar w:fldCharType="separate"/>
      </w:r>
      <w:r>
        <w:t>32</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_Toc5657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（二）矿山地质灾害现状分析与预测</w:t>
      </w:r>
      <w:r>
        <w:tab/>
      </w:r>
      <w:r>
        <w:fldChar w:fldCharType="begin"/>
      </w:r>
      <w:r>
        <w:instrText xml:space="preserve"> PAGEREF _Toc5657 \h </w:instrText>
      </w:r>
      <w:r>
        <w:fldChar w:fldCharType="separate"/>
      </w:r>
      <w:r>
        <w:t>36</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_Toc16929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（三）矿区含水层损毁现状分析与预测</w:t>
      </w:r>
      <w:r>
        <w:tab/>
      </w:r>
      <w:r>
        <w:fldChar w:fldCharType="begin"/>
      </w:r>
      <w:r>
        <w:instrText xml:space="preserve"> PAGEREF _Toc16929 \h </w:instrText>
      </w:r>
      <w:r>
        <w:fldChar w:fldCharType="separate"/>
      </w:r>
      <w:r>
        <w:t>40</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_Toc18783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（四）</w:t>
      </w:r>
      <w:r>
        <w:rPr>
          <w:rFonts w:ascii="Times New Roman" w:hAnsi="Times New Roman" w:eastAsia="宋体" w:cs="Times New Roman"/>
          <w:spacing w:val="-6"/>
          <w:szCs w:val="28"/>
          <w:highlight w:val="none"/>
        </w:rPr>
        <w:t>矿区地形地貌景观（地质遗迹、人文景观）损毁现状分析与预测</w:t>
      </w:r>
      <w:r>
        <w:tab/>
      </w:r>
      <w:r>
        <w:fldChar w:fldCharType="begin"/>
      </w:r>
      <w:r>
        <w:instrText xml:space="preserve"> PAGEREF _Toc18783 \h </w:instrText>
      </w:r>
      <w:r>
        <w:fldChar w:fldCharType="separate"/>
      </w:r>
      <w:r>
        <w:t>41</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_Toc978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（五）矿区水土环境污染现状分析与预测</w:t>
      </w:r>
      <w:r>
        <w:tab/>
      </w:r>
      <w:r>
        <w:fldChar w:fldCharType="begin"/>
      </w:r>
      <w:r>
        <w:instrText xml:space="preserve"> PAGEREF _Toc978 \h </w:instrText>
      </w:r>
      <w:r>
        <w:fldChar w:fldCharType="separate"/>
      </w:r>
      <w:r>
        <w:t>41</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_Toc19814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（六）矿区环境影响评估小结</w:t>
      </w:r>
      <w:r>
        <w:tab/>
      </w:r>
      <w:r>
        <w:fldChar w:fldCharType="begin"/>
      </w:r>
      <w:r>
        <w:instrText xml:space="preserve"> PAGEREF _Toc19814 \h </w:instrText>
      </w:r>
      <w:r>
        <w:fldChar w:fldCharType="separate"/>
      </w:r>
      <w:r>
        <w:t>43</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_Toc2451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三、矿山土地损毁预测与评估</w:t>
      </w:r>
      <w:r>
        <w:tab/>
      </w:r>
      <w:r>
        <w:fldChar w:fldCharType="begin"/>
      </w:r>
      <w:r>
        <w:instrText xml:space="preserve"> PAGEREF _Toc2451 \h </w:instrText>
      </w:r>
      <w:r>
        <w:fldChar w:fldCharType="separate"/>
      </w:r>
      <w:r>
        <w:t>43</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_Toc16194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（一）土地损毁环节与时序</w:t>
      </w:r>
      <w:r>
        <w:tab/>
      </w:r>
      <w:r>
        <w:fldChar w:fldCharType="begin"/>
      </w:r>
      <w:r>
        <w:instrText xml:space="preserve"> PAGEREF _Toc16194 \h </w:instrText>
      </w:r>
      <w:r>
        <w:fldChar w:fldCharType="separate"/>
      </w:r>
      <w:r>
        <w:t>43</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_Toc193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w:t>
      </w:r>
      <w:r>
        <w:rPr>
          <w:rFonts w:hint="eastAsia" w:ascii="Times New Roman" w:hAnsi="Times New Roman" w:eastAsia="宋体" w:cs="Times New Roman"/>
          <w:szCs w:val="28"/>
          <w:highlight w:val="none"/>
          <w:lang w:val="en-US" w:eastAsia="zh-CN"/>
        </w:rPr>
        <w:t>二</w:t>
      </w:r>
      <w:r>
        <w:rPr>
          <w:rFonts w:ascii="Times New Roman" w:hAnsi="Times New Roman" w:eastAsia="宋体" w:cs="Times New Roman"/>
          <w:szCs w:val="28"/>
          <w:highlight w:val="none"/>
        </w:rPr>
        <w:t>）拟损毁土地预测与评估</w:t>
      </w:r>
      <w:r>
        <w:tab/>
      </w:r>
      <w:r>
        <w:fldChar w:fldCharType="begin"/>
      </w:r>
      <w:r>
        <w:instrText xml:space="preserve"> PAGEREF _Toc193 \h </w:instrText>
      </w:r>
      <w:r>
        <w:fldChar w:fldCharType="separate"/>
      </w:r>
      <w:r>
        <w:t>45</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_Toc28943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（四）土地损毁程度</w:t>
      </w:r>
      <w:r>
        <w:tab/>
      </w:r>
      <w:r>
        <w:fldChar w:fldCharType="begin"/>
      </w:r>
      <w:r>
        <w:instrText xml:space="preserve"> PAGEREF _Toc28943 \h </w:instrText>
      </w:r>
      <w:r>
        <w:fldChar w:fldCharType="separate"/>
      </w:r>
      <w:r>
        <w:t>48</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_Toc11380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四、矿山地质环境治理分区与土地复垦范围</w:t>
      </w:r>
      <w:r>
        <w:tab/>
      </w:r>
      <w:r>
        <w:fldChar w:fldCharType="begin"/>
      </w:r>
      <w:r>
        <w:instrText xml:space="preserve"> PAGEREF _Toc11380 \h </w:instrText>
      </w:r>
      <w:r>
        <w:fldChar w:fldCharType="separate"/>
      </w:r>
      <w:r>
        <w:t>49</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_Toc5446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（一）矿山地质环境保护与恢复治理分区</w:t>
      </w:r>
      <w:r>
        <w:tab/>
      </w:r>
      <w:r>
        <w:fldChar w:fldCharType="begin"/>
      </w:r>
      <w:r>
        <w:instrText xml:space="preserve"> PAGEREF _Toc5446 \h </w:instrText>
      </w:r>
      <w:r>
        <w:fldChar w:fldCharType="separate"/>
      </w:r>
      <w:r>
        <w:t>49</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_Toc2553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（二）土地复垦区与复垦责任范围</w:t>
      </w:r>
      <w:r>
        <w:tab/>
      </w:r>
      <w:r>
        <w:fldChar w:fldCharType="begin"/>
      </w:r>
      <w:r>
        <w:instrText xml:space="preserve"> PAGEREF _Toc2553 \h </w:instrText>
      </w:r>
      <w:r>
        <w:fldChar w:fldCharType="separate"/>
      </w:r>
      <w:r>
        <w:t>52</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_Toc19986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（三）土地类型与权属</w:t>
      </w:r>
      <w:r>
        <w:tab/>
      </w:r>
      <w:r>
        <w:fldChar w:fldCharType="begin"/>
      </w:r>
      <w:r>
        <w:instrText xml:space="preserve"> PAGEREF _Toc19986 \h </w:instrText>
      </w:r>
      <w:r>
        <w:fldChar w:fldCharType="separate"/>
      </w:r>
      <w:r>
        <w:t>53</w:t>
      </w:r>
      <w:r>
        <w:fldChar w:fldCharType="end"/>
      </w:r>
      <w:r>
        <w:rPr>
          <w:rFonts w:ascii="Times New Roman" w:hAnsi="Times New Roman" w:eastAsia="宋体" w:cs="Times New Roman"/>
          <w:color w:val="auto"/>
          <w:szCs w:val="24"/>
          <w:highlight w:val="none"/>
        </w:rPr>
        <w:fldChar w:fldCharType="end"/>
      </w:r>
    </w:p>
    <w:p>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_Toc29910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第4章 矿山地质环境治理与土地复垦可行性分析</w:t>
      </w:r>
      <w:r>
        <w:tab/>
      </w:r>
      <w:r>
        <w:fldChar w:fldCharType="begin"/>
      </w:r>
      <w:r>
        <w:instrText xml:space="preserve"> PAGEREF _Toc29910 \h </w:instrText>
      </w:r>
      <w:r>
        <w:fldChar w:fldCharType="separate"/>
      </w:r>
      <w:r>
        <w:t>54</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_Toc10572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一、矿山地质环境治理可行性分析</w:t>
      </w:r>
      <w:r>
        <w:tab/>
      </w:r>
      <w:r>
        <w:fldChar w:fldCharType="begin"/>
      </w:r>
      <w:r>
        <w:instrText xml:space="preserve"> PAGEREF _Toc10572 \h </w:instrText>
      </w:r>
      <w:r>
        <w:fldChar w:fldCharType="separate"/>
      </w:r>
      <w:r>
        <w:t>54</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_Toc9238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（一）技术可行性分析</w:t>
      </w:r>
      <w:r>
        <w:tab/>
      </w:r>
      <w:r>
        <w:fldChar w:fldCharType="begin"/>
      </w:r>
      <w:r>
        <w:instrText xml:space="preserve"> PAGEREF _Toc9238 \h </w:instrText>
      </w:r>
      <w:r>
        <w:fldChar w:fldCharType="separate"/>
      </w:r>
      <w:r>
        <w:t>54</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_Toc29672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（二）经济可行性分析</w:t>
      </w:r>
      <w:r>
        <w:tab/>
      </w:r>
      <w:r>
        <w:fldChar w:fldCharType="begin"/>
      </w:r>
      <w:r>
        <w:instrText xml:space="preserve"> PAGEREF _Toc29672 \h </w:instrText>
      </w:r>
      <w:r>
        <w:fldChar w:fldCharType="separate"/>
      </w:r>
      <w:r>
        <w:t>54</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_Toc27090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（三）生态环境协调性分析</w:t>
      </w:r>
      <w:r>
        <w:tab/>
      </w:r>
      <w:r>
        <w:fldChar w:fldCharType="begin"/>
      </w:r>
      <w:r>
        <w:instrText xml:space="preserve"> PAGEREF _Toc27090 \h </w:instrText>
      </w:r>
      <w:r>
        <w:fldChar w:fldCharType="separate"/>
      </w:r>
      <w:r>
        <w:t>55</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_Toc9770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二、矿区土地复垦可行性分析</w:t>
      </w:r>
      <w:r>
        <w:tab/>
      </w:r>
      <w:r>
        <w:fldChar w:fldCharType="begin"/>
      </w:r>
      <w:r>
        <w:instrText xml:space="preserve"> PAGEREF _Toc9770 \h </w:instrText>
      </w:r>
      <w:r>
        <w:fldChar w:fldCharType="separate"/>
      </w:r>
      <w:r>
        <w:t>56</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_Toc27724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（一）复垦区土地利用现状</w:t>
      </w:r>
      <w:r>
        <w:tab/>
      </w:r>
      <w:r>
        <w:fldChar w:fldCharType="begin"/>
      </w:r>
      <w:r>
        <w:instrText xml:space="preserve"> PAGEREF _Toc27724 \h </w:instrText>
      </w:r>
      <w:r>
        <w:fldChar w:fldCharType="separate"/>
      </w:r>
      <w:r>
        <w:t>56</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_Toc26641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（二）土地复垦适宜性评价</w:t>
      </w:r>
      <w:r>
        <w:tab/>
      </w:r>
      <w:r>
        <w:fldChar w:fldCharType="begin"/>
      </w:r>
      <w:r>
        <w:instrText xml:space="preserve"> PAGEREF _Toc26641 \h </w:instrText>
      </w:r>
      <w:r>
        <w:fldChar w:fldCharType="separate"/>
      </w:r>
      <w:r>
        <w:t>56</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_Toc2864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（三）水土资源平衡分析</w:t>
      </w:r>
      <w:r>
        <w:tab/>
      </w:r>
      <w:r>
        <w:fldChar w:fldCharType="begin"/>
      </w:r>
      <w:r>
        <w:instrText xml:space="preserve"> PAGEREF _Toc2864 \h </w:instrText>
      </w:r>
      <w:r>
        <w:fldChar w:fldCharType="separate"/>
      </w:r>
      <w:r>
        <w:t>63</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_Toc7098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（四）土地复垦质量要求</w:t>
      </w:r>
      <w:r>
        <w:tab/>
      </w:r>
      <w:r>
        <w:fldChar w:fldCharType="begin"/>
      </w:r>
      <w:r>
        <w:instrText xml:space="preserve"> PAGEREF _Toc7098 \h </w:instrText>
      </w:r>
      <w:r>
        <w:fldChar w:fldCharType="separate"/>
      </w:r>
      <w:r>
        <w:t>65</w:t>
      </w:r>
      <w:r>
        <w:fldChar w:fldCharType="end"/>
      </w:r>
      <w:r>
        <w:rPr>
          <w:rFonts w:ascii="Times New Roman" w:hAnsi="Times New Roman" w:eastAsia="宋体" w:cs="Times New Roman"/>
          <w:color w:val="auto"/>
          <w:szCs w:val="24"/>
          <w:highlight w:val="none"/>
        </w:rPr>
        <w:fldChar w:fldCharType="end"/>
      </w:r>
    </w:p>
    <w:p>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_Toc1239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highlight w:val="none"/>
        </w:rPr>
        <w:t>第5章  矿山地质环境治理与土地复垦工程</w:t>
      </w:r>
      <w:r>
        <w:tab/>
      </w:r>
      <w:r>
        <w:fldChar w:fldCharType="begin"/>
      </w:r>
      <w:r>
        <w:instrText xml:space="preserve"> PAGEREF _Toc1239 \h </w:instrText>
      </w:r>
      <w:r>
        <w:fldChar w:fldCharType="separate"/>
      </w:r>
      <w:r>
        <w:t>67</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_Toc8195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一、矿山地质环境保护与土地复垦预防</w:t>
      </w:r>
      <w:r>
        <w:tab/>
      </w:r>
      <w:r>
        <w:fldChar w:fldCharType="begin"/>
      </w:r>
      <w:r>
        <w:instrText xml:space="preserve"> PAGEREF _Toc8195 \h </w:instrText>
      </w:r>
      <w:r>
        <w:fldChar w:fldCharType="separate"/>
      </w:r>
      <w:r>
        <w:t>67</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_Toc5865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_Toc5865 \h </w:instrText>
      </w:r>
      <w:r>
        <w:fldChar w:fldCharType="separate"/>
      </w:r>
      <w:r>
        <w:t>67</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_Toc13609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（二）主要技术措施</w:t>
      </w:r>
      <w:r>
        <w:tab/>
      </w:r>
      <w:r>
        <w:fldChar w:fldCharType="begin"/>
      </w:r>
      <w:r>
        <w:instrText xml:space="preserve"> PAGEREF _Toc13609 \h </w:instrText>
      </w:r>
      <w:r>
        <w:fldChar w:fldCharType="separate"/>
      </w:r>
      <w:r>
        <w:t>69</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_Toc31996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highlight w:val="none"/>
        </w:rPr>
        <w:t>（三）主要工程量</w:t>
      </w:r>
      <w:r>
        <w:tab/>
      </w:r>
      <w:r>
        <w:fldChar w:fldCharType="begin"/>
      </w:r>
      <w:r>
        <w:instrText xml:space="preserve"> PAGEREF _Toc31996 \h </w:instrText>
      </w:r>
      <w:r>
        <w:fldChar w:fldCharType="separate"/>
      </w:r>
      <w:r>
        <w:t>71</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_Toc31609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二、矿山地质灾害治理</w:t>
      </w:r>
      <w:r>
        <w:tab/>
      </w:r>
      <w:r>
        <w:fldChar w:fldCharType="begin"/>
      </w:r>
      <w:r>
        <w:instrText xml:space="preserve"> PAGEREF _Toc31609 \h </w:instrText>
      </w:r>
      <w:r>
        <w:fldChar w:fldCharType="separate"/>
      </w:r>
      <w:r>
        <w:t>72</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_Toc1299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_Toc1299 \h </w:instrText>
      </w:r>
      <w:r>
        <w:fldChar w:fldCharType="separate"/>
      </w:r>
      <w:r>
        <w:t>72</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_Toc1091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（二）工程设计</w:t>
      </w:r>
      <w:r>
        <w:tab/>
      </w:r>
      <w:r>
        <w:fldChar w:fldCharType="begin"/>
      </w:r>
      <w:r>
        <w:instrText xml:space="preserve"> PAGEREF _Toc1091 \h </w:instrText>
      </w:r>
      <w:r>
        <w:fldChar w:fldCharType="separate"/>
      </w:r>
      <w:r>
        <w:t>72</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_Toc28973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szCs w:val="30"/>
        </w:rPr>
        <w:t xml:space="preserve">三、 </w:t>
      </w:r>
      <w:r>
        <w:rPr>
          <w:rFonts w:ascii="Times New Roman" w:hAnsi="Times New Roman" w:eastAsia="宋体" w:cs="Times New Roman"/>
          <w:szCs w:val="30"/>
          <w:highlight w:val="none"/>
        </w:rPr>
        <w:t>矿区土地复垦</w:t>
      </w:r>
      <w:r>
        <w:tab/>
      </w:r>
      <w:r>
        <w:fldChar w:fldCharType="begin"/>
      </w:r>
      <w:r>
        <w:instrText xml:space="preserve"> PAGEREF _Toc28973 \h </w:instrText>
      </w:r>
      <w:r>
        <w:fldChar w:fldCharType="separate"/>
      </w:r>
      <w:r>
        <w:t>73</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_Toc28593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_Toc28593 \h </w:instrText>
      </w:r>
      <w:r>
        <w:fldChar w:fldCharType="separate"/>
      </w:r>
      <w:r>
        <w:t>73</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_Toc22090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（二）工程设计</w:t>
      </w:r>
      <w:r>
        <w:tab/>
      </w:r>
      <w:r>
        <w:fldChar w:fldCharType="begin"/>
      </w:r>
      <w:r>
        <w:instrText xml:space="preserve"> PAGEREF _Toc22090 \h </w:instrText>
      </w:r>
      <w:r>
        <w:fldChar w:fldCharType="separate"/>
      </w:r>
      <w:r>
        <w:t>73</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_Toc9792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（三）技术措施</w:t>
      </w:r>
      <w:r>
        <w:tab/>
      </w:r>
      <w:r>
        <w:fldChar w:fldCharType="begin"/>
      </w:r>
      <w:r>
        <w:instrText xml:space="preserve"> PAGEREF _Toc9792 \h </w:instrText>
      </w:r>
      <w:r>
        <w:fldChar w:fldCharType="separate"/>
      </w:r>
      <w:r>
        <w:t>76</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_Toc27787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（四）主要工程量</w:t>
      </w:r>
      <w:r>
        <w:tab/>
      </w:r>
      <w:r>
        <w:fldChar w:fldCharType="begin"/>
      </w:r>
      <w:r>
        <w:instrText xml:space="preserve"> PAGEREF _Toc27787 \h </w:instrText>
      </w:r>
      <w:r>
        <w:fldChar w:fldCharType="separate"/>
      </w:r>
      <w:r>
        <w:t>79</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_Toc29400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四、含水层破坏修复</w:t>
      </w:r>
      <w:r>
        <w:tab/>
      </w:r>
      <w:r>
        <w:fldChar w:fldCharType="begin"/>
      </w:r>
      <w:r>
        <w:instrText xml:space="preserve"> PAGEREF _Toc29400 \h </w:instrText>
      </w:r>
      <w:r>
        <w:fldChar w:fldCharType="separate"/>
      </w:r>
      <w:r>
        <w:t>80</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_Toc8533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五、水土环境污染修复</w:t>
      </w:r>
      <w:r>
        <w:tab/>
      </w:r>
      <w:r>
        <w:fldChar w:fldCharType="begin"/>
      </w:r>
      <w:r>
        <w:instrText xml:space="preserve"> PAGEREF _Toc8533 \h </w:instrText>
      </w:r>
      <w:r>
        <w:fldChar w:fldCharType="separate"/>
      </w:r>
      <w:r>
        <w:t>80</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_Toc10976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六、矿山地质环境监测</w:t>
      </w:r>
      <w:r>
        <w:tab/>
      </w:r>
      <w:r>
        <w:fldChar w:fldCharType="begin"/>
      </w:r>
      <w:r>
        <w:instrText xml:space="preserve"> PAGEREF _Toc10976 \h </w:instrText>
      </w:r>
      <w:r>
        <w:fldChar w:fldCharType="separate"/>
      </w:r>
      <w:r>
        <w:t>81</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_Toc937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_Toc937 \h </w:instrText>
      </w:r>
      <w:r>
        <w:fldChar w:fldCharType="separate"/>
      </w:r>
      <w:r>
        <w:t>81</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_Toc15299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（二）监测设计</w:t>
      </w:r>
      <w:r>
        <w:tab/>
      </w:r>
      <w:r>
        <w:fldChar w:fldCharType="begin"/>
      </w:r>
      <w:r>
        <w:instrText xml:space="preserve"> PAGEREF _Toc15299 \h </w:instrText>
      </w:r>
      <w:r>
        <w:fldChar w:fldCharType="separate"/>
      </w:r>
      <w:r>
        <w:t>81</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_Toc9223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（三）技术措施</w:t>
      </w:r>
      <w:r>
        <w:tab/>
      </w:r>
      <w:r>
        <w:fldChar w:fldCharType="begin"/>
      </w:r>
      <w:r>
        <w:instrText xml:space="preserve"> PAGEREF _Toc9223 \h </w:instrText>
      </w:r>
      <w:r>
        <w:fldChar w:fldCharType="separate"/>
      </w:r>
      <w:r>
        <w:t>82</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_Toc29114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（四）主要工程量</w:t>
      </w:r>
      <w:r>
        <w:tab/>
      </w:r>
      <w:r>
        <w:fldChar w:fldCharType="begin"/>
      </w:r>
      <w:r>
        <w:instrText xml:space="preserve"> PAGEREF _Toc29114 \h </w:instrText>
      </w:r>
      <w:r>
        <w:fldChar w:fldCharType="separate"/>
      </w:r>
      <w:r>
        <w:t>83</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_Toc3219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七、矿区土地复垦监测和管护</w:t>
      </w:r>
      <w:r>
        <w:tab/>
      </w:r>
      <w:r>
        <w:fldChar w:fldCharType="begin"/>
      </w:r>
      <w:r>
        <w:instrText xml:space="preserve"> PAGEREF _Toc3219 \h </w:instrText>
      </w:r>
      <w:r>
        <w:fldChar w:fldCharType="separate"/>
      </w:r>
      <w:r>
        <w:t>83</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_Toc10719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_Toc10719 \h </w:instrText>
      </w:r>
      <w:r>
        <w:fldChar w:fldCharType="separate"/>
      </w:r>
      <w:r>
        <w:t>83</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_Toc23394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28"/>
          <w:highlight w:val="none"/>
        </w:rPr>
        <w:t>（二）措施和内容</w:t>
      </w:r>
      <w:r>
        <w:tab/>
      </w:r>
      <w:r>
        <w:fldChar w:fldCharType="begin"/>
      </w:r>
      <w:r>
        <w:instrText xml:space="preserve"> PAGEREF _Toc23394 \h </w:instrText>
      </w:r>
      <w:r>
        <w:fldChar w:fldCharType="separate"/>
      </w:r>
      <w:r>
        <w:t>85</w:t>
      </w:r>
      <w:r>
        <w:fldChar w:fldCharType="end"/>
      </w:r>
      <w:r>
        <w:rPr>
          <w:rFonts w:ascii="Times New Roman" w:hAnsi="Times New Roman" w:eastAsia="宋体" w:cs="Times New Roman"/>
          <w:color w:val="auto"/>
          <w:szCs w:val="24"/>
          <w:highlight w:val="none"/>
        </w:rPr>
        <w:fldChar w:fldCharType="end"/>
      </w:r>
    </w:p>
    <w:p>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_Toc29136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highlight w:val="none"/>
        </w:rPr>
        <w:t>第6章  矿山地质环境治理与土地复垦工作部署</w:t>
      </w:r>
      <w:r>
        <w:tab/>
      </w:r>
      <w:r>
        <w:fldChar w:fldCharType="begin"/>
      </w:r>
      <w:r>
        <w:instrText xml:space="preserve"> PAGEREF _Toc29136 \h </w:instrText>
      </w:r>
      <w:r>
        <w:fldChar w:fldCharType="separate"/>
      </w:r>
      <w:r>
        <w:t>87</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_Toc6159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一、总体工作部署</w:t>
      </w:r>
      <w:r>
        <w:tab/>
      </w:r>
      <w:r>
        <w:fldChar w:fldCharType="begin"/>
      </w:r>
      <w:r>
        <w:instrText xml:space="preserve"> PAGEREF _Toc6159 \h </w:instrText>
      </w:r>
      <w:r>
        <w:fldChar w:fldCharType="separate"/>
      </w:r>
      <w:r>
        <w:t>87</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_Toc26987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二、阶段实施计划</w:t>
      </w:r>
      <w:r>
        <w:tab/>
      </w:r>
      <w:r>
        <w:fldChar w:fldCharType="begin"/>
      </w:r>
      <w:r>
        <w:instrText xml:space="preserve"> PAGEREF _Toc26987 \h </w:instrText>
      </w:r>
      <w:r>
        <w:fldChar w:fldCharType="separate"/>
      </w:r>
      <w:r>
        <w:t>87</w:t>
      </w:r>
      <w:r>
        <w:fldChar w:fldCharType="end"/>
      </w:r>
      <w:r>
        <w:rPr>
          <w:rFonts w:ascii="Times New Roman" w:hAnsi="Times New Roman" w:eastAsia="宋体" w:cs="Times New Roman"/>
          <w:color w:val="auto"/>
          <w:szCs w:val="24"/>
          <w:highlight w:val="none"/>
        </w:rPr>
        <w:fldChar w:fldCharType="end"/>
      </w:r>
    </w:p>
    <w:p>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_Toc26371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rPr>
        <w:t xml:space="preserve">第7章 </w:t>
      </w:r>
      <w:r>
        <w:rPr>
          <w:rFonts w:ascii="Times New Roman" w:hAnsi="Times New Roman" w:eastAsia="宋体" w:cs="Times New Roman"/>
          <w:szCs w:val="32"/>
          <w:highlight w:val="none"/>
        </w:rPr>
        <w:t>经费估算与进度安排</w:t>
      </w:r>
      <w:r>
        <w:tab/>
      </w:r>
      <w:r>
        <w:fldChar w:fldCharType="begin"/>
      </w:r>
      <w:r>
        <w:instrText xml:space="preserve"> PAGEREF _Toc26371 \h </w:instrText>
      </w:r>
      <w:r>
        <w:fldChar w:fldCharType="separate"/>
      </w:r>
      <w:r>
        <w:t>90</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_Toc8040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一、经费估算依据</w:t>
      </w:r>
      <w:r>
        <w:tab/>
      </w:r>
      <w:r>
        <w:fldChar w:fldCharType="begin"/>
      </w:r>
      <w:r>
        <w:instrText xml:space="preserve"> PAGEREF _Toc8040 \h </w:instrText>
      </w:r>
      <w:r>
        <w:fldChar w:fldCharType="separate"/>
      </w:r>
      <w:r>
        <w:t>90</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_Toc4130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28"/>
          <w:highlight w:val="none"/>
        </w:rPr>
        <w:t>（一）矿山地质环境恢复治理经费估算依据</w:t>
      </w:r>
      <w:r>
        <w:tab/>
      </w:r>
      <w:r>
        <w:fldChar w:fldCharType="begin"/>
      </w:r>
      <w:r>
        <w:instrText xml:space="preserve"> PAGEREF _Toc4130 \h </w:instrText>
      </w:r>
      <w:r>
        <w:fldChar w:fldCharType="separate"/>
      </w:r>
      <w:r>
        <w:t>90</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_Toc10212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（二）土地复垦费用估算依据</w:t>
      </w:r>
      <w:r>
        <w:tab/>
      </w:r>
      <w:r>
        <w:fldChar w:fldCharType="begin"/>
      </w:r>
      <w:r>
        <w:instrText xml:space="preserve"> PAGEREF _Toc10212 \h </w:instrText>
      </w:r>
      <w:r>
        <w:fldChar w:fldCharType="separate"/>
      </w:r>
      <w:r>
        <w:t>93</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_Toc15290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rPr>
        <w:t xml:space="preserve">二、 </w:t>
      </w:r>
      <w:r>
        <w:rPr>
          <w:rFonts w:ascii="Times New Roman" w:hAnsi="Times New Roman" w:eastAsia="宋体" w:cs="Times New Roman"/>
          <w:highlight w:val="none"/>
        </w:rPr>
        <w:t>矿山地质环境治理工程经费估算</w:t>
      </w:r>
      <w:r>
        <w:tab/>
      </w:r>
      <w:r>
        <w:fldChar w:fldCharType="begin"/>
      </w:r>
      <w:r>
        <w:instrText xml:space="preserve"> PAGEREF _Toc15290 \h </w:instrText>
      </w:r>
      <w:r>
        <w:fldChar w:fldCharType="separate"/>
      </w:r>
      <w:r>
        <w:t>98</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_Toc25623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（一）总工程量与投资估算</w:t>
      </w:r>
      <w:r>
        <w:tab/>
      </w:r>
      <w:r>
        <w:fldChar w:fldCharType="begin"/>
      </w:r>
      <w:r>
        <w:instrText xml:space="preserve"> PAGEREF _Toc25623 \h </w:instrText>
      </w:r>
      <w:r>
        <w:fldChar w:fldCharType="separate"/>
      </w:r>
      <w:r>
        <w:t>98</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_Toc8150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highlight w:val="none"/>
          <w:lang w:val="en-US" w:eastAsia="zh-CN"/>
        </w:rPr>
        <w:t>二</w:t>
      </w:r>
      <w:r>
        <w:rPr>
          <w:rFonts w:ascii="Times New Roman" w:hAnsi="Times New Roman" w:eastAsia="宋体" w:cs="Times New Roman"/>
          <w:highlight w:val="none"/>
        </w:rPr>
        <w:t>、土地复垦工程经费估算</w:t>
      </w:r>
      <w:r>
        <w:tab/>
      </w:r>
      <w:r>
        <w:fldChar w:fldCharType="begin"/>
      </w:r>
      <w:r>
        <w:instrText xml:space="preserve"> PAGEREF _Toc8150 \h </w:instrText>
      </w:r>
      <w:r>
        <w:fldChar w:fldCharType="separate"/>
      </w:r>
      <w:r>
        <w:t>99</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_Toc27841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（一）总工程量与投资估算</w:t>
      </w:r>
      <w:r>
        <w:tab/>
      </w:r>
      <w:r>
        <w:fldChar w:fldCharType="begin"/>
      </w:r>
      <w:r>
        <w:instrText xml:space="preserve"> PAGEREF _Toc27841 \h </w:instrText>
      </w:r>
      <w:r>
        <w:fldChar w:fldCharType="separate"/>
      </w:r>
      <w:r>
        <w:t>99</w:t>
      </w:r>
      <w:r>
        <w:fldChar w:fldCharType="end"/>
      </w:r>
      <w:r>
        <w:rPr>
          <w:rFonts w:ascii="Times New Roman" w:hAnsi="Times New Roman" w:eastAsia="宋体" w:cs="Times New Roman"/>
          <w:color w:val="auto"/>
          <w:szCs w:val="24"/>
          <w:highlight w:val="none"/>
        </w:rPr>
        <w:fldChar w:fldCharType="end"/>
      </w:r>
    </w:p>
    <w:p>
      <w:pPr>
        <w:pStyle w:val="2"/>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_Toc27000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（二）单项工程量与投资估算</w:t>
      </w:r>
      <w:r>
        <w:tab/>
      </w:r>
      <w:r>
        <w:fldChar w:fldCharType="begin"/>
      </w:r>
      <w:r>
        <w:instrText xml:space="preserve"> PAGEREF _Toc27000 \h </w:instrText>
      </w:r>
      <w:r>
        <w:fldChar w:fldCharType="separate"/>
      </w:r>
      <w:r>
        <w:t>100</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_Toc23839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四、总费用汇总与年度安排</w:t>
      </w:r>
      <w:r>
        <w:tab/>
      </w:r>
      <w:r>
        <w:fldChar w:fldCharType="begin"/>
      </w:r>
      <w:r>
        <w:instrText xml:space="preserve"> PAGEREF _Toc23839 \h </w:instrText>
      </w:r>
      <w:r>
        <w:fldChar w:fldCharType="separate"/>
      </w:r>
      <w:r>
        <w:t>101</w:t>
      </w:r>
      <w:r>
        <w:fldChar w:fldCharType="end"/>
      </w:r>
      <w:r>
        <w:rPr>
          <w:rFonts w:ascii="Times New Roman" w:hAnsi="Times New Roman" w:eastAsia="宋体" w:cs="Times New Roman"/>
          <w:color w:val="auto"/>
          <w:szCs w:val="24"/>
          <w:highlight w:val="none"/>
        </w:rPr>
        <w:fldChar w:fldCharType="end"/>
      </w:r>
    </w:p>
    <w:p>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_Toc18491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highlight w:val="none"/>
        </w:rPr>
        <w:t>第8章  保障措施与效益分析</w:t>
      </w:r>
      <w:r>
        <w:tab/>
      </w:r>
      <w:r>
        <w:fldChar w:fldCharType="begin"/>
      </w:r>
      <w:r>
        <w:instrText xml:space="preserve"> PAGEREF _Toc18491 \h </w:instrText>
      </w:r>
      <w:r>
        <w:fldChar w:fldCharType="separate"/>
      </w:r>
      <w:r>
        <w:t>104</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_Toc27233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一、组织保障</w:t>
      </w:r>
      <w:r>
        <w:tab/>
      </w:r>
      <w:r>
        <w:fldChar w:fldCharType="begin"/>
      </w:r>
      <w:r>
        <w:instrText xml:space="preserve"> PAGEREF _Toc27233 \h </w:instrText>
      </w:r>
      <w:r>
        <w:fldChar w:fldCharType="separate"/>
      </w:r>
      <w:r>
        <w:t>104</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_Toc30830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二、技术保障</w:t>
      </w:r>
      <w:r>
        <w:tab/>
      </w:r>
      <w:r>
        <w:fldChar w:fldCharType="begin"/>
      </w:r>
      <w:r>
        <w:instrText xml:space="preserve"> PAGEREF _Toc30830 \h </w:instrText>
      </w:r>
      <w:r>
        <w:fldChar w:fldCharType="separate"/>
      </w:r>
      <w:r>
        <w:t>106</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_Toc21499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三、资金保障</w:t>
      </w:r>
      <w:r>
        <w:tab/>
      </w:r>
      <w:r>
        <w:fldChar w:fldCharType="begin"/>
      </w:r>
      <w:r>
        <w:instrText xml:space="preserve"> PAGEREF _Toc21499 \h </w:instrText>
      </w:r>
      <w:r>
        <w:fldChar w:fldCharType="separate"/>
      </w:r>
      <w:r>
        <w:t>107</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_Toc18092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四、监督保障</w:t>
      </w:r>
      <w:r>
        <w:tab/>
      </w:r>
      <w:r>
        <w:fldChar w:fldCharType="begin"/>
      </w:r>
      <w:r>
        <w:instrText xml:space="preserve"> PAGEREF _Toc18092 \h </w:instrText>
      </w:r>
      <w:r>
        <w:fldChar w:fldCharType="separate"/>
      </w:r>
      <w:r>
        <w:t>109</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_Toc23362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五、效益分析</w:t>
      </w:r>
      <w:r>
        <w:tab/>
      </w:r>
      <w:r>
        <w:fldChar w:fldCharType="begin"/>
      </w:r>
      <w:r>
        <w:instrText xml:space="preserve"> PAGEREF _Toc23362 \h </w:instrText>
      </w:r>
      <w:r>
        <w:fldChar w:fldCharType="separate"/>
      </w:r>
      <w:r>
        <w:t>110</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_Toc8563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六、公众参与</w:t>
      </w:r>
      <w:r>
        <w:tab/>
      </w:r>
      <w:r>
        <w:fldChar w:fldCharType="begin"/>
      </w:r>
      <w:r>
        <w:instrText xml:space="preserve"> PAGEREF _Toc8563 \h </w:instrText>
      </w:r>
      <w:r>
        <w:fldChar w:fldCharType="separate"/>
      </w:r>
      <w:r>
        <w:t>112</w:t>
      </w:r>
      <w:r>
        <w:fldChar w:fldCharType="end"/>
      </w:r>
      <w:r>
        <w:rPr>
          <w:rFonts w:ascii="Times New Roman" w:hAnsi="Times New Roman" w:eastAsia="宋体" w:cs="Times New Roman"/>
          <w:color w:val="auto"/>
          <w:szCs w:val="24"/>
          <w:highlight w:val="none"/>
        </w:rPr>
        <w:fldChar w:fldCharType="end"/>
      </w:r>
    </w:p>
    <w:p>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_Toc9527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highlight w:val="none"/>
        </w:rPr>
        <w:t>第9章  结论与建议</w:t>
      </w:r>
      <w:r>
        <w:tab/>
      </w:r>
      <w:r>
        <w:fldChar w:fldCharType="begin"/>
      </w:r>
      <w:r>
        <w:instrText xml:space="preserve"> PAGEREF _Toc9527 \h </w:instrText>
      </w:r>
      <w:r>
        <w:fldChar w:fldCharType="separate"/>
      </w:r>
      <w:r>
        <w:t>114</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_Toc12371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一、结论</w:t>
      </w:r>
      <w:r>
        <w:tab/>
      </w:r>
      <w:r>
        <w:fldChar w:fldCharType="begin"/>
      </w:r>
      <w:r>
        <w:instrText xml:space="preserve"> PAGEREF _Toc12371 \h </w:instrText>
      </w:r>
      <w:r>
        <w:fldChar w:fldCharType="separate"/>
      </w:r>
      <w:r>
        <w:t>114</w:t>
      </w:r>
      <w:r>
        <w:fldChar w:fldCharType="end"/>
      </w:r>
      <w:r>
        <w:rPr>
          <w:rFonts w:ascii="Times New Roman" w:hAnsi="Times New Roman" w:eastAsia="宋体" w:cs="Times New Roman"/>
          <w:color w:val="auto"/>
          <w:szCs w:val="24"/>
          <w:highlight w:val="none"/>
        </w:rPr>
        <w:fldChar w:fldCharType="end"/>
      </w:r>
    </w:p>
    <w:p>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_Toc16243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二、建议</w:t>
      </w:r>
      <w:r>
        <w:tab/>
      </w:r>
      <w:r>
        <w:fldChar w:fldCharType="begin"/>
      </w:r>
      <w:r>
        <w:instrText xml:space="preserve"> PAGEREF _Toc16243 \h </w:instrText>
      </w:r>
      <w:r>
        <w:fldChar w:fldCharType="separate"/>
      </w:r>
      <w:r>
        <w:t>115</w:t>
      </w:r>
      <w:r>
        <w:fldChar w:fldCharType="end"/>
      </w:r>
      <w:r>
        <w:rPr>
          <w:rFonts w:ascii="Times New Roman" w:hAnsi="Times New Roman" w:eastAsia="宋体" w:cs="Times New Roman"/>
          <w:color w:val="auto"/>
          <w:szCs w:val="24"/>
          <w:highlight w:val="none"/>
        </w:rPr>
        <w:fldChar w:fldCharType="end"/>
      </w:r>
    </w:p>
    <w:p>
      <w:pPr>
        <w:tabs>
          <w:tab w:val="left" w:pos="30"/>
          <w:tab w:val="center" w:pos="4153"/>
        </w:tabs>
        <w:spacing w:before="312" w:beforeLines="100" w:line="312" w:lineRule="auto"/>
        <w:jc w:val="left"/>
        <w:rPr>
          <w:rFonts w:ascii="Times New Roman" w:hAnsi="Times New Roman" w:eastAsia="宋体" w:cs="Times New Roman"/>
          <w:color w:val="auto"/>
          <w:sz w:val="24"/>
          <w:szCs w:val="24"/>
          <w:highlight w:val="none"/>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auto"/>
          <w:szCs w:val="24"/>
          <w:highlight w:val="none"/>
        </w:rPr>
        <w:fldChar w:fldCharType="end"/>
      </w:r>
    </w:p>
    <w:p>
      <w:pPr>
        <w:pStyle w:val="3"/>
        <w:spacing w:before="200" w:after="200" w:line="360" w:lineRule="auto"/>
        <w:jc w:val="center"/>
        <w:rPr>
          <w:rFonts w:ascii="Times New Roman" w:hAnsi="Times New Roman" w:eastAsia="宋体" w:cs="Times New Roman"/>
          <w:bCs/>
          <w:color w:val="auto"/>
          <w:sz w:val="32"/>
          <w:szCs w:val="44"/>
          <w:highlight w:val="none"/>
        </w:rPr>
      </w:pPr>
      <w:bookmarkStart w:id="1" w:name="_Toc11408"/>
      <w:r>
        <w:rPr>
          <w:rFonts w:ascii="Times New Roman" w:hAnsi="Times New Roman" w:eastAsia="宋体" w:cs="Times New Roman"/>
          <w:bCs/>
          <w:color w:val="auto"/>
          <w:sz w:val="32"/>
          <w:szCs w:val="44"/>
          <w:highlight w:val="none"/>
        </w:rPr>
        <w:t>前  言</w:t>
      </w:r>
      <w:bookmarkEnd w:id="1"/>
    </w:p>
    <w:p>
      <w:pPr>
        <w:pStyle w:val="4"/>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2" w:name="_Toc28512"/>
      <w:r>
        <w:rPr>
          <w:rFonts w:ascii="Times New Roman" w:hAnsi="Times New Roman" w:eastAsia="宋体" w:cs="Times New Roman"/>
          <w:bCs/>
          <w:color w:val="auto"/>
          <w:sz w:val="30"/>
          <w:szCs w:val="32"/>
          <w:highlight w:val="none"/>
        </w:rPr>
        <w:t>一、任务的由来</w:t>
      </w:r>
      <w:bookmarkEnd w:id="2"/>
    </w:p>
    <w:p>
      <w:pPr>
        <w:spacing w:line="360" w:lineRule="auto"/>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为了落实十分珍惜、合理利用土地和切实保护耕地的基本国策，进一步保护矿山地质环境，减少矿产资源勘查开采活动造成的矿山地质环境破坏和土地损毁，保护人民生命和财产安全，促进矿产资源的合理开发利用，规范土地复垦活动，加强土地复垦管理，提高土地利用的社会效益、经济效益和生态效益，根据《中华人民共和国矿产资源法》《中华人民共和国土地管理法》《地质灾害防治条例》（国务院令第</w:t>
      </w:r>
      <w:r>
        <w:rPr>
          <w:rFonts w:hint="default" w:ascii="仿宋_GB2312" w:hAnsi="仿宋_GB2312" w:eastAsia="仿宋_GB2312" w:cs="仿宋_GB2312"/>
          <w:color w:val="auto"/>
          <w:sz w:val="28"/>
          <w:szCs w:val="28"/>
          <w:lang w:val="en-US" w:eastAsia="zh-CN"/>
        </w:rPr>
        <w:t>394</w:t>
      </w:r>
      <w:r>
        <w:rPr>
          <w:rFonts w:hint="eastAsia" w:ascii="仿宋_GB2312" w:hAnsi="仿宋_GB2312" w:eastAsia="仿宋_GB2312" w:cs="仿宋_GB2312"/>
          <w:color w:val="auto"/>
          <w:sz w:val="28"/>
          <w:szCs w:val="28"/>
          <w:lang w:val="en-US" w:eastAsia="zh-CN"/>
        </w:rPr>
        <w:t>号）、《土地复垦条例》（国务院令第</w:t>
      </w:r>
      <w:r>
        <w:rPr>
          <w:rFonts w:hint="default" w:ascii="仿宋_GB2312" w:hAnsi="仿宋_GB2312" w:eastAsia="仿宋_GB2312" w:cs="仿宋_GB2312"/>
          <w:color w:val="auto"/>
          <w:sz w:val="28"/>
          <w:szCs w:val="28"/>
          <w:lang w:val="en-US" w:eastAsia="zh-CN"/>
        </w:rPr>
        <w:t>592</w:t>
      </w:r>
      <w:r>
        <w:rPr>
          <w:rFonts w:hint="eastAsia" w:ascii="仿宋_GB2312" w:hAnsi="仿宋_GB2312" w:eastAsia="仿宋_GB2312" w:cs="仿宋_GB2312"/>
          <w:color w:val="auto"/>
          <w:sz w:val="28"/>
          <w:szCs w:val="28"/>
          <w:lang w:val="en-US" w:eastAsia="zh-CN"/>
        </w:rPr>
        <w:t>号）、《矿山地质环境保护规定》（国土资源部令第</w:t>
      </w:r>
      <w:r>
        <w:rPr>
          <w:rFonts w:hint="default" w:ascii="仿宋_GB2312" w:hAnsi="仿宋_GB2312" w:eastAsia="仿宋_GB2312" w:cs="仿宋_GB2312"/>
          <w:color w:val="auto"/>
          <w:sz w:val="28"/>
          <w:szCs w:val="28"/>
          <w:lang w:val="en-US" w:eastAsia="zh-CN"/>
        </w:rPr>
        <w:t>44</w:t>
      </w:r>
      <w:r>
        <w:rPr>
          <w:rFonts w:hint="eastAsia" w:ascii="仿宋_GB2312" w:hAnsi="仿宋_GB2312" w:eastAsia="仿宋_GB2312" w:cs="仿宋_GB2312"/>
          <w:color w:val="auto"/>
          <w:sz w:val="28"/>
          <w:szCs w:val="28"/>
          <w:lang w:val="en-US" w:eastAsia="zh-CN"/>
        </w:rPr>
        <w:t>号）等法律法规有关规定，按照国土资源部办公厅《关于做好矿山地质环境保护与土地复垦方案编报有关工作的通知》（国土资规〔</w:t>
      </w:r>
      <w:r>
        <w:rPr>
          <w:rFonts w:hint="default" w:ascii="仿宋_GB2312" w:hAnsi="仿宋_GB2312" w:eastAsia="仿宋_GB2312" w:cs="仿宋_GB2312"/>
          <w:color w:val="auto"/>
          <w:sz w:val="28"/>
          <w:szCs w:val="28"/>
          <w:lang w:val="en-US" w:eastAsia="zh-CN"/>
        </w:rPr>
        <w:t>2016</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21</w:t>
      </w:r>
      <w:r>
        <w:rPr>
          <w:rFonts w:hint="eastAsia" w:ascii="仿宋_GB2312" w:hAnsi="仿宋_GB2312" w:eastAsia="仿宋_GB2312" w:cs="仿宋_GB2312"/>
          <w:color w:val="auto"/>
          <w:sz w:val="28"/>
          <w:szCs w:val="28"/>
          <w:lang w:val="en-US" w:eastAsia="zh-CN"/>
        </w:rPr>
        <w:t>号）、四川省国土资源厅《关于做好矿山地质环境保护与土地复垦方案编报工作的通知》（川自然资函〔2023〕358号））相关要求，采矿权申请人在申请办理采矿许可证前，应当自行编制或委托有关机构编制矿山地质环境保护与土地复垦方案，大英县浅垭子村砖瓦用页岩为大英县自然资源和规划局以挂牌方式进行挂网，大英县顺盛矿业有限责任公司为最终竞标人，属于新建矿山。因此，根据文件要求矿山企业应完成《矿山地质环境保护与土地复垦方案》的编报工作。为此，我单位受大英县顺盛矿业有限责任公司委托，对《大英县玉年峰镇浅垭子砖瓦用页岩矿矿山地质环境保护与土地复垦方案》（以下简称《方案》）进行编制。</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color w:val="auto"/>
          <w:lang w:val="en-US"/>
        </w:rPr>
      </w:pPr>
      <w:r>
        <w:rPr>
          <w:rFonts w:hint="eastAsia" w:ascii="仿宋_GB2312" w:hAnsi="仿宋_GB2312" w:eastAsia="仿宋_GB2312" w:cs="仿宋_GB2312"/>
          <w:color w:val="auto"/>
          <w:sz w:val="28"/>
          <w:szCs w:val="28"/>
          <w:lang w:val="en-US" w:eastAsia="zh-CN"/>
        </w:rPr>
        <w:t>大英县浅垭子砖瓦用页岩矿为新建矿山，开采方式露天开采，设计开采规模20万吨/年。设计开采年限9年。</w:t>
      </w:r>
    </w:p>
    <w:p>
      <w:pPr>
        <w:pStyle w:val="4"/>
        <w:spacing w:before="156" w:beforeLines="50" w:after="156" w:afterLines="50" w:line="360" w:lineRule="auto"/>
        <w:jc w:val="left"/>
        <w:rPr>
          <w:rFonts w:hint="eastAsia" w:ascii="Times New Roman" w:hAnsi="Times New Roman" w:eastAsia="宋体" w:cs="Times New Roman"/>
          <w:bCs/>
          <w:color w:val="auto"/>
          <w:sz w:val="30"/>
          <w:szCs w:val="32"/>
          <w:highlight w:val="none"/>
          <w:lang w:val="en-US" w:eastAsia="zh-CN"/>
        </w:rPr>
      </w:pPr>
      <w:bookmarkStart w:id="3" w:name="_Toc5298"/>
      <w:r>
        <w:rPr>
          <w:rFonts w:ascii="Times New Roman" w:hAnsi="Times New Roman" w:eastAsia="宋体" w:cs="Times New Roman"/>
          <w:bCs/>
          <w:color w:val="auto"/>
          <w:sz w:val="30"/>
          <w:szCs w:val="32"/>
          <w:highlight w:val="none"/>
        </w:rPr>
        <w:t>二、编制目的</w:t>
      </w:r>
      <w:bookmarkEnd w:id="3"/>
    </w:p>
    <w:p>
      <w:pPr>
        <w:keepNext w:val="0"/>
        <w:keepLines w:val="0"/>
        <w:widowControl/>
        <w:suppressLineNumbers w:val="0"/>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方案》编制的目的，主要是通过对矿山矿产资源开发利用方案等已有资料的收集，开展矿山地质环境和矿区土地资源及土地损毁情况调查，基本查明矿区地质环境背景、存在的矿山地质环境问题和矿区土地利用现状，在此基础上开展矿山地质环境影响评价和土地损毁评价，并进行矿山地质环境治理分区与土地复垦区及复垦责任区划分，拟定矿山地质环境恢复治理方案与土地复垦具体方案，为矿山地质环境保护、治理和监测及土地复垦提供技术依据。</w:t>
      </w:r>
    </w:p>
    <w:p>
      <w:pPr>
        <w:keepNext w:val="0"/>
        <w:keepLines w:val="0"/>
        <w:widowControl/>
        <w:suppressLineNumbers w:val="0"/>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从而促进矿产资源和土地合理开发利用，有效保护矿山地质环境和耕地，减少矿产资源勘查开采活动造成的矿山地质环境破坏和土地损毁，保护人民生命和财产安全，提高矿产资源、土地资源开发利用的综合效益。</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矿山地质环境保护与土地复垦方案，是实施矿山地质环境保护、治理和监测及土地复垦的技术依据之一，通过方案编制，要实现以下目的。</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通过方案编制和依据方案对该矿山进行地质环境保护与治理，减少或消除矿山存在的各种地质环境问题和隐患，保护矿区地下水资源和环境。恢复因采矿造成破坏的地形地貌景观及周边生态环境，恢复矿区土地资源，提高土地利用价值。根据自然资源部2019年8月14日发布的《矿山地质环境保护规定》和（2016年1月8日）第64号《国土资源部关于修改和废止部分规章的决定》《四川省财政厅 四川省国土资源厅 四川省环境保护厅关于取消矿山地质环境治理恢复保证金建立矿山地质环境治理恢复基金有关事项的通知》川财规〔2018〕8号，为矿山地质环境保护的实施管理、监督检查、矿山地质环境恢复治理保证金征收等提供依据。</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通过方案编制和方案实施，促进矿山珍惜及合理利用土地，实现土地资源可持续利用，促进经济社会和环境的和谐发展，改善矿山生态环境，实现绿色矿山的目标。根据《土地复垦条例》（国务院92号令）以及《关于加强生产建设项目土地复垦管理工作的通知》（国土资发</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2006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225号）等文件规定和要求，按照“谁破坏、谁复垦”的原则，将生产建设单位的土地复垦目标、任务、措施、计划等落到实处，为土地复垦的实施管理、监督检查、土地复垦费用征收等提供依据。</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3、根据《四川省国土资源厅关于矿山地质环境保护与土地复垦方案编报有关工作的通知》（川国土资发</w:t>
      </w:r>
      <w:r>
        <w:rPr>
          <w:rFonts w:hint="eastAsia" w:ascii="仿宋_GB2312" w:hAnsi="仿宋_GB2312" w:eastAsia="仿宋_GB2312" w:cs="仿宋_GB2312"/>
          <w:color w:val="auto"/>
          <w:sz w:val="28"/>
          <w:szCs w:val="28"/>
          <w:lang w:eastAsia="zh-CN"/>
        </w:rPr>
        <w:t>〔2023〕358</w:t>
      </w:r>
      <w:r>
        <w:rPr>
          <w:rFonts w:hint="eastAsia" w:ascii="仿宋_GB2312" w:hAnsi="仿宋_GB2312" w:eastAsia="仿宋_GB2312" w:cs="仿宋_GB2312"/>
          <w:color w:val="auto"/>
          <w:sz w:val="28"/>
          <w:szCs w:val="28"/>
        </w:rPr>
        <w:t>号）要求，完善矿山生产手续。</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大英县玉峰镇浅垭子</w:t>
      </w:r>
      <w:r>
        <w:rPr>
          <w:rFonts w:hint="eastAsia" w:ascii="仿宋_GB2312" w:hAnsi="仿宋_GB2312" w:eastAsia="仿宋_GB2312" w:cs="仿宋_GB2312"/>
          <w:color w:val="auto"/>
          <w:sz w:val="28"/>
          <w:szCs w:val="28"/>
        </w:rPr>
        <w:t>砖瓦用页岩矿矿山地质环境保护与土地复垦方案编制的主要任务是：</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1、收集资料，开展矿山地质环境调查，查明矿区地质环境条件复杂程度，确定矿山地质环境影响评估级别与评估范围；</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2、根据矿山地质环境现状，进行矿山地质环境影响现状评估；</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3、在现状评估的基础上，根据矿山开发利用方案、采矿地质环境条件，进行矿山地质环境影响预测评估；</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4、根据现状评估和预测评估，进行矿山地质环境保护与土地复垦工程分区；</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5、提出矿山地质环境保护、预防和土地复垦技术措施；</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w:t>
      </w:r>
      <w:r>
        <w:rPr>
          <w:rFonts w:hint="eastAsia" w:ascii="仿宋_GB2312" w:hAnsi="仿宋_GB2312" w:eastAsia="仿宋_GB2312" w:cs="仿宋_GB2312"/>
          <w:color w:val="auto"/>
          <w:sz w:val="28"/>
          <w:szCs w:val="28"/>
          <w:lang w:val="en-US" w:eastAsia="zh-CN"/>
        </w:rPr>
        <w:t>指导矿山在开采建设过程及闭坑后对矿山进行环境治理及土地复垦工作，并</w:t>
      </w:r>
      <w:r>
        <w:rPr>
          <w:rFonts w:hint="eastAsia" w:ascii="仿宋_GB2312" w:hAnsi="仿宋_GB2312" w:eastAsia="仿宋_GB2312" w:cs="仿宋_GB2312"/>
          <w:color w:val="auto"/>
          <w:sz w:val="28"/>
          <w:szCs w:val="28"/>
        </w:rPr>
        <w:t>制定矿山地质环境监测工作方案；</w:t>
      </w:r>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_GB2312" w:hAnsi="仿宋_GB2312" w:eastAsia="仿宋_GB2312" w:cs="仿宋_GB2312"/>
          <w:color w:val="auto"/>
          <w:sz w:val="28"/>
          <w:szCs w:val="28"/>
        </w:rPr>
        <w:t>7、进行矿山地质环境保护与土地复垦工程经费估算。</w:t>
      </w:r>
    </w:p>
    <w:p>
      <w:pPr>
        <w:pStyle w:val="4"/>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4" w:name="_Toc14760"/>
      <w:r>
        <w:rPr>
          <w:rFonts w:ascii="Times New Roman" w:hAnsi="Times New Roman" w:eastAsia="宋体" w:cs="Times New Roman"/>
          <w:bCs/>
          <w:color w:val="auto"/>
          <w:sz w:val="30"/>
          <w:szCs w:val="32"/>
          <w:highlight w:val="none"/>
        </w:rPr>
        <w:t>三、编制依据</w:t>
      </w:r>
      <w:bookmarkEnd w:id="4"/>
    </w:p>
    <w:p>
      <w:pPr>
        <w:pStyle w:val="5"/>
        <w:spacing w:line="360" w:lineRule="auto"/>
        <w:jc w:val="left"/>
        <w:rPr>
          <w:rFonts w:ascii="Times New Roman" w:hAnsi="Times New Roman" w:eastAsia="宋体" w:cs="Times New Roman"/>
          <w:bCs/>
          <w:color w:val="auto"/>
          <w:sz w:val="28"/>
          <w:szCs w:val="32"/>
          <w:highlight w:val="none"/>
        </w:rPr>
      </w:pPr>
      <w:bookmarkStart w:id="5" w:name="_Toc18550"/>
      <w:bookmarkStart w:id="6" w:name="_Toc12663"/>
      <w:r>
        <w:rPr>
          <w:rFonts w:ascii="Times New Roman" w:hAnsi="Times New Roman" w:eastAsia="宋体" w:cs="Times New Roman"/>
          <w:bCs/>
          <w:color w:val="auto"/>
          <w:sz w:val="28"/>
          <w:szCs w:val="32"/>
          <w:highlight w:val="none"/>
        </w:rPr>
        <w:t>（一）法律法规</w:t>
      </w:r>
      <w:bookmarkEnd w:id="5"/>
      <w:bookmarkEnd w:id="6"/>
    </w:p>
    <w:p>
      <w:pPr>
        <w:spacing w:line="360" w:lineRule="auto"/>
        <w:ind w:firstLine="560" w:firstLineChars="200"/>
        <w:rPr>
          <w:rFonts w:hint="eastAsia" w:ascii="仿宋" w:hAnsi="仿宋" w:eastAsia="仿宋" w:cs="仿宋"/>
          <w:color w:val="auto"/>
          <w:sz w:val="28"/>
          <w:szCs w:val="28"/>
          <w:highlight w:val="none"/>
        </w:rPr>
      </w:pPr>
      <w:bookmarkStart w:id="7" w:name="_Toc13324"/>
      <w:r>
        <w:rPr>
          <w:rFonts w:hint="eastAsia" w:ascii="仿宋" w:hAnsi="仿宋" w:eastAsia="仿宋" w:cs="仿宋"/>
          <w:color w:val="auto"/>
          <w:sz w:val="28"/>
          <w:szCs w:val="28"/>
          <w:highlight w:val="none"/>
        </w:rPr>
        <w:t>1、《矿山地质环境保护规定（修订）》（国土资源部令64号）（2019.7.16）；</w:t>
      </w:r>
    </w:p>
    <w:p>
      <w:pPr>
        <w:spacing w:line="360" w:lineRule="auto"/>
        <w:ind w:firstLine="560" w:firstLineChars="200"/>
        <w:rPr>
          <w:rFonts w:hint="eastAsia" w:ascii="仿宋" w:hAnsi="仿宋" w:eastAsia="仿宋" w:cs="仿宋"/>
          <w:color w:val="auto"/>
          <w:sz w:val="28"/>
          <w:szCs w:val="28"/>
          <w:highlight w:val="none"/>
        </w:rPr>
      </w:pPr>
      <w:bookmarkStart w:id="8" w:name="_Toc529211035"/>
      <w:bookmarkStart w:id="9" w:name="_Toc535828575"/>
      <w:r>
        <w:rPr>
          <w:rFonts w:hint="eastAsia" w:ascii="仿宋" w:hAnsi="仿宋" w:eastAsia="仿宋" w:cs="仿宋"/>
          <w:color w:val="auto"/>
          <w:sz w:val="28"/>
          <w:szCs w:val="28"/>
          <w:highlight w:val="none"/>
        </w:rPr>
        <w:t>2、《地质灾害防治条例》（国务院第394号令）（2003.11.24）；</w:t>
      </w:r>
      <w:bookmarkEnd w:id="8"/>
      <w:bookmarkEnd w:id="9"/>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3、《中华人民共和国土地管理法（修订）》（第十三届全国人民代表大会常务委员会第十二次会议修订）（2019.8.26）；</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4、《土地复垦条例》（国务院令第592号）（2011.3.5）；</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5、《中华人民共和国水土保持法（修订）》（2011.3.1）；</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6、《中华人民共和国环境保护法》（2015.1.1）；</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7、《中华人民共和国矿产资源法（2009年修正）》（2009.8.27）；</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8、《中华人民共和国森林法》（2020.7.1）；</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、《中华人民共和国水土保持法实施条例》（国务院令第120号）（2011.1.8修订）；</w:t>
      </w:r>
    </w:p>
    <w:p>
      <w:pPr>
        <w:spacing w:line="360" w:lineRule="auto"/>
        <w:ind w:firstLine="560" w:firstLineChars="200"/>
        <w:rPr>
          <w:rFonts w:hint="eastAsia" w:ascii="仿宋" w:hAnsi="仿宋" w:eastAsia="仿宋" w:cs="仿宋"/>
          <w:color w:val="auto"/>
          <w:sz w:val="28"/>
          <w:szCs w:val="28"/>
          <w:highlight w:val="none"/>
        </w:rPr>
      </w:pPr>
      <w:bookmarkStart w:id="10" w:name="_Toc535828576"/>
      <w:bookmarkStart w:id="11" w:name="_Toc529211036"/>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rPr>
        <w:t>、《中华人民共和国水污染防治法》（2008.6.1）；</w:t>
      </w:r>
      <w:bookmarkEnd w:id="10"/>
      <w:bookmarkEnd w:id="11"/>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、《中华人民共和国固体废物污染环境防治法（</w:t>
      </w:r>
      <w:r>
        <w:rPr>
          <w:rFonts w:hint="eastAsia" w:ascii="仿宋" w:hAnsi="仿宋" w:eastAsia="仿宋" w:cs="仿宋"/>
          <w:color w:val="auto"/>
          <w:sz w:val="28"/>
          <w:szCs w:val="28"/>
          <w:highlight w:val="none"/>
          <w:lang w:val="en-US" w:eastAsia="zh-CN"/>
        </w:rPr>
        <w:t>2020</w:t>
      </w:r>
      <w:r>
        <w:rPr>
          <w:rFonts w:hint="eastAsia" w:ascii="仿宋" w:hAnsi="仿宋" w:eastAsia="仿宋" w:cs="仿宋"/>
          <w:color w:val="auto"/>
          <w:sz w:val="28"/>
          <w:szCs w:val="28"/>
          <w:highlight w:val="none"/>
        </w:rPr>
        <w:t>修订）》（中华人民共和国主席令第</w:t>
      </w:r>
      <w:r>
        <w:rPr>
          <w:rFonts w:hint="eastAsia" w:ascii="仿宋" w:hAnsi="仿宋" w:eastAsia="仿宋" w:cs="仿宋"/>
          <w:color w:val="auto"/>
          <w:sz w:val="28"/>
          <w:szCs w:val="28"/>
          <w:highlight w:val="none"/>
          <w:lang w:val="en-US" w:eastAsia="zh-CN"/>
        </w:rPr>
        <w:t>43</w:t>
      </w:r>
      <w:r>
        <w:rPr>
          <w:rFonts w:hint="eastAsia" w:ascii="仿宋" w:hAnsi="仿宋" w:eastAsia="仿宋" w:cs="仿宋"/>
          <w:color w:val="auto"/>
          <w:sz w:val="28"/>
          <w:szCs w:val="28"/>
          <w:highlight w:val="none"/>
        </w:rPr>
        <w:t>号）（20</w:t>
      </w:r>
      <w:r>
        <w:rPr>
          <w:rFonts w:hint="eastAsia" w:ascii="仿宋" w:hAnsi="仿宋" w:eastAsia="仿宋" w:cs="仿宋"/>
          <w:color w:val="auto"/>
          <w:sz w:val="28"/>
          <w:szCs w:val="28"/>
          <w:highlight w:val="none"/>
          <w:lang w:val="en-US" w:eastAsia="zh-CN"/>
        </w:rPr>
        <w:t>20.9.1</w:t>
      </w: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bookmarkStart w:id="12" w:name="_Toc529211037"/>
      <w:bookmarkStart w:id="13" w:name="_Toc535828577"/>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、《中华人民共和国矿产资源法实施细则》（国务院令第152号）（1994.3.26）；</w:t>
      </w:r>
      <w:bookmarkEnd w:id="12"/>
      <w:bookmarkEnd w:id="13"/>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、《基本农田保护条例》（国务院令第162号）（1998.12.27）。</w:t>
      </w:r>
    </w:p>
    <w:p>
      <w:pPr>
        <w:pStyle w:val="5"/>
        <w:spacing w:line="360" w:lineRule="auto"/>
        <w:jc w:val="left"/>
        <w:rPr>
          <w:rFonts w:ascii="Times New Roman" w:hAnsi="Times New Roman" w:eastAsia="宋体" w:cs="Times New Roman"/>
          <w:bCs/>
          <w:color w:val="auto"/>
          <w:sz w:val="28"/>
          <w:szCs w:val="32"/>
          <w:highlight w:val="none"/>
        </w:rPr>
      </w:pPr>
      <w:bookmarkStart w:id="14" w:name="_Toc26025"/>
      <w:r>
        <w:rPr>
          <w:rFonts w:ascii="Times New Roman" w:hAnsi="Times New Roman" w:eastAsia="宋体" w:cs="Times New Roman"/>
          <w:bCs/>
          <w:color w:val="auto"/>
          <w:sz w:val="28"/>
          <w:szCs w:val="32"/>
          <w:highlight w:val="none"/>
        </w:rPr>
        <w:t>（二）规程规范</w:t>
      </w:r>
      <w:bookmarkEnd w:id="7"/>
      <w:bookmarkEnd w:id="14"/>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1、《矿山地质环境保护与土地复垦方案编制指南》（2016.12）；</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2、《矿山地质环境保护与恢复治理方案编制规范》（DZ/T 0223-2011）；</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3、《土地复垦方案编制规程》（TD/T</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1031-2011）；</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4、《土地复垦质量控制标准》（TD/T 1036-2013）；</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5、《土地利用现状分类》(GB/T21010-2017)；</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6、《土地整治项目规划设计规范》(TB/T1012-2016)；</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7、《地表水和污水监测技术规范》(HJ/T91-2002)；</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8、《建筑边坡工程技术规范》(GB50330-2013)；</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9、《地质灾害危险性评估规范》（DZT 0286-2015）；</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10、《滑坡防治工程设计与施工技术规范》（DZ/T0219-2006）；</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11、《崩塌、滑坡、泥石流监测规范》（DZ/T 0221-2006）；</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12、《造林技术规程》（GB</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T15776-20</w:t>
      </w:r>
      <w:r>
        <w:rPr>
          <w:rFonts w:hint="eastAsia" w:ascii="仿宋" w:hAnsi="仿宋" w:eastAsia="仿宋" w:cs="仿宋"/>
          <w:color w:val="auto"/>
          <w:sz w:val="28"/>
          <w:szCs w:val="28"/>
          <w:highlight w:val="none"/>
          <w:lang w:val="en-US" w:eastAsia="zh-CN"/>
        </w:rPr>
        <w:t>23</w:t>
      </w: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13、《耕地质量验收技术规范》（NY/T 1120-2006）；</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14、《人工草地建设技术规程》（NY/T 1342-2007）；</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15、《四川省地质灾害治理工程概预算定额（试行）》；</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16、《四川省建筑工程清单计价定额》（2015）；</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17、《四川省土地开发整理项目预算定额标准》（川财投〔2012〕139号）；</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18、《四川省土地开发整理项目施工机械台班费定额》（2012）；</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19、《土地开发整理项目预算编制规定》（2012）；</w:t>
      </w:r>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20、《土地整治项目工程量计算规则》（TD/T 1039-2013）。</w:t>
      </w:r>
    </w:p>
    <w:p>
      <w:pPr>
        <w:pStyle w:val="5"/>
        <w:rPr>
          <w:rFonts w:ascii="Times New Roman" w:hAnsi="Times New Roman" w:eastAsia="宋体" w:cs="Times New Roman"/>
          <w:color w:val="auto"/>
          <w:highlight w:val="none"/>
        </w:rPr>
      </w:pPr>
      <w:bookmarkStart w:id="15" w:name="_Toc18212"/>
      <w:bookmarkStart w:id="16" w:name="_Toc10667"/>
      <w:r>
        <w:rPr>
          <w:rFonts w:ascii="Times New Roman" w:hAnsi="Times New Roman" w:eastAsia="宋体" w:cs="Times New Roman"/>
          <w:color w:val="auto"/>
          <w:highlight w:val="none"/>
        </w:rPr>
        <w:t>（三）技术文件及资料</w:t>
      </w:r>
      <w:bookmarkEnd w:id="15"/>
      <w:bookmarkEnd w:id="16"/>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1、《关于加强生产建设项目土地复垦管理工作的通知》（国土资发〔2006〕225号）；</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2、《关于组织土地复垦方案编报和审查有关问题的通知》（国土资发〔2007〕81号）；</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3、《农业综合开发土地复垦项目管理暂行办法》（国土资发〔2000〕414号）；</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4、《关于加强矿山生态环境保护工作的通知》（国土资发〔1999〕36号）；</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5、《国土资源部办公厅关于做好矿山地质环境保护与土地复垦方案编报有关工作的通知》（国土资规〔2016〕21号）；</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6、《四川省矿山地质环境恢复治理保证金管理暂行办法》（川府函〔2008〕75号）；</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7、《四川省自然资源厅关于规范矿山地质环境保护与土地复垦方案编报和审查工作的通知》（川自然资函〔2023〕358号）；</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8、《四川省自然资源厅关于进一步加强和规范矿山地质环境保护与土地复垦方案评审工作的通知》（川自然资发〔2021〕44号）；</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9、《四川省在建与生产矿山生态修复管理办法》（川自然资发〔2021〕27号）；</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10、《四川省地质灾害治理工程概（预）算标准（修订）》（川自然资发〔2018〕9号）</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11</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四川省大英县浅垭子村砖瓦用页岩矿勘查报告</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highlight w:val="none"/>
        </w:rPr>
        <w:t>2023</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8</w:t>
      </w:r>
      <w:r>
        <w:rPr>
          <w:rFonts w:hint="eastAsia" w:ascii="仿宋_GB2312" w:hAnsi="仿宋_GB2312" w:eastAsia="仿宋_GB2312" w:cs="仿宋_GB2312"/>
          <w:color w:val="auto"/>
          <w:sz w:val="28"/>
          <w:szCs w:val="28"/>
          <w:highlight w:val="none"/>
          <w:lang w:val="en-US" w:eastAsia="zh-CN"/>
        </w:rPr>
        <w:t>;</w:t>
      </w:r>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_GB2312" w:hAnsi="仿宋_GB2312" w:eastAsia="仿宋_GB2312" w:cs="仿宋_GB2312"/>
          <w:color w:val="auto"/>
          <w:sz w:val="28"/>
          <w:szCs w:val="28"/>
          <w:lang w:val="en-US" w:eastAsia="zh-CN"/>
        </w:rPr>
        <w:t>12</w:t>
      </w:r>
      <w:r>
        <w:rPr>
          <w:rFonts w:hint="eastAsia" w:ascii="仿宋_GB2312" w:hAnsi="仿宋_GB2312" w:eastAsia="仿宋_GB2312" w:cs="仿宋_GB2312"/>
          <w:color w:val="auto"/>
          <w:sz w:val="28"/>
          <w:szCs w:val="28"/>
        </w:rPr>
        <w:t>、《大英县浅垭子村砖瓦用页岩砖瓦用页岩矿砖瓦用页岩矿矿开发利用方案》；</w:t>
      </w:r>
    </w:p>
    <w:p>
      <w:pPr>
        <w:pStyle w:val="4"/>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17" w:name="_Toc30128"/>
      <w:bookmarkStart w:id="18" w:name="_Toc14673"/>
      <w:bookmarkStart w:id="19" w:name="_Toc14039"/>
      <w:bookmarkStart w:id="20" w:name="_Toc60652258"/>
      <w:r>
        <w:rPr>
          <w:rFonts w:ascii="Times New Roman" w:hAnsi="Times New Roman" w:eastAsia="宋体" w:cs="Times New Roman"/>
          <w:bCs/>
          <w:color w:val="auto"/>
          <w:sz w:val="30"/>
          <w:szCs w:val="32"/>
          <w:highlight w:val="none"/>
        </w:rPr>
        <w:t>四、数学基础</w:t>
      </w:r>
      <w:bookmarkEnd w:id="17"/>
      <w:bookmarkEnd w:id="18"/>
      <w:bookmarkEnd w:id="19"/>
      <w:bookmarkEnd w:id="20"/>
    </w:p>
    <w:p>
      <w:pPr>
        <w:pStyle w:val="5"/>
        <w:rPr>
          <w:rFonts w:ascii="Times New Roman" w:hAnsi="Times New Roman" w:eastAsia="宋体" w:cs="Times New Roman"/>
          <w:color w:val="auto"/>
          <w:highlight w:val="none"/>
        </w:rPr>
      </w:pPr>
      <w:bookmarkStart w:id="21" w:name="_Toc60652259"/>
      <w:bookmarkStart w:id="22" w:name="_Toc18825"/>
      <w:bookmarkStart w:id="23" w:name="_Toc25263"/>
      <w:bookmarkStart w:id="24" w:name="_Toc19588"/>
      <w:r>
        <w:rPr>
          <w:rFonts w:ascii="Times New Roman" w:hAnsi="Times New Roman" w:eastAsia="宋体" w:cs="Times New Roman"/>
          <w:color w:val="auto"/>
          <w:highlight w:val="none"/>
        </w:rPr>
        <w:t>（一）主要计量单位</w:t>
      </w:r>
      <w:bookmarkEnd w:id="21"/>
      <w:bookmarkEnd w:id="22"/>
      <w:bookmarkEnd w:id="23"/>
      <w:bookmarkEnd w:id="24"/>
    </w:p>
    <w:p>
      <w:pPr>
        <w:spacing w:line="360" w:lineRule="auto"/>
        <w:ind w:firstLine="560" w:firstLineChars="200"/>
        <w:rPr>
          <w:rFonts w:hint="eastAsia" w:ascii="仿宋" w:hAnsi="仿宋" w:eastAsia="仿宋" w:cs="仿宋"/>
          <w:color w:val="auto"/>
          <w:sz w:val="28"/>
          <w:szCs w:val="28"/>
          <w:highlight w:val="none"/>
          <w:vertAlign w:val="superscript"/>
        </w:rPr>
      </w:pPr>
      <w:r>
        <w:rPr>
          <w:rFonts w:hint="eastAsia" w:ascii="仿宋" w:hAnsi="仿宋" w:eastAsia="仿宋" w:cs="仿宋"/>
          <w:color w:val="auto"/>
          <w:sz w:val="28"/>
          <w:szCs w:val="28"/>
          <w:highlight w:val="none"/>
        </w:rPr>
        <w:t>面积：公顷、亩，m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、km</w:t>
      </w:r>
      <w:r>
        <w:rPr>
          <w:rFonts w:hint="eastAsia" w:ascii="仿宋" w:hAnsi="仿宋" w:eastAsia="仿宋" w:cs="仿宋"/>
          <w:color w:val="auto"/>
          <w:sz w:val="28"/>
          <w:szCs w:val="28"/>
          <w:highlight w:val="none"/>
          <w:vertAlign w:val="superscript"/>
        </w:rPr>
        <w:t>2</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长度：cm、m、km</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体积：m</w:t>
      </w:r>
      <w:r>
        <w:rPr>
          <w:rFonts w:hint="eastAsia" w:ascii="仿宋" w:hAnsi="仿宋" w:eastAsia="仿宋" w:cs="仿宋"/>
          <w:color w:val="auto"/>
          <w:sz w:val="28"/>
          <w:szCs w:val="28"/>
          <w:highlight w:val="none"/>
          <w:vertAlign w:val="superscript"/>
        </w:rPr>
        <w:t>3</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质量：g、kg、t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金额：元、万元（RMB）</w:t>
      </w:r>
    </w:p>
    <w:p>
      <w:pPr>
        <w:pStyle w:val="5"/>
        <w:rPr>
          <w:rFonts w:ascii="Times New Roman" w:hAnsi="Times New Roman" w:eastAsia="宋体" w:cs="Times New Roman"/>
          <w:color w:val="auto"/>
          <w:highlight w:val="none"/>
        </w:rPr>
      </w:pPr>
      <w:bookmarkStart w:id="25" w:name="_Toc8926"/>
      <w:bookmarkStart w:id="26" w:name="_Toc31204"/>
      <w:bookmarkStart w:id="27" w:name="_Toc60652260"/>
      <w:bookmarkStart w:id="28" w:name="_Toc26162"/>
      <w:r>
        <w:rPr>
          <w:rFonts w:ascii="Times New Roman" w:hAnsi="Times New Roman" w:eastAsia="宋体" w:cs="Times New Roman"/>
          <w:color w:val="auto"/>
          <w:highlight w:val="none"/>
        </w:rPr>
        <w:t>（二）坐标系及投影信息</w:t>
      </w:r>
      <w:bookmarkEnd w:id="25"/>
      <w:bookmarkEnd w:id="26"/>
      <w:bookmarkEnd w:id="27"/>
      <w:bookmarkEnd w:id="28"/>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地理坐标系：2000国家大地坐标系</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高程系统：1985国家高程基准</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投影方式：高斯克吕格投影3°分带</w:t>
      </w:r>
    </w:p>
    <w:p>
      <w:pPr>
        <w:pStyle w:val="5"/>
        <w:rPr>
          <w:rFonts w:ascii="Times New Roman" w:hAnsi="Times New Roman" w:eastAsia="宋体" w:cs="Times New Roman"/>
          <w:color w:val="auto"/>
          <w:highlight w:val="none"/>
        </w:rPr>
      </w:pPr>
      <w:bookmarkStart w:id="29" w:name="_Toc60652261"/>
      <w:bookmarkStart w:id="30" w:name="_Toc26953"/>
      <w:bookmarkStart w:id="31" w:name="_Toc20960"/>
      <w:bookmarkStart w:id="32" w:name="_Toc25477"/>
      <w:r>
        <w:rPr>
          <w:rFonts w:ascii="Times New Roman" w:hAnsi="Times New Roman" w:eastAsia="宋体" w:cs="Times New Roman"/>
          <w:color w:val="auto"/>
          <w:highlight w:val="none"/>
        </w:rPr>
        <w:t>（三）土地利用现状分类标准</w:t>
      </w:r>
      <w:bookmarkEnd w:id="29"/>
      <w:bookmarkEnd w:id="30"/>
      <w:bookmarkEnd w:id="31"/>
      <w:bookmarkEnd w:id="32"/>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w:t>
      </w:r>
      <w:r>
        <w:rPr>
          <w:rFonts w:hint="eastAsia" w:ascii="仿宋" w:hAnsi="仿宋" w:eastAsia="仿宋" w:cs="仿宋"/>
          <w:color w:val="auto"/>
          <w:sz w:val="28"/>
          <w:szCs w:val="28"/>
          <w:highlight w:val="none"/>
          <w:lang w:eastAsia="zh-CN"/>
        </w:rPr>
        <w:t>项目</w:t>
      </w:r>
      <w:r>
        <w:rPr>
          <w:rFonts w:hint="eastAsia" w:ascii="仿宋" w:hAnsi="仿宋" w:eastAsia="仿宋" w:cs="仿宋"/>
          <w:color w:val="auto"/>
          <w:sz w:val="28"/>
          <w:szCs w:val="28"/>
          <w:highlight w:val="none"/>
        </w:rPr>
        <w:t>引用的土地利用现状数据为“</w:t>
      </w:r>
      <w:r>
        <w:rPr>
          <w:rFonts w:hint="eastAsia" w:ascii="仿宋" w:hAnsi="仿宋" w:eastAsia="仿宋" w:cs="仿宋"/>
          <w:color w:val="auto"/>
          <w:sz w:val="28"/>
          <w:szCs w:val="28"/>
          <w:highlight w:val="none"/>
          <w:lang w:val="en-US" w:eastAsia="zh-CN"/>
        </w:rPr>
        <w:t>大英县最新年度</w:t>
      </w:r>
      <w:r>
        <w:rPr>
          <w:rFonts w:hint="eastAsia" w:ascii="仿宋" w:hAnsi="仿宋" w:eastAsia="仿宋" w:cs="仿宋"/>
          <w:color w:val="auto"/>
          <w:sz w:val="28"/>
          <w:szCs w:val="28"/>
          <w:highlight w:val="none"/>
        </w:rPr>
        <w:t>土地利用变更数据库”，该数据库采用的土地分类标准为“GB/T21010-2017土地利用现状分类”，因此本方案遵循该标准。</w:t>
      </w:r>
    </w:p>
    <w:p>
      <w:pPr>
        <w:pStyle w:val="4"/>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33" w:name="_Toc24022"/>
      <w:r>
        <w:rPr>
          <w:rFonts w:ascii="Times New Roman" w:hAnsi="Times New Roman" w:eastAsia="宋体" w:cs="Times New Roman"/>
          <w:bCs/>
          <w:color w:val="auto"/>
          <w:sz w:val="30"/>
          <w:szCs w:val="32"/>
          <w:highlight w:val="none"/>
        </w:rPr>
        <w:t>五、方案适用年限</w:t>
      </w:r>
      <w:bookmarkEnd w:id="33"/>
    </w:p>
    <w:p>
      <w:pPr>
        <w:pStyle w:val="5"/>
        <w:rPr>
          <w:rFonts w:ascii="Times New Roman" w:hAnsi="Times New Roman" w:eastAsia="宋体" w:cs="Times New Roman"/>
          <w:color w:val="auto"/>
          <w:highlight w:val="none"/>
        </w:rPr>
      </w:pPr>
      <w:bookmarkStart w:id="34" w:name="_Toc4986"/>
      <w:r>
        <w:rPr>
          <w:rFonts w:ascii="Times New Roman" w:hAnsi="Times New Roman" w:eastAsia="宋体" w:cs="Times New Roman"/>
          <w:color w:val="auto"/>
          <w:highlight w:val="none"/>
        </w:rPr>
        <w:t>（一）矿山服务年限</w:t>
      </w:r>
      <w:bookmarkEnd w:id="34"/>
    </w:p>
    <w:p>
      <w:pPr>
        <w:spacing w:line="360" w:lineRule="auto"/>
        <w:ind w:firstLine="480" w:firstLineChars="200"/>
        <w:rPr>
          <w:rFonts w:ascii="Times New Roman" w:hAnsi="Times New Roman" w:eastAsia="宋体" w:cs="Times New Roman"/>
          <w:color w:val="auto"/>
          <w:sz w:val="24"/>
          <w:szCs w:val="24"/>
          <w:highlight w:val="none"/>
        </w:rPr>
      </w:pPr>
      <w:bookmarkStart w:id="35" w:name="_Toc31439"/>
      <w:r>
        <w:rPr>
          <w:rFonts w:ascii="Times New Roman" w:hAnsi="Times New Roman" w:eastAsia="宋体" w:cs="Times New Roman"/>
          <w:color w:val="auto"/>
          <w:sz w:val="24"/>
          <w:szCs w:val="24"/>
          <w:highlight w:val="none"/>
        </w:rPr>
        <w:t>1、矿山开采服务年限</w:t>
      </w:r>
      <w:bookmarkEnd w:id="35"/>
    </w:p>
    <w:p>
      <w:pPr>
        <w:spacing w:line="360" w:lineRule="auto"/>
        <w:ind w:firstLine="560" w:firstLineChars="200"/>
        <w:rPr>
          <w:rFonts w:ascii="Times New Roman" w:hAnsi="Times New Roman" w:eastAsia="仿宋" w:cs="Times New Roman"/>
          <w:color w:val="auto"/>
          <w:sz w:val="24"/>
          <w:szCs w:val="24"/>
          <w:highlight w:val="none"/>
        </w:rPr>
      </w:pPr>
      <w:r>
        <w:rPr>
          <w:rFonts w:hint="eastAsia" w:ascii="仿宋_GB2312" w:hAnsi="仿宋_GB2312" w:eastAsia="仿宋_GB2312" w:cs="仿宋_GB2312"/>
          <w:color w:val="auto"/>
          <w:sz w:val="28"/>
          <w:szCs w:val="28"/>
          <w:lang w:val="en-US" w:eastAsia="zh-CN"/>
        </w:rPr>
        <w:t>根据中国建筑西南勘察设计研究院有限公司提交的《四川省大英县浅垭子村砖瓦用页岩矿勘查报告》。</w:t>
      </w:r>
      <w:bookmarkStart w:id="36" w:name="_Hlk145666704"/>
      <w:r>
        <w:rPr>
          <w:rFonts w:hint="eastAsia" w:ascii="仿宋_GB2312" w:hAnsi="仿宋_GB2312" w:eastAsia="仿宋_GB2312" w:cs="仿宋_GB2312"/>
          <w:color w:val="auto"/>
          <w:sz w:val="28"/>
          <w:szCs w:val="28"/>
          <w:lang w:val="en-US" w:eastAsia="zh-CN"/>
        </w:rPr>
        <w:t>截至2023年8月30日，估算资源量：探明资源量65.15万立方米（折合152.44万吨）；推断资源量25.70万立方米（折合60.13万吨），合计90.84万立方米（折合212.57万吨），矿床资源量规模为小型。</w:t>
      </w:r>
      <w:bookmarkEnd w:id="36"/>
      <w:bookmarkStart w:id="37" w:name="_Hlk145666717"/>
      <w:r>
        <w:rPr>
          <w:rFonts w:hint="eastAsia" w:ascii="仿宋_GB2312" w:hAnsi="仿宋_GB2312" w:eastAsia="仿宋_GB2312" w:cs="仿宋_GB2312"/>
          <w:color w:val="auto"/>
          <w:sz w:val="28"/>
          <w:szCs w:val="28"/>
          <w:lang w:val="en-US" w:eastAsia="zh-CN"/>
        </w:rPr>
        <w:t>探明资源量占累计查明资源量71.71%，推断资源量占累计查明资源量28.29%</w:t>
      </w:r>
      <w:bookmarkEnd w:id="37"/>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设计</w:t>
      </w:r>
      <w:r>
        <w:rPr>
          <w:rFonts w:hint="eastAsia" w:ascii="仿宋_GB2312" w:hAnsi="仿宋_GB2312" w:eastAsia="仿宋_GB2312" w:cs="仿宋_GB2312"/>
          <w:color w:val="auto"/>
          <w:sz w:val="28"/>
          <w:szCs w:val="28"/>
          <w:lang w:val="en-US" w:eastAsia="zh-CN"/>
        </w:rPr>
        <w:t>回采率98</w:t>
      </w:r>
      <w:r>
        <w:rPr>
          <w:rFonts w:hint="eastAsia" w:ascii="仿宋_GB2312" w:hAnsi="仿宋_GB2312" w:eastAsia="仿宋_GB2312" w:cs="仿宋_GB2312"/>
          <w:color w:val="auto"/>
          <w:sz w:val="28"/>
          <w:szCs w:val="28"/>
        </w:rPr>
        <w:t>%、废石混入率为</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可采矿量183.08万吨，</w:t>
      </w:r>
      <w:r>
        <w:rPr>
          <w:rFonts w:hint="eastAsia" w:ascii="仿宋_GB2312" w:hAnsi="仿宋_GB2312" w:eastAsia="仿宋_GB2312" w:cs="仿宋_GB2312"/>
          <w:color w:val="auto"/>
          <w:sz w:val="28"/>
          <w:szCs w:val="28"/>
        </w:rPr>
        <w:t>采出资源量</w:t>
      </w:r>
      <w:r>
        <w:rPr>
          <w:rFonts w:hint="eastAsia" w:ascii="仿宋_GB2312" w:hAnsi="仿宋_GB2312" w:eastAsia="仿宋_GB2312" w:cs="仿宋_GB2312"/>
          <w:color w:val="auto"/>
          <w:sz w:val="28"/>
          <w:szCs w:val="28"/>
          <w:lang w:val="en-US" w:eastAsia="zh-CN"/>
        </w:rPr>
        <w:t>186.82万吨，按照矿山</w:t>
      </w:r>
      <w:r>
        <w:rPr>
          <w:rFonts w:hint="eastAsia" w:ascii="仿宋_GB2312" w:hAnsi="仿宋_GB2312" w:eastAsia="仿宋_GB2312" w:cs="仿宋_GB2312"/>
          <w:color w:val="auto"/>
          <w:sz w:val="28"/>
          <w:szCs w:val="28"/>
        </w:rPr>
        <w:t>拟建采选</w:t>
      </w:r>
      <w:r>
        <w:rPr>
          <w:rFonts w:hint="eastAsia" w:ascii="仿宋_GB2312" w:hAnsi="仿宋_GB2312" w:eastAsia="仿宋_GB2312" w:cs="仿宋_GB2312"/>
          <w:color w:val="auto"/>
          <w:sz w:val="28"/>
          <w:szCs w:val="28"/>
          <w:lang w:val="en-US" w:eastAsia="zh-CN"/>
        </w:rPr>
        <w:t>规模20万吨/年，矿山生产服务年限为9年。</w:t>
      </w:r>
      <w:r>
        <w:rPr>
          <w:rFonts w:hint="eastAsia" w:ascii="仿宋_GB2312" w:hAnsi="仿宋_GB2312" w:eastAsia="仿宋_GB2312" w:cs="仿宋_GB2312"/>
          <w:color w:val="auto"/>
          <w:sz w:val="28"/>
          <w:szCs w:val="28"/>
        </w:rPr>
        <w:t>采用露天开采，公路运输开拓方案。矿权面积：0.03</w:t>
      </w:r>
      <w:r>
        <w:rPr>
          <w:rFonts w:hint="eastAsia" w:ascii="仿宋_GB2312" w:hAnsi="仿宋_GB2312" w:eastAsia="仿宋_GB2312" w:cs="仿宋_GB2312"/>
          <w:color w:val="auto"/>
          <w:sz w:val="28"/>
          <w:szCs w:val="28"/>
          <w:lang w:val="en-US" w:eastAsia="zh-CN"/>
        </w:rPr>
        <w:t>89</w:t>
      </w:r>
      <w:r>
        <w:rPr>
          <w:rFonts w:hint="eastAsia" w:ascii="仿宋_GB2312" w:hAnsi="仿宋_GB2312" w:eastAsia="仿宋_GB2312" w:cs="仿宋_GB2312"/>
          <w:color w:val="auto"/>
          <w:sz w:val="28"/>
          <w:szCs w:val="28"/>
        </w:rPr>
        <w:t>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，生产规模为</w:t>
      </w:r>
      <w:r>
        <w:rPr>
          <w:rFonts w:hint="eastAsia" w:ascii="仿宋_GB2312" w:hAnsi="仿宋_GB2312" w:eastAsia="仿宋_GB2312" w:cs="仿宋_GB2312"/>
          <w:color w:val="auto"/>
          <w:sz w:val="28"/>
          <w:szCs w:val="28"/>
          <w:lang w:val="en-US" w:eastAsia="zh-CN"/>
        </w:rPr>
        <w:t>20</w:t>
      </w:r>
      <w:r>
        <w:rPr>
          <w:rFonts w:hint="eastAsia" w:ascii="仿宋_GB2312" w:hAnsi="仿宋_GB2312" w:eastAsia="仿宋_GB2312" w:cs="仿宋_GB2312"/>
          <w:color w:val="auto"/>
          <w:sz w:val="28"/>
          <w:szCs w:val="28"/>
        </w:rPr>
        <w:t>万吨／年。</w:t>
      </w:r>
    </w:p>
    <w:p>
      <w:pPr>
        <w:spacing w:line="360" w:lineRule="auto"/>
        <w:ind w:firstLine="480" w:firstLineChars="200"/>
        <w:rPr>
          <w:rFonts w:ascii="Times New Roman" w:hAnsi="Times New Roman" w:eastAsia="宋体" w:cs="Times New Roman"/>
          <w:color w:val="auto"/>
          <w:sz w:val="24"/>
          <w:szCs w:val="24"/>
          <w:highlight w:val="none"/>
        </w:rPr>
      </w:pPr>
      <w:bookmarkStart w:id="38" w:name="_Toc8343"/>
      <w:r>
        <w:rPr>
          <w:rFonts w:ascii="Times New Roman" w:hAnsi="Times New Roman" w:eastAsia="宋体" w:cs="Times New Roman"/>
          <w:color w:val="auto"/>
          <w:sz w:val="24"/>
          <w:szCs w:val="24"/>
          <w:highlight w:val="none"/>
        </w:rPr>
        <w:t>2、方案服务年限</w:t>
      </w:r>
      <w:bookmarkEnd w:id="38"/>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根据《四川省国土资源厅关于做好矿山地质环境保护与恢复治理方案编报工作的通知》（川国土资发〔2023〕358号）有关规定，新建矿山的《方案》适用期限可依据批准的《矿产资源开发利用方案》中的设计年限确定。因此本方案根据《大英县玉峰镇浅垭子砖瓦用页岩矿开发利用方案》中的设计服务年限与治理、复垦期之和来确定方案适用年限。矿山设计的服务年限为9年，施工期1年，加上管护期3年，因此本方案使用年限为13年</w:t>
      </w: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方案基准期：</w:t>
      </w:r>
      <w:r>
        <w:rPr>
          <w:rFonts w:hint="eastAsia" w:ascii="仿宋" w:hAnsi="仿宋" w:eastAsia="仿宋" w:cs="仿宋"/>
          <w:color w:val="auto"/>
          <w:sz w:val="28"/>
          <w:szCs w:val="28"/>
          <w:highlight w:val="none"/>
          <w:lang w:val="en-US" w:eastAsia="zh-CN"/>
        </w:rPr>
        <w:t>矿山投产之日起算</w:t>
      </w:r>
      <w:r>
        <w:rPr>
          <w:rFonts w:hint="eastAsia" w:ascii="仿宋" w:hAnsi="仿宋" w:eastAsia="仿宋" w:cs="仿宋"/>
          <w:color w:val="auto"/>
          <w:sz w:val="28"/>
          <w:szCs w:val="28"/>
          <w:highlight w:val="none"/>
        </w:rPr>
        <w:t>。依据国家法律法规和相关政策要求，根据企业生产规划和矿山实际地质环境情况等因素变化，本方案在实施过程中，每5</w:t>
      </w:r>
      <w:r>
        <w:rPr>
          <w:rFonts w:hint="eastAsia" w:ascii="仿宋" w:hAnsi="仿宋" w:eastAsia="仿宋" w:cs="仿宋"/>
          <w:color w:val="auto"/>
          <w:sz w:val="28"/>
          <w:szCs w:val="28"/>
          <w:highlight w:val="none"/>
          <w:lang w:eastAsia="zh-CN"/>
        </w:rPr>
        <w:t>年</w:t>
      </w:r>
      <w:r>
        <w:rPr>
          <w:rFonts w:hint="eastAsia" w:ascii="仿宋" w:hAnsi="仿宋" w:eastAsia="仿宋" w:cs="仿宋"/>
          <w:color w:val="auto"/>
          <w:sz w:val="28"/>
          <w:szCs w:val="28"/>
          <w:highlight w:val="none"/>
        </w:rPr>
        <w:t>进行修订。当矿山扩大生产规模、扩大矿区范围、变更开采方式时，应重新编制或修订矿山地质环境保护与土地复垦方案。</w:t>
      </w:r>
    </w:p>
    <w:p>
      <w:pPr>
        <w:pStyle w:val="4"/>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39" w:name="_Toc21110"/>
      <w:r>
        <w:rPr>
          <w:rFonts w:ascii="Times New Roman" w:hAnsi="Times New Roman" w:eastAsia="宋体" w:cs="Times New Roman"/>
          <w:bCs/>
          <w:color w:val="auto"/>
          <w:sz w:val="30"/>
          <w:szCs w:val="32"/>
          <w:highlight w:val="none"/>
        </w:rPr>
        <w:t>六、编制工作概况</w:t>
      </w:r>
      <w:bookmarkEnd w:id="39"/>
    </w:p>
    <w:p>
      <w:pPr>
        <w:pStyle w:val="5"/>
        <w:rPr>
          <w:rFonts w:ascii="Times New Roman" w:hAnsi="Times New Roman" w:eastAsia="宋体" w:cs="Times New Roman"/>
          <w:color w:val="auto"/>
          <w:highlight w:val="none"/>
        </w:rPr>
      </w:pPr>
      <w:bookmarkStart w:id="40" w:name="_Toc31582"/>
      <w:bookmarkStart w:id="41" w:name="_Toc19641"/>
      <w:r>
        <w:rPr>
          <w:rFonts w:ascii="Times New Roman" w:hAnsi="Times New Roman" w:eastAsia="宋体" w:cs="Times New Roman"/>
          <w:color w:val="auto"/>
          <w:highlight w:val="none"/>
        </w:rPr>
        <w:t>（一）工作程序</w:t>
      </w:r>
      <w:bookmarkEnd w:id="40"/>
      <w:bookmarkEnd w:id="41"/>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本次方案编制工作按照《土地复垦方案编制规程》（TD/T1031-2011）、《矿山地质环境保护与恢复治理方案编制规范》（DZ/T223－2011）、《土地复垦方案编制规程 第一部分：通则》（TD/T 1031.1-2011）、《矿山地质环境保护和土地复垦方案编制指南》以及自然资源部颁发的《国土资源部办公厅关于做好地质环境保护与土地复垦方案编报有关工作的通知》（国土资规〔2016〕21号）文件规定的程序进行，主要工作程序为：资料收集及综合分析，确定评估范围及评估级别→现场踏勘、矿山地质环境及土地资源等调查→确定矿山地质环境评估范围和复垦区→开展矿山地质环境影响评估和土地复垦适宜性评价→矿山地质环境保护与土地复垦分区→部署矿山地质环境保护与土地复垦工程→编制《</w:t>
      </w:r>
      <w:r>
        <w:rPr>
          <w:rFonts w:hint="eastAsia" w:ascii="仿宋" w:hAnsi="仿宋" w:eastAsia="仿宋" w:cs="仿宋"/>
          <w:color w:val="auto"/>
          <w:sz w:val="28"/>
          <w:szCs w:val="28"/>
          <w:highlight w:val="none"/>
          <w:lang w:val="en-US" w:eastAsia="zh-CN"/>
        </w:rPr>
        <w:t>大英县浅垭子村砖瓦用页岩</w:t>
      </w:r>
      <w:r>
        <w:rPr>
          <w:rFonts w:hint="eastAsia" w:ascii="仿宋" w:hAnsi="仿宋" w:eastAsia="仿宋" w:cs="仿宋"/>
          <w:color w:val="auto"/>
          <w:sz w:val="28"/>
          <w:szCs w:val="28"/>
          <w:highlight w:val="none"/>
        </w:rPr>
        <w:t>矿矿山地质环境保护与土地复垦方案》。本次矿山地质环境保护和土地复垦方案的具体技术路线见下图0-1。</w:t>
      </w:r>
    </w:p>
    <w:p>
      <w:pPr>
        <w:pStyle w:val="2"/>
        <w:rPr>
          <w:rFonts w:hint="eastAsia" w:ascii="仿宋" w:hAnsi="仿宋" w:eastAsia="仿宋" w:cs="仿宋"/>
          <w:color w:val="auto"/>
          <w:sz w:val="28"/>
          <w:szCs w:val="28"/>
          <w:highlight w:val="none"/>
        </w:rPr>
      </w:pPr>
    </w:p>
    <w:p>
      <w:pPr>
        <w:rPr>
          <w:rFonts w:hint="eastAsia"/>
          <w:color w:val="auto"/>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资料收集及综合分析，确定评估范围及评估级别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auto" w:sz="4" w:space="0"/>
              <w:left w:val="single" w:color="FFFFFF" w:sz="4" w:space="0"/>
              <w:bottom w:val="single" w:color="auto" w:sz="4" w:space="0"/>
              <w:right w:val="single" w:color="FFFFFF" w:sz="4" w:space="0"/>
            </w:tcBorders>
            <w:vAlign w:val="center"/>
          </w:tcPr>
          <w:p>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1312" behindDoc="0" locked="0" layoutInCell="1" allowOverlap="1">
                  <wp:simplePos x="0" y="0"/>
                  <wp:positionH relativeFrom="column">
                    <wp:posOffset>1492885</wp:posOffset>
                  </wp:positionH>
                  <wp:positionV relativeFrom="paragraph">
                    <wp:posOffset>13970</wp:posOffset>
                  </wp:positionV>
                  <wp:extent cx="72390" cy="240665"/>
                  <wp:effectExtent l="0" t="0" r="3810" b="3175"/>
                  <wp:wrapNone/>
                  <wp:docPr id="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true"/>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现场踏勘、矿山地质环境和土地资源等调查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auto" w:sz="4" w:space="0"/>
              <w:left w:val="single" w:color="FFFFFF" w:sz="4" w:space="0"/>
              <w:bottom w:val="single" w:color="auto" w:sz="4" w:space="0"/>
              <w:right w:val="single" w:color="FFFFFF" w:sz="4" w:space="0"/>
            </w:tcBorders>
            <w:vAlign w:val="center"/>
          </w:tcPr>
          <w:p>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0288" behindDoc="0" locked="0" layoutInCell="1" allowOverlap="1">
                  <wp:simplePos x="0" y="0"/>
                  <wp:positionH relativeFrom="column">
                    <wp:posOffset>1492885</wp:posOffset>
                  </wp:positionH>
                  <wp:positionV relativeFrom="paragraph">
                    <wp:posOffset>34290</wp:posOffset>
                  </wp:positionV>
                  <wp:extent cx="72390" cy="240665"/>
                  <wp:effectExtent l="0" t="0" r="3810" b="3175"/>
                  <wp:wrapNone/>
                  <wp:docPr id="2" name="直接箭头连接符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直接箭头连接符 5"/>
                          <pic:cNvPicPr>
                            <a:picLocks noChangeAspect="true"/>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确定矿山地质环境评估范围和复垦区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auto" w:sz="4" w:space="0"/>
              <w:left w:val="single" w:color="FFFFFF" w:sz="4" w:space="0"/>
              <w:bottom w:val="single" w:color="auto" w:sz="4" w:space="0"/>
              <w:right w:val="single" w:color="FFFFFF" w:sz="4" w:space="0"/>
            </w:tcBorders>
            <w:vAlign w:val="center"/>
          </w:tcPr>
          <w:p>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2336" behindDoc="0" locked="0" layoutInCell="1" allowOverlap="1">
                  <wp:simplePos x="0" y="0"/>
                  <wp:positionH relativeFrom="column">
                    <wp:posOffset>1492885</wp:posOffset>
                  </wp:positionH>
                  <wp:positionV relativeFrom="paragraph">
                    <wp:posOffset>54610</wp:posOffset>
                  </wp:positionV>
                  <wp:extent cx="72390" cy="240665"/>
                  <wp:effectExtent l="0" t="0" r="3810" b="3175"/>
                  <wp:wrapNone/>
                  <wp:docPr id="4"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true"/>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矿山地质环境影响评估和土地复垦适宜性评价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auto" w:sz="4" w:space="0"/>
              <w:left w:val="single" w:color="FFFFFF" w:sz="4" w:space="0"/>
              <w:bottom w:val="single" w:color="auto" w:sz="4" w:space="0"/>
              <w:right w:val="single" w:color="FFFFFF" w:sz="4" w:space="0"/>
            </w:tcBorders>
            <w:vAlign w:val="center"/>
          </w:tcPr>
          <w:p>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3360" behindDoc="0" locked="0" layoutInCell="1" allowOverlap="1">
                  <wp:simplePos x="0" y="0"/>
                  <wp:positionH relativeFrom="column">
                    <wp:posOffset>1492885</wp:posOffset>
                  </wp:positionH>
                  <wp:positionV relativeFrom="paragraph">
                    <wp:posOffset>74930</wp:posOffset>
                  </wp:positionV>
                  <wp:extent cx="72390" cy="240665"/>
                  <wp:effectExtent l="0" t="0" r="3810" b="3175"/>
                  <wp:wrapNone/>
                  <wp:docPr id="6"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true"/>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矿山地质环境保护与土地复垦分区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FFFFFF" w:sz="4" w:space="0"/>
              <w:left w:val="single" w:color="FFFFFF" w:sz="4" w:space="0"/>
              <w:bottom w:val="single" w:color="auto" w:sz="4" w:space="0"/>
              <w:right w:val="single" w:color="FFFFFF" w:sz="4" w:space="0"/>
            </w:tcBorders>
            <w:vAlign w:val="center"/>
          </w:tcPr>
          <w:p>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4384" behindDoc="0" locked="0" layoutInCell="1" allowOverlap="1">
                  <wp:simplePos x="0" y="0"/>
                  <wp:positionH relativeFrom="column">
                    <wp:posOffset>1492885</wp:posOffset>
                  </wp:positionH>
                  <wp:positionV relativeFrom="paragraph">
                    <wp:posOffset>25400</wp:posOffset>
                  </wp:positionV>
                  <wp:extent cx="72390" cy="240665"/>
                  <wp:effectExtent l="0" t="0" r="3810" b="3175"/>
                  <wp:wrapNone/>
                  <wp:docPr id="1"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true"/>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矿山地质环境保护与土地复垦方案报告编写和图件编绘</w:t>
            </w:r>
          </w:p>
        </w:tc>
      </w:tr>
    </w:tbl>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图0-1  工作程序框图</w:t>
      </w:r>
    </w:p>
    <w:p>
      <w:pPr>
        <w:pStyle w:val="5"/>
        <w:rPr>
          <w:rFonts w:ascii="Times New Roman" w:hAnsi="Times New Roman" w:eastAsia="宋体" w:cs="Times New Roman"/>
          <w:color w:val="auto"/>
          <w:highlight w:val="none"/>
        </w:rPr>
      </w:pPr>
      <w:bookmarkStart w:id="42" w:name="_Toc29568"/>
      <w:bookmarkStart w:id="43" w:name="_Toc7226"/>
      <w:r>
        <w:rPr>
          <w:rFonts w:ascii="Times New Roman" w:hAnsi="Times New Roman" w:eastAsia="宋体" w:cs="Times New Roman"/>
          <w:color w:val="auto"/>
          <w:highlight w:val="none"/>
        </w:rPr>
        <w:t>（二）工作方法</w:t>
      </w:r>
      <w:bookmarkEnd w:id="42"/>
      <w:bookmarkEnd w:id="43"/>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我公司在接到委托任务后，按</w:t>
      </w:r>
      <w:r>
        <w:rPr>
          <w:rFonts w:hint="eastAsia" w:ascii="仿宋" w:hAnsi="仿宋" w:eastAsia="仿宋" w:cs="仿宋"/>
          <w:color w:val="auto"/>
          <w:sz w:val="28"/>
          <w:szCs w:val="28"/>
          <w:highlight w:val="none"/>
          <w:lang w:val="zh-CN"/>
        </w:rPr>
        <w:t>编制规范</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矿山地质环境保护与恢复治理方案编制规范</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（DZ/T223－2011）、《土地复垦方案编制实务》</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矿山地质环境保护与土地复垦方案编制指南</w:t>
      </w:r>
      <w:r>
        <w:rPr>
          <w:rFonts w:hint="eastAsia" w:ascii="仿宋" w:hAnsi="仿宋" w:eastAsia="仿宋" w:cs="仿宋"/>
          <w:color w:val="auto"/>
          <w:sz w:val="28"/>
          <w:szCs w:val="28"/>
          <w:highlight w:val="none"/>
        </w:rPr>
        <w:t>》中要求的工作程序，在充分收集、综合分析建设项目相关资料的基础上，</w:t>
      </w:r>
      <w:r>
        <w:rPr>
          <w:rFonts w:hint="eastAsia" w:ascii="仿宋" w:hAnsi="仿宋" w:eastAsia="仿宋" w:cs="仿宋"/>
          <w:color w:val="auto"/>
          <w:sz w:val="28"/>
          <w:szCs w:val="28"/>
          <w:highlight w:val="none"/>
          <w:lang w:val="zh-CN"/>
        </w:rPr>
        <w:t>确定调查评估范围、初步确定评估级别；开展矿山地质环境现状和土地资源调查，</w:t>
      </w:r>
      <w:r>
        <w:rPr>
          <w:rFonts w:hint="eastAsia" w:ascii="仿宋" w:hAnsi="仿宋" w:eastAsia="仿宋" w:cs="仿宋"/>
          <w:color w:val="auto"/>
          <w:sz w:val="28"/>
          <w:szCs w:val="28"/>
          <w:highlight w:val="none"/>
        </w:rPr>
        <w:t>广泛征询土地复垦义务人、政府相关部门、土地使用权人和社会公众的意愿。现场调查完成后，结合前期收集的资料对现场调查收集的</w:t>
      </w:r>
      <w:r>
        <w:rPr>
          <w:rFonts w:hint="eastAsia" w:ascii="仿宋" w:hAnsi="仿宋" w:eastAsia="仿宋" w:cs="仿宋"/>
          <w:color w:val="auto"/>
          <w:sz w:val="28"/>
          <w:szCs w:val="28"/>
          <w:highlight w:val="none"/>
          <w:lang w:val="zh-CN"/>
        </w:rPr>
        <w:t>资料进行综合整理分析，进行矿山地质环境影响和土地损毁评估，在此基础上，进行矿山地质环境保护与恢复治理分区和土地复垦范围确定，制订恢复治理措施和复垦方案，提出保护和预防、恢复治理工程，拟定监测方案，并进行治理经费估算和效益分析。</w:t>
      </w:r>
      <w:r>
        <w:rPr>
          <w:rFonts w:hint="eastAsia" w:ascii="仿宋" w:hAnsi="仿宋" w:eastAsia="仿宋" w:cs="仿宋"/>
          <w:color w:val="auto"/>
          <w:sz w:val="28"/>
          <w:szCs w:val="28"/>
          <w:highlight w:val="none"/>
        </w:rPr>
        <w:t>对初步拟定的矿山地质环境保护与土地复垦方案广泛征询土地复垦义务人、政府相关部门、土地使用权人和社会公众的意愿，从组织、经济、技术、公众接受程度等方面进行可行性论证。最后依据方案协调论证结果，确定土地复垦标准，优化工程设计，完善工程量测算及投资估算，细化地质环境保护与土地复垦实施计划安排以及资金、技术和组织管理保障措施等。</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1、资料收集与分析</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在开展野外调查工作前，充分收集、分析、整理相关资料，了解评估区地质环境条件和土地资源状况，分析已有资料情况，确定补充资料内容，并确定评估范围和评估级别，在此基础上初步确定野外调查方法、调查路线和调查内容等。</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2、野外调查</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野外调查采用路线穿插，地质环境点重点追索的调查方法进行。做到了逢人必问、遇沟必看，访问调查与实际调查相结合。野外采用1：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zh-CN"/>
        </w:rPr>
        <w:t>000地形图作野外手图，调查点采用GPS和地形地物校核定位，对可能因采矿活动而受影响的范围进行重点调查，并对</w:t>
      </w:r>
      <w:r>
        <w:rPr>
          <w:rFonts w:hint="eastAsia" w:ascii="仿宋" w:hAnsi="仿宋" w:eastAsia="仿宋" w:cs="仿宋"/>
          <w:color w:val="auto"/>
          <w:sz w:val="28"/>
          <w:szCs w:val="28"/>
          <w:highlight w:val="none"/>
        </w:rPr>
        <w:t>地质灾害点</w:t>
      </w:r>
      <w:r>
        <w:rPr>
          <w:rFonts w:hint="eastAsia" w:ascii="仿宋" w:hAnsi="仿宋" w:eastAsia="仿宋" w:cs="仿宋"/>
          <w:color w:val="auto"/>
          <w:sz w:val="28"/>
          <w:szCs w:val="28"/>
          <w:highlight w:val="none"/>
          <w:lang w:val="zh-CN"/>
        </w:rPr>
        <w:t>和重要地质现象进行详细记录和拍照，保证了调查的质量。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（1）搜集区内已有的地质勘探、储量核实、可研、初步设计和开发利用方案、土地现状及规划等资料。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（2）确定调查范围：评估范围以矿区范围、地表用地范围为基础，考虑到矿体采动后对地表的影响，调查范围在影响范围基础上外扩，若遇泥石流沟，则扩大调查范围至500～2000m，总面积约0.04</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km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（3）野外调查内容：</w:t>
      </w:r>
      <w:r>
        <w:rPr>
          <w:rFonts w:hint="eastAsia" w:ascii="仿宋" w:hAnsi="仿宋" w:eastAsia="仿宋" w:cs="仿宋"/>
          <w:color w:val="auto"/>
          <w:sz w:val="28"/>
          <w:szCs w:val="28"/>
          <w:highlight w:val="none"/>
          <w:lang w:val="zh-CN"/>
        </w:rPr>
        <w:t>主要对区内交通、矿山建设情况、居民饮用水井、村庄、植被覆盖率、土壤情况、地形地貌、现状下地质环境条件等进行了调查，</w:t>
      </w:r>
      <w:r>
        <w:rPr>
          <w:rFonts w:hint="eastAsia" w:ascii="仿宋" w:hAnsi="仿宋" w:eastAsia="仿宋" w:cs="仿宋"/>
          <w:color w:val="auto"/>
          <w:sz w:val="28"/>
          <w:szCs w:val="28"/>
          <w:highlight w:val="none"/>
        </w:rPr>
        <w:t>基本查明了评估区内的地质环境问题。</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3、室内资料整理及综合分析</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在综合分析研究已有资料和实际调查资料的基础上，按照《矿山地质环境保护与土地复垦方案编制指南》的工作程序，进行矿山地质环境影响现状评估、预测评估，编制相关图件，进行防治分区，确定恢复治理目标与治理工程，进行治理经费估算，最终提交《</w:t>
      </w:r>
      <w:r>
        <w:rPr>
          <w:rFonts w:hint="eastAsia" w:ascii="仿宋" w:hAnsi="仿宋" w:eastAsia="仿宋" w:cs="仿宋"/>
          <w:color w:val="auto"/>
          <w:sz w:val="28"/>
          <w:szCs w:val="28"/>
          <w:highlight w:val="none"/>
          <w:lang w:val="en-US" w:eastAsia="zh-CN"/>
        </w:rPr>
        <w:t>大英县浅垭子村砖瓦用</w:t>
      </w:r>
      <w:r>
        <w:rPr>
          <w:rFonts w:hint="eastAsia" w:ascii="仿宋" w:hAnsi="仿宋" w:eastAsia="仿宋" w:cs="仿宋"/>
          <w:color w:val="auto"/>
          <w:sz w:val="28"/>
          <w:szCs w:val="28"/>
          <w:highlight w:val="none"/>
        </w:rPr>
        <w:t>页岩矿</w:t>
      </w:r>
      <w:r>
        <w:rPr>
          <w:rFonts w:hint="eastAsia" w:ascii="仿宋" w:hAnsi="仿宋" w:eastAsia="仿宋" w:cs="仿宋"/>
          <w:color w:val="auto"/>
          <w:sz w:val="28"/>
          <w:szCs w:val="28"/>
          <w:highlight w:val="none"/>
          <w:lang w:val="en-GB"/>
        </w:rPr>
        <w:t>矿山地质环境保护与土地复垦方案</w:t>
      </w:r>
      <w:r>
        <w:rPr>
          <w:rFonts w:hint="eastAsia" w:ascii="仿宋" w:hAnsi="仿宋" w:eastAsia="仿宋" w:cs="仿宋"/>
          <w:color w:val="auto"/>
          <w:sz w:val="28"/>
          <w:szCs w:val="28"/>
          <w:highlight w:val="none"/>
        </w:rPr>
        <w:t>》文本、估算、附件及附图等</w:t>
      </w:r>
      <w:r>
        <w:rPr>
          <w:rFonts w:hint="eastAsia" w:ascii="仿宋" w:hAnsi="仿宋" w:eastAsia="仿宋" w:cs="仿宋"/>
          <w:color w:val="auto"/>
          <w:sz w:val="28"/>
          <w:szCs w:val="28"/>
          <w:highlight w:val="none"/>
          <w:lang w:val="zh-CN"/>
        </w:rPr>
        <w:t>。</w:t>
      </w:r>
    </w:p>
    <w:p>
      <w:pPr>
        <w:pStyle w:val="5"/>
        <w:rPr>
          <w:rFonts w:ascii="Times New Roman" w:hAnsi="Times New Roman" w:eastAsia="宋体" w:cs="Times New Roman"/>
          <w:bCs/>
          <w:color w:val="auto"/>
          <w:highlight w:val="none"/>
        </w:rPr>
      </w:pPr>
      <w:bookmarkStart w:id="44" w:name="_Toc325634030"/>
      <w:bookmarkStart w:id="45" w:name="_Toc4315"/>
      <w:bookmarkStart w:id="46" w:name="_Toc317499451"/>
      <w:bookmarkStart w:id="47" w:name="_Toc19687"/>
      <w:bookmarkStart w:id="48" w:name="_Toc333940497"/>
      <w:bookmarkStart w:id="49" w:name="_Toc317496140"/>
      <w:r>
        <w:rPr>
          <w:rFonts w:ascii="Times New Roman" w:hAnsi="Times New Roman" w:eastAsia="宋体" w:cs="Times New Roman"/>
          <w:bCs/>
          <w:color w:val="auto"/>
          <w:highlight w:val="none"/>
        </w:rPr>
        <w:t>（三）现场调查工作量</w:t>
      </w:r>
      <w:bookmarkEnd w:id="44"/>
      <w:bookmarkEnd w:id="45"/>
      <w:bookmarkEnd w:id="46"/>
      <w:bookmarkEnd w:id="47"/>
      <w:bookmarkEnd w:id="48"/>
      <w:bookmarkEnd w:id="49"/>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本方案编制工作前期，资料收集较全面，地质环境现场调查工作基本按国家现行有关技术规范进行，工作精度符合现行技术规范要求，达到了预期工作目的。现场调查工作量见表0-1。</w:t>
      </w:r>
    </w:p>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表0-1  现场调查工作量一览表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56"/>
        <w:gridCol w:w="5046"/>
        <w:gridCol w:w="636"/>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blHeader/>
          <w:jc w:val="center"/>
        </w:trPr>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工作项目</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内容</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单位</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0" w:type="auto"/>
            <w:vMerge w:val="restart"/>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0" w:type="auto"/>
            <w:vMerge w:val="restart"/>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收集资料</w:t>
            </w:r>
          </w:p>
        </w:tc>
        <w:tc>
          <w:tcPr>
            <w:tcW w:w="0" w:type="auto"/>
            <w:vAlign w:val="center"/>
          </w:tcPr>
          <w:p>
            <w:pPr>
              <w:pStyle w:val="52"/>
              <w:keepNext w:val="0"/>
              <w:keepLines w:val="0"/>
              <w:pageBreakBefore w:val="0"/>
              <w:kinsoku/>
              <w:wordWrap/>
              <w:overflowPunct/>
              <w:topLinePunct w:val="0"/>
              <w:autoSpaceDE/>
              <w:autoSpaceDN/>
              <w:bidi w:val="0"/>
              <w:adjustRightInd/>
              <w:textAlignment w:val="auto"/>
              <w:rPr>
                <w:rFonts w:hint="default"/>
                <w:color w:val="auto"/>
                <w:highlight w:val="none"/>
              </w:rPr>
            </w:pPr>
            <w:r>
              <w:rPr>
                <w:rFonts w:hint="default"/>
                <w:color w:val="auto"/>
                <w:highlight w:val="none"/>
              </w:rPr>
              <w:t>《</w:t>
            </w:r>
            <w:r>
              <w:rPr>
                <w:rFonts w:hint="eastAsia"/>
                <w:color w:val="auto"/>
                <w:highlight w:val="none"/>
                <w:lang w:val="en-US" w:eastAsia="zh-CN"/>
              </w:rPr>
              <w:t>大英县浅垭子村砖瓦用页岩矿矿山</w:t>
            </w:r>
            <w:r>
              <w:rPr>
                <w:rFonts w:hint="default"/>
                <w:color w:val="auto"/>
                <w:highlight w:val="none"/>
              </w:rPr>
              <w:t>开发利用方案》</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份</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jc w:val="center"/>
        </w:trPr>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pPr>
              <w:pStyle w:val="52"/>
              <w:keepNext w:val="0"/>
              <w:keepLines w:val="0"/>
              <w:pageBreakBefore w:val="0"/>
              <w:kinsoku/>
              <w:wordWrap/>
              <w:overflowPunct/>
              <w:topLinePunct w:val="0"/>
              <w:autoSpaceDE/>
              <w:autoSpaceDN/>
              <w:bidi w:val="0"/>
              <w:adjustRightInd/>
              <w:textAlignment w:val="auto"/>
              <w:rPr>
                <w:rFonts w:hint="default"/>
                <w:color w:val="auto"/>
                <w:highlight w:val="none"/>
              </w:rPr>
            </w:pPr>
            <w:r>
              <w:rPr>
                <w:rFonts w:hint="default"/>
                <w:color w:val="auto"/>
                <w:highlight w:val="none"/>
              </w:rPr>
              <w:t>《</w:t>
            </w:r>
            <w:r>
              <w:rPr>
                <w:rFonts w:hint="eastAsia"/>
                <w:color w:val="auto"/>
                <w:highlight w:val="none"/>
                <w:lang w:val="en-US" w:eastAsia="zh-CN"/>
              </w:rPr>
              <w:t>大英县浅垭子村砖瓦用页岩矿勘查</w:t>
            </w:r>
            <w:r>
              <w:rPr>
                <w:rFonts w:hint="default"/>
                <w:color w:val="auto"/>
                <w:highlight w:val="none"/>
              </w:rPr>
              <w:t>报告》</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份</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pPr>
              <w:pStyle w:val="52"/>
              <w:keepNext w:val="0"/>
              <w:keepLines w:val="0"/>
              <w:pageBreakBefore w:val="0"/>
              <w:kinsoku/>
              <w:wordWrap/>
              <w:overflowPunct/>
              <w:topLinePunct w:val="0"/>
              <w:autoSpaceDE/>
              <w:autoSpaceDN/>
              <w:bidi w:val="0"/>
              <w:adjustRightInd/>
              <w:textAlignment w:val="auto"/>
              <w:rPr>
                <w:rFonts w:hint="default"/>
                <w:color w:val="auto"/>
                <w:highlight w:val="none"/>
              </w:rPr>
            </w:pPr>
            <w:r>
              <w:rPr>
                <w:rFonts w:hint="eastAsia"/>
                <w:color w:val="auto"/>
                <w:highlight w:val="none"/>
                <w:lang w:val="en-US" w:eastAsia="zh-CN"/>
              </w:rPr>
              <w:t>大英县最新</w:t>
            </w:r>
            <w:r>
              <w:rPr>
                <w:rFonts w:hint="default"/>
                <w:color w:val="auto"/>
                <w:highlight w:val="none"/>
              </w:rPr>
              <w:t>土地利用总体规划图</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份</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0" w:type="auto"/>
            <w:vMerge w:val="restart"/>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0" w:type="auto"/>
            <w:vMerge w:val="restart"/>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野外调查</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调查面积</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km</w:t>
            </w:r>
            <w:r>
              <w:rPr>
                <w:rFonts w:ascii="Times New Roman" w:hAnsi="Times New Roman" w:eastAsia="宋体" w:cs="Times New Roman"/>
                <w:color w:val="auto"/>
                <w:highlight w:val="none"/>
                <w:vertAlign w:val="superscript"/>
              </w:rPr>
              <w:t>2</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调查线路</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条</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调查点</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个</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村庄</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处</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访问人数</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人</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地质点</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处</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拍摄相关照片</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张</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调查持续时间</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天</w:t>
            </w:r>
          </w:p>
        </w:tc>
        <w:tc>
          <w:tcPr>
            <w:tcW w:w="0" w:type="auto"/>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r>
    </w:tbl>
    <w:p>
      <w:pPr>
        <w:pStyle w:val="22"/>
        <w:ind w:firstLine="600"/>
        <w:rPr>
          <w:rFonts w:ascii="Times New Roman" w:hAnsi="Times New Roman" w:eastAsia="宋体" w:cs="Times New Roman"/>
          <w:color w:val="auto"/>
          <w:highlight w:val="none"/>
        </w:rPr>
      </w:pPr>
    </w:p>
    <w:p>
      <w:pPr>
        <w:rPr>
          <w:rFonts w:ascii="Times New Roman" w:hAnsi="Times New Roman" w:eastAsia="宋体" w:cs="Times New Roman"/>
          <w:color w:val="auto"/>
          <w:highlight w:val="none"/>
        </w:rPr>
      </w:pPr>
    </w:p>
    <w:p>
      <w:pPr>
        <w:pStyle w:val="22"/>
        <w:ind w:firstLine="600"/>
        <w:rPr>
          <w:rFonts w:ascii="Times New Roman" w:hAnsi="Times New Roman" w:cs="Times New Roman"/>
          <w:color w:val="auto"/>
          <w:highlight w:val="none"/>
        </w:rPr>
        <w:sectPr>
          <w:footerReference r:id="rId3" w:type="default"/>
          <w:pgSz w:w="11906" w:h="16838"/>
          <w:pgMar w:top="1440" w:right="1800" w:bottom="1440" w:left="1800" w:header="851" w:footer="992" w:gutter="0"/>
          <w:pgNumType w:start="1"/>
          <w:cols w:space="425" w:num="1"/>
          <w:docGrid w:type="lines" w:linePitch="312" w:charSpace="0"/>
        </w:sectPr>
      </w:pPr>
    </w:p>
    <w:p>
      <w:pPr>
        <w:pStyle w:val="3"/>
        <w:spacing w:before="200" w:after="200" w:line="360" w:lineRule="auto"/>
        <w:jc w:val="center"/>
        <w:rPr>
          <w:rFonts w:ascii="Times New Roman" w:hAnsi="Times New Roman" w:eastAsia="宋体" w:cs="Times New Roman"/>
          <w:bCs/>
          <w:color w:val="auto"/>
          <w:sz w:val="32"/>
          <w:szCs w:val="44"/>
          <w:highlight w:val="none"/>
        </w:rPr>
      </w:pPr>
      <w:bookmarkStart w:id="50" w:name="_Toc27691"/>
      <w:r>
        <w:rPr>
          <w:rFonts w:ascii="Times New Roman" w:hAnsi="Times New Roman" w:eastAsia="宋体" w:cs="Times New Roman"/>
          <w:bCs/>
          <w:color w:val="auto"/>
          <w:sz w:val="32"/>
          <w:szCs w:val="44"/>
          <w:highlight w:val="none"/>
        </w:rPr>
        <w:t>第1章  矿山基本情况</w:t>
      </w:r>
      <w:bookmarkEnd w:id="50"/>
    </w:p>
    <w:p>
      <w:pPr>
        <w:pStyle w:val="4"/>
        <w:spacing w:before="156" w:beforeLines="50" w:after="156" w:afterLines="50" w:line="360" w:lineRule="auto"/>
        <w:jc w:val="left"/>
        <w:rPr>
          <w:rFonts w:ascii="Times New Roman" w:hAnsi="Times New Roman" w:eastAsia="宋体" w:cs="Times New Roman"/>
          <w:bCs/>
          <w:color w:val="auto"/>
          <w:sz w:val="30"/>
          <w:szCs w:val="32"/>
          <w:highlight w:val="none"/>
          <w:lang w:val="zh-CN"/>
        </w:rPr>
      </w:pPr>
      <w:bookmarkStart w:id="51" w:name="_Toc3560"/>
      <w:r>
        <w:rPr>
          <w:rFonts w:ascii="Times New Roman" w:hAnsi="Times New Roman" w:eastAsia="宋体" w:cs="Times New Roman"/>
          <w:bCs/>
          <w:color w:val="auto"/>
          <w:sz w:val="30"/>
          <w:szCs w:val="32"/>
          <w:highlight w:val="none"/>
        </w:rPr>
        <w:t>一、</w:t>
      </w:r>
      <w:r>
        <w:rPr>
          <w:rFonts w:ascii="Times New Roman" w:hAnsi="Times New Roman" w:eastAsia="宋体" w:cs="Times New Roman"/>
          <w:bCs/>
          <w:color w:val="auto"/>
          <w:sz w:val="30"/>
          <w:szCs w:val="32"/>
          <w:highlight w:val="none"/>
          <w:lang w:val="zh-CN"/>
        </w:rPr>
        <w:t>矿山简介</w:t>
      </w:r>
      <w:bookmarkEnd w:id="51"/>
    </w:p>
    <w:p>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大英县位于四川盆地中东部的长江上游北岸涪江流域中段，属遂宁市管辖。地理坐标为：东经105°15′00″～105°19′00″、北纬30°27′45″～31°30′00″。县域东西长34.3km，南北宽29.8km，幅员面积702.6km²。北接遂宁的射洪县、南邻遂宁的安居区、西连德阳中江县及资阳市安岳县和乐至县、东北与蓬溪县隔江相望、东南与遂宁船山区接壤，县城距成都市111km、距遂宁市45km、距德阳市145km、绵阳148km。</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玉峰镇浅垭子村砖瓦用页岩规划开采区块位于大英县西部的玉峰镇，距玉峰镇直距约1.4km，毗邻105乡道，中心点坐标X:3389125.459、Y：35512789.255（2000国家大地坐标系）。矿区由多条乡间小路相连，交通条件良好。</w:t>
      </w:r>
    </w:p>
    <w:p>
      <w:pPr>
        <w:keepNext w:val="0"/>
        <w:keepLines w:val="0"/>
        <w:pageBreakBefore w:val="0"/>
        <w:widowControl w:val="0"/>
        <w:kinsoku/>
        <w:wordWrap/>
        <w:overflowPunct/>
        <w:topLinePunct w:val="0"/>
        <w:autoSpaceDE/>
        <w:autoSpaceDN/>
        <w:bidi w:val="0"/>
        <w:ind w:firstLine="105" w:firstLineChars="50"/>
        <w:jc w:val="center"/>
        <w:textAlignment w:val="auto"/>
        <w:rPr>
          <w:rFonts w:ascii="黑体" w:hAnsi="黑体" w:eastAsia="黑体"/>
          <w:b/>
          <w:color w:val="auto"/>
          <w:sz w:val="21"/>
        </w:rPr>
      </w:pPr>
      <w:r>
        <w:rPr>
          <w:rFonts w:hint="eastAsia" w:ascii="仿宋_GB2312" w:hAnsi="仿宋_GB2312" w:eastAsia="仿宋_GB2312" w:cs="仿宋_GB2312"/>
          <w:color w:val="auto"/>
        </w:rPr>
        <w:drawing>
          <wp:inline distT="0" distB="0" distL="114300" distR="114300">
            <wp:extent cx="4865370" cy="3167380"/>
            <wp:effectExtent l="9525" t="9525" r="17145" b="23495"/>
            <wp:docPr id="8"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true"/>
                    </pic:cNvPicPr>
                  </pic:nvPicPr>
                  <pic:blipFill>
                    <a:blip r:embed="rId6"/>
                    <a:stretch>
                      <a:fillRect/>
                    </a:stretch>
                  </pic:blipFill>
                  <pic:spPr>
                    <a:xfrm>
                      <a:off x="0" y="0"/>
                      <a:ext cx="4865370" cy="3167380"/>
                    </a:xfrm>
                    <a:prstGeom prst="rect">
                      <a:avLst/>
                    </a:prstGeom>
                    <a:solidFill>
                      <a:schemeClr val="tx1"/>
                    </a:solidFill>
                    <a:ln w="1270">
                      <a:solidFill>
                        <a:schemeClr val="accent1"/>
                      </a:solidFill>
                    </a:ln>
                  </pic:spPr>
                </pic:pic>
              </a:graphicData>
            </a:graphic>
          </wp:inline>
        </w:drawing>
      </w:r>
    </w:p>
    <w:p>
      <w:pPr>
        <w:ind w:firstLine="422"/>
        <w:jc w:val="center"/>
        <w:rPr>
          <w:rFonts w:ascii="黑体" w:hAnsi="黑体" w:eastAsia="黑体"/>
          <w:b/>
          <w:color w:val="auto"/>
          <w:sz w:val="21"/>
        </w:rPr>
      </w:pPr>
      <w:r>
        <w:rPr>
          <w:rFonts w:hint="eastAsia" w:ascii="黑体" w:hAnsi="黑体" w:eastAsia="黑体"/>
          <w:b/>
          <w:color w:val="auto"/>
          <w:sz w:val="21"/>
        </w:rPr>
        <w:t xml:space="preserve">图1-1 </w:t>
      </w:r>
      <w:r>
        <w:rPr>
          <w:rFonts w:ascii="黑体" w:hAnsi="黑体" w:eastAsia="黑体"/>
          <w:b/>
          <w:color w:val="auto"/>
          <w:sz w:val="21"/>
        </w:rPr>
        <w:t>交通位置</w:t>
      </w:r>
      <w:r>
        <w:rPr>
          <w:rFonts w:hint="eastAsia" w:ascii="黑体" w:hAnsi="黑体" w:eastAsia="黑体"/>
          <w:b/>
          <w:color w:val="auto"/>
          <w:sz w:val="21"/>
        </w:rPr>
        <w:t>示意</w:t>
      </w:r>
      <w:r>
        <w:rPr>
          <w:rFonts w:ascii="黑体" w:hAnsi="黑体" w:eastAsia="黑体"/>
          <w:b/>
          <w:color w:val="auto"/>
          <w:sz w:val="21"/>
        </w:rPr>
        <w:t>图</w:t>
      </w:r>
    </w:p>
    <w:p>
      <w:pPr>
        <w:spacing w:line="360" w:lineRule="auto"/>
        <w:ind w:firstLine="480" w:firstLineChars="200"/>
        <w:rPr>
          <w:rFonts w:ascii="Times New Roman" w:hAnsi="Times New Roman" w:eastAsia="宋体" w:cs="Times New Roman"/>
          <w:color w:val="auto"/>
          <w:sz w:val="24"/>
          <w:szCs w:val="24"/>
          <w:highlight w:val="none"/>
          <w:lang w:val="zh-CN"/>
        </w:rPr>
      </w:pPr>
    </w:p>
    <w:p>
      <w:pPr>
        <w:pStyle w:val="4"/>
        <w:spacing w:before="120" w:after="120"/>
        <w:rPr>
          <w:rFonts w:ascii="Times New Roman" w:hAnsi="Times New Roman" w:eastAsia="宋体" w:cs="Times New Roman"/>
          <w:color w:val="auto"/>
          <w:highlight w:val="none"/>
          <w:lang w:val="zh-CN"/>
        </w:rPr>
      </w:pPr>
      <w:bookmarkStart w:id="52" w:name="_Toc4157"/>
      <w:bookmarkStart w:id="53" w:name="_Toc25670"/>
      <w:r>
        <w:rPr>
          <w:rFonts w:ascii="Times New Roman" w:hAnsi="Times New Roman" w:eastAsia="宋体" w:cs="Times New Roman"/>
          <w:color w:val="auto"/>
          <w:highlight w:val="none"/>
          <w:lang w:val="zh-CN"/>
        </w:rPr>
        <w:t>二、</w:t>
      </w:r>
      <w:r>
        <w:rPr>
          <w:rFonts w:hint="eastAsia" w:ascii="Times New Roman" w:hAnsi="Times New Roman" w:eastAsia="宋体" w:cs="Times New Roman"/>
          <w:color w:val="auto"/>
          <w:highlight w:val="none"/>
          <w:lang w:val="en-US" w:eastAsia="zh-CN"/>
        </w:rPr>
        <w:t>采矿权</w:t>
      </w:r>
      <w:r>
        <w:rPr>
          <w:rFonts w:ascii="Times New Roman" w:hAnsi="Times New Roman" w:eastAsia="宋体" w:cs="Times New Roman"/>
          <w:color w:val="auto"/>
          <w:highlight w:val="none"/>
          <w:lang w:val="zh-CN"/>
        </w:rPr>
        <w:t>范围及拐点坐标</w:t>
      </w:r>
      <w:bookmarkEnd w:id="52"/>
      <w:bookmarkEnd w:id="53"/>
    </w:p>
    <w:p>
      <w:pPr>
        <w:pStyle w:val="71"/>
        <w:adjustRightInd w:val="0"/>
        <w:snapToGrid w:val="0"/>
        <w:spacing w:line="360" w:lineRule="auto"/>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根据《大英县矿产资源总体规划》（2021—2025年），拟设开采区块名称及编号：大英县浅垭子村砖瓦用页岩开采规划区（CQ51092300003）；开采矿种：砖瓦用页岩。</w:t>
      </w:r>
    </w:p>
    <w:p>
      <w:pPr>
        <w:pStyle w:val="71"/>
        <w:adjustRightInd w:val="0"/>
        <w:snapToGrid w:val="0"/>
        <w:spacing w:line="360" w:lineRule="auto"/>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拟设大英县玉峰镇浅垭子村砖瓦用页岩矿采矿权由1～11号拐点圈闭，该区块周边无矿权设置，与已设采矿权无重叠。拐点坐标见表1-1：</w:t>
      </w:r>
    </w:p>
    <w:p>
      <w:pPr>
        <w:pStyle w:val="72"/>
        <w:rPr>
          <w:rFonts w:hint="eastAsia" w:ascii="仿宋_GB2312" w:hAnsi="仿宋_GB2312" w:eastAsia="仿宋_GB2312" w:cs="仿宋_GB2312"/>
          <w:b w:val="0"/>
          <w:color w:val="auto"/>
          <w:kern w:val="2"/>
          <w:sz w:val="28"/>
          <w:szCs w:val="28"/>
          <w:lang w:val="en-US" w:eastAsia="zh-CN" w:bidi="ar-SA"/>
        </w:rPr>
      </w:pPr>
      <w:r>
        <w:rPr>
          <w:rFonts w:hint="eastAsia" w:ascii="仿宋_GB2312" w:hAnsi="仿宋_GB2312" w:eastAsia="仿宋_GB2312" w:cs="仿宋_GB2312"/>
          <w:b w:val="0"/>
          <w:color w:val="auto"/>
          <w:kern w:val="2"/>
          <w:sz w:val="28"/>
          <w:szCs w:val="28"/>
          <w:lang w:val="en-US" w:eastAsia="zh-CN" w:bidi="ar-SA"/>
        </w:rPr>
        <w:t>表1-1 拟设采矿权拐点坐标一览表</w:t>
      </w:r>
    </w:p>
    <w:tbl>
      <w:tblPr>
        <w:tblStyle w:val="23"/>
        <w:tblW w:w="4999" w:type="pct"/>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589"/>
        <w:gridCol w:w="3355"/>
        <w:gridCol w:w="3570"/>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vMerge w:val="restar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拐点编号</w:t>
            </w:r>
          </w:p>
        </w:tc>
        <w:tc>
          <w:tcPr>
            <w:tcW w:w="4066" w:type="pct"/>
            <w:gridSpan w:val="2"/>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2000国家大地坐标系</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73"/>
              <w:rPr>
                <w:rFonts w:hint="eastAsia" w:ascii="仿宋_GB2312" w:hAnsi="仿宋_GB2312" w:eastAsia="仿宋_GB2312" w:cs="仿宋_GB2312"/>
                <w:color w:val="auto"/>
              </w:rPr>
            </w:pP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X(m)</w:t>
            </w:r>
          </w:p>
        </w:tc>
        <w:tc>
          <w:tcPr>
            <w:tcW w:w="2096"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Y(m)</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3389091.19</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35513046.09</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3389041.03</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35513001.32</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3389044.25</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35512915.89</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4</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3389102.45</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35512856.08</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5</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3389049.10</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35512713.82</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6</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3389147.95</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35512596.20</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7</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3389232.88</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35512628.87</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auto"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8</w:t>
            </w:r>
          </w:p>
        </w:tc>
        <w:tc>
          <w:tcPr>
            <w:tcW w:w="1970" w:type="pct"/>
            <w:tcBorders>
              <w:left w:val="single" w:color="000000" w:sz="4" w:space="0"/>
              <w:bottom w:val="single" w:color="auto" w:sz="4" w:space="0"/>
              <w:right w:val="single" w:color="000000"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3389252.48</w:t>
            </w:r>
          </w:p>
        </w:tc>
        <w:tc>
          <w:tcPr>
            <w:tcW w:w="2096" w:type="pct"/>
            <w:tcBorders>
              <w:left w:val="single" w:color="000000"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35512654.34</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top w:val="single" w:color="auto" w:sz="4" w:space="0"/>
              <w:left w:val="single" w:color="000000"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9</w:t>
            </w:r>
          </w:p>
        </w:tc>
        <w:tc>
          <w:tcPr>
            <w:tcW w:w="1970" w:type="pct"/>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3389155.79</w:t>
            </w:r>
          </w:p>
        </w:tc>
        <w:tc>
          <w:tcPr>
            <w:tcW w:w="2096" w:type="pct"/>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35512754.23</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top w:val="single" w:color="auto" w:sz="4" w:space="0"/>
              <w:left w:val="single" w:color="000000"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10</w:t>
            </w:r>
          </w:p>
        </w:tc>
        <w:tc>
          <w:tcPr>
            <w:tcW w:w="1970" w:type="pct"/>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3389194.59</w:t>
            </w:r>
          </w:p>
        </w:tc>
        <w:tc>
          <w:tcPr>
            <w:tcW w:w="2096" w:type="pct"/>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35512867.39</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top w:val="single" w:color="auto" w:sz="4" w:space="0"/>
              <w:left w:val="single" w:color="000000"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11</w:t>
            </w:r>
          </w:p>
        </w:tc>
        <w:tc>
          <w:tcPr>
            <w:tcW w:w="1970" w:type="pct"/>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3389094.36</w:t>
            </w:r>
          </w:p>
        </w:tc>
        <w:tc>
          <w:tcPr>
            <w:tcW w:w="2096" w:type="pct"/>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35512927.21</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top w:val="single" w:color="auto" w:sz="4" w:space="0"/>
              <w:left w:val="single" w:color="000000"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2"/>
                <w:szCs w:val="22"/>
              </w:rPr>
              <w:t>开采深度</w:t>
            </w:r>
          </w:p>
        </w:tc>
        <w:tc>
          <w:tcPr>
            <w:tcW w:w="4066" w:type="pct"/>
            <w:gridSpan w:val="2"/>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2"/>
                <w:szCs w:val="22"/>
              </w:rPr>
              <w:t>丛</w:t>
            </w:r>
            <w:r>
              <w:rPr>
                <w:rFonts w:hint="eastAsia" w:ascii="仿宋_GB2312" w:hAnsi="仿宋_GB2312" w:eastAsia="仿宋_GB2312" w:cs="仿宋_GB2312"/>
                <w:color w:val="auto"/>
                <w:kern w:val="0"/>
                <w:sz w:val="22"/>
                <w:szCs w:val="22"/>
                <w:lang w:val="en-US" w:eastAsia="zh-CN"/>
              </w:rPr>
              <w:t>402</w:t>
            </w:r>
            <w:r>
              <w:rPr>
                <w:rFonts w:hint="eastAsia" w:ascii="仿宋_GB2312" w:hAnsi="仿宋_GB2312" w:eastAsia="仿宋_GB2312" w:cs="仿宋_GB2312"/>
                <w:color w:val="auto"/>
                <w:kern w:val="0"/>
                <w:sz w:val="22"/>
                <w:szCs w:val="22"/>
              </w:rPr>
              <w:t>米到</w:t>
            </w:r>
            <w:r>
              <w:rPr>
                <w:rFonts w:hint="eastAsia" w:ascii="仿宋_GB2312" w:hAnsi="仿宋_GB2312" w:eastAsia="仿宋_GB2312" w:cs="仿宋_GB2312"/>
                <w:color w:val="auto"/>
                <w:kern w:val="0"/>
                <w:sz w:val="22"/>
                <w:szCs w:val="22"/>
                <w:lang w:val="en-US" w:eastAsia="zh-CN"/>
              </w:rPr>
              <w:t>250</w:t>
            </w:r>
            <w:r>
              <w:rPr>
                <w:rFonts w:hint="eastAsia" w:ascii="仿宋_GB2312" w:hAnsi="仿宋_GB2312" w:eastAsia="仿宋_GB2312" w:cs="仿宋_GB2312"/>
                <w:color w:val="auto"/>
                <w:kern w:val="0"/>
                <w:sz w:val="22"/>
                <w:szCs w:val="22"/>
              </w:rPr>
              <w:t>米</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top w:val="single" w:color="auto" w:sz="4" w:space="0"/>
              <w:left w:val="single" w:color="000000"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2"/>
                <w:szCs w:val="22"/>
              </w:rPr>
              <w:t>矿区面积</w:t>
            </w:r>
          </w:p>
        </w:tc>
        <w:tc>
          <w:tcPr>
            <w:tcW w:w="4066" w:type="pct"/>
            <w:gridSpan w:val="2"/>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73"/>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0.03</w:t>
            </w:r>
            <w:r>
              <w:rPr>
                <w:rFonts w:hint="eastAsia" w:ascii="仿宋_GB2312" w:hAnsi="仿宋_GB2312" w:eastAsia="仿宋_GB2312" w:cs="仿宋_GB2312"/>
                <w:color w:val="auto"/>
                <w:lang w:val="en-US" w:eastAsia="zh-CN"/>
              </w:rPr>
              <w:t>89</w:t>
            </w:r>
            <w:r>
              <w:rPr>
                <w:rFonts w:hint="eastAsia" w:ascii="仿宋_GB2312" w:hAnsi="仿宋_GB2312" w:eastAsia="仿宋_GB2312" w:cs="仿宋_GB2312"/>
                <w:color w:val="auto"/>
              </w:rPr>
              <w:t>k</w:t>
            </w:r>
            <w:r>
              <w:rPr>
                <w:rFonts w:hint="eastAsia" w:ascii="仿宋_GB2312" w:hAnsi="仿宋_GB2312" w:eastAsia="仿宋_GB2312" w:cs="仿宋_GB2312"/>
                <w:color w:val="auto"/>
                <w:lang w:eastAsia="zh-CN"/>
              </w:rPr>
              <w:t>m²</w:t>
            </w:r>
          </w:p>
        </w:tc>
      </w:tr>
    </w:tbl>
    <w:p>
      <w:pPr>
        <w:spacing w:line="360" w:lineRule="auto"/>
        <w:ind w:firstLine="480" w:firstLineChars="200"/>
        <w:rPr>
          <w:rFonts w:ascii="Times New Roman" w:hAnsi="Times New Roman" w:eastAsia="宋体" w:cs="Times New Roman"/>
          <w:color w:val="auto"/>
          <w:sz w:val="24"/>
          <w:szCs w:val="24"/>
          <w:highlight w:val="none"/>
        </w:rPr>
      </w:pPr>
    </w:p>
    <w:p>
      <w:pPr>
        <w:pStyle w:val="4"/>
        <w:spacing w:before="120" w:after="120"/>
        <w:rPr>
          <w:rFonts w:ascii="Times New Roman" w:hAnsi="Times New Roman" w:eastAsia="宋体" w:cs="Times New Roman"/>
          <w:color w:val="auto"/>
          <w:highlight w:val="none"/>
          <w:lang w:val="zh-CN"/>
        </w:rPr>
      </w:pPr>
      <w:bookmarkStart w:id="54" w:name="_Toc16348"/>
      <w:r>
        <w:rPr>
          <w:rFonts w:ascii="Times New Roman" w:hAnsi="Times New Roman" w:eastAsia="宋体" w:cs="Times New Roman"/>
          <w:color w:val="auto"/>
          <w:highlight w:val="none"/>
        </w:rPr>
        <w:t>三、</w:t>
      </w:r>
      <w:r>
        <w:rPr>
          <w:rFonts w:ascii="Times New Roman" w:hAnsi="Times New Roman" w:eastAsia="宋体" w:cs="Times New Roman"/>
          <w:color w:val="auto"/>
          <w:highlight w:val="none"/>
          <w:lang w:val="zh-CN"/>
        </w:rPr>
        <w:t>矿山开发利用方案概述</w:t>
      </w:r>
      <w:bookmarkEnd w:id="54"/>
    </w:p>
    <w:p>
      <w:pPr>
        <w:spacing w:line="360" w:lineRule="auto"/>
        <w:ind w:firstLine="458"/>
        <w:rPr>
          <w:rFonts w:hint="eastAsia" w:ascii="宋体" w:hAnsi="宋体" w:eastAsia="宋体"/>
          <w:color w:val="auto"/>
          <w:spacing w:val="-11"/>
          <w:w w:val="105"/>
          <w:sz w:val="24"/>
          <w:szCs w:val="24"/>
          <w:highlight w:val="none"/>
        </w:rPr>
      </w:pPr>
      <w:r>
        <w:rPr>
          <w:rFonts w:hint="eastAsia" w:ascii="仿宋_GB2312" w:hAnsi="仿宋_GB2312" w:eastAsia="仿宋_GB2312" w:cs="仿宋_GB2312"/>
          <w:color w:val="auto"/>
          <w:sz w:val="28"/>
          <w:szCs w:val="28"/>
          <w:lang w:val="en-US" w:eastAsia="zh-CN"/>
        </w:rPr>
        <w:t>大英县玉峰镇浅垭子砖瓦用页岩矿于2024年7月编制完成了《大英县玉峰镇浅垭子砖瓦用页岩矿矿产资源开发利用方案》。</w:t>
      </w:r>
    </w:p>
    <w:p>
      <w:pPr>
        <w:pStyle w:val="5"/>
        <w:numPr>
          <w:ilvl w:val="0"/>
          <w:numId w:val="0"/>
        </w:numPr>
        <w:ind w:leftChars="0"/>
        <w:rPr>
          <w:rFonts w:ascii="Times New Roman" w:hAnsi="Times New Roman" w:eastAsia="宋体" w:cs="Times New Roman"/>
          <w:color w:val="auto"/>
          <w:sz w:val="28"/>
          <w:szCs w:val="28"/>
          <w:highlight w:val="none"/>
        </w:rPr>
      </w:pPr>
      <w:bookmarkStart w:id="55" w:name="_Toc7356"/>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一</w:t>
      </w: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rPr>
        <w:t>矿床开采方式和开采顺序</w:t>
      </w:r>
      <w:bookmarkEnd w:id="55"/>
    </w:p>
    <w:p>
      <w:pPr>
        <w:spacing w:line="360" w:lineRule="auto"/>
        <w:ind w:firstLine="586"/>
        <w:rPr>
          <w:rFonts w:ascii="Times New Roman" w:hAnsi="Times New Roman" w:eastAsia="宋体" w:cs="Times New Roman"/>
          <w:color w:val="auto"/>
          <w:sz w:val="24"/>
          <w:szCs w:val="24"/>
          <w:highlight w:val="none"/>
        </w:rPr>
      </w:pPr>
      <w:r>
        <w:rPr>
          <w:rFonts w:hint="eastAsia" w:ascii="仿宋_GB2312" w:hAnsi="仿宋_GB2312" w:eastAsia="仿宋_GB2312" w:cs="仿宋_GB2312"/>
          <w:color w:val="auto"/>
          <w:sz w:val="28"/>
          <w:szCs w:val="28"/>
          <w:lang w:val="en-US" w:eastAsia="zh-CN"/>
        </w:rPr>
        <w:t>根据《大英县玉峰镇浅垭子砖瓦用页岩矿勘查报告》《大英县玉峰镇浅垭子砖瓦用页岩矿矿产资源开发利用方案》设计开采规模为20.0万吨/年，设计服务年限为9年。</w:t>
      </w:r>
    </w:p>
    <w:p>
      <w:pPr>
        <w:pStyle w:val="5"/>
        <w:numPr>
          <w:ilvl w:val="0"/>
          <w:numId w:val="2"/>
        </w:numPr>
        <w:rPr>
          <w:rFonts w:ascii="Times New Roman" w:hAnsi="Times New Roman" w:eastAsia="宋体" w:cs="Times New Roman"/>
          <w:color w:val="auto"/>
          <w:sz w:val="28"/>
          <w:szCs w:val="28"/>
          <w:highlight w:val="none"/>
        </w:rPr>
      </w:pPr>
      <w:bookmarkStart w:id="56" w:name="_Toc21541"/>
      <w:r>
        <w:rPr>
          <w:rFonts w:hint="eastAsia" w:ascii="Times New Roman" w:hAnsi="Times New Roman" w:eastAsia="宋体" w:cs="Times New Roman"/>
          <w:color w:val="auto"/>
          <w:sz w:val="28"/>
          <w:szCs w:val="28"/>
          <w:highlight w:val="none"/>
        </w:rPr>
        <w:t>开采运输方案</w:t>
      </w:r>
      <w:bookmarkEnd w:id="56"/>
    </w:p>
    <w:p>
      <w:pPr>
        <w:adjustRightInd w:val="0"/>
        <w:snapToGrid w:val="0"/>
        <w:spacing w:line="360" w:lineRule="auto"/>
        <w:ind w:firstLine="56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本矿山为山坡露天矿，地形较缓；本次设计最高开采标高402m，最低开采标高350mm。</w:t>
      </w:r>
    </w:p>
    <w:p>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矿石平均运输距离短，矿石无需二次破碎，不适合采用胶带机和铁路运输。设计采用公路开拓汽车运输方案。矿区内采出矿石通过汽车运至砖窑，运输距离约0.8km。</w:t>
      </w:r>
    </w:p>
    <w:p>
      <w:pPr>
        <w:adjustRightInd w:val="0"/>
        <w:snapToGrid w:val="0"/>
        <w:spacing w:line="360" w:lineRule="auto"/>
        <w:ind w:firstLine="56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设计选用10t自卸汽车运输，车宽2.5m，运输道路采用矿山三级道路。</w:t>
      </w:r>
    </w:p>
    <w:p>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道路主要技术参数</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道路设计等级：三级；</w:t>
      </w:r>
    </w:p>
    <w:p>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设计</w:t>
      </w:r>
      <w:r>
        <w:rPr>
          <w:rFonts w:hint="eastAsia" w:ascii="仿宋_GB2312" w:hAnsi="仿宋_GB2312" w:eastAsia="仿宋_GB2312" w:cs="仿宋_GB2312"/>
          <w:color w:val="auto"/>
          <w:sz w:val="28"/>
          <w:szCs w:val="28"/>
          <w:lang w:val="en-US" w:eastAsia="zh-CN"/>
        </w:rPr>
        <w:t>车速</w:t>
      </w:r>
      <w:r>
        <w:rPr>
          <w:rFonts w:hint="eastAsia" w:ascii="仿宋_GB2312" w:hAnsi="仿宋_GB2312" w:eastAsia="仿宋_GB2312" w:cs="仿宋_GB2312"/>
          <w:color w:val="auto"/>
          <w:sz w:val="28"/>
          <w:szCs w:val="28"/>
        </w:rPr>
        <w:t>：20km/h</w:t>
      </w:r>
      <w:r>
        <w:rPr>
          <w:rFonts w:hint="eastAsia" w:ascii="仿宋_GB2312" w:hAnsi="仿宋_GB2312" w:eastAsia="仿宋_GB2312" w:cs="仿宋_GB2312"/>
          <w:color w:val="auto"/>
          <w:sz w:val="28"/>
          <w:szCs w:val="28"/>
          <w:lang w:eastAsia="zh-CN"/>
        </w:rPr>
        <w:t>；</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路面宽度</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双车道</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6.5</w:t>
      </w:r>
      <w:r>
        <w:rPr>
          <w:rFonts w:hint="eastAsia" w:ascii="仿宋_GB2312" w:hAnsi="仿宋_GB2312" w:eastAsia="仿宋_GB2312" w:cs="仿宋_GB2312"/>
          <w:color w:val="auto"/>
          <w:sz w:val="28"/>
          <w:szCs w:val="28"/>
        </w:rPr>
        <w:t>m；</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道路内沿最小转弯半径：15.00m；</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道路最大纵坡：9%；</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道路缓坡坡段最小长度：60m；</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道路缓坡段最大纵坡：3%。</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（2）道路做法</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道路做法采用泥结石路面，路面厚度为25cm。</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（3）路面排水</w:t>
      </w:r>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_GB2312" w:hAnsi="仿宋_GB2312" w:eastAsia="仿宋_GB2312" w:cs="仿宋_GB2312"/>
          <w:color w:val="auto"/>
          <w:sz w:val="28"/>
          <w:szCs w:val="28"/>
        </w:rPr>
        <w:t>道路横坡采用横向单坡，坡度1%，道路内侧设置道路边沟，边沟做法采用矩形边沟（0.40m×0.</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0m），沟底纵坡随道路纵坡。外侧设安全土堤。</w:t>
      </w:r>
    </w:p>
    <w:p>
      <w:pPr>
        <w:pStyle w:val="5"/>
        <w:numPr>
          <w:ilvl w:val="0"/>
          <w:numId w:val="2"/>
        </w:numPr>
        <w:rPr>
          <w:rFonts w:ascii="Times New Roman" w:hAnsi="Times New Roman" w:eastAsia="宋体" w:cs="Times New Roman"/>
          <w:color w:val="auto"/>
          <w:sz w:val="28"/>
          <w:szCs w:val="28"/>
          <w:highlight w:val="none"/>
        </w:rPr>
      </w:pPr>
      <w:bookmarkStart w:id="57" w:name="_Toc11521"/>
      <w:r>
        <w:rPr>
          <w:rFonts w:hint="eastAsia" w:ascii="Times New Roman" w:hAnsi="Times New Roman" w:eastAsia="宋体" w:cs="Times New Roman"/>
          <w:color w:val="auto"/>
          <w:sz w:val="28"/>
          <w:szCs w:val="28"/>
          <w:highlight w:val="none"/>
        </w:rPr>
        <w:t>采场边坡要素</w:t>
      </w:r>
      <w:bookmarkEnd w:id="57"/>
    </w:p>
    <w:p>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根据矿山开采初步设计方案，矿山开采自上而下分台阶开采。</w:t>
      </w:r>
    </w:p>
    <w:p>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最终边坡角：根据围岩的物理力学性质，同时参考类似矿山的岩体物理力学性质参数，采场最终边坡角为≤44°。</w:t>
      </w:r>
    </w:p>
    <w:p>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台阶高度：设计生产台阶高度为6m。终了境界2级台阶一并段，并段后台阶高度为12m。</w:t>
      </w:r>
    </w:p>
    <w:p>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台阶坡面角：选取终了台阶坡面角为48°，生产台阶坡面角为60°。</w:t>
      </w:r>
    </w:p>
    <w:p>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安全平台、清扫平台：安全平台宽3m。由于终了边坡只有三级台阶，设计不设置清扫平台。</w:t>
      </w:r>
    </w:p>
    <w:p>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根据采区地形条件和矿体分布情况，矿山采用常规式露天开采方式，分台阶进行采剥。</w:t>
      </w:r>
    </w:p>
    <w:p>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矿区开采矿体地形坡度平缓，挖掘机和汽车运输道路已到采场底部采矿运输平台，所以确定矿山采用灵活方便的汽车公路运输开拓方案。</w:t>
      </w:r>
    </w:p>
    <w:p>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矿山采用露天开采方式，汽车公路运输开拓方案，需开拓采场至制砖车间之间的运输道路。由于该矿场地势较缓，挖掘机及汽车可直接开到平台进行挖掘装车运输。开采过程中保证边坡角度，并将采矿工作面逐渐推至最终边坡为止。</w:t>
      </w:r>
    </w:p>
    <w:p>
      <w:pPr>
        <w:pStyle w:val="5"/>
        <w:ind w:firstLine="562"/>
        <w:rPr>
          <w:rFonts w:hint="eastAsia"/>
          <w:color w:val="auto"/>
        </w:rPr>
      </w:pPr>
      <w:bookmarkStart w:id="58" w:name="_Toc1140"/>
      <w:bookmarkStart w:id="59" w:name="_Toc10649"/>
      <w:r>
        <w:rPr>
          <w:rFonts w:hint="eastAsia"/>
          <w:color w:val="auto"/>
        </w:rPr>
        <w:t>（</w:t>
      </w:r>
      <w:r>
        <w:rPr>
          <w:rFonts w:hint="eastAsia"/>
          <w:color w:val="auto"/>
          <w:lang w:val="en-US" w:eastAsia="zh-CN"/>
        </w:rPr>
        <w:t>四</w:t>
      </w:r>
      <w:r>
        <w:rPr>
          <w:rFonts w:hint="eastAsia"/>
          <w:color w:val="auto"/>
        </w:rPr>
        <w:t>）排土场设计情况</w:t>
      </w:r>
      <w:bookmarkEnd w:id="58"/>
      <w:bookmarkEnd w:id="59"/>
    </w:p>
    <w:p>
      <w:pPr>
        <w:ind w:firstLine="480"/>
        <w:rPr>
          <w:color w:val="auto"/>
        </w:rPr>
      </w:pPr>
      <w:r>
        <w:rPr>
          <w:rFonts w:hint="eastAsia" w:ascii="仿宋_GB2312" w:hAnsi="仿宋_GB2312" w:eastAsia="仿宋_GB2312" w:cs="仿宋_GB2312"/>
          <w:color w:val="auto"/>
          <w:sz w:val="28"/>
          <w:szCs w:val="28"/>
          <w:lang w:val="en-US" w:eastAsia="zh-CN"/>
        </w:rPr>
        <w:t>矿体无直接顶板，矿体表面多为第四系风化残坡积物，可直接掺拌</w:t>
      </w:r>
      <w:r>
        <w:rPr>
          <w:rFonts w:hint="eastAsia" w:ascii="仿宋_GB2312" w:hAnsi="仿宋_GB2312" w:eastAsia="仿宋_GB2312" w:cs="仿宋_GB2312"/>
          <w:color w:val="FF0000"/>
          <w:sz w:val="28"/>
          <w:szCs w:val="28"/>
          <w:lang w:val="en-US" w:eastAsia="zh-CN"/>
        </w:rPr>
        <w:t>于矿体中作制砖原料，对矿石质量影响较小。共剥离表土</w:t>
      </w:r>
      <w:r>
        <w:rPr>
          <w:rFonts w:hint="eastAsia" w:ascii="仿宋_GB2312" w:hAnsi="仿宋_GB2312" w:eastAsia="仿宋_GB2312" w:cs="仿宋_GB2312"/>
          <w:color w:val="FF0000"/>
          <w:kern w:val="28"/>
          <w:sz w:val="28"/>
          <w:szCs w:val="28"/>
          <w:lang w:val="en-US" w:eastAsia="zh-CN"/>
        </w:rPr>
        <w:t>1.167万立方米，应预留足够用于后期复垦方量，剩余可</w:t>
      </w:r>
      <w:r>
        <w:rPr>
          <w:rFonts w:hint="eastAsia" w:ascii="仿宋_GB2312" w:hAnsi="仿宋_GB2312" w:eastAsia="仿宋_GB2312" w:cs="仿宋_GB2312"/>
          <w:color w:val="FF0000"/>
          <w:sz w:val="28"/>
          <w:szCs w:val="28"/>
          <w:lang w:val="en-US" w:eastAsia="zh-CN"/>
        </w:rPr>
        <w:t>掺拌于矿体中综合利用。</w:t>
      </w:r>
    </w:p>
    <w:p>
      <w:pPr>
        <w:pStyle w:val="5"/>
        <w:ind w:firstLine="562"/>
        <w:rPr>
          <w:color w:val="auto"/>
        </w:rPr>
      </w:pPr>
      <w:bookmarkStart w:id="60" w:name="_Toc11106"/>
      <w:bookmarkStart w:id="61" w:name="_Toc20729"/>
      <w:r>
        <w:rPr>
          <w:rFonts w:hint="eastAsia"/>
          <w:color w:val="auto"/>
        </w:rPr>
        <w:t>（</w:t>
      </w:r>
      <w:r>
        <w:rPr>
          <w:rFonts w:hint="eastAsia"/>
          <w:color w:val="auto"/>
          <w:lang w:val="en-US" w:eastAsia="zh-CN"/>
        </w:rPr>
        <w:t>五</w:t>
      </w:r>
      <w:r>
        <w:rPr>
          <w:rFonts w:hint="eastAsia"/>
          <w:color w:val="auto"/>
        </w:rPr>
        <w:t>）矿床开采</w:t>
      </w:r>
      <w:bookmarkEnd w:id="60"/>
      <w:bookmarkEnd w:id="61"/>
    </w:p>
    <w:p>
      <w:pPr>
        <w:pStyle w:val="6"/>
        <w:ind w:firstLine="562"/>
        <w:rPr>
          <w:color w:val="auto"/>
          <w:sz w:val="28"/>
          <w:szCs w:val="28"/>
        </w:rPr>
      </w:pPr>
      <w:r>
        <w:rPr>
          <w:rFonts w:hint="eastAsia"/>
          <w:color w:val="auto"/>
          <w:sz w:val="28"/>
          <w:szCs w:val="28"/>
        </w:rPr>
        <w:t>1、开采方式及范围</w:t>
      </w:r>
    </w:p>
    <w:p>
      <w:pPr>
        <w:ind w:firstLine="48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根据矿体赋存条件，</w:t>
      </w:r>
      <w:r>
        <w:rPr>
          <w:rFonts w:hint="eastAsia" w:ascii="仿宋_GB2312" w:hAnsi="仿宋_GB2312" w:eastAsia="仿宋_GB2312" w:cs="仿宋_GB2312"/>
          <w:color w:val="auto"/>
          <w:sz w:val="28"/>
          <w:szCs w:val="28"/>
        </w:rPr>
        <w:t>矿山采用自上而下水平分台阶开采法</w:t>
      </w:r>
      <w:r>
        <w:rPr>
          <w:rFonts w:hint="eastAsia" w:ascii="仿宋_GB2312" w:hAnsi="仿宋_GB2312" w:eastAsia="仿宋_GB2312" w:cs="仿宋_GB2312"/>
          <w:color w:val="auto"/>
          <w:sz w:val="28"/>
          <w:szCs w:val="28"/>
          <w:lang w:eastAsia="zh-CN"/>
        </w:rPr>
        <w:t>。</w:t>
      </w:r>
    </w:p>
    <w:p>
      <w:pPr>
        <w:ind w:firstLine="480"/>
        <w:rPr>
          <w:rFonts w:hint="eastAsia" w:ascii="仿宋" w:hAnsi="仿宋" w:eastAsia="仿宋" w:cs="仿宋"/>
          <w:color w:val="auto"/>
          <w:sz w:val="28"/>
          <w:szCs w:val="28"/>
        </w:rPr>
      </w:pPr>
      <w:r>
        <w:rPr>
          <w:rFonts w:hint="eastAsia" w:ascii="仿宋_GB2312" w:hAnsi="仿宋_GB2312" w:eastAsia="仿宋_GB2312" w:cs="仿宋_GB2312"/>
          <w:color w:val="auto"/>
          <w:sz w:val="28"/>
          <w:szCs w:val="28"/>
        </w:rPr>
        <w:t>采矿总体顺序为自上而下按6m高一个台阶逐层开采</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靠帮时2个台阶并段，并段后台阶高度12m。</w:t>
      </w:r>
      <w:r>
        <w:rPr>
          <w:rFonts w:hint="eastAsia" w:ascii="仿宋_GB2312" w:hAnsi="仿宋_GB2312" w:eastAsia="仿宋_GB2312" w:cs="仿宋_GB2312"/>
          <w:color w:val="auto"/>
          <w:sz w:val="28"/>
          <w:szCs w:val="28"/>
        </w:rPr>
        <w:t>开采工作线主要垂直矿体走</w:t>
      </w:r>
      <w:r>
        <w:rPr>
          <w:rFonts w:hint="eastAsia" w:ascii="仿宋_GB2312" w:hAnsi="仿宋_GB2312" w:eastAsia="仿宋_GB2312" w:cs="仿宋_GB2312"/>
          <w:color w:val="auto"/>
          <w:sz w:val="28"/>
          <w:szCs w:val="28"/>
          <w:lang w:val="en-US" w:eastAsia="zh-CN"/>
        </w:rPr>
        <w:t>向</w:t>
      </w:r>
      <w:r>
        <w:rPr>
          <w:rFonts w:hint="eastAsia" w:ascii="仿宋_GB2312" w:hAnsi="仿宋_GB2312" w:eastAsia="仿宋_GB2312" w:cs="仿宋_GB2312"/>
          <w:color w:val="auto"/>
          <w:sz w:val="28"/>
          <w:szCs w:val="28"/>
        </w:rPr>
        <w:t>布置，沿矿体走向推进</w:t>
      </w:r>
      <w:r>
        <w:rPr>
          <w:rFonts w:hint="eastAsia" w:ascii="仿宋" w:hAnsi="仿宋" w:eastAsia="仿宋" w:cs="仿宋"/>
          <w:color w:val="auto"/>
          <w:sz w:val="28"/>
          <w:szCs w:val="28"/>
        </w:rPr>
        <w:t>。矿区面积：0.03</w:t>
      </w:r>
      <w:r>
        <w:rPr>
          <w:rFonts w:hint="eastAsia" w:ascii="仿宋" w:hAnsi="仿宋" w:eastAsia="仿宋" w:cs="仿宋"/>
          <w:color w:val="auto"/>
          <w:sz w:val="28"/>
          <w:szCs w:val="28"/>
          <w:lang w:val="en-US" w:eastAsia="zh-CN"/>
        </w:rPr>
        <w:t>89</w:t>
      </w:r>
      <w:r>
        <w:rPr>
          <w:rFonts w:hint="eastAsia" w:ascii="仿宋" w:hAnsi="仿宋" w:eastAsia="仿宋" w:cs="仿宋"/>
          <w:color w:val="auto"/>
          <w:sz w:val="28"/>
          <w:szCs w:val="28"/>
        </w:rPr>
        <w:t>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，开采标高：+</w:t>
      </w:r>
      <w:r>
        <w:rPr>
          <w:rFonts w:hint="eastAsia" w:ascii="仿宋" w:hAnsi="仿宋" w:eastAsia="仿宋" w:cs="仿宋"/>
          <w:color w:val="auto"/>
          <w:sz w:val="28"/>
          <w:szCs w:val="28"/>
          <w:lang w:val="en-US" w:eastAsia="zh-CN"/>
        </w:rPr>
        <w:t>402</w:t>
      </w:r>
      <w:r>
        <w:rPr>
          <w:rFonts w:hint="eastAsia" w:ascii="仿宋" w:hAnsi="仿宋" w:eastAsia="仿宋" w:cs="仿宋"/>
          <w:color w:val="auto"/>
          <w:sz w:val="28"/>
          <w:szCs w:val="28"/>
        </w:rPr>
        <w:t>米至+</w:t>
      </w:r>
      <w:r>
        <w:rPr>
          <w:rFonts w:hint="eastAsia" w:ascii="仿宋" w:hAnsi="仿宋" w:eastAsia="仿宋" w:cs="仿宋"/>
          <w:color w:val="auto"/>
          <w:sz w:val="28"/>
          <w:szCs w:val="28"/>
          <w:lang w:val="en-US" w:eastAsia="zh-CN"/>
        </w:rPr>
        <w:t>250</w:t>
      </w:r>
      <w:r>
        <w:rPr>
          <w:rFonts w:hint="eastAsia" w:ascii="仿宋" w:hAnsi="仿宋" w:eastAsia="仿宋" w:cs="仿宋"/>
          <w:color w:val="auto"/>
          <w:sz w:val="28"/>
          <w:szCs w:val="28"/>
        </w:rPr>
        <w:t>米标高。</w:t>
      </w:r>
    </w:p>
    <w:p>
      <w:pPr>
        <w:pStyle w:val="6"/>
        <w:numPr>
          <w:ilvl w:val="0"/>
          <w:numId w:val="3"/>
        </w:numPr>
        <w:ind w:firstLine="562"/>
        <w:rPr>
          <w:rFonts w:hint="eastAsia"/>
          <w:color w:val="auto"/>
          <w:sz w:val="28"/>
          <w:szCs w:val="28"/>
        </w:rPr>
      </w:pPr>
      <w:r>
        <w:rPr>
          <w:rFonts w:hint="eastAsia"/>
          <w:color w:val="auto"/>
          <w:sz w:val="28"/>
          <w:szCs w:val="28"/>
        </w:rPr>
        <w:t>露天开采境界圈定参数</w:t>
      </w:r>
    </w:p>
    <w:p>
      <w:pPr>
        <w:ind w:firstLine="480"/>
        <w:rPr>
          <w:rFonts w:hint="eastAsia" w:ascii="宋体" w:hAnsi="宋体"/>
          <w:b/>
          <w:color w:val="auto"/>
          <w:kern w:val="2"/>
          <w:sz w:val="21"/>
          <w:szCs w:val="21"/>
          <w:lang w:val="en-US" w:eastAsia="zh-CN"/>
        </w:rPr>
      </w:pPr>
      <w:r>
        <w:rPr>
          <w:rFonts w:hint="eastAsia" w:ascii="仿宋_GB2312" w:hAnsi="仿宋_GB2312" w:eastAsia="仿宋_GB2312" w:cs="仿宋_GB2312"/>
          <w:color w:val="auto"/>
          <w:sz w:val="28"/>
          <w:szCs w:val="28"/>
        </w:rPr>
        <w:t>结合</w:t>
      </w:r>
      <w:r>
        <w:rPr>
          <w:rFonts w:hint="eastAsia" w:ascii="仿宋_GB2312" w:hAnsi="仿宋_GB2312" w:eastAsia="仿宋_GB2312" w:cs="仿宋_GB2312"/>
          <w:color w:val="auto"/>
          <w:sz w:val="28"/>
          <w:szCs w:val="28"/>
          <w:lang w:val="en-US" w:eastAsia="zh-CN"/>
        </w:rPr>
        <w:t>地形地质图</w:t>
      </w:r>
      <w:r>
        <w:rPr>
          <w:rFonts w:hint="eastAsia" w:ascii="仿宋_GB2312" w:hAnsi="仿宋_GB2312" w:eastAsia="仿宋_GB2312" w:cs="仿宋_GB2312"/>
          <w:color w:val="auto"/>
          <w:sz w:val="28"/>
          <w:szCs w:val="28"/>
        </w:rPr>
        <w:t>、矿岩开拓运输系统圈定终了境界。露天开采终了境界圈定结果见表1-3-2，终了境界内分层矿岩量见表1-3-</w:t>
      </w:r>
      <w:r>
        <w:rPr>
          <w:rFonts w:hint="eastAsia" w:ascii="仿宋_GB2312" w:hAnsi="仿宋_GB2312" w:eastAsia="仿宋_GB2312" w:cs="仿宋_GB2312"/>
          <w:color w:val="auto"/>
          <w:sz w:val="28"/>
          <w:szCs w:val="28"/>
          <w:lang w:val="en-US" w:eastAsia="zh-CN"/>
        </w:rPr>
        <w:t>3</w:t>
      </w:r>
    </w:p>
    <w:p>
      <w:pPr>
        <w:pStyle w:val="7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表1-3-2  露天开采终了境界圈定结果</w:t>
      </w:r>
    </w:p>
    <w:tbl>
      <w:tblPr>
        <w:tblStyle w:val="23"/>
        <w:tblW w:w="53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523"/>
        <w:gridCol w:w="2022"/>
        <w:gridCol w:w="1508"/>
        <w:gridCol w:w="1656"/>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5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序号</w:t>
            </w:r>
          </w:p>
        </w:tc>
        <w:tc>
          <w:tcPr>
            <w:tcW w:w="1932" w:type="pct"/>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项目名称</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单位</w:t>
            </w:r>
          </w:p>
        </w:tc>
        <w:tc>
          <w:tcPr>
            <w:tcW w:w="90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主要指标</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w:t>
            </w:r>
          </w:p>
        </w:tc>
        <w:tc>
          <w:tcPr>
            <w:tcW w:w="83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采场尺寸</w:t>
            </w:r>
          </w:p>
        </w:tc>
        <w:tc>
          <w:tcPr>
            <w:tcW w:w="110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上口：长×宽</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m</w:t>
            </w:r>
          </w:p>
        </w:tc>
        <w:tc>
          <w:tcPr>
            <w:tcW w:w="90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417</w:t>
            </w:r>
            <w:r>
              <w:rPr>
                <w:rFonts w:hint="eastAsia" w:ascii="仿宋_GB2312" w:hAnsi="仿宋_GB2312" w:eastAsia="仿宋_GB2312" w:cs="仿宋_GB2312"/>
                <w:color w:val="auto"/>
                <w:kern w:val="0"/>
                <w:sz w:val="24"/>
                <w:szCs w:val="24"/>
              </w:rPr>
              <w:t>×</w:t>
            </w:r>
            <w:r>
              <w:rPr>
                <w:rFonts w:hint="eastAsia" w:ascii="仿宋_GB2312" w:hAnsi="仿宋_GB2312" w:eastAsia="仿宋_GB2312" w:cs="仿宋_GB2312"/>
                <w:color w:val="auto"/>
                <w:kern w:val="0"/>
                <w:sz w:val="24"/>
                <w:szCs w:val="24"/>
                <w:lang w:val="en-US" w:eastAsia="zh-CN"/>
              </w:rPr>
              <w:t>108</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c>
          <w:tcPr>
            <w:tcW w:w="830"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c>
          <w:tcPr>
            <w:tcW w:w="110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下口：长×宽</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m</w:t>
            </w:r>
          </w:p>
        </w:tc>
        <w:tc>
          <w:tcPr>
            <w:tcW w:w="90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399</w:t>
            </w:r>
            <w:r>
              <w:rPr>
                <w:rFonts w:hint="eastAsia" w:ascii="仿宋_GB2312" w:hAnsi="仿宋_GB2312" w:eastAsia="仿宋_GB2312" w:cs="仿宋_GB2312"/>
                <w:color w:val="auto"/>
                <w:kern w:val="0"/>
                <w:sz w:val="24"/>
                <w:szCs w:val="24"/>
              </w:rPr>
              <w:t>×</w:t>
            </w:r>
            <w:r>
              <w:rPr>
                <w:rFonts w:hint="eastAsia" w:ascii="仿宋_GB2312" w:hAnsi="仿宋_GB2312" w:eastAsia="仿宋_GB2312" w:cs="仿宋_GB2312"/>
                <w:color w:val="auto"/>
                <w:kern w:val="0"/>
                <w:sz w:val="24"/>
                <w:szCs w:val="24"/>
                <w:lang w:val="en-US" w:eastAsia="zh-CN"/>
              </w:rPr>
              <w:t>75</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w:t>
            </w:r>
          </w:p>
        </w:tc>
        <w:tc>
          <w:tcPr>
            <w:tcW w:w="1932" w:type="pct"/>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境界内最高开采标高</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m</w:t>
            </w:r>
          </w:p>
        </w:tc>
        <w:tc>
          <w:tcPr>
            <w:tcW w:w="90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1880</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w:t>
            </w:r>
          </w:p>
        </w:tc>
        <w:tc>
          <w:tcPr>
            <w:tcW w:w="1932" w:type="pct"/>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封闭圈标高</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m</w:t>
            </w:r>
          </w:p>
        </w:tc>
        <w:tc>
          <w:tcPr>
            <w:tcW w:w="90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lang w:val="en-US" w:eastAsia="zh-CN"/>
              </w:rPr>
              <w:t>-</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山坡露天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w:t>
            </w:r>
          </w:p>
        </w:tc>
        <w:tc>
          <w:tcPr>
            <w:tcW w:w="1932" w:type="pct"/>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露天底标高</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m</w:t>
            </w:r>
          </w:p>
        </w:tc>
        <w:tc>
          <w:tcPr>
            <w:tcW w:w="90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350</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c>
          <w:tcPr>
            <w:tcW w:w="1932" w:type="pct"/>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露天境界内</w:t>
            </w:r>
            <w:r>
              <w:rPr>
                <w:rFonts w:hint="eastAsia" w:ascii="仿宋_GB2312" w:hAnsi="仿宋_GB2312" w:eastAsia="仿宋_GB2312" w:cs="仿宋_GB2312"/>
                <w:color w:val="auto"/>
                <w:kern w:val="0"/>
                <w:sz w:val="24"/>
                <w:szCs w:val="24"/>
              </w:rPr>
              <w:t>矿量</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lang w:eastAsia="zh-CN"/>
              </w:rPr>
              <w:t>万立方米</w:t>
            </w:r>
          </w:p>
        </w:tc>
        <w:tc>
          <w:tcPr>
            <w:tcW w:w="903"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79.84</w:t>
            </w:r>
          </w:p>
        </w:tc>
        <w:tc>
          <w:tcPr>
            <w:tcW w:w="831"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c>
          <w:tcPr>
            <w:tcW w:w="1932" w:type="pct"/>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万吨</w:t>
            </w:r>
          </w:p>
        </w:tc>
        <w:tc>
          <w:tcPr>
            <w:tcW w:w="903"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186.82</w:t>
            </w:r>
          </w:p>
        </w:tc>
        <w:tc>
          <w:tcPr>
            <w:tcW w:w="831"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lang w:val="en-US" w:eastAsia="zh-CN"/>
              </w:rPr>
              <w:t>6</w:t>
            </w:r>
          </w:p>
        </w:tc>
        <w:tc>
          <w:tcPr>
            <w:tcW w:w="1932" w:type="pct"/>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剥离表土</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lang w:eastAsia="zh-CN"/>
              </w:rPr>
              <w:t>万立方米</w:t>
            </w:r>
          </w:p>
        </w:tc>
        <w:tc>
          <w:tcPr>
            <w:tcW w:w="903"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3.83</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c>
          <w:tcPr>
            <w:tcW w:w="1932" w:type="pct"/>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万吨</w:t>
            </w:r>
          </w:p>
        </w:tc>
        <w:tc>
          <w:tcPr>
            <w:tcW w:w="903"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6.89</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lang w:val="en-US" w:eastAsia="zh-CN"/>
              </w:rPr>
              <w:t>7</w:t>
            </w:r>
          </w:p>
        </w:tc>
        <w:tc>
          <w:tcPr>
            <w:tcW w:w="1932" w:type="pct"/>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矿岩总量</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lang w:eastAsia="zh-CN"/>
              </w:rPr>
              <w:t>万立方米</w:t>
            </w:r>
          </w:p>
        </w:tc>
        <w:tc>
          <w:tcPr>
            <w:tcW w:w="903"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83.66</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eastAsia="zh-CN"/>
              </w:rPr>
            </w:pPr>
          </w:p>
        </w:tc>
        <w:tc>
          <w:tcPr>
            <w:tcW w:w="1932" w:type="pct"/>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万吨</w:t>
            </w:r>
          </w:p>
        </w:tc>
        <w:tc>
          <w:tcPr>
            <w:tcW w:w="903"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193.71</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lang w:val="en-US" w:eastAsia="zh-CN"/>
              </w:rPr>
              <w:t>8</w:t>
            </w:r>
          </w:p>
        </w:tc>
        <w:tc>
          <w:tcPr>
            <w:tcW w:w="1932" w:type="pct"/>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平均剥采比</w:t>
            </w: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eastAsia="zh-CN"/>
              </w:rPr>
              <w:t>m³</w:t>
            </w:r>
            <w:r>
              <w:rPr>
                <w:rFonts w:hint="eastAsia" w:ascii="仿宋_GB2312" w:hAnsi="仿宋_GB2312" w:eastAsia="仿宋_GB2312" w:cs="仿宋_GB2312"/>
                <w:color w:val="auto"/>
                <w:kern w:val="0"/>
                <w:sz w:val="24"/>
                <w:szCs w:val="24"/>
                <w:lang w:val="en-US" w:eastAsia="zh-CN"/>
              </w:rPr>
              <w:t>/</w:t>
            </w:r>
            <w:r>
              <w:rPr>
                <w:rFonts w:hint="eastAsia" w:ascii="仿宋_GB2312" w:hAnsi="仿宋_GB2312" w:eastAsia="仿宋_GB2312" w:cs="仿宋_GB2312"/>
                <w:color w:val="auto"/>
                <w:kern w:val="0"/>
                <w:sz w:val="24"/>
                <w:szCs w:val="24"/>
                <w:lang w:eastAsia="zh-CN"/>
              </w:rPr>
              <w:t>m³</w:t>
            </w:r>
          </w:p>
        </w:tc>
        <w:tc>
          <w:tcPr>
            <w:tcW w:w="903"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0.05</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0"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eastAsia="zh-CN"/>
              </w:rPr>
            </w:pPr>
          </w:p>
        </w:tc>
        <w:tc>
          <w:tcPr>
            <w:tcW w:w="1932" w:type="pct"/>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c>
          <w:tcPr>
            <w:tcW w:w="82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color w:val="auto"/>
                <w:kern w:val="0"/>
                <w:sz w:val="24"/>
                <w:szCs w:val="24"/>
                <w:lang w:val="en-US" w:eastAsia="zh-CN"/>
              </w:rPr>
              <w:t>t/t</w:t>
            </w:r>
          </w:p>
        </w:tc>
        <w:tc>
          <w:tcPr>
            <w:tcW w:w="903"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0.04</w:t>
            </w:r>
          </w:p>
        </w:tc>
        <w:tc>
          <w:tcPr>
            <w:tcW w:w="831"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rPr>
            </w:pPr>
          </w:p>
        </w:tc>
      </w:tr>
    </w:tbl>
    <w:p>
      <w:pPr>
        <w:pStyle w:val="74"/>
        <w:adjustRightInd w:val="0"/>
        <w:snapToGrid w:val="0"/>
        <w:spacing w:line="240" w:lineRule="auto"/>
        <w:ind w:firstLine="48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表</w:t>
      </w:r>
      <w:r>
        <w:rPr>
          <w:rFonts w:hint="eastAsia" w:ascii="仿宋_GB2312" w:hAnsi="仿宋_GB2312" w:eastAsia="仿宋_GB2312" w:cs="仿宋_GB2312"/>
          <w:color w:val="auto"/>
          <w:sz w:val="28"/>
          <w:szCs w:val="28"/>
          <w:lang w:val="en-US" w:eastAsia="zh-CN"/>
        </w:rPr>
        <w:t>1-3-3</w:t>
      </w:r>
      <w:r>
        <w:rPr>
          <w:rFonts w:hint="eastAsia" w:ascii="仿宋_GB2312" w:hAnsi="仿宋_GB2312" w:eastAsia="仿宋_GB2312" w:cs="仿宋_GB2312"/>
          <w:color w:val="auto"/>
          <w:sz w:val="28"/>
          <w:szCs w:val="28"/>
        </w:rPr>
        <w:t xml:space="preserve">  露天终了境界内分层矿岩量</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7"/>
        <w:gridCol w:w="1137"/>
        <w:gridCol w:w="908"/>
        <w:gridCol w:w="1137"/>
        <w:gridCol w:w="680"/>
        <w:gridCol w:w="1137"/>
        <w:gridCol w:w="908"/>
        <w:gridCol w:w="794"/>
        <w:gridCol w:w="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台阶标高</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矿石</w:t>
            </w:r>
          </w:p>
        </w:tc>
        <w:tc>
          <w:tcPr>
            <w:tcW w:w="10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剥离表土</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矿岩总量</w:t>
            </w:r>
          </w:p>
        </w:tc>
        <w:tc>
          <w:tcPr>
            <w:tcW w:w="86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剥采比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m</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万立方米</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万吨</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万立方米</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万吨</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万立方米</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万吨</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m³/m³</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398</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0.11</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0.25</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0.10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0.17</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0.20</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0.42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0.89</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386</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3.72</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8.70</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0.71</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1.28</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4.43</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9.98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0.19</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374</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16.70</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39.08</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1.75</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3.15</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18.45</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42.23</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0.10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362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36.08</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84.43</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1.27</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2.29</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37.35</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86.72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0.04</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350</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23.23</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54.35</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0.00</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23.23</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54.35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合计</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79.84</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186.82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3.83</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6.89</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83.66</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193.71</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0.05</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0.04</w:t>
            </w:r>
          </w:p>
        </w:tc>
      </w:tr>
    </w:tbl>
    <w:p>
      <w:pPr>
        <w:rPr>
          <w:rFonts w:hint="eastAsia"/>
          <w:color w:val="auto"/>
        </w:rPr>
      </w:pPr>
    </w:p>
    <w:p>
      <w:pPr>
        <w:pStyle w:val="5"/>
        <w:ind w:firstLine="562"/>
        <w:rPr>
          <w:rFonts w:hint="eastAsia"/>
          <w:color w:val="auto"/>
        </w:rPr>
      </w:pPr>
      <w:bookmarkStart w:id="62" w:name="_Toc11085"/>
      <w:r>
        <w:rPr>
          <w:rFonts w:hint="eastAsia"/>
          <w:color w:val="auto"/>
        </w:rPr>
        <w:t>（</w:t>
      </w:r>
      <w:r>
        <w:rPr>
          <w:rFonts w:hint="eastAsia"/>
          <w:color w:val="auto"/>
          <w:lang w:val="en-US" w:eastAsia="zh-CN"/>
        </w:rPr>
        <w:t>六</w:t>
      </w:r>
      <w:r>
        <w:rPr>
          <w:rFonts w:hint="eastAsia"/>
          <w:color w:val="auto"/>
        </w:rPr>
        <w:t>）固体废弃物和废水的排放和处理情况</w:t>
      </w:r>
      <w:bookmarkEnd w:id="62"/>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lang w:val="en-US" w:eastAsia="zh-CN"/>
        </w:rPr>
        <w:t>矿产资源开采</w:t>
      </w:r>
      <w:r>
        <w:rPr>
          <w:rFonts w:hint="eastAsia" w:ascii="仿宋" w:hAnsi="仿宋" w:eastAsia="仿宋" w:cs="仿宋"/>
          <w:color w:val="auto"/>
          <w:spacing w:val="-11"/>
          <w:w w:val="105"/>
          <w:sz w:val="28"/>
          <w:szCs w:val="28"/>
          <w:highlight w:val="none"/>
        </w:rPr>
        <w:t>对环境影响主要表现为：生态环境、噪声、粉尘、飞石及有害气体等影响。</w:t>
      </w:r>
    </w:p>
    <w:p>
      <w:pPr>
        <w:pStyle w:val="6"/>
        <w:ind w:firstLine="508"/>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1）矿山施工期环境影响</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矿山施工期生态影响主要为直接破坏矿区内原有植被及土壤，由于工程车辆</w:t>
      </w:r>
      <w:r>
        <w:rPr>
          <w:rFonts w:hint="eastAsia" w:ascii="仿宋" w:hAnsi="仿宋" w:eastAsia="仿宋" w:cs="仿宋"/>
          <w:color w:val="auto"/>
          <w:spacing w:val="-11"/>
          <w:w w:val="105"/>
          <w:sz w:val="28"/>
          <w:szCs w:val="28"/>
          <w:highlight w:val="none"/>
          <w:lang w:eastAsia="zh-CN"/>
        </w:rPr>
        <w:t>行驶</w:t>
      </w:r>
      <w:r>
        <w:rPr>
          <w:rFonts w:hint="eastAsia" w:ascii="仿宋" w:hAnsi="仿宋" w:eastAsia="仿宋" w:cs="仿宋"/>
          <w:color w:val="auto"/>
          <w:spacing w:val="-11"/>
          <w:w w:val="105"/>
          <w:sz w:val="28"/>
          <w:szCs w:val="28"/>
          <w:highlight w:val="none"/>
        </w:rPr>
        <w:t>引起尘土飞扬，需洒水降尘。</w:t>
      </w:r>
    </w:p>
    <w:p>
      <w:pPr>
        <w:pStyle w:val="6"/>
        <w:ind w:firstLine="508"/>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2）粉尘、飞石及有害气体</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粉尘主要发生于开挖、铲装、运输等环节引起的粉尘飞扬，以及随风而引发的粉尘飞扬；飞石主要由采动影响产生；有害气体主要来自燃油机器排出的废气等。</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（1）露天采场开挖、铲装、卸载及汽车运输所产生的粉尘，是造成采场粉尘超标的主要原因。为此，铲装工作时采用洒水措施降尘，</w:t>
      </w:r>
      <w:r>
        <w:rPr>
          <w:rFonts w:hint="eastAsia" w:ascii="仿宋" w:hAnsi="仿宋" w:eastAsia="仿宋" w:cs="仿宋"/>
          <w:color w:val="auto"/>
          <w:spacing w:val="-11"/>
          <w:w w:val="105"/>
          <w:sz w:val="28"/>
          <w:szCs w:val="28"/>
          <w:highlight w:val="none"/>
          <w:lang w:eastAsia="zh-CN"/>
        </w:rPr>
        <w:t>对其他</w:t>
      </w:r>
      <w:r>
        <w:rPr>
          <w:rFonts w:hint="eastAsia" w:ascii="仿宋" w:hAnsi="仿宋" w:eastAsia="仿宋" w:cs="仿宋"/>
          <w:color w:val="auto"/>
          <w:spacing w:val="-11"/>
          <w:w w:val="105"/>
          <w:sz w:val="28"/>
          <w:szCs w:val="28"/>
          <w:highlight w:val="none"/>
        </w:rPr>
        <w:t>装卸地点，均采用喷雾洒水措施，道路经常洒水。</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2）载重车辆、挖掘机、装载机等燃油设备作业时排出的废气中，也含有氮氧化物等有毒有害气体。为减轻其危害，要加强对这些设备的维修保养，提高设备完好率，定期举办培训班，提高司机驾驶技术，避免超载运行。</w:t>
      </w:r>
    </w:p>
    <w:p>
      <w:pPr>
        <w:pStyle w:val="6"/>
        <w:keepNext/>
        <w:keepLines/>
        <w:pageBreakBefore w:val="0"/>
        <w:widowControl w:val="0"/>
        <w:kinsoku/>
        <w:wordWrap/>
        <w:overflowPunct/>
        <w:topLinePunct w:val="0"/>
        <w:autoSpaceDE/>
        <w:autoSpaceDN/>
        <w:bidi w:val="0"/>
        <w:adjustRightInd/>
        <w:snapToGrid/>
        <w:spacing w:before="160" w:after="170" w:line="240" w:lineRule="auto"/>
        <w:ind w:firstLine="510"/>
        <w:textAlignment w:val="auto"/>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3）污水、生活垃圾</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采矿场基本上无污水排放，矿山工业场地生产和生活污水排放量很少，经简单处理后沿排水沟排出。生活垃圾必须集中处理，减少对环境的污染。</w:t>
      </w:r>
    </w:p>
    <w:p>
      <w:pPr>
        <w:pStyle w:val="6"/>
        <w:keepNext/>
        <w:keepLines/>
        <w:pageBreakBefore w:val="0"/>
        <w:widowControl w:val="0"/>
        <w:kinsoku/>
        <w:wordWrap/>
        <w:overflowPunct/>
        <w:topLinePunct w:val="0"/>
        <w:autoSpaceDE/>
        <w:autoSpaceDN/>
        <w:bidi w:val="0"/>
        <w:adjustRightInd/>
        <w:snapToGrid/>
        <w:spacing w:before="160" w:after="170" w:line="240" w:lineRule="auto"/>
        <w:ind w:firstLine="510"/>
        <w:textAlignment w:val="auto"/>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4）噪声</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机械噪声矿山开采中破碎、装卸、运输等工序都将产生噪声，噪声源强在80～100dB之间。矿山采矿不会对矿山范围以外的敏感点造成噪声污染。</w:t>
      </w:r>
    </w:p>
    <w:p>
      <w:pPr>
        <w:pStyle w:val="6"/>
        <w:keepNext/>
        <w:keepLines/>
        <w:pageBreakBefore w:val="0"/>
        <w:widowControl w:val="0"/>
        <w:kinsoku/>
        <w:wordWrap/>
        <w:overflowPunct/>
        <w:topLinePunct w:val="0"/>
        <w:autoSpaceDE/>
        <w:autoSpaceDN/>
        <w:bidi w:val="0"/>
        <w:adjustRightInd/>
        <w:snapToGrid/>
        <w:spacing w:before="160" w:after="170" w:line="240" w:lineRule="auto"/>
        <w:ind w:firstLine="510"/>
        <w:textAlignment w:val="auto"/>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5）采场水土保持方案</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（1）露天开采过程中，难免会形成采矿边坡及存在边坡失稳情况，在工程设计中确定合理、稳定的边坡角，对在开采境界内的高边坡和失稳边坡实施工程措施进行加固，如挡土墙，削坡减载等工程措施。</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（2）采矿中产生的浮尘和碎渣，在降水的冲刷下，会影响周边环境，因此，根据采场地形条件设置临时排水沟，对</w:t>
      </w:r>
      <w:r>
        <w:rPr>
          <w:rFonts w:hint="eastAsia" w:ascii="仿宋" w:hAnsi="仿宋" w:eastAsia="仿宋" w:cs="仿宋"/>
          <w:color w:val="auto"/>
          <w:spacing w:val="-11"/>
          <w:w w:val="105"/>
          <w:sz w:val="28"/>
          <w:szCs w:val="28"/>
          <w:highlight w:val="none"/>
          <w:lang w:eastAsia="zh-CN"/>
        </w:rPr>
        <w:t>采</w:t>
      </w:r>
      <w:r>
        <w:rPr>
          <w:rFonts w:hint="eastAsia" w:ascii="仿宋" w:hAnsi="仿宋" w:eastAsia="仿宋" w:cs="仿宋"/>
          <w:color w:val="auto"/>
          <w:spacing w:val="-11"/>
          <w:w w:val="105"/>
          <w:sz w:val="28"/>
          <w:szCs w:val="28"/>
          <w:highlight w:val="none"/>
        </w:rPr>
        <w:t>场周边地势低洼处，设置临时拦挡墙，将汇水有序地引入矿山公路靠山侧的排洪沟中。</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（3）矿山服务终了后，对采矿场边坡进行绿化，营造和恢复当地的绿色植被。</w:t>
      </w:r>
    </w:p>
    <w:p>
      <w:pPr>
        <w:pStyle w:val="6"/>
        <w:ind w:firstLine="508"/>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6）道路及其他辅助设施水土保持方案</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（1）矿山道路、矿山工业场地等开挖和平整场地形成的边坡，应</w:t>
      </w:r>
      <w:r>
        <w:rPr>
          <w:rFonts w:hint="eastAsia" w:ascii="仿宋" w:hAnsi="仿宋" w:eastAsia="仿宋" w:cs="仿宋"/>
          <w:color w:val="auto"/>
          <w:spacing w:val="-11"/>
          <w:w w:val="105"/>
          <w:sz w:val="28"/>
          <w:szCs w:val="28"/>
          <w:highlight w:val="none"/>
          <w:lang w:eastAsia="zh-CN"/>
        </w:rPr>
        <w:t>及时</w:t>
      </w:r>
      <w:r>
        <w:rPr>
          <w:rFonts w:hint="eastAsia" w:ascii="仿宋" w:hAnsi="仿宋" w:eastAsia="仿宋" w:cs="仿宋"/>
          <w:color w:val="auto"/>
          <w:spacing w:val="-11"/>
          <w:w w:val="105"/>
          <w:sz w:val="28"/>
          <w:szCs w:val="28"/>
          <w:highlight w:val="none"/>
        </w:rPr>
        <w:t>进行防护。对永久性边坡视其稳定程度可采用挡墙、削坡、永久性植被等措施，对临时性边坡实施削坡、喷浆等临时性防护措施。</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（2）矿山道路大多是岩土路基，长期重车使用路基、路面会受到破坏，因此，要经常对路基、路面进行防护和维修。</w:t>
      </w:r>
    </w:p>
    <w:p>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（3）道路靠山坡一侧和场地开挖的上部根据需要设置截排水沟，一方面道路截排水沟可拦截山坡汇水对下游的冲刷作用，另一方面可为采场场地疏排雨水。</w:t>
      </w:r>
    </w:p>
    <w:p>
      <w:pPr>
        <w:spacing w:line="360" w:lineRule="auto"/>
        <w:ind w:firstLine="544"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11"/>
          <w:w w:val="105"/>
          <w:sz w:val="28"/>
          <w:szCs w:val="28"/>
          <w:highlight w:val="none"/>
        </w:rPr>
        <w:t>（4）一般的开挖边坡应及时复绿，实现水土保持，恢复生态环境之目的。总之，矿山采场最终边坡角设计为</w:t>
      </w:r>
      <w:r>
        <w:rPr>
          <w:rFonts w:hint="eastAsia" w:ascii="仿宋" w:hAnsi="仿宋" w:eastAsia="仿宋" w:cs="仿宋"/>
          <w:color w:val="auto"/>
          <w:spacing w:val="-11"/>
          <w:w w:val="105"/>
          <w:sz w:val="28"/>
          <w:szCs w:val="28"/>
          <w:highlight w:val="none"/>
          <w:lang w:val="en-US" w:eastAsia="zh-CN"/>
        </w:rPr>
        <w:t>60</w:t>
      </w:r>
      <w:r>
        <w:rPr>
          <w:rFonts w:hint="eastAsia" w:ascii="仿宋" w:hAnsi="仿宋" w:eastAsia="仿宋" w:cs="仿宋"/>
          <w:color w:val="auto"/>
          <w:spacing w:val="-11"/>
          <w:w w:val="105"/>
          <w:sz w:val="28"/>
          <w:szCs w:val="28"/>
          <w:highlight w:val="none"/>
        </w:rPr>
        <w:t>°，</w:t>
      </w:r>
      <w:r>
        <w:rPr>
          <w:rFonts w:hint="eastAsia" w:ascii="仿宋" w:hAnsi="仿宋" w:eastAsia="仿宋" w:cs="仿宋"/>
          <w:color w:val="auto"/>
          <w:spacing w:val="-11"/>
          <w:w w:val="105"/>
          <w:sz w:val="28"/>
          <w:szCs w:val="28"/>
          <w:highlight w:val="none"/>
          <w:lang w:val="en-US" w:eastAsia="zh-CN"/>
        </w:rPr>
        <w:t>采矿区范围内</w:t>
      </w:r>
      <w:r>
        <w:rPr>
          <w:rFonts w:hint="eastAsia" w:ascii="仿宋" w:hAnsi="仿宋" w:eastAsia="仿宋" w:cs="仿宋"/>
          <w:color w:val="auto"/>
          <w:spacing w:val="-11"/>
          <w:w w:val="105"/>
          <w:sz w:val="28"/>
          <w:szCs w:val="28"/>
          <w:highlight w:val="none"/>
        </w:rPr>
        <w:t>山体边坡岩层较为稳定。随着矿山将来的生产进行，堆矿场、废渣场等建筑设施的修建，将对区内植被造成一定损坏；采矿活动产生的矿渣、污水对周边地质环境有一定影响，但开采范围小，易于治理。矿区为露天开采，要注意地下水对边坡稳定的影响，同时</w:t>
      </w:r>
      <w:r>
        <w:rPr>
          <w:rFonts w:hint="eastAsia" w:ascii="仿宋" w:hAnsi="仿宋" w:eastAsia="仿宋" w:cs="仿宋"/>
          <w:color w:val="auto"/>
          <w:spacing w:val="-11"/>
          <w:w w:val="105"/>
          <w:sz w:val="28"/>
          <w:szCs w:val="28"/>
          <w:highlight w:val="none"/>
          <w:lang w:eastAsia="zh-CN"/>
        </w:rPr>
        <w:t>做好</w:t>
      </w:r>
      <w:r>
        <w:rPr>
          <w:rFonts w:hint="eastAsia" w:ascii="仿宋" w:hAnsi="仿宋" w:eastAsia="仿宋" w:cs="仿宋"/>
          <w:color w:val="auto"/>
          <w:spacing w:val="-11"/>
          <w:w w:val="105"/>
          <w:sz w:val="28"/>
          <w:szCs w:val="28"/>
          <w:highlight w:val="none"/>
        </w:rPr>
        <w:t>采空区的复垦和绿化工作</w:t>
      </w:r>
      <w:r>
        <w:rPr>
          <w:rFonts w:hint="eastAsia" w:ascii="仿宋" w:hAnsi="仿宋" w:eastAsia="仿宋" w:cs="仿宋"/>
          <w:color w:val="auto"/>
          <w:sz w:val="28"/>
          <w:szCs w:val="28"/>
          <w:highlight w:val="none"/>
        </w:rPr>
        <w:t>。</w:t>
      </w:r>
    </w:p>
    <w:p>
      <w:pPr>
        <w:rPr>
          <w:rFonts w:hint="eastAsia"/>
          <w:color w:val="auto"/>
        </w:rPr>
      </w:pPr>
      <w:r>
        <w:rPr>
          <w:rFonts w:hint="eastAsia"/>
          <w:color w:val="auto"/>
        </w:rPr>
        <w:br w:type="page"/>
      </w:r>
    </w:p>
    <w:p>
      <w:pPr>
        <w:pStyle w:val="3"/>
        <w:spacing w:before="200" w:after="200" w:line="360" w:lineRule="auto"/>
        <w:jc w:val="center"/>
        <w:rPr>
          <w:rFonts w:ascii="Times New Roman" w:hAnsi="Times New Roman" w:eastAsia="宋体" w:cs="Times New Roman"/>
          <w:bCs/>
          <w:color w:val="auto"/>
          <w:sz w:val="32"/>
          <w:szCs w:val="44"/>
          <w:highlight w:val="none"/>
        </w:rPr>
      </w:pPr>
      <w:bookmarkStart w:id="63" w:name="_Toc29476"/>
      <w:r>
        <w:rPr>
          <w:rFonts w:ascii="Times New Roman" w:hAnsi="Times New Roman" w:eastAsia="宋体" w:cs="Times New Roman"/>
          <w:bCs/>
          <w:color w:val="auto"/>
          <w:sz w:val="32"/>
          <w:szCs w:val="44"/>
          <w:highlight w:val="none"/>
        </w:rPr>
        <w:t>第2章  矿区基础信息</w:t>
      </w:r>
      <w:bookmarkEnd w:id="63"/>
    </w:p>
    <w:p>
      <w:pPr>
        <w:pStyle w:val="4"/>
        <w:spacing w:before="156" w:beforeLines="50" w:after="156" w:afterLines="50" w:line="360" w:lineRule="auto"/>
        <w:jc w:val="left"/>
        <w:rPr>
          <w:rFonts w:ascii="Times New Roman" w:hAnsi="Times New Roman" w:eastAsia="宋体" w:cs="Times New Roman"/>
          <w:bCs/>
          <w:color w:val="auto"/>
          <w:sz w:val="30"/>
          <w:szCs w:val="32"/>
          <w:highlight w:val="none"/>
          <w:lang w:val="zh-CN"/>
        </w:rPr>
      </w:pPr>
      <w:bookmarkStart w:id="64" w:name="_Toc32406"/>
      <w:r>
        <w:rPr>
          <w:rFonts w:ascii="Times New Roman" w:hAnsi="Times New Roman" w:eastAsia="宋体" w:cs="Times New Roman"/>
          <w:bCs/>
          <w:color w:val="auto"/>
          <w:sz w:val="30"/>
          <w:szCs w:val="32"/>
          <w:highlight w:val="none"/>
        </w:rPr>
        <w:t>一、</w:t>
      </w:r>
      <w:r>
        <w:rPr>
          <w:rFonts w:ascii="Times New Roman" w:hAnsi="Times New Roman" w:eastAsia="宋体" w:cs="Times New Roman"/>
          <w:bCs/>
          <w:color w:val="auto"/>
          <w:sz w:val="30"/>
          <w:szCs w:val="32"/>
          <w:highlight w:val="none"/>
          <w:lang w:val="zh-CN"/>
        </w:rPr>
        <w:t>矿区自然地理</w:t>
      </w:r>
      <w:bookmarkEnd w:id="64"/>
    </w:p>
    <w:p>
      <w:pPr>
        <w:pStyle w:val="5"/>
        <w:ind w:firstLine="562"/>
        <w:rPr>
          <w:color w:val="auto"/>
        </w:rPr>
      </w:pPr>
      <w:bookmarkStart w:id="65" w:name="_Toc800"/>
      <w:bookmarkStart w:id="66" w:name="_Toc15630"/>
      <w:r>
        <w:rPr>
          <w:rFonts w:hint="eastAsia"/>
          <w:color w:val="auto"/>
        </w:rPr>
        <w:t>（一）气象</w:t>
      </w:r>
      <w:bookmarkEnd w:id="65"/>
      <w:bookmarkEnd w:id="66"/>
    </w:p>
    <w:p>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大英县属川中亚热带温暖湿润气候区，季风气候显著。特征为：气候湿</w:t>
      </w:r>
      <w:r>
        <w:rPr>
          <w:rFonts w:hint="eastAsia" w:ascii="仿宋_GB2312" w:hAnsi="仿宋_GB2312" w:eastAsia="仿宋_GB2312" w:cs="仿宋_GB2312"/>
          <w:color w:val="auto"/>
          <w:sz w:val="28"/>
          <w:szCs w:val="28"/>
          <w:lang w:val="en-US" w:eastAsia="zh-CN"/>
        </w:rPr>
        <w:t>润</w:t>
      </w:r>
      <w:r>
        <w:rPr>
          <w:rFonts w:hint="eastAsia" w:ascii="仿宋_GB2312" w:hAnsi="仿宋_GB2312" w:eastAsia="仿宋_GB2312" w:cs="仿宋_GB2312"/>
          <w:color w:val="auto"/>
          <w:sz w:val="28"/>
          <w:szCs w:val="28"/>
          <w:lang w:eastAsia="zh-CN"/>
        </w:rPr>
        <w:t>，雨量充沛，四季分明，冬暖，春旱，夏热，秋凉，无霜期长。但降雨时空分配不均，雨热同季，夏季伏旱，秋季阴雨，湿度大，云雾多，日照少。区内属低日照区，平均日照数为1471小时，历年平均日照率为32%，最多年为1847.7小时，最少年为1042.6小时。</w:t>
      </w:r>
    </w:p>
    <w:p>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据统计，全县平均气温17℃，极端最低气温-4.6℃；极端最高气温39.4℃。日均温皆在0℃以上，年均无霜期298天。</w:t>
      </w:r>
    </w:p>
    <w:p>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灾害性天气包括冬、春、秋季的寒潮、低温、连阴雨、干旱、冰雹、暴雨、洪涝等。区内干旱出现频繁，主要有春旱、夏旱及伏旱，尤以夏季伏旱影响范围最广，危害最大，据历年统计，年发生频率达88%。伏旱延续日数最长可达30天。</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本区域的降雨极不均匀，降水年际差异也十分突出，最多年1371.4mm，最少年602.2mm，年际之差769mm以上，据收集50年资料，多年平均降雨量为927.6mm，据附近的中江县仓山气象点历时24小时最大降雨量达280mm，而县气象站的历史24小时最大降雨量达185mm，小时最大降雨量80mm（2007年）。</w:t>
      </w:r>
    </w:p>
    <w:p>
      <w:pPr>
        <w:pStyle w:val="5"/>
        <w:ind w:firstLine="562"/>
        <w:rPr>
          <w:color w:val="auto"/>
        </w:rPr>
      </w:pPr>
      <w:bookmarkStart w:id="67" w:name="_Toc31049"/>
      <w:bookmarkStart w:id="68" w:name="_Toc562"/>
      <w:r>
        <w:rPr>
          <w:rFonts w:hint="eastAsia"/>
          <w:color w:val="auto"/>
        </w:rPr>
        <w:t>（二）水文</w:t>
      </w:r>
      <w:bookmarkEnd w:id="67"/>
      <w:bookmarkEnd w:id="68"/>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大英县位于四川盆地中部</w:t>
      </w:r>
      <w:bookmarkStart w:id="69" w:name="ref_7"/>
      <w:bookmarkEnd w:id="69"/>
      <w:r>
        <w:rPr>
          <w:rFonts w:hint="eastAsia" w:ascii="仿宋_GB2312" w:hAnsi="仿宋_GB2312" w:eastAsia="仿宋_GB2312" w:cs="仿宋_GB2312"/>
          <w:color w:val="auto"/>
          <w:sz w:val="28"/>
          <w:szCs w:val="28"/>
        </w:rPr>
        <w:t>， 1997年12月28日由原四川蓬溪县老三区成立了大英县，大英县</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"https://baike.sogou.com/lemma/ShowInnerLink.htm?lemmaId=11619&amp;ss_c=ssc.citiao.link"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遂宁市</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西部，为典型的丘陵区，属亚热带湿润季风气候区。大英县与四地市六县（区）接壤。东隔涪江，与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"https://baike.sogou.com/lemma/ShowInnerLink.htm?lemmaId=11653&amp;ss_c=ssc.citiao.link"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蓬溪县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相望，南与遂宁市</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"https://baike.sogou.com/lemma/ShowInnerLink.htm?lemmaId=11631&amp;ss_c=ssc.citiao.link"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船山区</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"https://baike.sogou.com/lemma/ShowInnerLink.htm?lemmaId=11637&amp;ss_c=ssc.citiao.link"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安居区</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接壤，西南与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"https://baike.sogou.com/lemma/ShowInnerLink.htm?lemmaId=13209&amp;ss_c=ssc.citiao.link"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乐至县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连界，西毗</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"https://baike.sogou.com/lemma/ShowInnerLink.htm?lemmaId=11333&amp;ss_c=ssc.citiao.link"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中江县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，西北与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"https://baike.sogou.com/lemma/ShowInnerLink.htm?lemmaId=11443&amp;ss_c=ssc.citiao.link"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三台县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交界，北与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"https://baike.sogou.com/lemma/ShowInnerLink.htm?lemmaId=11689&amp;ss_c=ssc.citiao.link"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射洪县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为邻。</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大英县位于四川盆地中部，</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"https://baike.sogou.com/v11677.htm" \l "quote8"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[8]</w:t>
      </w:r>
      <w:r>
        <w:rPr>
          <w:rFonts w:hint="eastAsia" w:ascii="仿宋_GB2312" w:hAnsi="仿宋_GB2312" w:eastAsia="仿宋_GB2312" w:cs="仿宋_GB2312"/>
          <w:color w:val="auto"/>
          <w:sz w:val="28"/>
          <w:szCs w:val="28"/>
        </w:rPr>
        <w:fldChar w:fldCharType="end"/>
      </w:r>
      <w:bookmarkStart w:id="70" w:name="ref_8"/>
      <w:bookmarkEnd w:id="70"/>
      <w:r>
        <w:rPr>
          <w:rFonts w:hint="eastAsia" w:ascii="仿宋_GB2312" w:hAnsi="仿宋_GB2312" w:eastAsia="仿宋_GB2312" w:cs="仿宋_GB2312"/>
          <w:color w:val="auto"/>
          <w:sz w:val="28"/>
          <w:szCs w:val="28"/>
        </w:rPr>
        <w:t>地处长江上游北岸， 涪江流域中段，东西长34.3公里，南北宽29.8公里，幅员面积702.6平方公里。</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大英县属丘陵地貌区，丘陵占86%，平坝、台地占14%，平均海拔554米，最低288米，相对高差266米。</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大英县境内水系发达，河流纵横。主要河流有县境东界的涪江和中部的</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"https://baike.sogou.com/lemma/ShowInnerLink.htm?lemmaId=5934758&amp;ss_c=ssc.citiao.link"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郪江</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郪江从大英县西北部的象山镇入境，自西向东横穿大英县，沿途接纳了马力河、河边河、古柏溪、金元河、同心河、金竹河等支流，构成了典型的</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"https://baike.sogou.com/lemma/ShowInnerLink.htm?lemmaId=72317065&amp;ss_c=ssc.citiao.link"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格状水系</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，郪江在大英县境内全长65.37km，大英县境内流域面积588平方公里，落差24米。</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涪江发源于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"https://baike.sogou.com/lemma/ShowInnerLink.htm?lemmaId=19600&amp;ss_c=ssc.citiao.link"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松潘县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雪宝顶，经遂宁市、重庆市合川注入嘉陵江，全长670公里，流域面积36400平方公里。涪江从大英县回马镇边界线流过，长度为21.3km。</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矿区内水系不甚发育，多为季节性冲沟，溪沟雨季流量较大，旱季小至断流，季节性山洪最终汇入安宁河，安宁河河谷为当地最低侵蚀基准面。</w:t>
      </w:r>
    </w:p>
    <w:p>
      <w:pPr>
        <w:pStyle w:val="5"/>
        <w:ind w:firstLine="562"/>
        <w:rPr>
          <w:color w:val="auto"/>
        </w:rPr>
      </w:pPr>
      <w:bookmarkStart w:id="71" w:name="_Toc2128"/>
      <w:bookmarkStart w:id="72" w:name="_Toc18526"/>
      <w:r>
        <w:rPr>
          <w:rFonts w:hint="eastAsia"/>
          <w:color w:val="auto"/>
        </w:rPr>
        <w:t>（三）地形地貌</w:t>
      </w:r>
      <w:bookmarkEnd w:id="71"/>
      <w:bookmarkEnd w:id="72"/>
    </w:p>
    <w:p>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按照“四川省东部地区地貌区划”，大英县地处盆地丘陵向盆周低山过渡地带，地形差异明显，地貌上属“红色盆地”范畴。</w:t>
      </w:r>
    </w:p>
    <w:p>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县域内除涪江、郪江河流两岸间续分布河流堆积阶地外，其余地区均为红层丘陵区，丘包群立，沟谷迂回，宽缓延伸，为四川盆地典型的构造剥蚀丘陵地貌，县域地势北西高，南东低，地形切割零碎。</w:t>
      </w:r>
    </w:p>
    <w:p>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县域内地貌按成因和形态特征可分为：侵蚀堆积地形和构造剥蚀地形，侵蚀堆积地形主要分布于涪江、郪江两侧，表现为河漫滩及一至五级阶地，即平坝区，面积19.2 km²；构造剥蚀地形表现为丘陵，全区地貌类型以浅丘为主，占幅员面积的73.01 %；其次为中丘。</w:t>
      </w:r>
    </w:p>
    <w:p>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矿区位于</w:t>
      </w:r>
      <w:r>
        <w:rPr>
          <w:rFonts w:hint="eastAsia" w:ascii="仿宋_GB2312" w:hAnsi="仿宋_GB2312" w:eastAsia="仿宋_GB2312" w:cs="仿宋_GB2312"/>
          <w:color w:val="auto"/>
          <w:sz w:val="28"/>
          <w:szCs w:val="28"/>
          <w:lang w:eastAsia="zh-CN"/>
        </w:rPr>
        <w:t>玉峰镇，</w:t>
      </w:r>
      <w:r>
        <w:rPr>
          <w:rFonts w:hint="eastAsia" w:ascii="仿宋_GB2312" w:hAnsi="仿宋_GB2312" w:eastAsia="仿宋_GB2312" w:cs="仿宋_GB2312"/>
          <w:color w:val="auto"/>
          <w:sz w:val="28"/>
          <w:szCs w:val="28"/>
          <w:lang w:val="en-US" w:eastAsia="zh-CN"/>
        </w:rPr>
        <w:t>属于</w:t>
      </w:r>
      <w:r>
        <w:rPr>
          <w:rFonts w:hint="eastAsia" w:ascii="仿宋_GB2312" w:hAnsi="仿宋_GB2312" w:eastAsia="仿宋_GB2312" w:cs="仿宋_GB2312"/>
          <w:color w:val="auto"/>
          <w:sz w:val="28"/>
          <w:szCs w:val="28"/>
          <w:lang w:eastAsia="zh-CN"/>
        </w:rPr>
        <w:t>中丘地貌区。</w:t>
      </w:r>
    </w:p>
    <w:p>
      <w:pPr>
        <w:pStyle w:val="5"/>
        <w:ind w:firstLine="562"/>
        <w:rPr>
          <w:color w:val="auto"/>
        </w:rPr>
      </w:pPr>
      <w:bookmarkStart w:id="73" w:name="_Toc12228"/>
      <w:bookmarkStart w:id="74" w:name="_Toc31715"/>
      <w:r>
        <w:rPr>
          <w:rFonts w:hint="eastAsia"/>
          <w:color w:val="auto"/>
        </w:rPr>
        <w:t>（四）植被</w:t>
      </w:r>
      <w:bookmarkEnd w:id="73"/>
      <w:bookmarkEnd w:id="74"/>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大英县属亚热带常绿阔叶林区，大英县森林覆盖率37.3%。林木品种110种，其中有水杉、银杏、苏铁、红豆杉、古柏、榕树等国家保护植物和珍稀树木。经济林主要有</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"https://baike.baidu.com/item/%E6%B2%B9%E6%A1%90/1035800?fromModule=lemma_inlink"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油桐</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"https://baike.baidu.com/item/%E6%B2%B9%E6%A9%84%E6%A6%84/2154733?fromModule=lemma_inlink"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油橄榄</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"https://baike.baidu.com/item/%E6%A0%B8%E6%A1%83/549550?fromModule=lemma_inlink"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核桃</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"https://baike.baidu.com/item/%E8%93%96%E9%BA%BB/631447?fromModule=lemma_inlink"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蓖麻</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等树种。境内盛产</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"https://baike.baidu.com/item/%E6%9F%91%E6%A9%98/55204?fromModule=lemma_inlink"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柑橘</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"https://baike.baidu.com/item/%E6%A9%99/25420?fromModule=lemma_inlink"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橙</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"https://baike.baidu.com/item/%E6%9F%9A/811777?fromModule=lemma_inlink"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柚</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"https://baike.baidu.com/item/%E6%A2%A8/11871?fromModule=lemma_inlink"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梨</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"https://baike.baidu.com/item/%E6%A1%83/64247?fromModule=lemma_inlink"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桃</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、李、苹果，尤以河边镇所产的“白柠檬”为国内独有之物。</w:t>
      </w:r>
    </w:p>
    <w:p>
      <w:pPr>
        <w:pStyle w:val="5"/>
        <w:ind w:firstLine="562"/>
        <w:rPr>
          <w:color w:val="auto"/>
        </w:rPr>
      </w:pPr>
      <w:bookmarkStart w:id="75" w:name="_Toc7864"/>
      <w:bookmarkStart w:id="76" w:name="_Toc7345"/>
      <w:r>
        <w:rPr>
          <w:rFonts w:hint="eastAsia"/>
          <w:color w:val="auto"/>
        </w:rPr>
        <w:t>（五）土壤</w:t>
      </w:r>
      <w:bookmarkEnd w:id="75"/>
      <w:bookmarkEnd w:id="76"/>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大英县全县土壤分类除少量砾子外，有5个土类，9个亚类，31个土属，78个土种。根据现场踏勘，矿区范围土壤类型主要以黄壤为主。</w:t>
      </w:r>
    </w:p>
    <w:p>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黄壤：经踏勘调查，复垦区内黄壤具有明显的发生层次，其农业土壤剖面构型为耕作层一心土层一母质层。自然土表层有10～30cm的未分解或半分解枯枝落叶腐殖质层，其下为粘重、紧实的淀积层，颜色为黄至棕黄色。黄壤的有机质随植被类型而异。在自然土中，有机质由于腐殖质层存在，可高达5%以上，但心土层则迅速降低，耕作黄壤随熟化程度提高而增加，氮、钾含量均属中等水平。由于土壤淋溶强，盐基饱和度低，土壤酸度大，绝大多数黄壤pH值小于6.0。</w:t>
      </w:r>
    </w:p>
    <w:p>
      <w:pPr>
        <w:adjustRightInd w:val="0"/>
        <w:spacing w:line="400" w:lineRule="exact"/>
        <w:ind w:firstLine="480"/>
        <w:rPr>
          <w:rFonts w:ascii="宋体" w:hAnsi="宋体" w:cs="宋体"/>
          <w:color w:val="auto"/>
        </w:rPr>
      </w:pPr>
    </w:p>
    <w:p>
      <w:pPr>
        <w:pStyle w:val="4"/>
        <w:ind w:firstLine="602"/>
        <w:rPr>
          <w:color w:val="auto"/>
        </w:rPr>
      </w:pPr>
      <w:bookmarkStart w:id="77" w:name="_Toc14841"/>
      <w:bookmarkStart w:id="78" w:name="_Toc24317"/>
      <w:r>
        <w:rPr>
          <w:rFonts w:hint="eastAsia"/>
          <w:color w:val="auto"/>
        </w:rPr>
        <w:t>二、矿区地质环境背景</w:t>
      </w:r>
      <w:bookmarkEnd w:id="77"/>
      <w:bookmarkEnd w:id="78"/>
    </w:p>
    <w:p>
      <w:pPr>
        <w:pStyle w:val="5"/>
        <w:ind w:firstLine="562"/>
        <w:rPr>
          <w:color w:val="auto"/>
        </w:rPr>
      </w:pPr>
      <w:bookmarkStart w:id="79" w:name="_Toc19490"/>
      <w:bookmarkStart w:id="80" w:name="_Toc16653"/>
      <w:r>
        <w:rPr>
          <w:rFonts w:hint="eastAsia"/>
          <w:color w:val="auto"/>
        </w:rPr>
        <w:t>（一）地层岩性</w:t>
      </w:r>
      <w:bookmarkEnd w:id="79"/>
      <w:bookmarkEnd w:id="80"/>
    </w:p>
    <w:p>
      <w:pPr>
        <w:ind w:firstLine="480"/>
        <w:rPr>
          <w:rFonts w:hint="eastAsia" w:ascii="仿宋" w:hAnsi="仿宋" w:eastAsia="仿宋" w:cs="仿宋"/>
          <w:color w:val="auto"/>
          <w:sz w:val="28"/>
          <w:szCs w:val="28"/>
        </w:rPr>
      </w:pPr>
      <w:r>
        <w:rPr>
          <w:rFonts w:hint="eastAsia" w:ascii="仿宋" w:hAnsi="仿宋" w:eastAsia="仿宋" w:cs="仿宋"/>
          <w:color w:val="auto"/>
          <w:sz w:val="28"/>
          <w:szCs w:val="28"/>
        </w:rPr>
        <w:t>区内出露地层由老到新主要为：侏罗系中统遂宁组（J</w:t>
      </w:r>
      <w:r>
        <w:rPr>
          <w:rFonts w:hint="eastAsia" w:ascii="仿宋" w:hAnsi="仿宋" w:eastAsia="仿宋" w:cs="仿宋"/>
          <w:color w:val="auto"/>
          <w:sz w:val="28"/>
          <w:szCs w:val="28"/>
          <w:vertAlign w:val="subscript"/>
        </w:rPr>
        <w:t>3</w:t>
      </w:r>
      <w:r>
        <w:rPr>
          <w:rFonts w:hint="eastAsia" w:ascii="仿宋" w:hAnsi="仿宋" w:eastAsia="仿宋" w:cs="仿宋"/>
          <w:i/>
          <w:iCs/>
          <w:color w:val="auto"/>
          <w:sz w:val="28"/>
          <w:szCs w:val="28"/>
        </w:rPr>
        <w:t>s</w:t>
      </w:r>
      <w:r>
        <w:rPr>
          <w:rFonts w:hint="eastAsia" w:ascii="仿宋" w:hAnsi="仿宋" w:eastAsia="仿宋" w:cs="仿宋"/>
          <w:color w:val="auto"/>
          <w:sz w:val="28"/>
          <w:szCs w:val="28"/>
        </w:rPr>
        <w:t>）、蓬莱镇组（J</w:t>
      </w:r>
      <w:r>
        <w:rPr>
          <w:rFonts w:hint="eastAsia" w:ascii="仿宋" w:hAnsi="仿宋" w:eastAsia="仿宋" w:cs="仿宋"/>
          <w:color w:val="auto"/>
          <w:sz w:val="28"/>
          <w:szCs w:val="28"/>
          <w:vertAlign w:val="subscript"/>
        </w:rPr>
        <w:t>3</w:t>
      </w:r>
      <w:r>
        <w:rPr>
          <w:rFonts w:hint="eastAsia" w:ascii="仿宋" w:hAnsi="仿宋" w:eastAsia="仿宋" w:cs="仿宋"/>
          <w:i/>
          <w:iCs/>
          <w:color w:val="auto"/>
          <w:sz w:val="28"/>
          <w:szCs w:val="28"/>
        </w:rPr>
        <w:t>p</w:t>
      </w:r>
      <w:r>
        <w:rPr>
          <w:rFonts w:hint="eastAsia" w:ascii="仿宋" w:hAnsi="仿宋" w:eastAsia="仿宋" w:cs="仿宋"/>
          <w:color w:val="auto"/>
          <w:sz w:val="28"/>
          <w:szCs w:val="28"/>
        </w:rPr>
        <w:t>）和第四系（Q</w:t>
      </w:r>
      <w:r>
        <w:rPr>
          <w:rFonts w:hint="eastAsia" w:ascii="仿宋" w:hAnsi="仿宋" w:eastAsia="仿宋" w:cs="仿宋"/>
          <w:color w:val="auto"/>
          <w:sz w:val="28"/>
          <w:szCs w:val="28"/>
          <w:vertAlign w:val="subscript"/>
        </w:rPr>
        <w:t>4</w:t>
      </w:r>
      <w:r>
        <w:rPr>
          <w:rFonts w:hint="eastAsia" w:ascii="仿宋" w:hAnsi="仿宋" w:eastAsia="仿宋" w:cs="仿宋"/>
          <w:i/>
          <w:iCs/>
          <w:color w:val="auto"/>
          <w:sz w:val="28"/>
          <w:szCs w:val="28"/>
          <w:vertAlign w:val="superscript"/>
        </w:rPr>
        <w:t>el+dl</w:t>
      </w:r>
      <w:r>
        <w:rPr>
          <w:rFonts w:hint="eastAsia" w:ascii="仿宋" w:hAnsi="仿宋" w:eastAsia="仿宋" w:cs="仿宋"/>
          <w:color w:val="auto"/>
          <w:sz w:val="28"/>
          <w:szCs w:val="28"/>
        </w:rPr>
        <w:t>）。该区地层详见区域地层简表：</w:t>
      </w:r>
    </w:p>
    <w:p>
      <w:pPr>
        <w:ind w:firstLine="422"/>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表3-1 区域地层简表</w:t>
      </w:r>
    </w:p>
    <w:p>
      <w:pPr>
        <w:ind w:firstLine="422"/>
        <w:jc w:val="center"/>
        <w:rPr>
          <w:rFonts w:ascii="黑体" w:hAnsi="黑体" w:eastAsia="黑体"/>
          <w:b/>
          <w:color w:val="auto"/>
          <w:sz w:val="21"/>
        </w:rPr>
      </w:pPr>
      <w:r>
        <w:rPr>
          <w:rFonts w:hint="eastAsia" w:ascii="黑体" w:hAnsi="黑体" w:eastAsia="黑体"/>
          <w:b/>
          <w:color w:val="auto"/>
          <w:sz w:val="21"/>
        </w:rPr>
        <w:drawing>
          <wp:inline distT="0" distB="0" distL="0" distR="0">
            <wp:extent cx="5274310" cy="4924425"/>
            <wp:effectExtent l="0" t="0" r="13970" b="1333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5274310" cy="4924425"/>
                    </a:xfrm>
                    <a:prstGeom prst="rect">
                      <a:avLst/>
                    </a:prstGeom>
                    <a:noFill/>
                    <a:ln>
                      <a:noFill/>
                    </a:ln>
                  </pic:spPr>
                </pic:pic>
              </a:graphicData>
            </a:graphic>
          </wp:inline>
        </w:drawing>
      </w:r>
    </w:p>
    <w:p>
      <w:pPr>
        <w:ind w:firstLine="480"/>
        <w:rPr>
          <w:rFonts w:hint="eastAsia" w:ascii="仿宋" w:hAnsi="仿宋" w:eastAsia="仿宋" w:cs="仿宋"/>
          <w:color w:val="auto"/>
          <w:sz w:val="28"/>
          <w:szCs w:val="28"/>
        </w:rPr>
      </w:pPr>
      <w:r>
        <w:rPr>
          <w:rFonts w:hint="eastAsia" w:ascii="仿宋" w:hAnsi="仿宋" w:eastAsia="仿宋" w:cs="仿宋"/>
          <w:color w:val="auto"/>
          <w:sz w:val="28"/>
          <w:szCs w:val="28"/>
        </w:rPr>
        <w:t>地层岩性分述如下：</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（1）侏罗系上统遂宁组（J</w:t>
      </w:r>
      <w:r>
        <w:rPr>
          <w:rFonts w:hint="eastAsia" w:ascii="仿宋" w:hAnsi="仿宋" w:eastAsia="仿宋" w:cs="仿宋"/>
          <w:color w:val="auto"/>
          <w:sz w:val="28"/>
          <w:szCs w:val="28"/>
          <w:vertAlign w:val="subscript"/>
        </w:rPr>
        <w:t>3</w:t>
      </w:r>
      <w:r>
        <w:rPr>
          <w:rFonts w:hint="eastAsia" w:ascii="仿宋" w:hAnsi="仿宋" w:eastAsia="仿宋" w:cs="仿宋"/>
          <w:i/>
          <w:iCs/>
          <w:color w:val="auto"/>
          <w:sz w:val="28"/>
          <w:szCs w:val="28"/>
        </w:rPr>
        <w:t>s</w:t>
      </w:r>
      <w:r>
        <w:rPr>
          <w:rFonts w:hint="eastAsia" w:ascii="仿宋" w:hAnsi="仿宋" w:eastAsia="仿宋" w:cs="仿宋"/>
          <w:color w:val="auto"/>
          <w:sz w:val="28"/>
          <w:szCs w:val="28"/>
        </w:rPr>
        <w:t>）：</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遂宁组下段（J</w:t>
      </w:r>
      <w:r>
        <w:rPr>
          <w:rFonts w:hint="eastAsia" w:ascii="仿宋" w:hAnsi="仿宋" w:eastAsia="仿宋" w:cs="仿宋"/>
          <w:color w:val="auto"/>
          <w:sz w:val="28"/>
          <w:szCs w:val="28"/>
          <w:vertAlign w:val="subscript"/>
        </w:rPr>
        <w:t>3</w:t>
      </w:r>
      <w:r>
        <w:rPr>
          <w:rFonts w:hint="eastAsia" w:ascii="仿宋" w:hAnsi="仿宋" w:eastAsia="仿宋" w:cs="仿宋"/>
          <w:i/>
          <w:iCs/>
          <w:color w:val="auto"/>
          <w:sz w:val="28"/>
          <w:szCs w:val="28"/>
        </w:rPr>
        <w:t>s</w:t>
      </w:r>
      <w:r>
        <w:rPr>
          <w:rFonts w:hint="eastAsia" w:ascii="仿宋" w:hAnsi="仿宋" w:eastAsia="仿宋" w:cs="仿宋"/>
          <w:color w:val="auto"/>
          <w:sz w:val="28"/>
          <w:szCs w:val="28"/>
          <w:vertAlign w:val="superscript"/>
        </w:rPr>
        <w:t>1</w:t>
      </w:r>
      <w:r>
        <w:rPr>
          <w:rFonts w:hint="eastAsia" w:ascii="仿宋" w:hAnsi="仿宋" w:eastAsia="仿宋" w:cs="仿宋"/>
          <w:color w:val="auto"/>
          <w:sz w:val="28"/>
          <w:szCs w:val="28"/>
        </w:rPr>
        <w:t>）主要由鲜紫红、棕红色砂质泥岩、泥岩夹少量灰绿、灰白、紫红色细-粉砂岩组成。在遂宁一带厚约272.4米。底部普遍具有一层灰绿、灰白或砖红色厚层至块状细粒长石石英砂岩。</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遂宁组上段（J</w:t>
      </w:r>
      <w:r>
        <w:rPr>
          <w:rFonts w:hint="eastAsia" w:ascii="仿宋" w:hAnsi="仿宋" w:eastAsia="仿宋" w:cs="仿宋"/>
          <w:color w:val="auto"/>
          <w:sz w:val="28"/>
          <w:szCs w:val="28"/>
          <w:vertAlign w:val="subscript"/>
        </w:rPr>
        <w:t>3</w:t>
      </w:r>
      <w:r>
        <w:rPr>
          <w:rFonts w:hint="eastAsia" w:ascii="仿宋" w:hAnsi="仿宋" w:eastAsia="仿宋" w:cs="仿宋"/>
          <w:i/>
          <w:iCs/>
          <w:color w:val="auto"/>
          <w:sz w:val="28"/>
          <w:szCs w:val="28"/>
        </w:rPr>
        <w:t>s</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）主要由紫灰、灰紫色厚层至块状细粒长石石英砂岩与紫红、鲜红色泥岩，砂质泥岩组成3个不等厚韵律，遂宁一带该厚度约为137.3米。</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（2）蓬莱镇组（J</w:t>
      </w:r>
      <w:r>
        <w:rPr>
          <w:rFonts w:hint="eastAsia" w:ascii="仿宋" w:hAnsi="仿宋" w:eastAsia="仿宋" w:cs="仿宋"/>
          <w:color w:val="auto"/>
          <w:sz w:val="28"/>
          <w:szCs w:val="28"/>
          <w:vertAlign w:val="subscript"/>
        </w:rPr>
        <w:t>3</w:t>
      </w:r>
      <w:r>
        <w:rPr>
          <w:rFonts w:hint="eastAsia" w:ascii="仿宋" w:hAnsi="仿宋" w:eastAsia="仿宋" w:cs="仿宋"/>
          <w:i/>
          <w:iCs/>
          <w:color w:val="auto"/>
          <w:sz w:val="28"/>
          <w:szCs w:val="28"/>
        </w:rPr>
        <w:t>p</w:t>
      </w:r>
      <w:r>
        <w:rPr>
          <w:rFonts w:hint="eastAsia" w:ascii="仿宋" w:hAnsi="仿宋" w:eastAsia="仿宋" w:cs="仿宋"/>
          <w:color w:val="auto"/>
          <w:sz w:val="28"/>
          <w:szCs w:val="28"/>
        </w:rPr>
        <w:t>）：</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蓬莱镇组一段（J</w:t>
      </w:r>
      <w:r>
        <w:rPr>
          <w:rFonts w:hint="eastAsia" w:ascii="仿宋" w:hAnsi="仿宋" w:eastAsia="仿宋" w:cs="仿宋"/>
          <w:color w:val="auto"/>
          <w:sz w:val="28"/>
          <w:szCs w:val="28"/>
          <w:vertAlign w:val="subscript"/>
        </w:rPr>
        <w:t>3</w:t>
      </w:r>
      <w:r>
        <w:rPr>
          <w:rFonts w:hint="eastAsia" w:ascii="仿宋" w:hAnsi="仿宋" w:eastAsia="仿宋" w:cs="仿宋"/>
          <w:i/>
          <w:iCs/>
          <w:color w:val="auto"/>
          <w:sz w:val="28"/>
          <w:szCs w:val="28"/>
        </w:rPr>
        <w:t>p</w:t>
      </w:r>
      <w:r>
        <w:rPr>
          <w:rFonts w:hint="eastAsia" w:ascii="仿宋" w:hAnsi="仿宋" w:eastAsia="仿宋" w:cs="仿宋"/>
          <w:color w:val="auto"/>
          <w:sz w:val="28"/>
          <w:szCs w:val="28"/>
          <w:vertAlign w:val="superscript"/>
        </w:rPr>
        <w:t>1</w:t>
      </w:r>
      <w:r>
        <w:rPr>
          <w:rFonts w:hint="eastAsia" w:ascii="仿宋" w:hAnsi="仿宋" w:eastAsia="仿宋" w:cs="仿宋"/>
          <w:color w:val="auto"/>
          <w:sz w:val="28"/>
          <w:szCs w:val="28"/>
        </w:rPr>
        <w:t>）下部为紫灰、灰紫色中层至块状细粒长石石英砂岩与紫红色粉砂岩、泥岩组成2～3个不等厚韵律，中上部紫红色中</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薄层状粉砂岩与同色泥岩互层，夹凸透镜长石石英砂岩和灰绿色砂质条带。</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蓬莱镇组二段（J</w:t>
      </w:r>
      <w:r>
        <w:rPr>
          <w:rFonts w:hint="eastAsia" w:ascii="仿宋" w:hAnsi="仿宋" w:eastAsia="仿宋" w:cs="仿宋"/>
          <w:color w:val="auto"/>
          <w:sz w:val="28"/>
          <w:szCs w:val="28"/>
          <w:vertAlign w:val="subscript"/>
        </w:rPr>
        <w:t>3</w:t>
      </w:r>
      <w:r>
        <w:rPr>
          <w:rFonts w:hint="eastAsia" w:ascii="仿宋" w:hAnsi="仿宋" w:eastAsia="仿宋" w:cs="仿宋"/>
          <w:i/>
          <w:iCs/>
          <w:color w:val="auto"/>
          <w:sz w:val="28"/>
          <w:szCs w:val="28"/>
        </w:rPr>
        <w:t>p</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）为紫灰、灰色厚层至块状细粒长石石英砂岩与紫红色粉砂质泥岩组成不等厚互层。</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蓬莱镇组三段（J</w:t>
      </w:r>
      <w:r>
        <w:rPr>
          <w:rFonts w:hint="eastAsia" w:ascii="仿宋" w:hAnsi="仿宋" w:eastAsia="仿宋" w:cs="仿宋"/>
          <w:color w:val="auto"/>
          <w:sz w:val="28"/>
          <w:szCs w:val="28"/>
          <w:vertAlign w:val="subscript"/>
        </w:rPr>
        <w:t>3</w:t>
      </w:r>
      <w:r>
        <w:rPr>
          <w:rFonts w:hint="eastAsia" w:ascii="仿宋" w:hAnsi="仿宋" w:eastAsia="仿宋" w:cs="仿宋"/>
          <w:i/>
          <w:iCs/>
          <w:color w:val="auto"/>
          <w:sz w:val="28"/>
          <w:szCs w:val="28"/>
        </w:rPr>
        <w:t>p</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）底部为灰色厚层至块状细粒长石石英砂岩，下部为紫红、鲜红色泥岩、粉砂岩夹灰色中厚层状至块状细粒长石石英砂岩，中上部为粉红色泥岩夹同色中厚层细粒长石石英砂岩，偶夹灰绿、黄绿色页岩。</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（3）第四系（Q</w:t>
      </w:r>
      <w:r>
        <w:rPr>
          <w:rFonts w:hint="eastAsia" w:ascii="仿宋" w:hAnsi="仿宋" w:eastAsia="仿宋" w:cs="仿宋"/>
          <w:color w:val="auto"/>
          <w:sz w:val="28"/>
          <w:szCs w:val="28"/>
          <w:vertAlign w:val="subscript"/>
        </w:rPr>
        <w:t>4</w:t>
      </w:r>
      <w:r>
        <w:rPr>
          <w:rFonts w:hint="eastAsia" w:ascii="仿宋" w:hAnsi="仿宋" w:eastAsia="仿宋" w:cs="仿宋"/>
          <w:i/>
          <w:iCs/>
          <w:color w:val="auto"/>
          <w:sz w:val="28"/>
          <w:szCs w:val="28"/>
          <w:vertAlign w:val="superscript"/>
        </w:rPr>
        <w:t>el+dl</w:t>
      </w:r>
      <w:r>
        <w:rPr>
          <w:rFonts w:hint="eastAsia" w:ascii="仿宋" w:hAnsi="仿宋" w:eastAsia="仿宋" w:cs="仿宋"/>
          <w:color w:val="auto"/>
          <w:sz w:val="28"/>
          <w:szCs w:val="28"/>
        </w:rPr>
        <w:t>）：</w:t>
      </w:r>
    </w:p>
    <w:p>
      <w:pPr>
        <w:ind w:firstLine="480"/>
        <w:rPr>
          <w:rFonts w:hint="eastAsia" w:ascii="仿宋" w:hAnsi="仿宋" w:eastAsia="仿宋" w:cs="仿宋"/>
          <w:color w:val="auto"/>
          <w:sz w:val="28"/>
          <w:szCs w:val="28"/>
        </w:rPr>
      </w:pPr>
      <w:r>
        <w:rPr>
          <w:rFonts w:hint="eastAsia" w:ascii="仿宋" w:hAnsi="仿宋" w:eastAsia="仿宋" w:cs="仿宋"/>
          <w:color w:val="auto"/>
          <w:sz w:val="28"/>
          <w:szCs w:val="28"/>
        </w:rPr>
        <w:t>浅黄、灰红色松散砂、岩石碎块及粘土，厚度0～0.5米不等，主要分布在坡脚和洼地，坡顶较薄。</w:t>
      </w:r>
    </w:p>
    <w:p>
      <w:pPr>
        <w:pStyle w:val="5"/>
        <w:ind w:firstLine="562"/>
        <w:rPr>
          <w:color w:val="auto"/>
        </w:rPr>
      </w:pPr>
      <w:bookmarkStart w:id="81" w:name="_Toc21782"/>
      <w:bookmarkStart w:id="82" w:name="_Toc6831"/>
      <w:r>
        <w:rPr>
          <w:rFonts w:hint="eastAsia"/>
          <w:color w:val="auto"/>
        </w:rPr>
        <w:t>（二）地质构造</w:t>
      </w:r>
      <w:bookmarkEnd w:id="81"/>
      <w:bookmarkEnd w:id="82"/>
    </w:p>
    <w:p>
      <w:pPr>
        <w:ind w:firstLine="480"/>
        <w:rPr>
          <w:rFonts w:ascii="宋体" w:hAnsi="宋体"/>
          <w:color w:val="auto"/>
        </w:rPr>
      </w:pPr>
      <w:r>
        <w:rPr>
          <w:rFonts w:hint="eastAsia" w:ascii="仿宋" w:hAnsi="仿宋" w:eastAsia="仿宋" w:cs="仿宋"/>
          <w:color w:val="auto"/>
          <w:sz w:val="28"/>
          <w:szCs w:val="28"/>
        </w:rPr>
        <w:t>大英县地处扬子准地台四川台拗南充断凹中部横山场背斜东段北翼近轴部，大致呈一单斜构造，地质构造简单（图3-1）。</w:t>
      </w:r>
    </w:p>
    <w:p>
      <w:pPr>
        <w:ind w:firstLine="422"/>
        <w:jc w:val="center"/>
        <w:rPr>
          <w:rFonts w:ascii="黑体" w:hAnsi="黑体" w:eastAsia="黑体"/>
          <w:b/>
          <w:color w:val="auto"/>
          <w:sz w:val="21"/>
        </w:rPr>
      </w:pPr>
      <w:r>
        <w:rPr>
          <w:rFonts w:hint="eastAsia" w:ascii="黑体" w:hAnsi="黑体" w:eastAsia="黑体"/>
          <w:b/>
          <w:color w:val="auto"/>
          <w:sz w:val="21"/>
        </w:rPr>
        <w:drawing>
          <wp:inline distT="0" distB="0" distL="0" distR="0">
            <wp:extent cx="4924425" cy="3724275"/>
            <wp:effectExtent l="0" t="0" r="13335" b="952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4924425" cy="3724275"/>
                    </a:xfrm>
                    <a:prstGeom prst="rect">
                      <a:avLst/>
                    </a:prstGeom>
                    <a:noFill/>
                    <a:ln>
                      <a:noFill/>
                    </a:ln>
                  </pic:spPr>
                </pic:pic>
              </a:graphicData>
            </a:graphic>
          </wp:inline>
        </w:drawing>
      </w:r>
    </w:p>
    <w:p>
      <w:pPr>
        <w:ind w:firstLine="422"/>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图3-1  四川盆地构造分区示意图</w:t>
      </w:r>
    </w:p>
    <w:p>
      <w:pPr>
        <w:ind w:firstLine="480"/>
        <w:rPr>
          <w:rFonts w:hint="eastAsia" w:ascii="仿宋" w:hAnsi="仿宋" w:eastAsia="仿宋" w:cs="仿宋"/>
          <w:color w:val="auto"/>
          <w:sz w:val="28"/>
          <w:szCs w:val="28"/>
        </w:rPr>
      </w:pPr>
      <w:r>
        <w:rPr>
          <w:rFonts w:hint="eastAsia" w:ascii="仿宋" w:hAnsi="仿宋" w:eastAsia="仿宋" w:cs="仿宋"/>
          <w:color w:val="auto"/>
          <w:sz w:val="28"/>
          <w:szCs w:val="28"/>
        </w:rPr>
        <w:t>区域构造主要为蓬莱镇</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安岳东西构造带。该带由一系列东西向平缓褶皱组成，多为鼻状背斜，箕状向斜或多高点</w:t>
      </w:r>
      <w:r>
        <w:rPr>
          <w:rFonts w:hint="eastAsia" w:ascii="仿宋" w:hAnsi="仿宋" w:eastAsia="仿宋" w:cs="仿宋"/>
          <w:color w:val="auto"/>
          <w:sz w:val="28"/>
          <w:szCs w:val="28"/>
          <w:lang w:eastAsia="zh-CN"/>
        </w:rPr>
        <w:t>线状</w:t>
      </w:r>
      <w:r>
        <w:rPr>
          <w:rFonts w:hint="eastAsia" w:ascii="仿宋" w:hAnsi="仿宋" w:eastAsia="仿宋" w:cs="仿宋"/>
          <w:color w:val="auto"/>
          <w:sz w:val="28"/>
          <w:szCs w:val="28"/>
        </w:rPr>
        <w:t>褶皱，断层少见。主要的构造</w:t>
      </w:r>
      <w:r>
        <w:rPr>
          <w:rFonts w:hint="eastAsia" w:ascii="仿宋" w:hAnsi="仿宋" w:eastAsia="仿宋" w:cs="仿宋"/>
          <w:color w:val="auto"/>
          <w:sz w:val="28"/>
          <w:szCs w:val="28"/>
          <w:lang w:eastAsia="zh-CN"/>
        </w:rPr>
        <w:t>形迹</w:t>
      </w:r>
      <w:r>
        <w:rPr>
          <w:rFonts w:hint="eastAsia" w:ascii="仿宋" w:hAnsi="仿宋" w:eastAsia="仿宋" w:cs="仿宋"/>
          <w:color w:val="auto"/>
          <w:sz w:val="28"/>
          <w:szCs w:val="28"/>
        </w:rPr>
        <w:t>有：</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仓山背斜：位于中江仓山镇之南。东起龙怀寺，西至图边，长18Km，走向近东西。蓬莱镇组构成核部和两翼，两翼对称，倾角1°～2°。东段翘起，最老地层为遂宁组。</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蓬莱镇背斜：西起永丰场，东至桂花园以东，长50Km以上。走向近东西，西段向西南偏移，使轴线微向北弯突。核部和两翼均为遂宁组，两翼对称，倾角为1°～2°。枢纽起伏，形成四个次级闭合穹窿背斜。</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拦江背斜：东起遂宁大柏林，中经拦江镇，西至三星场，长34Km。轴向北70°～80°，轴向微向北弯突。核部岩层平缓，由遂宁组、蓬莱镇组构成。两翼对称，倾角为1°～3°。枢纽东段翘起，往西渐次低下，呈鼻状。</w:t>
      </w:r>
    </w:p>
    <w:p>
      <w:pPr>
        <w:widowControl/>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太来场背斜：东起遂宁分水岭，中经石佛场，西至乐至天柱山，长22Km。轴向70°～80°东，轴向微向南突。核部和两翼均由蓬莱镇组一段构成，两翼对称，倾角1°～2°。</w:t>
      </w:r>
    </w:p>
    <w:p>
      <w:pPr>
        <w:pStyle w:val="5"/>
        <w:ind w:firstLine="562"/>
        <w:rPr>
          <w:color w:val="auto"/>
        </w:rPr>
      </w:pPr>
      <w:bookmarkStart w:id="83" w:name="_Toc5380"/>
      <w:bookmarkStart w:id="84" w:name="_Toc17312"/>
      <w:r>
        <w:rPr>
          <w:rFonts w:hint="eastAsia"/>
          <w:color w:val="auto"/>
        </w:rPr>
        <w:t>（三）水文地质</w:t>
      </w:r>
      <w:bookmarkEnd w:id="83"/>
      <w:bookmarkEnd w:id="84"/>
    </w:p>
    <w:p>
      <w:pPr>
        <w:ind w:firstLine="480"/>
        <w:rPr>
          <w:rFonts w:hint="eastAsia" w:ascii="仿宋" w:hAnsi="仿宋" w:eastAsia="仿宋" w:cs="仿宋"/>
          <w:color w:val="auto"/>
          <w:sz w:val="28"/>
          <w:szCs w:val="28"/>
        </w:rPr>
      </w:pPr>
      <w:r>
        <w:rPr>
          <w:rFonts w:hint="eastAsia" w:ascii="仿宋" w:hAnsi="仿宋" w:eastAsia="仿宋" w:cs="仿宋"/>
          <w:color w:val="auto"/>
          <w:sz w:val="28"/>
          <w:szCs w:val="28"/>
        </w:rPr>
        <w:t>矿区水工环地质成矿特征为低山丘陵区，沟谷发育，多为坡面水，季节性沟系发育。矿层均位于当地侵蚀基准面以上，自然排水条件好。第四系坡残积与冲积松散层透水性好，动态变化大，富水性微弱；侏罗系中上统沙溪庙组、遂宁组和蓬莱镇组，紫红色、砖红色泥页岩夹薄层粉砂岩。该岩类致密，孔隙度小，节理裂隙不发育，含水性弱，透水性差，是区内相对隔水层；区内无常年地表水体，</w:t>
      </w:r>
      <w:r>
        <w:rPr>
          <w:rFonts w:hint="eastAsia" w:ascii="仿宋" w:hAnsi="仿宋" w:eastAsia="仿宋" w:cs="仿宋"/>
          <w:color w:val="auto"/>
          <w:sz w:val="28"/>
          <w:szCs w:val="28"/>
          <w:lang w:eastAsia="zh-CN"/>
        </w:rPr>
        <w:t>地表径流</w:t>
      </w:r>
      <w:r>
        <w:rPr>
          <w:rFonts w:hint="eastAsia" w:ascii="仿宋" w:hAnsi="仿宋" w:eastAsia="仿宋" w:cs="仿宋"/>
          <w:color w:val="auto"/>
          <w:sz w:val="28"/>
          <w:szCs w:val="28"/>
        </w:rPr>
        <w:t>条件好。地下水主要由大气降水补给，大气降水大多通过地表径流排出采场，仅小部分通过裂隙、落水洞等通道渗入地下形成地下水，矿区地下水贫乏，矿山位置位于当地最低侵蚀基准面以上，斜坡地形有利于地表水和地下水排泄，地表及地下水的自然排泄条件好。综上所述，矿区范围内排水通畅，地下水贫乏，水文地质条件简单。</w:t>
      </w:r>
    </w:p>
    <w:p>
      <w:pPr>
        <w:pStyle w:val="5"/>
        <w:ind w:firstLine="562"/>
        <w:rPr>
          <w:color w:val="auto"/>
        </w:rPr>
      </w:pPr>
      <w:bookmarkStart w:id="85" w:name="_Toc15430"/>
      <w:bookmarkStart w:id="86" w:name="_Toc17601"/>
      <w:r>
        <w:rPr>
          <w:rFonts w:hint="eastAsia"/>
          <w:color w:val="auto"/>
        </w:rPr>
        <w:t>（四）工程地质</w:t>
      </w:r>
      <w:bookmarkEnd w:id="85"/>
      <w:bookmarkEnd w:id="86"/>
    </w:p>
    <w:p>
      <w:pPr>
        <w:ind w:firstLine="480"/>
        <w:rPr>
          <w:rFonts w:hint="eastAsia" w:ascii="仿宋" w:hAnsi="仿宋" w:eastAsia="仿宋" w:cs="仿宋"/>
          <w:color w:val="auto"/>
          <w:sz w:val="28"/>
          <w:szCs w:val="28"/>
        </w:rPr>
      </w:pPr>
      <w:r>
        <w:rPr>
          <w:rFonts w:hint="eastAsia" w:ascii="仿宋" w:hAnsi="仿宋" w:eastAsia="仿宋" w:cs="仿宋"/>
          <w:color w:val="auto"/>
          <w:sz w:val="28"/>
          <w:szCs w:val="28"/>
        </w:rPr>
        <w:t>本区岩层结构软弱，抗压强度&lt;30Mpa，软化系数&lt;0.5，坚固系数&lt;3，岩（土）体工程地质条件一般，露天开采过程中，应注意人工边坡过高而诱发边坡不稳定。在开采边坡临空地段还可发生育卸荷裂隙，在矿区山开采过程中，放炮震动、地震等外营力作用下，易发生崩塌或者小型滑坡等地质灾害，但其影响程度较小，危害程度较小～较大。矿层的覆盖层为耕土，厚度较薄，矿层工程地质条件简单。</w:t>
      </w:r>
    </w:p>
    <w:p>
      <w:pPr>
        <w:pStyle w:val="5"/>
        <w:ind w:firstLine="562"/>
        <w:rPr>
          <w:color w:val="auto"/>
        </w:rPr>
      </w:pPr>
      <w:bookmarkStart w:id="87" w:name="_Toc24656"/>
      <w:bookmarkStart w:id="88" w:name="_Toc16365"/>
      <w:r>
        <w:rPr>
          <w:rFonts w:hint="eastAsia"/>
          <w:color w:val="auto"/>
        </w:rPr>
        <w:t>（五）环境地质</w:t>
      </w:r>
      <w:bookmarkEnd w:id="87"/>
      <w:bookmarkEnd w:id="88"/>
    </w:p>
    <w:p>
      <w:pPr>
        <w:pStyle w:val="71"/>
        <w:adjustRightInd w:val="0"/>
        <w:snapToGrid w:val="0"/>
        <w:spacing w:line="360" w:lineRule="auto"/>
        <w:ind w:firstLine="480"/>
        <w:rPr>
          <w:rFonts w:hint="eastAsia" w:ascii="仿宋" w:hAnsi="仿宋" w:eastAsia="仿宋" w:cs="仿宋"/>
          <w:color w:val="auto"/>
          <w:sz w:val="28"/>
          <w:szCs w:val="28"/>
        </w:rPr>
      </w:pPr>
      <w:r>
        <w:rPr>
          <w:rStyle w:val="75"/>
          <w:rFonts w:hint="eastAsia" w:ascii="仿宋" w:hAnsi="仿宋" w:eastAsia="仿宋" w:cs="仿宋"/>
          <w:color w:val="auto"/>
          <w:sz w:val="28"/>
          <w:szCs w:val="28"/>
        </w:rPr>
        <w:t>（1）</w:t>
      </w:r>
      <w:r>
        <w:rPr>
          <w:rFonts w:hint="eastAsia" w:ascii="仿宋_GB2312" w:hAnsi="仿宋_GB2312" w:eastAsia="仿宋_GB2312" w:cs="仿宋_GB2312"/>
          <w:color w:val="auto"/>
          <w:sz w:val="28"/>
          <w:szCs w:val="28"/>
          <w:lang w:val="en-US" w:eastAsia="zh-CN"/>
        </w:rPr>
        <w:t>根据《中国地震动参数区划图》（GB18306-2015）：大英县玉峰镇峰值加速度0.05g，</w:t>
      </w:r>
      <w:r>
        <w:rPr>
          <w:rFonts w:hint="eastAsia" w:ascii="仿宋_GB2312" w:hAnsi="仿宋_GB2312" w:eastAsia="仿宋_GB2312" w:cs="仿宋_GB2312"/>
          <w:color w:val="auto"/>
          <w:sz w:val="28"/>
          <w:szCs w:val="28"/>
        </w:rPr>
        <w:t>反应谱特征周期0.</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5s，</w:t>
      </w:r>
      <w:r>
        <w:rPr>
          <w:rFonts w:hint="eastAsia" w:ascii="仿宋_GB2312" w:hAnsi="仿宋_GB2312" w:eastAsia="仿宋_GB2312" w:cs="仿宋_GB2312"/>
          <w:color w:val="auto"/>
          <w:sz w:val="28"/>
          <w:szCs w:val="28"/>
          <w:lang w:val="en-US" w:eastAsia="zh-CN"/>
        </w:rPr>
        <w:t>对应《建筑抗震设计标准（2024年版）》（GB50011-2010）表3.2.2，抗震设防烈度为6度。</w:t>
      </w:r>
    </w:p>
    <w:p>
      <w:pPr>
        <w:ind w:firstLine="480"/>
        <w:rPr>
          <w:rStyle w:val="75"/>
          <w:rFonts w:hint="eastAsia" w:ascii="仿宋" w:hAnsi="仿宋" w:eastAsia="仿宋" w:cs="仿宋"/>
          <w:color w:val="auto"/>
          <w:sz w:val="28"/>
          <w:szCs w:val="28"/>
        </w:rPr>
      </w:pPr>
      <w:r>
        <w:rPr>
          <w:rStyle w:val="75"/>
          <w:rFonts w:hint="eastAsia" w:ascii="仿宋" w:hAnsi="仿宋" w:eastAsia="仿宋" w:cs="仿宋"/>
          <w:color w:val="auto"/>
          <w:sz w:val="28"/>
          <w:szCs w:val="28"/>
        </w:rPr>
        <w:t>（2）矿区地处海拔+300米以上的山区，区内植被较发育，有常住居民；季节性冲沟少，地表土体较薄，无较厚的堆积层，一般情况下不易发生滑坡、垮塌、泥石流等地质灾害。根据现有收集的矿山相关资料，矿区内未发现重大污染源存在，未发现对人体健康有害的放射性元素及地热异常；亦无自然风景及人文遗产保护区，自然环境条件较好。</w:t>
      </w:r>
    </w:p>
    <w:p>
      <w:pPr>
        <w:ind w:firstLine="480"/>
        <w:rPr>
          <w:rStyle w:val="75"/>
          <w:rFonts w:hint="eastAsia" w:ascii="仿宋" w:hAnsi="仿宋" w:eastAsia="仿宋" w:cs="仿宋"/>
          <w:color w:val="auto"/>
          <w:sz w:val="28"/>
          <w:szCs w:val="28"/>
        </w:rPr>
      </w:pPr>
      <w:r>
        <w:rPr>
          <w:rStyle w:val="75"/>
          <w:rFonts w:hint="eastAsia" w:ascii="仿宋" w:hAnsi="仿宋" w:eastAsia="仿宋" w:cs="仿宋"/>
          <w:color w:val="auto"/>
          <w:sz w:val="28"/>
          <w:szCs w:val="28"/>
        </w:rPr>
        <w:t>（3）矿山开采对地质环境的影响主要表现为采场边坡、排土场的稳定性及水土流失和粉尘污染对环境的影响。开采过程中务必严格按照要求做好相应的安全防护措施及防治工作，以减少对环境的影响。</w:t>
      </w:r>
    </w:p>
    <w:p>
      <w:pPr>
        <w:ind w:firstLine="480"/>
        <w:rPr>
          <w:rFonts w:hint="eastAsia" w:ascii="仿宋" w:hAnsi="仿宋" w:eastAsia="仿宋" w:cs="仿宋"/>
          <w:color w:val="auto"/>
          <w:sz w:val="28"/>
          <w:szCs w:val="28"/>
        </w:rPr>
      </w:pPr>
      <w:r>
        <w:rPr>
          <w:rStyle w:val="75"/>
          <w:rFonts w:hint="eastAsia" w:ascii="仿宋" w:hAnsi="仿宋" w:eastAsia="仿宋" w:cs="仿宋"/>
          <w:color w:val="auto"/>
          <w:sz w:val="28"/>
          <w:szCs w:val="28"/>
        </w:rPr>
        <w:t>综上所述，矿区属次生环境地质问题为主的中等类型。</w:t>
      </w:r>
    </w:p>
    <w:p>
      <w:pPr>
        <w:pStyle w:val="5"/>
        <w:ind w:firstLine="562"/>
        <w:rPr>
          <w:color w:val="auto"/>
        </w:rPr>
      </w:pPr>
      <w:bookmarkStart w:id="89" w:name="_Toc21540"/>
      <w:bookmarkStart w:id="90" w:name="_Toc24896"/>
      <w:r>
        <w:rPr>
          <w:rFonts w:hint="eastAsia"/>
          <w:color w:val="auto"/>
        </w:rPr>
        <w:t>（六）矿体地质特征</w:t>
      </w:r>
      <w:bookmarkEnd w:id="89"/>
      <w:bookmarkEnd w:id="90"/>
    </w:p>
    <w:p>
      <w:pPr>
        <w:ind w:firstLine="480"/>
        <w:rPr>
          <w:rStyle w:val="75"/>
          <w:rFonts w:hint="eastAsia" w:ascii="仿宋" w:hAnsi="仿宋" w:eastAsia="仿宋" w:cs="仿宋"/>
          <w:b w:val="0"/>
          <w:bCs w:val="0"/>
          <w:i w:val="0"/>
          <w:iCs w:val="0"/>
          <w:color w:val="auto"/>
          <w:sz w:val="28"/>
          <w:szCs w:val="28"/>
        </w:rPr>
      </w:pPr>
      <w:r>
        <w:rPr>
          <w:rStyle w:val="75"/>
          <w:rFonts w:hint="eastAsia" w:ascii="仿宋" w:hAnsi="仿宋" w:eastAsia="仿宋" w:cs="仿宋"/>
          <w:b w:val="0"/>
          <w:bCs w:val="0"/>
          <w:i w:val="0"/>
          <w:iCs w:val="0"/>
          <w:color w:val="auto"/>
          <w:sz w:val="28"/>
          <w:szCs w:val="28"/>
        </w:rPr>
        <w:t>区内矿体赋存于侏罗系上统蓬莱镇组（J3p）中，主要为紫红色泥岩。</w:t>
      </w:r>
    </w:p>
    <w:p>
      <w:pPr>
        <w:ind w:firstLine="480"/>
        <w:rPr>
          <w:rStyle w:val="75"/>
          <w:rFonts w:hint="eastAsia" w:ascii="仿宋" w:hAnsi="仿宋" w:eastAsia="仿宋" w:cs="仿宋"/>
          <w:b w:val="0"/>
          <w:bCs w:val="0"/>
          <w:i w:val="0"/>
          <w:iCs w:val="0"/>
          <w:color w:val="auto"/>
          <w:sz w:val="28"/>
          <w:szCs w:val="28"/>
        </w:rPr>
      </w:pPr>
      <w:r>
        <w:rPr>
          <w:rStyle w:val="75"/>
          <w:rFonts w:hint="eastAsia" w:ascii="仿宋" w:hAnsi="仿宋" w:eastAsia="仿宋" w:cs="仿宋"/>
          <w:b w:val="0"/>
          <w:bCs w:val="0"/>
          <w:i w:val="0"/>
          <w:iCs w:val="0"/>
          <w:color w:val="auto"/>
          <w:sz w:val="28"/>
          <w:szCs w:val="28"/>
        </w:rPr>
        <w:t>矿体分布于整个工作区内，为砖瓦用页岩，呈近水平层状产出。矿区中间高四周低，东西向长度约560m，最</w:t>
      </w:r>
      <w:r>
        <w:rPr>
          <w:rStyle w:val="75"/>
          <w:rFonts w:hint="eastAsia" w:ascii="仿宋" w:hAnsi="仿宋" w:eastAsia="仿宋" w:cs="仿宋"/>
          <w:b w:val="0"/>
          <w:bCs w:val="0"/>
          <w:i w:val="0"/>
          <w:iCs w:val="0"/>
          <w:color w:val="auto"/>
          <w:sz w:val="28"/>
          <w:szCs w:val="28"/>
          <w:lang w:eastAsia="zh-CN"/>
        </w:rPr>
        <w:t>宽</w:t>
      </w:r>
      <w:r>
        <w:rPr>
          <w:rStyle w:val="75"/>
          <w:rFonts w:hint="eastAsia" w:ascii="仿宋" w:hAnsi="仿宋" w:eastAsia="仿宋" w:cs="仿宋"/>
          <w:b w:val="0"/>
          <w:bCs w:val="0"/>
          <w:i w:val="0"/>
          <w:iCs w:val="0"/>
          <w:color w:val="auto"/>
          <w:sz w:val="28"/>
          <w:szCs w:val="28"/>
        </w:rPr>
        <w:t>处约110m，最窄处约50m，相对高差约50m，矿体总体形态简单，无夹石，分布面积广，厚度稳定。</w:t>
      </w:r>
    </w:p>
    <w:p>
      <w:pPr>
        <w:ind w:firstLine="480"/>
        <w:rPr>
          <w:rStyle w:val="75"/>
          <w:rFonts w:hint="eastAsia" w:ascii="仿宋" w:hAnsi="仿宋" w:eastAsia="仿宋" w:cs="仿宋"/>
          <w:b w:val="0"/>
          <w:bCs w:val="0"/>
          <w:i w:val="0"/>
          <w:iCs w:val="0"/>
          <w:color w:val="auto"/>
          <w:sz w:val="28"/>
          <w:szCs w:val="28"/>
        </w:rPr>
      </w:pPr>
      <w:r>
        <w:rPr>
          <w:rStyle w:val="75"/>
          <w:rFonts w:hint="eastAsia" w:ascii="仿宋" w:hAnsi="仿宋" w:eastAsia="仿宋" w:cs="仿宋"/>
          <w:b w:val="0"/>
          <w:bCs w:val="0"/>
          <w:i w:val="0"/>
          <w:iCs w:val="0"/>
          <w:color w:val="auto"/>
          <w:sz w:val="28"/>
          <w:szCs w:val="28"/>
        </w:rPr>
        <w:t>区内矿体连续，分布于整个工作区，按大英县自然资源和规划局规划设立的矿区范围，拟设开采标高350～40</w:t>
      </w:r>
      <w:r>
        <w:rPr>
          <w:rStyle w:val="75"/>
          <w:rFonts w:hint="eastAsia" w:ascii="仿宋" w:hAnsi="仿宋" w:eastAsia="仿宋" w:cs="仿宋"/>
          <w:b w:val="0"/>
          <w:bCs w:val="0"/>
          <w:i w:val="0"/>
          <w:iCs w:val="0"/>
          <w:color w:val="auto"/>
          <w:sz w:val="28"/>
          <w:szCs w:val="28"/>
          <w:lang w:val="en-US" w:eastAsia="zh-CN"/>
        </w:rPr>
        <w:t>2</w:t>
      </w:r>
      <w:r>
        <w:rPr>
          <w:rStyle w:val="75"/>
          <w:rFonts w:hint="eastAsia" w:ascii="仿宋" w:hAnsi="仿宋" w:eastAsia="仿宋" w:cs="仿宋"/>
          <w:b w:val="0"/>
          <w:bCs w:val="0"/>
          <w:i w:val="0"/>
          <w:iCs w:val="0"/>
          <w:color w:val="auto"/>
          <w:sz w:val="28"/>
          <w:szCs w:val="28"/>
        </w:rPr>
        <w:t>m，根据钻孔揭露矿体厚度30.20～35.70m，未见底。</w:t>
      </w:r>
    </w:p>
    <w:p>
      <w:pPr>
        <w:pStyle w:val="4"/>
        <w:ind w:firstLine="602"/>
        <w:rPr>
          <w:color w:val="auto"/>
        </w:rPr>
      </w:pPr>
      <w:bookmarkStart w:id="91" w:name="_Toc4683"/>
      <w:bookmarkStart w:id="92" w:name="_Toc22442"/>
      <w:r>
        <w:rPr>
          <w:rFonts w:hint="eastAsia"/>
          <w:color w:val="auto"/>
        </w:rPr>
        <w:t>三、矿区社会经济概况</w:t>
      </w:r>
      <w:bookmarkEnd w:id="91"/>
      <w:bookmarkEnd w:id="92"/>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rPr>
        <w:t>经遂宁市统计局审定，2022年实现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GDP)174.87亿元，按可比价格计算比上年</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下同</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增长8.1%。其中，第一产业增加值29.08亿元，增长2.3%，对经济增长的贡献率为4.9%，拉动经济增长0.4个百分点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第二产业增加值72.51亿元，增长9.4%，对经济增长的贡献率为58.3%，拉动经济增长4.75个百分点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第三产业增加值73.28亿元，增长9.4%，对经济增长的贡献率为36.7%，拉动经济增长2.99个百分点。三次产业结构由上年的15.5:49.5:35调整为今年的16.6:41.5:41.9。人均地区生产总值36356元，增长8.1%。</w:t>
      </w:r>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auto"/>
          <w:highlight w:val="none"/>
        </w:rPr>
      </w:pPr>
      <w:bookmarkStart w:id="93" w:name="_Toc6022"/>
      <w:r>
        <w:rPr>
          <w:rFonts w:ascii="Times New Roman" w:hAnsi="Times New Roman" w:eastAsia="宋体" w:cs="Times New Roman"/>
          <w:color w:val="auto"/>
          <w:highlight w:val="none"/>
        </w:rPr>
        <w:t>四、矿区土地利用现状</w:t>
      </w:r>
      <w:bookmarkEnd w:id="93"/>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玉峰镇浅垭子村砖瓦用页岩矿</w:t>
      </w:r>
      <w:r>
        <w:rPr>
          <w:rFonts w:hint="eastAsia" w:ascii="仿宋" w:hAnsi="仿宋" w:eastAsia="仿宋" w:cs="仿宋"/>
          <w:color w:val="auto"/>
          <w:sz w:val="28"/>
          <w:szCs w:val="28"/>
          <w:highlight w:val="none"/>
        </w:rPr>
        <w:t>矿区面积</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包括采矿权面积及矿山活动范围。</w:t>
      </w:r>
      <w:r>
        <w:rPr>
          <w:rFonts w:hint="eastAsia" w:ascii="仿宋" w:hAnsi="仿宋" w:eastAsia="仿宋" w:cs="仿宋"/>
          <w:color w:val="auto"/>
          <w:sz w:val="28"/>
          <w:szCs w:val="28"/>
          <w:highlight w:val="none"/>
        </w:rPr>
        <w:t>项目区无永久用地。土地利用类型包括乔木林地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其他林地</w:t>
      </w:r>
      <w:r>
        <w:rPr>
          <w:rFonts w:hint="eastAsia" w:ascii="仿宋" w:hAnsi="仿宋" w:eastAsia="仿宋" w:cs="仿宋"/>
          <w:color w:val="auto"/>
          <w:sz w:val="28"/>
          <w:szCs w:val="28"/>
          <w:highlight w:val="none"/>
        </w:rPr>
        <w:t>、采矿用地。土地权属清楚，无争议。根据</w:t>
      </w:r>
      <w:r>
        <w:rPr>
          <w:rFonts w:hint="eastAsia" w:ascii="仿宋" w:hAnsi="仿宋" w:eastAsia="仿宋" w:cs="仿宋"/>
          <w:color w:val="auto"/>
          <w:sz w:val="28"/>
          <w:szCs w:val="28"/>
          <w:highlight w:val="none"/>
          <w:lang w:val="en-US" w:eastAsia="zh-CN"/>
        </w:rPr>
        <w:t>最新年度</w:t>
      </w:r>
      <w:r>
        <w:rPr>
          <w:rFonts w:hint="eastAsia" w:ascii="仿宋" w:hAnsi="仿宋" w:eastAsia="仿宋" w:cs="仿宋"/>
          <w:color w:val="auto"/>
          <w:sz w:val="28"/>
          <w:szCs w:val="28"/>
          <w:highlight w:val="none"/>
        </w:rPr>
        <w:t>土地利用现状变更调查数据，对矿区范围土地利用情况进行分类统计，详见表2-2。</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自然资源和规划局提供的</w:t>
      </w:r>
      <w:r>
        <w:rPr>
          <w:rFonts w:hint="eastAsia" w:ascii="仿宋" w:hAnsi="仿宋" w:eastAsia="仿宋" w:cs="仿宋"/>
          <w:color w:val="auto"/>
          <w:sz w:val="28"/>
          <w:szCs w:val="28"/>
          <w:highlight w:val="none"/>
          <w:lang w:val="en-US" w:eastAsia="zh-CN"/>
        </w:rPr>
        <w:t>2022年度</w:t>
      </w:r>
      <w:r>
        <w:rPr>
          <w:rFonts w:hint="eastAsia" w:ascii="仿宋" w:hAnsi="仿宋" w:eastAsia="仿宋" w:cs="仿宋"/>
          <w:color w:val="auto"/>
          <w:sz w:val="28"/>
          <w:szCs w:val="28"/>
          <w:highlight w:val="none"/>
        </w:rPr>
        <w:t>土地利用现状变更调查数据及“三区三线”数据，结合本方案调查确定的矿山损毁范围，通过ArcGIS软件进行数据叠加分析得出矿区土地利用现状及占用基本农田情况。</w:t>
      </w:r>
      <w:r>
        <w:rPr>
          <w:rFonts w:hint="eastAsia" w:ascii="仿宋" w:hAnsi="仿宋" w:eastAsia="仿宋" w:cs="仿宋"/>
          <w:b/>
          <w:color w:val="auto"/>
          <w:sz w:val="28"/>
          <w:szCs w:val="28"/>
          <w:highlight w:val="none"/>
        </w:rPr>
        <w:t>本项目未占用基本农田。</w:t>
      </w:r>
    </w:p>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表2-2  矿区范围土地利用现状表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308"/>
        <w:gridCol w:w="832"/>
        <w:gridCol w:w="1553"/>
        <w:gridCol w:w="1417"/>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一级地类</w:t>
            </w:r>
          </w:p>
        </w:tc>
        <w:tc>
          <w:tcPr>
            <w:tcW w:w="2385" w:type="dxa"/>
            <w:gridSpan w:val="2"/>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二级地类</w:t>
            </w:r>
          </w:p>
        </w:tc>
        <w:tc>
          <w:tcPr>
            <w:tcW w:w="1417"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面积</w:t>
            </w:r>
          </w:p>
        </w:tc>
        <w:tc>
          <w:tcPr>
            <w:tcW w:w="1878"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占总面积比例（%）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Merge w:val="restart"/>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01</w:t>
            </w:r>
          </w:p>
        </w:tc>
        <w:tc>
          <w:tcPr>
            <w:tcW w:w="1308" w:type="dxa"/>
            <w:vMerge w:val="restart"/>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林地</w:t>
            </w:r>
          </w:p>
        </w:tc>
        <w:tc>
          <w:tcPr>
            <w:tcW w:w="832"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0301</w:t>
            </w:r>
          </w:p>
        </w:tc>
        <w:tc>
          <w:tcPr>
            <w:tcW w:w="1553"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乔木林地</w:t>
            </w:r>
          </w:p>
        </w:tc>
        <w:tc>
          <w:tcPr>
            <w:tcW w:w="1417" w:type="dxa"/>
            <w:vAlign w:val="center"/>
          </w:tcPr>
          <w:p>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1.99</w:t>
            </w:r>
          </w:p>
        </w:tc>
        <w:tc>
          <w:tcPr>
            <w:tcW w:w="1878" w:type="dxa"/>
            <w:vAlign w:val="center"/>
          </w:tcPr>
          <w:p>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2" w:type="dxa"/>
            <w:vMerge w:val="continue"/>
            <w:vAlign w:val="center"/>
          </w:tcPr>
          <w:p>
            <w:pPr>
              <w:widowControl/>
              <w:spacing w:line="240" w:lineRule="auto"/>
              <w:ind w:firstLine="0" w:firstLineChars="0"/>
              <w:jc w:val="center"/>
              <w:rPr>
                <w:rFonts w:hint="eastAsia" w:ascii="仿宋" w:hAnsi="仿宋" w:eastAsia="仿宋" w:cs="仿宋"/>
                <w:color w:val="auto"/>
                <w:kern w:val="0"/>
                <w:sz w:val="21"/>
                <w:szCs w:val="21"/>
              </w:rPr>
            </w:pPr>
          </w:p>
        </w:tc>
        <w:tc>
          <w:tcPr>
            <w:tcW w:w="1308" w:type="dxa"/>
            <w:vMerge w:val="continue"/>
            <w:vAlign w:val="center"/>
          </w:tcPr>
          <w:p>
            <w:pPr>
              <w:widowControl/>
              <w:spacing w:line="240" w:lineRule="auto"/>
              <w:ind w:firstLine="0" w:firstLineChars="0"/>
              <w:jc w:val="center"/>
              <w:rPr>
                <w:rFonts w:hint="eastAsia" w:ascii="仿宋" w:hAnsi="仿宋" w:eastAsia="仿宋" w:cs="仿宋"/>
                <w:color w:val="auto"/>
                <w:kern w:val="0"/>
                <w:sz w:val="21"/>
                <w:szCs w:val="21"/>
              </w:rPr>
            </w:pPr>
          </w:p>
        </w:tc>
        <w:tc>
          <w:tcPr>
            <w:tcW w:w="832"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0307</w:t>
            </w:r>
          </w:p>
        </w:tc>
        <w:tc>
          <w:tcPr>
            <w:tcW w:w="1553"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其他林地</w:t>
            </w:r>
          </w:p>
        </w:tc>
        <w:tc>
          <w:tcPr>
            <w:tcW w:w="1417" w:type="dxa"/>
            <w:vAlign w:val="center"/>
          </w:tcPr>
          <w:p>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1.7</w:t>
            </w:r>
          </w:p>
        </w:tc>
        <w:tc>
          <w:tcPr>
            <w:tcW w:w="1878" w:type="dxa"/>
            <w:vAlign w:val="center"/>
          </w:tcPr>
          <w:p>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2"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02</w:t>
            </w:r>
          </w:p>
        </w:tc>
        <w:tc>
          <w:tcPr>
            <w:tcW w:w="1308"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工矿仓</w:t>
            </w:r>
          </w:p>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储用地</w:t>
            </w:r>
          </w:p>
        </w:tc>
        <w:tc>
          <w:tcPr>
            <w:tcW w:w="832"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0602</w:t>
            </w:r>
          </w:p>
        </w:tc>
        <w:tc>
          <w:tcPr>
            <w:tcW w:w="1553"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采矿用地</w:t>
            </w:r>
          </w:p>
        </w:tc>
        <w:tc>
          <w:tcPr>
            <w:tcW w:w="1417" w:type="dxa"/>
            <w:vAlign w:val="center"/>
          </w:tcPr>
          <w:p>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rPr>
              <w:t>0.</w:t>
            </w:r>
            <w:r>
              <w:rPr>
                <w:rFonts w:hint="eastAsia" w:ascii="仿宋" w:hAnsi="仿宋" w:eastAsia="仿宋" w:cs="仿宋"/>
                <w:color w:val="auto"/>
                <w:kern w:val="0"/>
                <w:sz w:val="21"/>
                <w:szCs w:val="21"/>
                <w:lang w:val="en-US" w:eastAsia="zh-CN"/>
              </w:rPr>
              <w:t>2</w:t>
            </w:r>
          </w:p>
        </w:tc>
        <w:tc>
          <w:tcPr>
            <w:tcW w:w="1878" w:type="dxa"/>
            <w:vAlign w:val="center"/>
          </w:tcPr>
          <w:p>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45" w:type="dxa"/>
            <w:gridSpan w:val="4"/>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合计</w:t>
            </w:r>
          </w:p>
        </w:tc>
        <w:tc>
          <w:tcPr>
            <w:tcW w:w="1417" w:type="dxa"/>
            <w:vAlign w:val="center"/>
          </w:tcPr>
          <w:p>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3.89</w:t>
            </w:r>
          </w:p>
        </w:tc>
        <w:tc>
          <w:tcPr>
            <w:tcW w:w="1878" w:type="dxa"/>
            <w:vAlign w:val="center"/>
          </w:tcPr>
          <w:p>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100</w:t>
            </w:r>
          </w:p>
        </w:tc>
      </w:tr>
    </w:tbl>
    <w:p>
      <w:pPr>
        <w:pStyle w:val="2"/>
        <w:rPr>
          <w:color w:val="auto"/>
        </w:rPr>
      </w:pPr>
    </w:p>
    <w:p>
      <w:pPr>
        <w:pStyle w:val="4"/>
        <w:rPr>
          <w:rFonts w:ascii="Times New Roman" w:hAnsi="Times New Roman" w:eastAsia="宋体" w:cs="Times New Roman"/>
          <w:color w:val="auto"/>
          <w:sz w:val="30"/>
          <w:szCs w:val="30"/>
          <w:highlight w:val="none"/>
        </w:rPr>
      </w:pPr>
      <w:bookmarkStart w:id="94" w:name="_Toc25332"/>
      <w:r>
        <w:rPr>
          <w:rFonts w:ascii="Times New Roman" w:hAnsi="Times New Roman" w:eastAsia="宋体" w:cs="Times New Roman"/>
          <w:color w:val="auto"/>
          <w:sz w:val="30"/>
          <w:szCs w:val="30"/>
          <w:highlight w:val="none"/>
        </w:rPr>
        <w:t>五、矿山及周边其他人类重大工程活动</w:t>
      </w:r>
      <w:bookmarkEnd w:id="94"/>
    </w:p>
    <w:p>
      <w:pPr>
        <w:spacing w:line="336"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本矿区植被覆盖率高，评估区人类工程活动以农耕活动为主，对环境影响较轻，整体矿山周边人类工程活动一般。粮食作物主要有水稻、小麦、玉米、豆类等，植被发育，类型以白杨、</w:t>
      </w:r>
      <w:r>
        <w:rPr>
          <w:rFonts w:hint="eastAsia" w:ascii="仿宋" w:hAnsi="仿宋" w:eastAsia="仿宋" w:cs="仿宋"/>
          <w:color w:val="auto"/>
          <w:sz w:val="28"/>
          <w:szCs w:val="28"/>
          <w:highlight w:val="none"/>
          <w:lang w:val="en-US" w:eastAsia="zh-CN"/>
        </w:rPr>
        <w:t>柏木</w:t>
      </w:r>
      <w:r>
        <w:rPr>
          <w:rFonts w:hint="eastAsia" w:ascii="仿宋" w:hAnsi="仿宋" w:eastAsia="仿宋" w:cs="仿宋"/>
          <w:color w:val="auto"/>
          <w:sz w:val="28"/>
          <w:szCs w:val="28"/>
          <w:highlight w:val="none"/>
        </w:rPr>
        <w:t>、马尾松为主。矿山及其邻近周边区域无重点交通干线、旅游景点及文物保护单位</w:t>
      </w:r>
      <w:r>
        <w:rPr>
          <w:rFonts w:ascii="Times New Roman" w:hAnsi="Times New Roman" w:eastAsia="宋体" w:cs="Times New Roman"/>
          <w:color w:val="auto"/>
          <w:sz w:val="24"/>
          <w:szCs w:val="24"/>
          <w:highlight w:val="none"/>
        </w:rPr>
        <w:t>。</w:t>
      </w:r>
    </w:p>
    <w:p>
      <w:pPr>
        <w:rPr>
          <w:rFonts w:ascii="Times New Roman" w:hAnsi="Times New Roman" w:eastAsia="宋体" w:cs="Times New Roman"/>
          <w:color w:val="auto"/>
          <w:sz w:val="24"/>
          <w:szCs w:val="24"/>
          <w:highlight w:val="none"/>
        </w:rPr>
        <w:sectPr>
          <w:pgSz w:w="11906" w:h="16838"/>
          <w:pgMar w:top="1440" w:right="1800" w:bottom="1440" w:left="1800" w:header="851" w:footer="992" w:gutter="0"/>
          <w:cols w:space="425" w:num="1"/>
          <w:docGrid w:type="lines" w:linePitch="312" w:charSpace="0"/>
        </w:sectPr>
      </w:pPr>
    </w:p>
    <w:p>
      <w:pPr>
        <w:pStyle w:val="3"/>
        <w:spacing w:before="200" w:after="200" w:line="360" w:lineRule="auto"/>
        <w:jc w:val="center"/>
        <w:rPr>
          <w:rFonts w:ascii="Times New Roman" w:hAnsi="Times New Roman" w:eastAsia="宋体" w:cs="Times New Roman"/>
          <w:bCs/>
          <w:color w:val="auto"/>
          <w:sz w:val="32"/>
          <w:szCs w:val="44"/>
          <w:highlight w:val="none"/>
        </w:rPr>
      </w:pPr>
      <w:bookmarkStart w:id="95" w:name="_Toc17087"/>
      <w:r>
        <w:rPr>
          <w:rFonts w:ascii="Times New Roman" w:hAnsi="Times New Roman" w:eastAsia="宋体" w:cs="Times New Roman"/>
          <w:bCs/>
          <w:color w:val="auto"/>
          <w:sz w:val="32"/>
          <w:szCs w:val="44"/>
          <w:highlight w:val="none"/>
        </w:rPr>
        <w:t>第3章 矿山地质环境影响和土地损毁评估</w:t>
      </w:r>
      <w:bookmarkEnd w:id="95"/>
    </w:p>
    <w:p>
      <w:pPr>
        <w:pStyle w:val="4"/>
        <w:rPr>
          <w:rFonts w:ascii="Times New Roman" w:hAnsi="Times New Roman" w:eastAsia="宋体" w:cs="Times New Roman"/>
          <w:color w:val="auto"/>
          <w:sz w:val="30"/>
          <w:szCs w:val="30"/>
          <w:highlight w:val="none"/>
        </w:rPr>
      </w:pPr>
      <w:bookmarkStart w:id="96" w:name="_Toc8909"/>
      <w:r>
        <w:rPr>
          <w:rFonts w:ascii="Times New Roman" w:hAnsi="Times New Roman" w:eastAsia="宋体" w:cs="Times New Roman"/>
          <w:color w:val="auto"/>
          <w:sz w:val="30"/>
          <w:szCs w:val="30"/>
          <w:highlight w:val="none"/>
        </w:rPr>
        <w:t>一、矿山地质环境与土地资源调查概述</w:t>
      </w:r>
      <w:bookmarkEnd w:id="96"/>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本次调查工作中，我们首先熟悉工作程序，确定工作重点，制定实施计划。在收集资料的基础上，开展矿山地质环境现状调查。在开展现场调查工作前，收集了《</w:t>
      </w:r>
      <w:r>
        <w:rPr>
          <w:rFonts w:hint="eastAsia" w:ascii="仿宋" w:hAnsi="仿宋" w:eastAsia="仿宋" w:cs="仿宋"/>
          <w:color w:val="auto"/>
          <w:sz w:val="28"/>
          <w:szCs w:val="28"/>
          <w:highlight w:val="none"/>
          <w:lang w:val="en-US" w:eastAsia="zh-CN"/>
        </w:rPr>
        <w:t>大英县玉峰镇浅垭子村砖瓦用</w:t>
      </w:r>
      <w:r>
        <w:rPr>
          <w:rFonts w:hint="eastAsia" w:ascii="仿宋" w:hAnsi="仿宋" w:eastAsia="仿宋" w:cs="仿宋"/>
          <w:color w:val="auto"/>
          <w:sz w:val="28"/>
          <w:szCs w:val="28"/>
          <w:highlight w:val="none"/>
        </w:rPr>
        <w:t>页岩</w:t>
      </w:r>
      <w:r>
        <w:rPr>
          <w:rFonts w:hint="eastAsia" w:ascii="仿宋" w:hAnsi="仿宋" w:eastAsia="仿宋" w:cs="仿宋"/>
          <w:color w:val="auto"/>
          <w:sz w:val="28"/>
          <w:szCs w:val="28"/>
          <w:highlight w:val="none"/>
          <w:lang w:eastAsia="zh-CN"/>
        </w:rPr>
        <w:t>矿</w:t>
      </w:r>
      <w:r>
        <w:rPr>
          <w:rFonts w:hint="eastAsia" w:ascii="仿宋" w:hAnsi="仿宋" w:eastAsia="仿宋" w:cs="仿宋"/>
          <w:color w:val="auto"/>
          <w:sz w:val="28"/>
          <w:szCs w:val="28"/>
          <w:highlight w:val="none"/>
        </w:rPr>
        <w:t>资源开发利用方案</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大英县玉峰镇浅垭子村砖瓦用</w:t>
      </w:r>
      <w:r>
        <w:rPr>
          <w:rFonts w:hint="eastAsia" w:ascii="仿宋" w:hAnsi="仿宋" w:eastAsia="仿宋" w:cs="仿宋"/>
          <w:color w:val="auto"/>
          <w:sz w:val="28"/>
          <w:szCs w:val="28"/>
          <w:highlight w:val="none"/>
        </w:rPr>
        <w:t>页岩矿</w:t>
      </w:r>
      <w:r>
        <w:rPr>
          <w:rFonts w:hint="eastAsia" w:ascii="仿宋" w:hAnsi="仿宋" w:eastAsia="仿宋" w:cs="仿宋"/>
          <w:color w:val="auto"/>
          <w:sz w:val="28"/>
          <w:szCs w:val="28"/>
          <w:highlight w:val="none"/>
          <w:lang w:val="en-US" w:eastAsia="zh-CN"/>
        </w:rPr>
        <w:t>勘查报告》《大英县</w:t>
      </w:r>
      <w:r>
        <w:rPr>
          <w:rFonts w:hint="eastAsia" w:ascii="仿宋" w:hAnsi="仿宋" w:eastAsia="仿宋" w:cs="仿宋"/>
          <w:color w:val="auto"/>
          <w:sz w:val="28"/>
          <w:szCs w:val="28"/>
          <w:highlight w:val="none"/>
        </w:rPr>
        <w:t>土地利用现状图》等资料，并进行了分析、整理，了解矿山地质环境条件，分析已有资料情况，确定补充资料内容和现场调查方法、调查路线及调查内容。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调查时间为202</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月，现场调查采用路线穿插，地质环境点重点追索的调查方法进行。做到了逢人必问、遇沟必看，访问调查与实际调查相结合。现场采用1：2000 地形图作为现场调查手图，调查点采用GPS和地形地物校核定位，对可能因采矿活动而受影响的范围进行重点调查，并对灾点和重要地质现象进行详细记录和拍照，保证了调查的质量。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按照《矿山地质环境保护与恢复治理方案编制规范》（DZ/T223－2011）的规定：矿山地质环境调查范围为采矿登记范围和采矿活动可能</w:t>
      </w:r>
      <w:r>
        <w:rPr>
          <w:rFonts w:hint="eastAsia" w:ascii="仿宋" w:hAnsi="仿宋" w:eastAsia="仿宋" w:cs="仿宋"/>
          <w:color w:val="auto"/>
          <w:sz w:val="28"/>
          <w:szCs w:val="28"/>
          <w:highlight w:val="none"/>
          <w:lang w:eastAsia="zh-CN"/>
        </w:rPr>
        <w:t>影响</w:t>
      </w:r>
      <w:r>
        <w:rPr>
          <w:rFonts w:hint="eastAsia" w:ascii="仿宋" w:hAnsi="仿宋" w:eastAsia="仿宋" w:cs="仿宋"/>
          <w:color w:val="auto"/>
          <w:sz w:val="28"/>
          <w:szCs w:val="28"/>
          <w:highlight w:val="none"/>
        </w:rPr>
        <w:t>的范围，因此，现场调查范围以划定矿区范围为基础，根据矿山所处地理位置及周边环境特征，综合已有道路设施及设计采矿工程等设施场地完整性，矿山露天开采活动及其他矿业影响范围，确定调查范围面积。</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现场调查内容主要对现场调查内的地表重要建筑设施、村庄、居民饮用水、河流等进行了调查。主要对区内交通、矿山建设情况、居民饮用水井、村庄、河流、植被覆盖率、地形地貌景观、可能引发的地质灾害等进行了调查，基本查明了矿山开采影响范围内的矿山地质环境现状与土地利用现状问题。</w:t>
      </w:r>
    </w:p>
    <w:p>
      <w:pPr>
        <w:pStyle w:val="4"/>
        <w:rPr>
          <w:rFonts w:ascii="Times New Roman" w:hAnsi="Times New Roman" w:eastAsia="宋体" w:cs="Times New Roman"/>
          <w:color w:val="auto"/>
          <w:sz w:val="30"/>
          <w:szCs w:val="30"/>
          <w:highlight w:val="none"/>
        </w:rPr>
      </w:pPr>
      <w:bookmarkStart w:id="97" w:name="_Toc29508"/>
      <w:r>
        <w:rPr>
          <w:rFonts w:ascii="Times New Roman" w:hAnsi="Times New Roman" w:eastAsia="宋体" w:cs="Times New Roman"/>
          <w:color w:val="auto"/>
          <w:sz w:val="30"/>
          <w:szCs w:val="30"/>
          <w:highlight w:val="none"/>
        </w:rPr>
        <w:t>二、矿山地质环境影响评估</w:t>
      </w:r>
      <w:bookmarkEnd w:id="97"/>
    </w:p>
    <w:p>
      <w:pPr>
        <w:pStyle w:val="5"/>
        <w:rPr>
          <w:rFonts w:ascii="Times New Roman" w:hAnsi="Times New Roman" w:eastAsia="宋体" w:cs="Times New Roman"/>
          <w:color w:val="auto"/>
          <w:sz w:val="28"/>
          <w:szCs w:val="28"/>
          <w:highlight w:val="none"/>
        </w:rPr>
      </w:pPr>
      <w:bookmarkStart w:id="98" w:name="_Toc8999"/>
      <w:r>
        <w:rPr>
          <w:rFonts w:ascii="Times New Roman" w:hAnsi="Times New Roman" w:eastAsia="宋体" w:cs="Times New Roman"/>
          <w:color w:val="auto"/>
          <w:sz w:val="28"/>
          <w:szCs w:val="28"/>
          <w:highlight w:val="none"/>
        </w:rPr>
        <w:t>（一）评估范围和评估级别</w:t>
      </w:r>
      <w:bookmarkEnd w:id="98"/>
    </w:p>
    <w:p>
      <w:pPr>
        <w:spacing w:line="360" w:lineRule="auto"/>
        <w:ind w:firstLine="481"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1、评估范围</w:t>
      </w:r>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依据《矿山地质环境保护与恢复治理方案编制规范》</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DZ/T 0223-2011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的有关要求，评估区范围应根据矿山地质环境调查情况确定。结合本矿山的特点，针对矿山开采对周边可能影响的范围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本矿山地质灾害和地质环境问题主要包括潜在地质灾害和土地资源破坏</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确定本次方案编制的范围为矿山采矿活动最大的影响范围。依据开发利用方案，结合矿山地质环境综合调查成果分析研究，根据矿山分布范围及周边地质环境条件复杂程度，沟谷的分布及发育程度、矿山布局、采矿影响范围等向外扩展到有可能遭受影响的自然灾害，确定评估区范围。</w:t>
      </w:r>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矿区面积为</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，方案评估范围在矿权范围的基础上外扩，结合矿体分布区域并参照分水岭及开发设计影响范围综合测定评估范围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评估区面积约4.</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。矿区基本包括了本次矿山地质环境调查范围内可能存在的地质环境问题及其影响区域，同时，矿业活动可能影响到的人居环境区域也</w:t>
      </w:r>
      <w:r>
        <w:rPr>
          <w:rFonts w:hint="eastAsia" w:ascii="仿宋" w:hAnsi="仿宋" w:eastAsia="仿宋" w:cs="仿宋"/>
          <w:color w:val="auto"/>
          <w:sz w:val="28"/>
          <w:szCs w:val="28"/>
          <w:highlight w:val="none"/>
          <w:lang w:val="en-US" w:eastAsia="zh-CN"/>
        </w:rPr>
        <w:t>涵盖</w:t>
      </w:r>
      <w:r>
        <w:rPr>
          <w:rFonts w:hint="eastAsia" w:ascii="仿宋" w:hAnsi="仿宋" w:eastAsia="仿宋" w:cs="仿宋"/>
          <w:color w:val="auto"/>
          <w:sz w:val="28"/>
          <w:szCs w:val="28"/>
          <w:highlight w:val="none"/>
        </w:rPr>
        <w:t>其中。</w:t>
      </w:r>
    </w:p>
    <w:p>
      <w:pPr>
        <w:spacing w:line="360" w:lineRule="auto"/>
        <w:ind w:firstLine="481"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2、评估级别</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根据评估区重要程度、矿山生产建设规模、矿山地质环境复杂程度综合确定。</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（1）评估区重要程度</w:t>
      </w:r>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根据现场调查情况和收集的数据资料显示，矿区居民居住分散。评估区内无水系、重要交通要道或建筑设施；远离各级自然保护区及旅游景区；无水库、河流等较重要地表水体，评估区土地类型主要为旱地、乔木林地、采矿用地。评估区重要程度分级为</w:t>
      </w:r>
      <w:r>
        <w:rPr>
          <w:rFonts w:hint="eastAsia" w:ascii="仿宋" w:hAnsi="仿宋" w:eastAsia="仿宋" w:cs="仿宋"/>
          <w:b/>
          <w:bCs/>
          <w:color w:val="auto"/>
          <w:sz w:val="28"/>
          <w:szCs w:val="28"/>
          <w:highlight w:val="none"/>
        </w:rPr>
        <w:t>重要区</w:t>
      </w:r>
      <w:r>
        <w:rPr>
          <w:rFonts w:hint="eastAsia" w:ascii="仿宋" w:hAnsi="仿宋" w:eastAsia="仿宋" w:cs="仿宋"/>
          <w:color w:val="auto"/>
          <w:sz w:val="28"/>
          <w:szCs w:val="28"/>
          <w:highlight w:val="none"/>
        </w:rPr>
        <w:t>（见表3-2）</w:t>
      </w:r>
      <w:r>
        <w:rPr>
          <w:rFonts w:ascii="Times New Roman" w:hAnsi="Times New Roman" w:eastAsia="宋体" w:cs="Times New Roman"/>
          <w:color w:val="auto"/>
          <w:sz w:val="24"/>
          <w:szCs w:val="24"/>
          <w:highlight w:val="none"/>
        </w:rPr>
        <w:t>。</w:t>
      </w:r>
    </w:p>
    <w:p>
      <w:pPr>
        <w:pStyle w:val="2"/>
        <w:rPr>
          <w:color w:val="auto"/>
        </w:rPr>
      </w:pPr>
    </w:p>
    <w:tbl>
      <w:tblPr>
        <w:tblStyle w:val="23"/>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9"/>
        <w:gridCol w:w="2977"/>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789" w:type="dxa"/>
            <w:gridSpan w:val="3"/>
            <w:tcBorders>
              <w:top w:val="nil"/>
              <w:left w:val="nil"/>
              <w:right w:val="nil"/>
            </w:tcBorders>
            <w:vAlign w:val="center"/>
          </w:tcPr>
          <w:p>
            <w:pPr>
              <w:adjustRightInd w:val="0"/>
              <w:snapToGrid w:val="0"/>
              <w:jc w:val="center"/>
              <w:rPr>
                <w:rFonts w:ascii="Times New Roman" w:hAnsi="Times New Roman" w:eastAsia="宋体" w:cs="Times New Roman"/>
                <w:bCs/>
                <w:color w:val="auto"/>
                <w:highlight w:val="none"/>
              </w:rPr>
            </w:pPr>
            <w:r>
              <w:rPr>
                <w:rFonts w:ascii="Times New Roman" w:hAnsi="Times New Roman" w:eastAsia="宋体" w:cs="Times New Roman"/>
                <w:b/>
                <w:color w:val="auto"/>
                <w:highlight w:val="none"/>
              </w:rPr>
              <w:t>表3-</w:t>
            </w:r>
            <w:r>
              <w:rPr>
                <w:rFonts w:hint="eastAsia" w:ascii="Times New Roman" w:hAnsi="Times New Roman" w:eastAsia="宋体" w:cs="Times New Roman"/>
                <w:b/>
                <w:color w:val="auto"/>
                <w:highlight w:val="none"/>
              </w:rPr>
              <w:t>2</w:t>
            </w:r>
            <w:r>
              <w:rPr>
                <w:rFonts w:ascii="Times New Roman" w:hAnsi="Times New Roman" w:eastAsia="宋体" w:cs="Times New Roman"/>
                <w:b/>
                <w:color w:val="auto"/>
                <w:highlight w:val="none"/>
              </w:rPr>
              <w:t xml:space="preserve"> 评估区重要程度分级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rPr>
        <w:tc>
          <w:tcPr>
            <w:tcW w:w="3119"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重要区√</w:t>
            </w:r>
          </w:p>
        </w:tc>
        <w:tc>
          <w:tcPr>
            <w:tcW w:w="2977"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较重要区</w:t>
            </w:r>
          </w:p>
        </w:tc>
        <w:tc>
          <w:tcPr>
            <w:tcW w:w="2693" w:type="dxa"/>
            <w:vAlign w:val="center"/>
          </w:tcPr>
          <w:p>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Cs/>
                <w:color w:val="auto"/>
                <w:highlight w:val="none"/>
              </w:rPr>
              <w:t>一般区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分布有500人以上的居民集中居住区</w:t>
            </w:r>
          </w:p>
        </w:tc>
        <w:tc>
          <w:tcPr>
            <w:tcW w:w="2977"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分布有200～500人的居民集中居住区</w:t>
            </w:r>
          </w:p>
        </w:tc>
        <w:tc>
          <w:tcPr>
            <w:tcW w:w="2693" w:type="dxa"/>
            <w:vAlign w:val="center"/>
          </w:tcPr>
          <w:p>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居民居住分散，居民集中居住区人口在200人以下√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分布有高速公路、一级公路、铁路、中型以上水利、电力工程或其他重要建筑设施</w:t>
            </w:r>
          </w:p>
        </w:tc>
        <w:tc>
          <w:tcPr>
            <w:tcW w:w="2977"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分布有二级公路、小型水利、电力工程或其他较重要建筑设施</w:t>
            </w:r>
          </w:p>
        </w:tc>
        <w:tc>
          <w:tcPr>
            <w:tcW w:w="2693" w:type="dxa"/>
            <w:vAlign w:val="center"/>
          </w:tcPr>
          <w:p>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无重要交通要道或建筑设施√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矿区紧邻国家级自然保护区（含地质公园、风景名胜区等）或重要旅游景区（点）</w:t>
            </w:r>
          </w:p>
        </w:tc>
        <w:tc>
          <w:tcPr>
            <w:tcW w:w="2977"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紧邻省级、县级自然保护区或较重要旅游景区（点）</w:t>
            </w:r>
          </w:p>
        </w:tc>
        <w:tc>
          <w:tcPr>
            <w:tcW w:w="2693" w:type="dxa"/>
            <w:vAlign w:val="center"/>
          </w:tcPr>
          <w:p>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远离各级自然保护区及旅游景区（点）√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3119"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有重要水源地</w:t>
            </w:r>
          </w:p>
        </w:tc>
        <w:tc>
          <w:tcPr>
            <w:tcW w:w="2977"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有较重要水源地</w:t>
            </w:r>
          </w:p>
        </w:tc>
        <w:tc>
          <w:tcPr>
            <w:tcW w:w="2693" w:type="dxa"/>
            <w:vAlign w:val="center"/>
          </w:tcPr>
          <w:p>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无较重要水源地√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3119" w:type="dxa"/>
            <w:vAlign w:val="center"/>
          </w:tcPr>
          <w:p>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损毁耕地、园地√</w:t>
            </w:r>
          </w:p>
        </w:tc>
        <w:tc>
          <w:tcPr>
            <w:tcW w:w="2977"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损毁林地、草地</w:t>
            </w:r>
          </w:p>
        </w:tc>
        <w:tc>
          <w:tcPr>
            <w:tcW w:w="2693" w:type="dxa"/>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损毁其他类型土地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8789" w:type="dxa"/>
            <w:gridSpan w:val="3"/>
            <w:vAlign w:val="center"/>
          </w:tcPr>
          <w:p>
            <w:pPr>
              <w:adjustRightInd w:val="0"/>
              <w:snapToGrid w:val="0"/>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注：评估区重要程度分级确定采取上一级别优先的原则，只要有一条符合者即为该级别。</w:t>
            </w:r>
          </w:p>
        </w:tc>
      </w:tr>
    </w:tbl>
    <w:p>
      <w:pPr>
        <w:ind w:firstLine="480" w:firstLineChars="200"/>
        <w:rPr>
          <w:rFonts w:ascii="Times New Roman" w:hAnsi="Times New Roman" w:eastAsia="宋体" w:cs="Times New Roman"/>
          <w:color w:val="auto"/>
          <w:sz w:val="24"/>
          <w:szCs w:val="24"/>
          <w:highlight w:val="none"/>
        </w:rPr>
      </w:pPr>
    </w:p>
    <w:p>
      <w:pPr>
        <w:pStyle w:val="68"/>
        <w:adjustRightInd w:val="0"/>
        <w:spacing w:line="360" w:lineRule="auto"/>
        <w:ind w:left="480" w:firstLine="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（2）矿山地质环境条件复杂程度</w:t>
      </w:r>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调查区采场位于地下水位以上，采场汇水面积小，与区域含水层和地表水联系不密切，采场基本无涌水，采矿和疏干排水不易导致矿区周围主要含水层的影响和破坏；矿床围岩以中到厚层状结构为主，软弱结构面、不良工程地质层不发育，残坡积层、基岩风化破碎带厚度小于5m、稳固性较好，岩层产状平缓，边坡基本不存在外倾软弱结构面或危岩，边坡较稳定；地质构造简单；断裂构造较不发育，现状条件下矿山地质环境问题类型少、危害小，采场面积及采坑深度小，地貌单元类型单一，微地貌形态简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地形坡度一般小于20°，相对高差较小，高坡方向岩层倾向与采坑斜坡多为反向坡。根据《矿山地质环境保护与恢复治理方案编制规范》中附录表C.2“露天开采矿山地质环境条件复杂程度分级表”（表3-3），评估区地质环境条件复杂程度为“</w:t>
      </w:r>
      <w:r>
        <w:rPr>
          <w:rFonts w:hint="eastAsia" w:ascii="仿宋" w:hAnsi="仿宋" w:eastAsia="仿宋" w:cs="仿宋"/>
          <w:color w:val="auto"/>
          <w:sz w:val="28"/>
          <w:szCs w:val="28"/>
          <w:highlight w:val="none"/>
          <w:lang w:val="en-US" w:eastAsia="zh-CN"/>
        </w:rPr>
        <w:t>简单</w:t>
      </w:r>
      <w:r>
        <w:rPr>
          <w:rFonts w:hint="eastAsia" w:ascii="仿宋" w:hAnsi="仿宋" w:eastAsia="仿宋" w:cs="仿宋"/>
          <w:color w:val="auto"/>
          <w:sz w:val="28"/>
          <w:szCs w:val="28"/>
          <w:highlight w:val="none"/>
        </w:rPr>
        <w:t>”。</w:t>
      </w:r>
    </w:p>
    <w:p>
      <w:pPr>
        <w:spacing w:line="276" w:lineRule="auto"/>
        <w:jc w:val="center"/>
        <w:rPr>
          <w:rFonts w:eastAsia="宋体"/>
          <w:color w:val="auto"/>
          <w:sz w:val="24"/>
          <w:highlight w:val="none"/>
        </w:rPr>
      </w:pPr>
      <w:r>
        <w:rPr>
          <w:rFonts w:eastAsia="宋体"/>
          <w:b/>
          <w:bCs/>
          <w:color w:val="auto"/>
          <w:sz w:val="24"/>
          <w:highlight w:val="none"/>
        </w:rPr>
        <w:t>表3-</w:t>
      </w:r>
      <w:r>
        <w:rPr>
          <w:rFonts w:hint="eastAsia" w:eastAsia="宋体"/>
          <w:b/>
          <w:bCs/>
          <w:color w:val="auto"/>
          <w:sz w:val="24"/>
          <w:highlight w:val="none"/>
        </w:rPr>
        <w:t>3</w:t>
      </w:r>
      <w:r>
        <w:rPr>
          <w:rFonts w:eastAsia="宋体"/>
          <w:b/>
          <w:bCs/>
          <w:color w:val="auto"/>
          <w:sz w:val="24"/>
          <w:highlight w:val="none"/>
        </w:rPr>
        <w:t xml:space="preserve">   露天开采矿山地质环境条件复杂程度分级表</w:t>
      </w:r>
    </w:p>
    <w:tbl>
      <w:tblPr>
        <w:tblStyle w:val="23"/>
        <w:tblW w:w="87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36"/>
        <w:gridCol w:w="2922"/>
        <w:gridCol w:w="2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3136"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  杂</w:t>
            </w:r>
          </w:p>
        </w:tc>
        <w:tc>
          <w:tcPr>
            <w:tcW w:w="292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val="0"/>
                <w:bCs w:val="0"/>
                <w:color w:val="auto"/>
                <w:highlight w:val="none"/>
              </w:rPr>
              <w:t>中  等</w:t>
            </w:r>
          </w:p>
        </w:tc>
        <w:tc>
          <w:tcPr>
            <w:tcW w:w="2729"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简   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7"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采场矿层（体）位于地下水位以下，采场汇水面积大，采场进水边界条件复杂，与区域含水层或地表水联系密切，地下水补给、径流条件好，采场正常涌水量大于10000m3/d；采矿活动和疏干排水容易导致区域主要含水层破坏。</w:t>
            </w:r>
          </w:p>
        </w:tc>
        <w:tc>
          <w:tcPr>
            <w:tcW w:w="29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1、采场矿层（体）位于地下水位以下，采场汇水面积较大，与区域含水层或地表水联系较密切，采场涌水量3000—10000m3/d；采矿和疏干排水比较容易导致矿区周围主要含水层影响或破坏。</w:t>
            </w:r>
          </w:p>
        </w:tc>
        <w:tc>
          <w:tcPr>
            <w:tcW w:w="272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1、采场矿层（体）位于地下水位以上，采场汇水面积小，与区域含水层</w:t>
            </w:r>
            <w:r>
              <w:rPr>
                <w:rFonts w:hint="eastAsia" w:ascii="Times New Roman" w:hAnsi="Times New Roman" w:eastAsia="宋体" w:cs="Times New Roman"/>
                <w:b/>
                <w:bCs/>
                <w:color w:val="auto"/>
                <w:highlight w:val="none"/>
                <w:lang w:eastAsia="zh-CN"/>
              </w:rPr>
              <w:t>或</w:t>
            </w:r>
            <w:r>
              <w:rPr>
                <w:rFonts w:ascii="Times New Roman" w:hAnsi="Times New Roman" w:eastAsia="宋体" w:cs="Times New Roman"/>
                <w:b/>
                <w:bCs/>
                <w:color w:val="auto"/>
                <w:highlight w:val="none"/>
              </w:rPr>
              <w:t>地表水联系不密切，采场正常涌水量小于3000 m3/d；采矿和疏干排水不易导致矿区周围主要含水层的影响或破坏。√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8"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2、矿床围岩岩体结构以碎裂结构、散体结构为主，软弱结构面、不良工程地质层发育，存在饱水软弱岩层或松散软弱岩层，含水砂层多，分布广，残坡积层、基岩风化破碎带厚度大于10 m、稳固性差，采场岩石边坡风化破碎或土层松软，边坡外倾软弱结构面或危岩发育，易导致边坡失稳。</w:t>
            </w:r>
          </w:p>
        </w:tc>
        <w:tc>
          <w:tcPr>
            <w:tcW w:w="29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2、矿床围岩岩体结构以薄至厚层状结构为主，软弱结构面、不良工程地质层发育中等，存在饱水软弱岩层和含水砂层，残坡积层、基岩风化破碎带厚度5</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10m，稳固性差，采场岩石边坡风化较破碎，边坡存在外倾软弱结构面或危岩，局部可能产生边坡失稳。</w:t>
            </w:r>
          </w:p>
        </w:tc>
        <w:tc>
          <w:tcPr>
            <w:tcW w:w="272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2、矿床围岩岩体结构以巨厚层状—块状整体结构为主，软弱结构面、不良工程地质层不发育，残坡积层、基岩风化破碎带厚度小于5m，稳固性较好，采场边坡岩石较完整—完整，土层薄，边坡基本不存在外倾软弱结构面或危岩，边坡较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6"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3、地质构造复杂。矿床围岩岩层产状变化大，断裂构造发育或有全新世活动断裂，导水断裂切割矿层（体）围岩、覆岩和主要含水层（带）或沟通地表水体，导水性强，对采场充水影响大。</w:t>
            </w:r>
          </w:p>
        </w:tc>
        <w:tc>
          <w:tcPr>
            <w:tcW w:w="29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3、地质构造较复杂。矿床围岩岩层产状变化较大，断裂构造较发育，切割矿层（体）围岩、覆岩和含水层（带），导水性差，对采场充水影响较大。</w:t>
            </w:r>
          </w:p>
        </w:tc>
        <w:tc>
          <w:tcPr>
            <w:tcW w:w="272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3、地质构造较简单。矿床围岩岩层产状变化小，断裂构造较不发育，断裂未切割矿层（体）围岩、覆岩，对采场充水影响小。√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4"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4、现状条件下原生地质灾害发育，或矿山地质环境问题的类型多、危害大。</w:t>
            </w:r>
          </w:p>
        </w:tc>
        <w:tc>
          <w:tcPr>
            <w:tcW w:w="29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4、现状条件下，矿山地质环境问题的类型较多、危害较大。</w:t>
            </w:r>
          </w:p>
        </w:tc>
        <w:tc>
          <w:tcPr>
            <w:tcW w:w="272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4、现状条件下，矿山地质环境问题的类型少、危害小。√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5、采场面积及采坑深度大，边坡不稳定易产生地质灾害。</w:t>
            </w:r>
          </w:p>
        </w:tc>
        <w:tc>
          <w:tcPr>
            <w:tcW w:w="29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5、采场面积及采坑深度较大，边坡较不稳定，较易产生地质灾害。</w:t>
            </w:r>
          </w:p>
        </w:tc>
        <w:tc>
          <w:tcPr>
            <w:tcW w:w="272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5、采场面积及采坑深度小，边坡较稳定，不易产生地质灾害。√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6"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6、地貌单元类型多，微地貌形态复杂，地形起伏变化大，不利于自然排水，地形坡度一般大于35°，相对高差大，高坡方向岩层倾向与采坑斜坡多为同向。</w:t>
            </w:r>
          </w:p>
        </w:tc>
        <w:tc>
          <w:tcPr>
            <w:tcW w:w="29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6、地貌单元类型较多，微地貌形态较复杂，地形起伏变化中等，自然排水条件一般，地形坡度一般20°～35°，相对高差较大，高坡方向岩层倾向与采坑斜坡多为斜交。</w:t>
            </w:r>
          </w:p>
        </w:tc>
        <w:tc>
          <w:tcPr>
            <w:tcW w:w="272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6、地貌单元类型单一，微地貌形态简单，地形较平缓，有利于自然排水，地形坡度一般小于20°，相对高差较小，高坡方向岩层倾向与采坑斜坡多为反向坡。√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8787" w:type="dxa"/>
            <w:gridSpan w:val="3"/>
            <w:tcBorders>
              <w:top w:val="single" w:color="auto" w:sz="4" w:space="0"/>
              <w:left w:val="single" w:color="auto" w:sz="8" w:space="0"/>
              <w:bottom w:val="single" w:color="auto" w:sz="8" w:space="0"/>
              <w:right w:val="single" w:color="auto" w:sz="8" w:space="0"/>
            </w:tcBorders>
            <w:vAlign w:val="center"/>
          </w:tcPr>
          <w:p>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注：采取就上原则，只要有一条满足某一级别，应定为该级别。</w:t>
            </w:r>
          </w:p>
        </w:tc>
      </w:tr>
    </w:tbl>
    <w:p>
      <w:pPr>
        <w:spacing w:line="360" w:lineRule="auto"/>
        <w:ind w:firstLine="480" w:firstLineChars="200"/>
        <w:rPr>
          <w:rFonts w:ascii="Times New Roman" w:hAnsi="Times New Roman" w:eastAsia="宋体" w:cs="Times New Roman"/>
          <w:color w:val="auto"/>
          <w:sz w:val="24"/>
          <w:szCs w:val="24"/>
          <w:highlight w:val="none"/>
        </w:rPr>
      </w:pP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（3）矿山生产建设规模</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矿山开采矿种为砖瓦用页岩矿，设计生产规模为20万吨/年，参照《规范》（附录D），该矿山建设规模为中型。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（4）评估级别</w:t>
      </w:r>
    </w:p>
    <w:p>
      <w:pPr>
        <w:ind w:firstLine="480"/>
        <w:rPr>
          <w:rFonts w:hint="eastAsia" w:ascii="仿宋" w:hAnsi="仿宋" w:eastAsia="仿宋" w:cs="仿宋"/>
          <w:color w:val="auto"/>
          <w:sz w:val="28"/>
          <w:szCs w:val="28"/>
          <w:lang w:val="en-US" w:eastAsia="zh-CN"/>
        </w:rPr>
      </w:pPr>
      <w:r>
        <w:rPr>
          <w:rFonts w:hint="default" w:ascii="仿宋" w:hAnsi="仿宋" w:eastAsia="仿宋" w:cs="仿宋"/>
          <w:color w:val="auto"/>
          <w:sz w:val="28"/>
          <w:szCs w:val="28"/>
          <w:lang w:val="en-US" w:eastAsia="zh-CN"/>
        </w:rPr>
        <w:t>综上所述，评估区重要程度为重要区，地质环境条件复杂程度为中等，矿山开采规模属</w:t>
      </w:r>
      <w:r>
        <w:rPr>
          <w:rFonts w:hint="eastAsia" w:ascii="仿宋" w:hAnsi="仿宋" w:eastAsia="仿宋" w:cs="仿宋"/>
          <w:color w:val="auto"/>
          <w:sz w:val="28"/>
          <w:szCs w:val="28"/>
          <w:lang w:val="en-US" w:eastAsia="zh-CN"/>
        </w:rPr>
        <w:t>中</w:t>
      </w:r>
      <w:r>
        <w:rPr>
          <w:rFonts w:hint="default" w:ascii="仿宋" w:hAnsi="仿宋" w:eastAsia="仿宋" w:cs="仿宋"/>
          <w:color w:val="auto"/>
          <w:sz w:val="28"/>
          <w:szCs w:val="28"/>
          <w:lang w:val="en-US" w:eastAsia="zh-CN"/>
        </w:rPr>
        <w:t>型，参照《规范》（附录 A），矿山地质</w:t>
      </w:r>
      <w:r>
        <w:rPr>
          <w:rFonts w:hint="eastAsia" w:ascii="仿宋" w:hAnsi="仿宋" w:eastAsia="仿宋" w:cs="仿宋"/>
          <w:color w:val="auto"/>
          <w:sz w:val="28"/>
          <w:szCs w:val="28"/>
          <w:lang w:val="en-US" w:eastAsia="zh-CN"/>
        </w:rPr>
        <w:t>环境影响评价</w:t>
      </w:r>
      <w:r>
        <w:rPr>
          <w:rFonts w:hint="default" w:ascii="仿宋" w:hAnsi="仿宋" w:eastAsia="仿宋" w:cs="仿宋"/>
          <w:color w:val="auto"/>
          <w:sz w:val="28"/>
          <w:szCs w:val="28"/>
          <w:lang w:val="en-US" w:eastAsia="zh-CN"/>
        </w:rPr>
        <w:t>级别为一级，</w:t>
      </w:r>
      <w:r>
        <w:rPr>
          <w:rFonts w:hint="eastAsia" w:ascii="仿宋" w:hAnsi="仿宋" w:eastAsia="仿宋" w:cs="仿宋"/>
          <w:color w:val="auto"/>
          <w:sz w:val="28"/>
          <w:szCs w:val="28"/>
          <w:lang w:val="en-US" w:eastAsia="zh-CN"/>
        </w:rPr>
        <w:t>见表3-2-4。</w:t>
      </w:r>
    </w:p>
    <w:p>
      <w:pPr>
        <w:pStyle w:val="70"/>
        <w:jc w:val="center"/>
        <w:rPr>
          <w:color w:val="auto"/>
          <w:szCs w:val="21"/>
        </w:rPr>
      </w:pPr>
      <w:r>
        <w:rPr>
          <w:rFonts w:hint="eastAsia" w:ascii="宋体" w:hAnsi="宋体"/>
          <w:b/>
          <w:color w:val="auto"/>
          <w:kern w:val="2"/>
          <w:sz w:val="21"/>
          <w:szCs w:val="21"/>
        </w:rPr>
        <w:t xml:space="preserve">表3-2-3       矿山地质环境现状问题说明表 </w:t>
      </w:r>
      <w:r>
        <w:rPr>
          <w:rFonts w:hint="eastAsia"/>
          <w:color w:val="auto"/>
          <w:szCs w:val="21"/>
        </w:rPr>
        <w:t xml:space="preserve">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37"/>
        <w:gridCol w:w="1064"/>
        <w:gridCol w:w="785"/>
        <w:gridCol w:w="1274"/>
        <w:gridCol w:w="1622"/>
        <w:gridCol w:w="216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jc w:val="center"/>
        </w:trPr>
        <w:tc>
          <w:tcPr>
            <w:tcW w:w="322" w:type="pct"/>
            <w:vAlign w:val="center"/>
          </w:tcPr>
          <w:p>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序号</w:t>
            </w:r>
          </w:p>
        </w:tc>
        <w:tc>
          <w:tcPr>
            <w:tcW w:w="638" w:type="pct"/>
            <w:vAlign w:val="center"/>
          </w:tcPr>
          <w:p>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位置</w:t>
            </w:r>
          </w:p>
        </w:tc>
        <w:tc>
          <w:tcPr>
            <w:tcW w:w="471" w:type="pct"/>
            <w:vAlign w:val="center"/>
          </w:tcPr>
          <w:p>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类型</w:t>
            </w:r>
          </w:p>
        </w:tc>
        <w:tc>
          <w:tcPr>
            <w:tcW w:w="764" w:type="pct"/>
            <w:vAlign w:val="center"/>
          </w:tcPr>
          <w:p>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形成条件</w:t>
            </w:r>
          </w:p>
        </w:tc>
        <w:tc>
          <w:tcPr>
            <w:tcW w:w="973" w:type="pct"/>
            <w:vAlign w:val="center"/>
          </w:tcPr>
          <w:p>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矿区环境问题</w:t>
            </w:r>
          </w:p>
        </w:tc>
        <w:tc>
          <w:tcPr>
            <w:tcW w:w="1297" w:type="pct"/>
            <w:vAlign w:val="center"/>
          </w:tcPr>
          <w:p>
            <w:pPr>
              <w:widowControl/>
              <w:ind w:firstLine="0" w:firstLineChars="0"/>
              <w:jc w:val="center"/>
              <w:textAlignment w:val="center"/>
              <w:rPr>
                <w:rFonts w:ascii="宋体" w:hAnsi="宋体" w:cs="宋体"/>
                <w:b/>
                <w:color w:val="auto"/>
                <w:kern w:val="0"/>
                <w:sz w:val="21"/>
                <w:lang w:bidi="ar"/>
              </w:rPr>
            </w:pPr>
            <w:r>
              <w:rPr>
                <w:rFonts w:hint="eastAsia" w:ascii="宋体" w:hAnsi="宋体" w:cs="宋体"/>
                <w:b/>
                <w:color w:val="auto"/>
                <w:kern w:val="0"/>
                <w:sz w:val="21"/>
                <w:lang w:bidi="ar"/>
              </w:rPr>
              <w:t>危害对象</w:t>
            </w:r>
          </w:p>
        </w:tc>
        <w:tc>
          <w:tcPr>
            <w:tcW w:w="535" w:type="pct"/>
            <w:vAlign w:val="center"/>
          </w:tcPr>
          <w:p>
            <w:pPr>
              <w:widowControl/>
              <w:ind w:firstLine="0" w:firstLineChars="0"/>
              <w:jc w:val="center"/>
              <w:textAlignment w:val="center"/>
              <w:rPr>
                <w:rFonts w:ascii="宋体" w:hAnsi="宋体" w:cs="宋体"/>
                <w:b/>
                <w:color w:val="auto"/>
                <w:kern w:val="0"/>
                <w:sz w:val="21"/>
                <w:lang w:bidi="ar"/>
              </w:rPr>
            </w:pPr>
            <w:r>
              <w:rPr>
                <w:rFonts w:hint="eastAsia" w:ascii="宋体" w:hAnsi="宋体" w:cs="宋体"/>
                <w:b/>
                <w:color w:val="auto"/>
                <w:kern w:val="0"/>
                <w:sz w:val="21"/>
                <w:lang w:bidi="ar"/>
              </w:rPr>
              <w:t>危害程度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26" w:hRule="atLeast"/>
          <w:jc w:val="center"/>
        </w:trPr>
        <w:tc>
          <w:tcPr>
            <w:tcW w:w="322" w:type="pct"/>
            <w:vAlign w:val="center"/>
          </w:tcPr>
          <w:p>
            <w:pPr>
              <w:widowControl/>
              <w:spacing w:line="240" w:lineRule="auto"/>
              <w:ind w:firstLine="0" w:firstLineChars="0"/>
              <w:jc w:val="center"/>
              <w:textAlignment w:val="center"/>
              <w:rPr>
                <w:color w:val="auto"/>
                <w:sz w:val="21"/>
              </w:rPr>
            </w:pPr>
            <w:r>
              <w:rPr>
                <w:color w:val="auto"/>
                <w:kern w:val="0"/>
                <w:sz w:val="21"/>
                <w:lang w:bidi="ar"/>
              </w:rPr>
              <w:t>1</w:t>
            </w:r>
          </w:p>
        </w:tc>
        <w:tc>
          <w:tcPr>
            <w:tcW w:w="638" w:type="pct"/>
            <w:vAlign w:val="center"/>
          </w:tcPr>
          <w:p>
            <w:pPr>
              <w:widowControl/>
              <w:spacing w:line="240" w:lineRule="auto"/>
              <w:ind w:firstLine="0" w:firstLineChars="0"/>
              <w:jc w:val="center"/>
              <w:textAlignment w:val="center"/>
              <w:rPr>
                <w:rFonts w:ascii="宋体" w:hAnsi="宋体" w:cs="宋体"/>
                <w:color w:val="auto"/>
                <w:sz w:val="21"/>
              </w:rPr>
            </w:pPr>
            <w:r>
              <w:rPr>
                <w:rFonts w:hint="eastAsia" w:ascii="宋体" w:hAnsi="宋体" w:cs="宋体"/>
                <w:color w:val="auto"/>
                <w:kern w:val="0"/>
                <w:sz w:val="21"/>
                <w:lang w:bidi="ar"/>
              </w:rPr>
              <w:t>露天采矿区</w:t>
            </w:r>
          </w:p>
        </w:tc>
        <w:tc>
          <w:tcPr>
            <w:tcW w:w="471" w:type="pct"/>
            <w:vAlign w:val="center"/>
          </w:tcPr>
          <w:p>
            <w:pPr>
              <w:widowControl/>
              <w:spacing w:line="240" w:lineRule="auto"/>
              <w:ind w:firstLine="0" w:firstLineChars="0"/>
              <w:jc w:val="center"/>
              <w:textAlignment w:val="center"/>
              <w:rPr>
                <w:rFonts w:ascii="宋体" w:hAnsi="宋体" w:cs="宋体"/>
                <w:color w:val="auto"/>
                <w:sz w:val="21"/>
              </w:rPr>
            </w:pPr>
            <w:r>
              <w:rPr>
                <w:rFonts w:hint="eastAsia" w:ascii="宋体" w:hAnsi="宋体" w:cs="宋体"/>
                <w:color w:val="auto"/>
                <w:kern w:val="0"/>
                <w:sz w:val="21"/>
                <w:lang w:bidi="ar"/>
              </w:rPr>
              <w:t>露天开采</w:t>
            </w:r>
          </w:p>
        </w:tc>
        <w:tc>
          <w:tcPr>
            <w:tcW w:w="764" w:type="pct"/>
            <w:vAlign w:val="center"/>
          </w:tcPr>
          <w:p>
            <w:pPr>
              <w:widowControl/>
              <w:spacing w:line="240" w:lineRule="auto"/>
              <w:ind w:firstLine="0" w:firstLineChars="0"/>
              <w:jc w:val="center"/>
              <w:textAlignment w:val="center"/>
              <w:rPr>
                <w:rFonts w:ascii="宋体" w:hAnsi="宋体" w:cs="宋体"/>
                <w:color w:val="auto"/>
                <w:kern w:val="0"/>
                <w:sz w:val="21"/>
                <w:lang w:bidi="ar"/>
              </w:rPr>
            </w:pPr>
            <w:r>
              <w:rPr>
                <w:rFonts w:hint="eastAsia" w:ascii="宋体" w:hAnsi="宋体" w:cs="宋体"/>
                <w:color w:val="auto"/>
                <w:kern w:val="0"/>
                <w:sz w:val="21"/>
                <w:lang w:bidi="ar"/>
              </w:rPr>
              <w:t>地表剥离、岩石开采、堆放废弃土石</w:t>
            </w:r>
          </w:p>
        </w:tc>
        <w:tc>
          <w:tcPr>
            <w:tcW w:w="973" w:type="pct"/>
            <w:vAlign w:val="center"/>
          </w:tcPr>
          <w:p>
            <w:pPr>
              <w:widowControl/>
              <w:spacing w:line="240" w:lineRule="auto"/>
              <w:ind w:firstLine="0" w:firstLineChars="0"/>
              <w:jc w:val="center"/>
              <w:textAlignment w:val="center"/>
              <w:rPr>
                <w:rFonts w:ascii="宋体" w:hAnsi="宋体" w:cs="宋体"/>
                <w:color w:val="auto"/>
                <w:kern w:val="0"/>
                <w:sz w:val="21"/>
                <w:lang w:bidi="ar"/>
              </w:rPr>
            </w:pPr>
            <w:r>
              <w:rPr>
                <w:rFonts w:hint="eastAsia" w:ascii="宋体" w:hAnsi="宋体" w:cs="宋体"/>
                <w:color w:val="auto"/>
                <w:kern w:val="0"/>
                <w:sz w:val="21"/>
                <w:lang w:bidi="ar"/>
              </w:rPr>
              <w:t>破坏土地、改变</w:t>
            </w:r>
          </w:p>
          <w:p>
            <w:pPr>
              <w:widowControl/>
              <w:spacing w:line="240" w:lineRule="auto"/>
              <w:ind w:firstLine="0" w:firstLineChars="0"/>
              <w:jc w:val="center"/>
              <w:textAlignment w:val="center"/>
              <w:rPr>
                <w:rFonts w:ascii="宋体" w:hAnsi="宋体" w:cs="宋体"/>
                <w:color w:val="auto"/>
                <w:sz w:val="21"/>
              </w:rPr>
            </w:pPr>
            <w:r>
              <w:rPr>
                <w:rFonts w:hint="eastAsia" w:ascii="宋体" w:hAnsi="宋体" w:cs="宋体"/>
                <w:color w:val="auto"/>
                <w:kern w:val="0"/>
                <w:sz w:val="21"/>
                <w:lang w:bidi="ar"/>
              </w:rPr>
              <w:t>地形地貌</w:t>
            </w:r>
          </w:p>
        </w:tc>
        <w:tc>
          <w:tcPr>
            <w:tcW w:w="1297" w:type="pct"/>
            <w:vAlign w:val="center"/>
          </w:tcPr>
          <w:p>
            <w:pPr>
              <w:widowControl/>
              <w:spacing w:line="240" w:lineRule="auto"/>
              <w:ind w:firstLine="0" w:firstLineChars="0"/>
              <w:jc w:val="center"/>
              <w:textAlignment w:val="center"/>
              <w:rPr>
                <w:rFonts w:ascii="宋体" w:hAnsi="宋体" w:cs="宋体"/>
                <w:color w:val="auto"/>
                <w:kern w:val="0"/>
                <w:sz w:val="21"/>
                <w:lang w:bidi="ar"/>
              </w:rPr>
            </w:pPr>
            <w:r>
              <w:rPr>
                <w:rFonts w:hint="eastAsia" w:ascii="宋体" w:hAnsi="宋体" w:cs="宋体"/>
                <w:color w:val="auto"/>
                <w:kern w:val="0"/>
                <w:sz w:val="21"/>
                <w:lang w:bidi="ar"/>
              </w:rPr>
              <w:t>可能会存在崩塌及岩质滑坡，危及开采设施和员工安全，改变地形地貌</w:t>
            </w:r>
          </w:p>
        </w:tc>
        <w:tc>
          <w:tcPr>
            <w:tcW w:w="535" w:type="pct"/>
            <w:vAlign w:val="center"/>
          </w:tcPr>
          <w:p>
            <w:pPr>
              <w:widowControl/>
              <w:spacing w:line="240" w:lineRule="auto"/>
              <w:ind w:firstLine="0" w:firstLineChars="0"/>
              <w:jc w:val="center"/>
              <w:textAlignment w:val="center"/>
              <w:rPr>
                <w:rFonts w:ascii="宋体" w:hAnsi="宋体" w:cs="宋体"/>
                <w:color w:val="auto"/>
                <w:kern w:val="0"/>
                <w:sz w:val="21"/>
                <w:lang w:bidi="ar"/>
              </w:rPr>
            </w:pPr>
            <w:r>
              <w:rPr>
                <w:rFonts w:hint="eastAsia" w:ascii="宋体" w:hAnsi="宋体" w:cs="宋体"/>
                <w:color w:val="auto"/>
                <w:kern w:val="0"/>
                <w:sz w:val="21"/>
                <w:lang w:bidi="ar"/>
              </w:rPr>
              <w:t>较大</w:t>
            </w:r>
          </w:p>
        </w:tc>
      </w:tr>
    </w:tbl>
    <w:p>
      <w:pPr>
        <w:pStyle w:val="70"/>
        <w:jc w:val="center"/>
        <w:rPr>
          <w:rFonts w:ascii="宋体" w:hAnsi="宋体" w:cs="宋体"/>
          <w:color w:val="auto"/>
        </w:rPr>
      </w:pPr>
      <w:r>
        <w:rPr>
          <w:rFonts w:hint="eastAsia" w:ascii="宋体" w:hAnsi="宋体"/>
          <w:b/>
          <w:color w:val="auto"/>
          <w:kern w:val="2"/>
          <w:sz w:val="21"/>
          <w:szCs w:val="21"/>
        </w:rPr>
        <w:t xml:space="preserve">表3-2-4 </w:t>
      </w:r>
      <w:r>
        <w:rPr>
          <w:rFonts w:hint="eastAsia"/>
          <w:color w:val="auto"/>
          <w:szCs w:val="21"/>
        </w:rPr>
        <w:t xml:space="preserve">      </w:t>
      </w:r>
      <w:r>
        <w:rPr>
          <w:rFonts w:hint="eastAsia" w:ascii="宋体" w:hAnsi="宋体"/>
          <w:b/>
          <w:color w:val="auto"/>
          <w:kern w:val="2"/>
          <w:sz w:val="21"/>
          <w:szCs w:val="21"/>
        </w:rPr>
        <w:t>矿山地质环境影响评估分级表</w:t>
      </w:r>
      <w:r>
        <w:rPr>
          <w:rFonts w:hint="eastAsia"/>
          <w:color w:val="auto"/>
          <w:szCs w:val="21"/>
        </w:rPr>
        <w:t xml:space="preserve">  </w:t>
      </w:r>
      <w:r>
        <w:rPr>
          <w:rFonts w:hint="eastAsia"/>
          <w:b/>
          <w:bCs/>
          <w:color w:val="auto"/>
          <w:szCs w:val="21"/>
        </w:rPr>
        <w:t xml:space="preserve"> </w:t>
      </w:r>
      <w:r>
        <w:rPr>
          <w:rFonts w:hint="eastAsia" w:ascii="宋体" w:hAnsi="宋体" w:cs="宋体"/>
          <w:color w:val="auto"/>
        </w:rPr>
        <w:t xml:space="preserve">       </w:t>
      </w:r>
    </w:p>
    <w:tbl>
      <w:tblPr>
        <w:tblStyle w:val="23"/>
        <w:tblW w:w="52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1751"/>
        <w:gridCol w:w="1751"/>
        <w:gridCol w:w="175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07" w:type="pct"/>
            <w:vMerge w:val="restart"/>
            <w:vAlign w:val="center"/>
          </w:tcPr>
          <w:p>
            <w:pPr>
              <w:ind w:firstLine="0" w:firstLineChars="0"/>
              <w:jc w:val="center"/>
              <w:rPr>
                <w:rFonts w:ascii="宋体" w:hAnsi="宋体" w:cs="宋体"/>
                <w:color w:val="auto"/>
                <w:sz w:val="21"/>
              </w:rPr>
            </w:pPr>
            <w:r>
              <w:rPr>
                <w:rFonts w:hint="eastAsia" w:ascii="宋体" w:hAnsi="宋体" w:cs="宋体"/>
                <w:color w:val="auto"/>
                <w:sz w:val="21"/>
              </w:rPr>
              <w:t>评估区重要程度</w:t>
            </w:r>
            <w:r>
              <w:rPr>
                <w:rFonts w:hint="eastAsia" w:ascii="宋体" w:hAnsi="宋体" w:cs="宋体"/>
                <w:color w:val="auto"/>
                <w:sz w:val="21"/>
              </w:rPr>
              <mc:AlternateContent>
                <mc:Choice Requires="wps">
                  <w:drawing>
                    <wp:anchor distT="0" distB="0" distL="114300" distR="114300" simplePos="0" relativeHeight="251665408" behindDoc="0" locked="0" layoutInCell="1" allowOverlap="1">
                      <wp:simplePos x="0" y="0"/>
                      <wp:positionH relativeFrom="column">
                        <wp:posOffset>1851660</wp:posOffset>
                      </wp:positionH>
                      <wp:positionV relativeFrom="paragraph">
                        <wp:posOffset>1360170</wp:posOffset>
                      </wp:positionV>
                      <wp:extent cx="635" cy="0"/>
                      <wp:effectExtent l="0" t="4445" r="0" b="5080"/>
                      <wp:wrapNone/>
                      <wp:docPr id="21" name="直接连接符 21"/>
                      <wp:cNvGraphicFramePr/>
                      <a:graphic xmlns:a="http://schemas.openxmlformats.org/drawingml/2006/main">
                        <a:graphicData uri="http://schemas.microsoft.com/office/word/2010/wordprocessingShape">
                          <wps:wsp>
                            <wps:cNvCnPr>
                              <a:cxnSpLocks noChangeShapeType="true"/>
                            </wps:cNvCnPr>
                            <wps:spPr bwMode="auto">
                              <a:xfrm>
                                <a:off x="0" y="0"/>
                                <a:ext cx="635" cy="0"/>
                              </a:xfrm>
                              <a:prstGeom prst="line">
                                <a:avLst/>
                              </a:prstGeom>
                              <a:noFill/>
                              <a:ln w="9525" cmpd="sng">
                                <a:solidFill>
                                  <a:srgbClr val="000000"/>
                                </a:solidFill>
                                <a:miter lim="800000"/>
                              </a:ln>
                            </wps:spPr>
                            <wps:bodyPr/>
                          </wps:wsp>
                        </a:graphicData>
                      </a:graphic>
                    </wp:anchor>
                  </w:drawing>
                </mc:Choice>
                <mc:Fallback>
                  <w:pict>
                    <v:line id="_x0000_s1026" o:spid="_x0000_s1026" o:spt="20" style="position:absolute;left:0pt;margin-left:145.8pt;margin-top:107.1pt;height:0pt;width:0.05pt;z-index:251665408;mso-width-relative:page;mso-height-relative:page;" filled="f" stroked="t" coordsize="21600,21600" o:gfxdata="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GTG&#10;TH3YAAAACwEAAA8AAAAAAAAAAQAgAAAAOAAAAGRycy9kb3ducmV2LnhtbFBLAQIUABQAAAAIAIdO&#10;4kBNdLdu1AEAAHUDAAAOAAAAAAAAAAEAIAAAAD0BAABkcnMvZTJvRG9jLnhtbFBLBQYAAAAABgAG&#10;AFkBAACDBQAAAAA=&#10;">
                      <v:fill on="f" focussize="0,0"/>
                      <v:stroke color="#000000" miterlimit="8" joinstyle="miter"/>
                      <v:imagedata o:title=""/>
                      <o:lock v:ext="edit" aspectratio="f"/>
                    </v:line>
                  </w:pict>
                </mc:Fallback>
              </mc:AlternateContent>
            </w:r>
          </w:p>
        </w:tc>
        <w:tc>
          <w:tcPr>
            <w:tcW w:w="974" w:type="pct"/>
            <w:vMerge w:val="restar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矿山生产</w:t>
            </w:r>
          </w:p>
          <w:p>
            <w:pPr>
              <w:spacing w:line="240" w:lineRule="auto"/>
              <w:ind w:firstLine="0" w:firstLineChars="0"/>
              <w:jc w:val="center"/>
              <w:rPr>
                <w:rFonts w:ascii="宋体" w:hAnsi="宋体" w:cs="宋体"/>
                <w:color w:val="auto"/>
                <w:sz w:val="21"/>
              </w:rPr>
            </w:pPr>
            <w:r>
              <w:rPr>
                <w:rFonts w:hint="eastAsia" w:ascii="宋体" w:hAnsi="宋体" w:cs="宋体"/>
                <w:color w:val="auto"/>
                <w:sz w:val="21"/>
              </w:rPr>
              <w:t>建设规模</w:t>
            </w:r>
          </w:p>
        </w:tc>
        <w:tc>
          <w:tcPr>
            <w:tcW w:w="2919" w:type="pct"/>
            <w:gridSpan w:val="3"/>
            <w:tcBorders>
              <w:bottom w:val="single" w:color="auto" w:sz="4" w:space="0"/>
            </w:tcBorders>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地质环境复杂程度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7" w:type="pct"/>
            <w:vMerge w:val="continue"/>
            <w:tcBorders>
              <w:bottom w:val="single" w:color="auto" w:sz="4" w:space="0"/>
            </w:tcBorders>
            <w:vAlign w:val="center"/>
          </w:tcPr>
          <w:p>
            <w:pPr>
              <w:spacing w:line="240" w:lineRule="auto"/>
              <w:ind w:firstLine="0" w:firstLineChars="0"/>
              <w:jc w:val="center"/>
              <w:rPr>
                <w:rFonts w:ascii="宋体" w:hAnsi="宋体" w:cs="宋体"/>
                <w:color w:val="auto"/>
                <w:sz w:val="21"/>
              </w:rPr>
            </w:pPr>
          </w:p>
        </w:tc>
        <w:tc>
          <w:tcPr>
            <w:tcW w:w="974" w:type="pct"/>
            <w:vMerge w:val="continue"/>
            <w:tcBorders>
              <w:bottom w:val="single" w:color="auto" w:sz="4" w:space="0"/>
            </w:tcBorders>
            <w:vAlign w:val="center"/>
          </w:tcPr>
          <w:p>
            <w:pPr>
              <w:spacing w:line="240" w:lineRule="auto"/>
              <w:ind w:firstLine="0" w:firstLineChars="0"/>
              <w:jc w:val="center"/>
              <w:rPr>
                <w:rFonts w:ascii="宋体" w:hAnsi="宋体" w:cs="宋体"/>
                <w:color w:val="auto"/>
                <w:sz w:val="21"/>
              </w:rPr>
            </w:pPr>
          </w:p>
        </w:tc>
        <w:tc>
          <w:tcPr>
            <w:tcW w:w="974" w:type="pct"/>
            <w:tcBorders>
              <w:bottom w:val="single" w:color="auto" w:sz="4" w:space="0"/>
            </w:tcBorders>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复杂</w:t>
            </w:r>
          </w:p>
        </w:tc>
        <w:tc>
          <w:tcPr>
            <w:tcW w:w="974" w:type="pct"/>
            <w:tcBorders>
              <w:bottom w:val="single" w:color="auto" w:sz="4" w:space="0"/>
            </w:tcBorders>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中等</w:t>
            </w:r>
            <w:r>
              <w:rPr>
                <w:rFonts w:hint="eastAsia" w:ascii="宋体" w:hAnsi="宋体" w:cs="宋体"/>
                <w:b/>
                <w:color w:val="auto"/>
                <w:sz w:val="21"/>
              </w:rPr>
              <w:t>√</w:t>
            </w:r>
          </w:p>
        </w:tc>
        <w:tc>
          <w:tcPr>
            <w:tcW w:w="971" w:type="pct"/>
            <w:tcBorders>
              <w:bottom w:val="single" w:color="auto" w:sz="4" w:space="0"/>
            </w:tcBorders>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restar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重要区</w:t>
            </w:r>
            <w:r>
              <w:rPr>
                <w:rFonts w:hint="eastAsia" w:ascii="宋体" w:hAnsi="宋体"/>
                <w:b/>
                <w:color w:val="auto"/>
              </w:rPr>
              <w:t>√</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大  型</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1"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pPr>
              <w:spacing w:line="240" w:lineRule="auto"/>
              <w:ind w:firstLine="0" w:firstLineChars="0"/>
              <w:jc w:val="center"/>
              <w:rPr>
                <w:rFonts w:ascii="宋体" w:hAnsi="宋体" w:cs="宋体"/>
                <w:color w:val="auto"/>
                <w:sz w:val="21"/>
              </w:rPr>
            </w:pP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中  型</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1"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pPr>
              <w:spacing w:line="240" w:lineRule="auto"/>
              <w:ind w:firstLine="0" w:firstLineChars="0"/>
              <w:jc w:val="center"/>
              <w:rPr>
                <w:rFonts w:ascii="宋体" w:hAnsi="宋体" w:cs="宋体"/>
                <w:color w:val="auto"/>
                <w:sz w:val="21"/>
              </w:rPr>
            </w:pP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小  型</w:t>
            </w:r>
            <w:r>
              <w:rPr>
                <w:rFonts w:hint="eastAsia" w:ascii="宋体" w:hAnsi="宋体"/>
                <w:b/>
                <w:color w:val="auto"/>
              </w:rPr>
              <w:t>√</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r>
              <w:rPr>
                <w:rFonts w:hint="eastAsia" w:ascii="宋体" w:hAnsi="宋体"/>
                <w:b/>
                <w:color w:val="auto"/>
              </w:rPr>
              <w:t>√</w:t>
            </w:r>
          </w:p>
        </w:tc>
        <w:tc>
          <w:tcPr>
            <w:tcW w:w="971"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restar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较重要区</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大  型</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1"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pPr>
              <w:spacing w:line="240" w:lineRule="auto"/>
              <w:ind w:firstLine="0" w:firstLineChars="0"/>
              <w:jc w:val="center"/>
              <w:rPr>
                <w:rFonts w:ascii="宋体" w:hAnsi="宋体" w:cs="宋体"/>
                <w:color w:val="auto"/>
                <w:sz w:val="21"/>
              </w:rPr>
            </w:pP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中  型</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1"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pPr>
              <w:spacing w:line="240" w:lineRule="auto"/>
              <w:ind w:firstLine="0" w:firstLineChars="0"/>
              <w:jc w:val="center"/>
              <w:rPr>
                <w:rFonts w:ascii="宋体" w:hAnsi="宋体" w:cs="宋体"/>
                <w:color w:val="auto"/>
                <w:sz w:val="21"/>
              </w:rPr>
            </w:pP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小  型</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1"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restar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一般区</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大  型</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1"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pPr>
              <w:spacing w:line="240" w:lineRule="auto"/>
              <w:ind w:firstLine="0" w:firstLineChars="0"/>
              <w:jc w:val="center"/>
              <w:rPr>
                <w:rFonts w:ascii="宋体" w:hAnsi="宋体" w:cs="宋体"/>
                <w:color w:val="auto"/>
                <w:sz w:val="21"/>
              </w:rPr>
            </w:pP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中  型</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1"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pPr>
              <w:spacing w:line="240" w:lineRule="auto"/>
              <w:ind w:firstLine="0" w:firstLineChars="0"/>
              <w:jc w:val="center"/>
              <w:rPr>
                <w:rFonts w:ascii="宋体" w:hAnsi="宋体" w:cs="宋体"/>
                <w:b/>
                <w:color w:val="auto"/>
                <w:sz w:val="21"/>
              </w:rPr>
            </w:pP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小  型</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4" w:type="pct"/>
            <w:vAlign w:val="center"/>
          </w:tcPr>
          <w:p>
            <w:pPr>
              <w:spacing w:line="240" w:lineRule="auto"/>
              <w:ind w:firstLine="0" w:firstLineChars="0"/>
              <w:jc w:val="center"/>
              <w:rPr>
                <w:rFonts w:ascii="宋体" w:hAnsi="宋体" w:cs="宋体"/>
                <w:color w:val="auto"/>
                <w:sz w:val="21"/>
              </w:rPr>
            </w:pPr>
            <w:r>
              <w:rPr>
                <w:rFonts w:hint="eastAsia" w:ascii="宋体" w:hAnsi="宋体" w:cs="宋体"/>
                <w:color w:val="auto"/>
                <w:sz w:val="21"/>
              </w:rPr>
              <w:t>三级</w:t>
            </w:r>
          </w:p>
        </w:tc>
        <w:tc>
          <w:tcPr>
            <w:tcW w:w="971" w:type="pct"/>
            <w:vAlign w:val="center"/>
          </w:tcPr>
          <w:p>
            <w:pPr>
              <w:spacing w:line="240" w:lineRule="auto"/>
              <w:ind w:firstLine="0" w:firstLineChars="0"/>
              <w:jc w:val="center"/>
              <w:rPr>
                <w:rFonts w:ascii="宋体" w:hAnsi="宋体" w:cs="宋体"/>
                <w:color w:val="auto"/>
                <w:sz w:val="21"/>
              </w:rPr>
            </w:pPr>
            <w:r>
              <w:rPr>
                <w:rFonts w:hint="eastAsia" w:ascii="宋体" w:hAnsi="宋体" w:cs="宋体"/>
                <w:bCs/>
                <w:color w:val="auto"/>
                <w:sz w:val="21"/>
              </w:rPr>
              <w:t>三级</w:t>
            </w:r>
          </w:p>
        </w:tc>
      </w:tr>
    </w:tbl>
    <w:p>
      <w:pPr>
        <w:rPr>
          <w:rFonts w:ascii="Times New Roman" w:hAnsi="Times New Roman" w:cs="Times New Roman"/>
          <w:color w:val="auto"/>
          <w:highlight w:val="none"/>
        </w:rPr>
      </w:pPr>
    </w:p>
    <w:p>
      <w:pPr>
        <w:pStyle w:val="5"/>
        <w:rPr>
          <w:rFonts w:ascii="Times New Roman" w:hAnsi="Times New Roman" w:eastAsia="宋体" w:cs="Times New Roman"/>
          <w:color w:val="auto"/>
          <w:sz w:val="28"/>
          <w:szCs w:val="28"/>
          <w:highlight w:val="none"/>
        </w:rPr>
      </w:pPr>
      <w:bookmarkStart w:id="99" w:name="_Toc5657"/>
      <w:r>
        <w:rPr>
          <w:rFonts w:ascii="Times New Roman" w:hAnsi="Times New Roman" w:eastAsia="宋体" w:cs="Times New Roman"/>
          <w:color w:val="auto"/>
          <w:sz w:val="28"/>
          <w:szCs w:val="28"/>
          <w:highlight w:val="none"/>
        </w:rPr>
        <w:t>（二）矿山地质灾害现状分析与预测</w:t>
      </w:r>
      <w:bookmarkEnd w:id="99"/>
    </w:p>
    <w:p>
      <w:pPr>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1、矿山地质灾害现状分析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根据国务院 394 号令《地质灾害防治条例》，地质灾害包括自然因素或人为活动引发的危害人民生命和财产安全的山体崩塌、滑坡、泥石流、地面塌陷、地裂缝和地面沉降等与地质作用有关的灾害。根据国土资源部国土资发〔2004〕69 号文及附件《地质灾害危险性评估技术要求》，地质灾害危险性评估的灾种有崩塌、滑坡、泥石流、地面塌陷、地裂缝和地面沉降6种。</w:t>
      </w:r>
    </w:p>
    <w:p>
      <w:pPr>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经实地调查，矿山设计为露天开采，为新建矿山。现状条件下，评估区矿区东部现状存在高陡边坡，现状为稳定。在降雨地震等不良因素下，易发生崩塌、滑坡等地质灾害</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依据《矿山地质环境保护与恢复治理方案编制规范》（DZ/T0223-2011）附录E，现状条件下地质灾害影响程度</w:t>
      </w:r>
      <w:r>
        <w:rPr>
          <w:rFonts w:hint="eastAsia" w:ascii="仿宋" w:hAnsi="仿宋" w:eastAsia="仿宋" w:cs="仿宋"/>
          <w:b/>
          <w:bCs/>
          <w:color w:val="auto"/>
          <w:sz w:val="28"/>
          <w:szCs w:val="28"/>
          <w:highlight w:val="none"/>
        </w:rPr>
        <w:t>较轻</w:t>
      </w:r>
      <w:r>
        <w:rPr>
          <w:rFonts w:hint="eastAsia" w:ascii="仿宋" w:hAnsi="仿宋" w:eastAsia="仿宋" w:cs="仿宋"/>
          <w:color w:val="auto"/>
          <w:sz w:val="28"/>
          <w:szCs w:val="28"/>
          <w:highlight w:val="none"/>
        </w:rPr>
        <w:t>。</w:t>
      </w:r>
    </w:p>
    <w:p>
      <w:pPr>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2、矿山地质灾害预测</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（1）矿业活动加剧地质灾害的可能性及威胁目标</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本次对矿山地质环境调查发现，矿区地貌为低中山地貌，土质、岩质斜坡，地表水资源受降水影响较大，如果在采矿活动中严格控制废水处理、排放，对水环境影响较小。</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地表普遍有松散第四系不均匀堆积，矿体埋藏较浅，属半坚硬－坚硬工程地质岩组，工程力学性质条件一般。在露天采矿过程中，地表植被被破坏，在暴雨天气，易出现泥土、细沙流失等现象。</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该矿山拟采用公路开拓、汽车运输，矿山基础设施建设主要依托于现有的开拓系统，矿山开采形成边坡最大高差小于60m，开采过程中由于卸荷可能发生岩块掉落，矿山开拓系统失稳导致的塌方、滑坡、泥石流等地质灾害。</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该矿山设计露天开采，在采区内易形成采坑，暴雨天气多形成洼地积水，对矿山矿业活动有一定安全隐患。</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综合分析发现，矿山在今后采矿活动中，可能会发生水土流失、崩塌、滑坡、泥石流等突发性地质灾害。地质灾害预测评价为一般危险。</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（2）矿业活动可能诱发地质灾害的可能性及威胁目标</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 1 \* GB3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①</w:t>
      </w:r>
      <w:r>
        <w:rPr>
          <w:rFonts w:hint="eastAsia" w:ascii="仿宋" w:hAnsi="仿宋" w:eastAsia="仿宋" w:cs="仿宋"/>
          <w:color w:val="auto"/>
          <w:sz w:val="28"/>
          <w:szCs w:val="28"/>
          <w:lang w:val="en-US" w:eastAsia="zh-CN"/>
        </w:rPr>
        <w:fldChar w:fldCharType="end"/>
      </w:r>
      <w:r>
        <w:rPr>
          <w:rFonts w:hint="eastAsia" w:ascii="仿宋" w:hAnsi="仿宋" w:eastAsia="仿宋" w:cs="仿宋"/>
          <w:color w:val="auto"/>
          <w:sz w:val="28"/>
          <w:szCs w:val="28"/>
          <w:lang w:val="en-US" w:eastAsia="zh-CN"/>
        </w:rPr>
        <w:t>采场边坡引发崩塌、滑坡地质灾害危险性预测</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根据现场调查结果分析，矿山矿体为砂泥岩，属于半坚硬岩组，掩体较为完成，易风化，边坡稳定性一般，风化后，极易发生垮塌等地质灾害，</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现状调查，目前拟设采矿权东侧已形成高陡边坡，斜坡近乎直立，矿体在风化作用下易形成凹腔，在矿山采矿活动及地震、暴雨等外力作用下，采场边坡产生小型崩塌或小型滑坡的可能性较大，威胁对象主要为采场工作人员、机器设备、过往人员、车辆等，预测其危险性和危害性小～中等。</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在今后的开采过程中，要严格按照设计进行开采，保留合理边坡角和安全平台宽度，及时清理浮石，加强巡查，对易产生掉块、崩塌的地方进行及时处理和加强监测，防止边坡掉块、崩塌、滑坡的产生。</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 2 \* GB3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②</w:t>
      </w:r>
      <w:r>
        <w:rPr>
          <w:rFonts w:hint="eastAsia" w:ascii="仿宋" w:hAnsi="仿宋" w:eastAsia="仿宋" w:cs="仿宋"/>
          <w:color w:val="auto"/>
          <w:sz w:val="28"/>
          <w:szCs w:val="28"/>
          <w:lang w:val="en-US" w:eastAsia="zh-CN"/>
        </w:rPr>
        <w:fldChar w:fldCharType="end"/>
      </w:r>
      <w:r>
        <w:rPr>
          <w:rFonts w:hint="eastAsia" w:ascii="仿宋" w:hAnsi="仿宋" w:eastAsia="仿宋" w:cs="仿宋"/>
          <w:color w:val="auto"/>
          <w:sz w:val="28"/>
          <w:szCs w:val="28"/>
          <w:lang w:val="en-US" w:eastAsia="zh-CN"/>
        </w:rPr>
        <w:t>引发滑坡、泥石流地质灾害危险性预测</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采场高陡边坡稳定性验算</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ⅰ）计算方法及坝体破坏模式</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坝坡稳定计算按刚体极限平衡分析方法进行计算，强度指标采用有效应力法或总应力法。计算方法宜采用瑞典圆弧法，当坝基或坝体内存在软弱土层时，可采用改良圆弧法。稳定计算时选取坝高最大的断面作为计算剖面。计算剖面下部基岩为不可滑动体，对于地震情况的核算，抗震设防烈度为7度，设计地震分组为第三组，设计基本地震加速度值为0.10g。</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ⅱ）荷载工况确定</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计算工况取正常运行期工况、洪水运行期工况及特殊运行期工况。</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ⅲ）计算参数的确定</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有关地基各地层的参数取用大英县地质灾害勘查设计中的参数值。如下：</w:t>
      </w:r>
    </w:p>
    <w:p>
      <w:pPr>
        <w:spacing w:line="240" w:lineRule="atLeast"/>
        <w:ind w:firstLine="0" w:firstLineChars="0"/>
        <w:jc w:val="center"/>
        <w:rPr>
          <w:rFonts w:ascii="宋体" w:hAnsi="宋体"/>
          <w:b/>
          <w:color w:val="auto"/>
          <w:sz w:val="21"/>
        </w:rPr>
      </w:pPr>
      <w:r>
        <w:rPr>
          <w:rFonts w:ascii="宋体" w:hAnsi="宋体"/>
          <w:b/>
          <w:color w:val="auto"/>
          <w:sz w:val="21"/>
        </w:rPr>
        <w:t>表</w:t>
      </w:r>
      <w:r>
        <w:rPr>
          <w:rFonts w:hint="eastAsia" w:ascii="宋体" w:hAnsi="宋体"/>
          <w:b/>
          <w:color w:val="auto"/>
          <w:sz w:val="21"/>
        </w:rPr>
        <w:t>3-2-5 各土层物理力学参数</w:t>
      </w:r>
    </w:p>
    <w:p>
      <w:pPr>
        <w:ind w:firstLine="480"/>
        <w:jc w:val="center"/>
        <w:rPr>
          <w:rFonts w:ascii="宋体" w:hAnsi="宋体" w:cs="宋体"/>
          <w:color w:val="auto"/>
        </w:rPr>
      </w:pPr>
      <w:r>
        <w:rPr>
          <w:rFonts w:hint="eastAsia" w:ascii="宋体" w:hAnsi="宋体" w:cs="宋体"/>
          <w:color w:val="auto"/>
        </w:rPr>
        <w:drawing>
          <wp:inline distT="0" distB="0" distL="0" distR="0">
            <wp:extent cx="3835400" cy="1875790"/>
            <wp:effectExtent l="0" t="0" r="5080" b="1397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3868986" cy="1892571"/>
                    </a:xfrm>
                    <a:prstGeom prst="rect">
                      <a:avLst/>
                    </a:prstGeom>
                  </pic:spPr>
                </pic:pic>
              </a:graphicData>
            </a:graphic>
          </wp:inline>
        </w:drawing>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ⅳ）安全系数的确定</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有色金属排土场设计规范》（GB50421-2018）可知，当被保护对象为失事后使村镇或集中居民区遭受严重灾害时，Ks应取1.3；当被保护对象为失事后不致造成人员伤亡或者造成经济损失不大的次要建构筑物时，Ks应取1.2；当被保护对象为失事后损失轻微时，Ks 应取1.15。</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ⅴ）稳定性计算结果</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计算剖面选取排土场具有代表性的C-C剖面及F-F剖面，计算结果见表3-2-6及3-2-7。</w:t>
      </w:r>
    </w:p>
    <w:p>
      <w:pPr>
        <w:spacing w:before="6" w:line="90" w:lineRule="exact"/>
        <w:ind w:firstLine="180"/>
        <w:rPr>
          <w:color w:val="auto"/>
          <w:sz w:val="9"/>
          <w:szCs w:val="9"/>
        </w:rPr>
      </w:pPr>
    </w:p>
    <w:p>
      <w:pPr>
        <w:ind w:firstLine="0" w:firstLineChars="0"/>
        <w:jc w:val="center"/>
        <w:rPr>
          <w:rFonts w:ascii="宋体" w:hAnsi="宋体"/>
          <w:b/>
          <w:color w:val="auto"/>
          <w:sz w:val="21"/>
        </w:rPr>
      </w:pPr>
      <w:r>
        <w:rPr>
          <w:rFonts w:ascii="宋体" w:hAnsi="宋体"/>
          <w:b/>
          <w:color w:val="auto"/>
          <w:sz w:val="21"/>
        </w:rPr>
        <w:t xml:space="preserve">表 </w:t>
      </w:r>
      <w:r>
        <w:rPr>
          <w:rFonts w:hint="eastAsia" w:ascii="宋体" w:hAnsi="宋体"/>
          <w:b/>
          <w:color w:val="auto"/>
          <w:sz w:val="21"/>
        </w:rPr>
        <w:t xml:space="preserve">3-2-6  </w:t>
      </w:r>
      <w:r>
        <w:rPr>
          <w:rFonts w:ascii="宋体" w:hAnsi="宋体"/>
          <w:b/>
          <w:color w:val="auto"/>
          <w:sz w:val="21"/>
        </w:rPr>
        <w:tab/>
      </w:r>
      <w:r>
        <w:rPr>
          <w:rFonts w:ascii="宋体" w:hAnsi="宋体"/>
          <w:b/>
          <w:color w:val="auto"/>
          <w:sz w:val="21"/>
        </w:rPr>
        <w:t>C-C剖面各种工况下坝坡稳定性系数计算成果</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4"/>
        <w:gridCol w:w="1302"/>
        <w:gridCol w:w="1658"/>
        <w:gridCol w:w="1234"/>
        <w:gridCol w:w="1234"/>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exact"/>
          <w:jc w:val="center"/>
        </w:trPr>
        <w:tc>
          <w:tcPr>
            <w:tcW w:w="1489" w:type="pct"/>
            <w:gridSpan w:val="2"/>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滑弧圆心坐标</w:t>
            </w:r>
          </w:p>
        </w:tc>
        <w:tc>
          <w:tcPr>
            <w:tcW w:w="997" w:type="pct"/>
            <w:vMerge w:val="restar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滑弧半径</w:t>
            </w:r>
          </w:p>
          <w:p>
            <w:pPr>
              <w:pStyle w:val="69"/>
              <w:jc w:val="center"/>
              <w:rPr>
                <w:rFonts w:cs="Microsoft JhengHei" w:asciiTheme="minorEastAsia" w:hAnsiTheme="minorEastAsia"/>
                <w:color w:val="auto"/>
                <w:sz w:val="21"/>
                <w:szCs w:val="21"/>
              </w:rPr>
            </w:pPr>
            <w:r>
              <w:rPr>
                <w:rFonts w:cs="Times New Roman" w:asciiTheme="minorEastAsia" w:hAnsiTheme="minorEastAsia"/>
                <w:color w:val="auto"/>
                <w:sz w:val="21"/>
                <w:szCs w:val="21"/>
              </w:rPr>
              <w:t>R</w:t>
            </w:r>
            <w:r>
              <w:rPr>
                <w:rFonts w:cs="Microsoft JhengHei" w:asciiTheme="minorEastAsia" w:hAnsiTheme="minorEastAsia"/>
                <w:color w:val="auto"/>
                <w:sz w:val="21"/>
                <w:szCs w:val="21"/>
              </w:rPr>
              <w:t>（</w:t>
            </w:r>
            <w:r>
              <w:rPr>
                <w:rFonts w:cs="Times New Roman" w:asciiTheme="minorEastAsia" w:hAnsiTheme="minorEastAsia"/>
                <w:color w:val="auto"/>
                <w:sz w:val="21"/>
                <w:szCs w:val="21"/>
              </w:rPr>
              <w:t>m</w:t>
            </w:r>
            <w:r>
              <w:rPr>
                <w:rFonts w:cs="Microsoft JhengHei" w:asciiTheme="minorEastAsia" w:hAnsiTheme="minorEastAsia"/>
                <w:color w:val="auto"/>
                <w:sz w:val="21"/>
                <w:szCs w:val="21"/>
              </w:rPr>
              <w:t>）</w:t>
            </w:r>
          </w:p>
        </w:tc>
        <w:tc>
          <w:tcPr>
            <w:tcW w:w="2514" w:type="pct"/>
            <w:gridSpan w:val="3"/>
            <w:vAlign w:val="center"/>
          </w:tcPr>
          <w:p>
            <w:pPr>
              <w:pStyle w:val="69"/>
              <w:jc w:val="center"/>
              <w:rPr>
                <w:rFonts w:cs="Times New Roman" w:asciiTheme="minorEastAsia" w:hAnsiTheme="minorEastAsia"/>
                <w:color w:val="auto"/>
                <w:sz w:val="21"/>
                <w:szCs w:val="21"/>
              </w:rPr>
            </w:pPr>
            <w:r>
              <w:rPr>
                <w:rFonts w:cs="Microsoft JhengHei" w:asciiTheme="minorEastAsia" w:hAnsiTheme="minorEastAsia"/>
                <w:color w:val="auto"/>
                <w:sz w:val="21"/>
                <w:szCs w:val="21"/>
              </w:rPr>
              <w:t>滑弧最小安全系数</w:t>
            </w:r>
            <w:r>
              <w:rPr>
                <w:rFonts w:cs="Microsoft JhengHei" w:asciiTheme="minorEastAsia" w:hAnsiTheme="minorEastAsia"/>
                <w:color w:val="auto"/>
                <w:spacing w:val="-3"/>
                <w:sz w:val="21"/>
                <w:szCs w:val="21"/>
              </w:rPr>
              <w:t xml:space="preserve"> </w:t>
            </w:r>
            <w:r>
              <w:rPr>
                <w:rFonts w:cs="Times New Roman" w:asciiTheme="minorEastAsia" w:hAnsiTheme="minorEastAsia"/>
                <w:color w:val="auto"/>
                <w:spacing w:val="-1"/>
                <w:sz w:val="21"/>
                <w:szCs w:val="21"/>
              </w:rPr>
              <w:t>K</w:t>
            </w:r>
            <w:r>
              <w:rPr>
                <w:rFonts w:cs="Times New Roman" w:asciiTheme="minorEastAsia" w:hAnsiTheme="minorEastAsia"/>
                <w:color w:val="auto"/>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exact"/>
          <w:jc w:val="center"/>
        </w:trPr>
        <w:tc>
          <w:tcPr>
            <w:tcW w:w="706" w:type="pct"/>
            <w:vAlign w:val="center"/>
          </w:tcPr>
          <w:p>
            <w:pPr>
              <w:pStyle w:val="69"/>
              <w:jc w:val="center"/>
              <w:rPr>
                <w:rFonts w:cs="Microsoft JhengHei" w:asciiTheme="minorEastAsia" w:hAnsiTheme="minorEastAsia"/>
                <w:color w:val="auto"/>
                <w:sz w:val="21"/>
                <w:szCs w:val="21"/>
              </w:rPr>
            </w:pPr>
            <w:r>
              <w:rPr>
                <w:rFonts w:cs="Times New Roman" w:asciiTheme="minorEastAsia" w:hAnsiTheme="minorEastAsia"/>
                <w:color w:val="auto"/>
                <w:spacing w:val="-1"/>
                <w:sz w:val="21"/>
                <w:szCs w:val="21"/>
              </w:rPr>
              <w:t>X</w:t>
            </w:r>
            <w:r>
              <w:rPr>
                <w:rFonts w:cs="Microsoft JhengHei" w:asciiTheme="minorEastAsia" w:hAnsiTheme="minorEastAsia"/>
                <w:color w:val="auto"/>
                <w:sz w:val="21"/>
                <w:szCs w:val="21"/>
              </w:rPr>
              <w:t>（</w:t>
            </w:r>
            <w:r>
              <w:rPr>
                <w:rFonts w:cs="Times New Roman" w:asciiTheme="minorEastAsia" w:hAnsiTheme="minorEastAsia"/>
                <w:color w:val="auto"/>
                <w:sz w:val="21"/>
                <w:szCs w:val="21"/>
              </w:rPr>
              <w:t>m</w:t>
            </w:r>
            <w:r>
              <w:rPr>
                <w:rFonts w:cs="Microsoft JhengHei" w:asciiTheme="minorEastAsia" w:hAnsiTheme="minorEastAsia"/>
                <w:color w:val="auto"/>
                <w:sz w:val="21"/>
                <w:szCs w:val="21"/>
              </w:rPr>
              <w:t>）</w:t>
            </w:r>
          </w:p>
        </w:tc>
        <w:tc>
          <w:tcPr>
            <w:tcW w:w="783" w:type="pct"/>
            <w:vAlign w:val="center"/>
          </w:tcPr>
          <w:p>
            <w:pPr>
              <w:pStyle w:val="69"/>
              <w:jc w:val="center"/>
              <w:rPr>
                <w:rFonts w:cs="Microsoft JhengHei" w:asciiTheme="minorEastAsia" w:hAnsiTheme="minorEastAsia"/>
                <w:color w:val="auto"/>
                <w:sz w:val="21"/>
                <w:szCs w:val="21"/>
              </w:rPr>
            </w:pPr>
            <w:r>
              <w:rPr>
                <w:rFonts w:cs="Times New Roman" w:asciiTheme="minorEastAsia" w:hAnsiTheme="minorEastAsia"/>
                <w:color w:val="auto"/>
                <w:spacing w:val="-1"/>
                <w:sz w:val="21"/>
                <w:szCs w:val="21"/>
              </w:rPr>
              <w:t>Y</w:t>
            </w:r>
            <w:r>
              <w:rPr>
                <w:rFonts w:cs="Microsoft JhengHei" w:asciiTheme="minorEastAsia" w:hAnsiTheme="minorEastAsia"/>
                <w:color w:val="auto"/>
                <w:sz w:val="21"/>
                <w:szCs w:val="21"/>
              </w:rPr>
              <w:t>（</w:t>
            </w:r>
            <w:r>
              <w:rPr>
                <w:rFonts w:cs="Times New Roman" w:asciiTheme="minorEastAsia" w:hAnsiTheme="minorEastAsia"/>
                <w:color w:val="auto"/>
                <w:sz w:val="21"/>
                <w:szCs w:val="21"/>
              </w:rPr>
              <w:t>m</w:t>
            </w:r>
            <w:r>
              <w:rPr>
                <w:rFonts w:cs="Microsoft JhengHei" w:asciiTheme="minorEastAsia" w:hAnsiTheme="minorEastAsia"/>
                <w:color w:val="auto"/>
                <w:sz w:val="21"/>
                <w:szCs w:val="21"/>
              </w:rPr>
              <w:t>）</w:t>
            </w:r>
          </w:p>
        </w:tc>
        <w:tc>
          <w:tcPr>
            <w:tcW w:w="997" w:type="pct"/>
            <w:vMerge w:val="continue"/>
            <w:vAlign w:val="center"/>
          </w:tcPr>
          <w:p>
            <w:pPr>
              <w:spacing w:line="240" w:lineRule="auto"/>
              <w:ind w:firstLine="0" w:firstLineChars="0"/>
              <w:jc w:val="center"/>
              <w:rPr>
                <w:rFonts w:asciiTheme="minorEastAsia" w:hAnsiTheme="minorEastAsia" w:eastAsiaTheme="minorEastAsia" w:cstheme="minorBidi"/>
                <w:color w:val="auto"/>
                <w:sz w:val="21"/>
                <w:lang w:eastAsia="en-US"/>
              </w:rPr>
            </w:pPr>
          </w:p>
        </w:tc>
        <w:tc>
          <w:tcPr>
            <w:tcW w:w="742" w:type="pct"/>
            <w:vAlign w:val="center"/>
          </w:tcPr>
          <w:p>
            <w:pPr>
              <w:pStyle w:val="69"/>
              <w:jc w:val="center"/>
              <w:rPr>
                <w:rFonts w:cs="Times New Roman" w:asciiTheme="minorEastAsia" w:hAnsiTheme="minorEastAsia"/>
                <w:color w:val="auto"/>
                <w:sz w:val="21"/>
                <w:szCs w:val="21"/>
              </w:rPr>
            </w:pPr>
            <w:r>
              <w:rPr>
                <w:rFonts w:cs="Microsoft JhengHei" w:asciiTheme="minorEastAsia" w:hAnsiTheme="minorEastAsia"/>
                <w:color w:val="auto"/>
                <w:sz w:val="21"/>
                <w:szCs w:val="21"/>
              </w:rPr>
              <w:t xml:space="preserve">静力 </w:t>
            </w:r>
            <w:r>
              <w:rPr>
                <w:rFonts w:cs="Times New Roman" w:asciiTheme="minorEastAsia" w:hAnsiTheme="minorEastAsia"/>
                <w:color w:val="auto"/>
                <w:sz w:val="21"/>
                <w:szCs w:val="21"/>
              </w:rPr>
              <w:t>K</w:t>
            </w:r>
          </w:p>
        </w:tc>
        <w:tc>
          <w:tcPr>
            <w:tcW w:w="742" w:type="pct"/>
            <w:vAlign w:val="center"/>
          </w:tcPr>
          <w:p>
            <w:pPr>
              <w:pStyle w:val="69"/>
              <w:jc w:val="center"/>
              <w:rPr>
                <w:rFonts w:cs="Times New Roman" w:asciiTheme="minorEastAsia" w:hAnsiTheme="minorEastAsia"/>
                <w:color w:val="auto"/>
                <w:sz w:val="21"/>
                <w:szCs w:val="21"/>
              </w:rPr>
            </w:pPr>
            <w:r>
              <w:rPr>
                <w:rFonts w:cs="Microsoft JhengHei" w:asciiTheme="minorEastAsia" w:hAnsiTheme="minorEastAsia"/>
                <w:color w:val="auto"/>
                <w:sz w:val="21"/>
                <w:szCs w:val="21"/>
              </w:rPr>
              <w:t xml:space="preserve">洪水 </w:t>
            </w:r>
            <w:r>
              <w:rPr>
                <w:rFonts w:cs="Times New Roman" w:asciiTheme="minorEastAsia" w:hAnsiTheme="minorEastAsia"/>
                <w:color w:val="auto"/>
                <w:sz w:val="21"/>
                <w:szCs w:val="21"/>
              </w:rPr>
              <w:t>K</w:t>
            </w:r>
          </w:p>
        </w:tc>
        <w:tc>
          <w:tcPr>
            <w:tcW w:w="1030" w:type="pct"/>
            <w:vAlign w:val="center"/>
          </w:tcPr>
          <w:p>
            <w:pPr>
              <w:pStyle w:val="69"/>
              <w:jc w:val="center"/>
              <w:rPr>
                <w:rFonts w:cs="Times New Roman" w:asciiTheme="minorEastAsia" w:hAnsiTheme="minorEastAsia"/>
                <w:color w:val="auto"/>
                <w:sz w:val="21"/>
                <w:szCs w:val="21"/>
              </w:rPr>
            </w:pPr>
            <w:r>
              <w:rPr>
                <w:rFonts w:cs="Microsoft JhengHei" w:asciiTheme="minorEastAsia" w:hAnsiTheme="minorEastAsia"/>
                <w:color w:val="auto"/>
                <w:sz w:val="21"/>
                <w:szCs w:val="21"/>
              </w:rPr>
              <w:t xml:space="preserve">特殊情况 </w:t>
            </w:r>
            <w:r>
              <w:rPr>
                <w:rFonts w:cs="Times New Roman" w:asciiTheme="minorEastAsia" w:hAnsiTheme="minorEastAsia"/>
                <w:color w:val="auto"/>
                <w:sz w:val="21"/>
                <w:szCs w:val="21"/>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706"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11.448</w:t>
            </w:r>
          </w:p>
        </w:tc>
        <w:tc>
          <w:tcPr>
            <w:tcW w:w="783"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49.679</w:t>
            </w:r>
          </w:p>
        </w:tc>
        <w:tc>
          <w:tcPr>
            <w:tcW w:w="997"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50.207</w:t>
            </w:r>
          </w:p>
        </w:tc>
        <w:tc>
          <w:tcPr>
            <w:tcW w:w="742"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1.408</w:t>
            </w:r>
          </w:p>
        </w:tc>
        <w:tc>
          <w:tcPr>
            <w:tcW w:w="742" w:type="pct"/>
            <w:vAlign w:val="center"/>
          </w:tcPr>
          <w:p>
            <w:pPr>
              <w:spacing w:line="240" w:lineRule="auto"/>
              <w:ind w:firstLine="0" w:firstLineChars="0"/>
              <w:jc w:val="center"/>
              <w:rPr>
                <w:rFonts w:asciiTheme="minorEastAsia" w:hAnsiTheme="minorEastAsia" w:eastAsiaTheme="minorEastAsia" w:cstheme="minorBidi"/>
                <w:color w:val="auto"/>
                <w:sz w:val="21"/>
                <w:lang w:eastAsia="en-US"/>
              </w:rPr>
            </w:pPr>
          </w:p>
        </w:tc>
        <w:tc>
          <w:tcPr>
            <w:tcW w:w="1030" w:type="pct"/>
            <w:vAlign w:val="center"/>
          </w:tcPr>
          <w:p>
            <w:pPr>
              <w:spacing w:line="240" w:lineRule="auto"/>
              <w:ind w:firstLine="0" w:firstLineChars="0"/>
              <w:jc w:val="center"/>
              <w:rPr>
                <w:rFonts w:asciiTheme="minorEastAsia" w:hAnsiTheme="minorEastAsia" w:eastAsiaTheme="minorEastAsia" w:cstheme="minorBidi"/>
                <w:color w:val="auto"/>
                <w:sz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706"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18.835</w:t>
            </w:r>
          </w:p>
        </w:tc>
        <w:tc>
          <w:tcPr>
            <w:tcW w:w="783"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42.391</w:t>
            </w:r>
          </w:p>
        </w:tc>
        <w:tc>
          <w:tcPr>
            <w:tcW w:w="997"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40.396</w:t>
            </w:r>
          </w:p>
        </w:tc>
        <w:tc>
          <w:tcPr>
            <w:tcW w:w="742" w:type="pct"/>
            <w:vAlign w:val="center"/>
          </w:tcPr>
          <w:p>
            <w:pPr>
              <w:spacing w:line="240" w:lineRule="auto"/>
              <w:ind w:firstLine="0" w:firstLineChars="0"/>
              <w:jc w:val="center"/>
              <w:rPr>
                <w:rFonts w:asciiTheme="minorEastAsia" w:hAnsiTheme="minorEastAsia" w:eastAsiaTheme="minorEastAsia" w:cstheme="minorBidi"/>
                <w:color w:val="auto"/>
                <w:sz w:val="21"/>
                <w:lang w:eastAsia="en-US"/>
              </w:rPr>
            </w:pPr>
          </w:p>
        </w:tc>
        <w:tc>
          <w:tcPr>
            <w:tcW w:w="742"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1.290</w:t>
            </w:r>
          </w:p>
        </w:tc>
        <w:tc>
          <w:tcPr>
            <w:tcW w:w="1030" w:type="pct"/>
            <w:vAlign w:val="center"/>
          </w:tcPr>
          <w:p>
            <w:pPr>
              <w:spacing w:line="240" w:lineRule="auto"/>
              <w:ind w:firstLine="0" w:firstLineChars="0"/>
              <w:jc w:val="center"/>
              <w:rPr>
                <w:rFonts w:asciiTheme="minorEastAsia" w:hAnsiTheme="minorEastAsia" w:eastAsiaTheme="minorEastAsia" w:cstheme="minorBidi"/>
                <w:color w:val="auto"/>
                <w:sz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exact"/>
          <w:jc w:val="center"/>
        </w:trPr>
        <w:tc>
          <w:tcPr>
            <w:tcW w:w="706"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18.835</w:t>
            </w:r>
          </w:p>
        </w:tc>
        <w:tc>
          <w:tcPr>
            <w:tcW w:w="783"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42.391</w:t>
            </w:r>
          </w:p>
        </w:tc>
        <w:tc>
          <w:tcPr>
            <w:tcW w:w="997"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40.396</w:t>
            </w:r>
          </w:p>
        </w:tc>
        <w:tc>
          <w:tcPr>
            <w:tcW w:w="742" w:type="pct"/>
            <w:vAlign w:val="center"/>
          </w:tcPr>
          <w:p>
            <w:pPr>
              <w:spacing w:line="240" w:lineRule="auto"/>
              <w:ind w:firstLine="0" w:firstLineChars="0"/>
              <w:jc w:val="center"/>
              <w:rPr>
                <w:rFonts w:asciiTheme="minorEastAsia" w:hAnsiTheme="minorEastAsia" w:eastAsiaTheme="minorEastAsia" w:cstheme="minorBidi"/>
                <w:color w:val="auto"/>
                <w:sz w:val="21"/>
                <w:lang w:eastAsia="en-US"/>
              </w:rPr>
            </w:pPr>
          </w:p>
        </w:tc>
        <w:tc>
          <w:tcPr>
            <w:tcW w:w="742" w:type="pct"/>
            <w:vAlign w:val="center"/>
          </w:tcPr>
          <w:p>
            <w:pPr>
              <w:spacing w:line="240" w:lineRule="auto"/>
              <w:ind w:firstLine="0" w:firstLineChars="0"/>
              <w:jc w:val="center"/>
              <w:rPr>
                <w:rFonts w:asciiTheme="minorEastAsia" w:hAnsiTheme="minorEastAsia" w:eastAsiaTheme="minorEastAsia" w:cstheme="minorBidi"/>
                <w:color w:val="auto"/>
                <w:sz w:val="21"/>
                <w:lang w:eastAsia="en-US"/>
              </w:rPr>
            </w:pPr>
          </w:p>
        </w:tc>
        <w:tc>
          <w:tcPr>
            <w:tcW w:w="1030" w:type="pct"/>
            <w:vAlign w:val="center"/>
          </w:tcPr>
          <w:p>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1.214</w:t>
            </w:r>
          </w:p>
        </w:tc>
      </w:tr>
    </w:tbl>
    <w:p>
      <w:pPr>
        <w:ind w:firstLine="0" w:firstLineChars="0"/>
        <w:jc w:val="center"/>
        <w:rPr>
          <w:rFonts w:ascii="宋体" w:hAnsi="宋体"/>
          <w:b/>
          <w:color w:val="auto"/>
          <w:sz w:val="21"/>
        </w:rPr>
      </w:pPr>
      <w:r>
        <w:rPr>
          <w:rFonts w:ascii="宋体" w:hAnsi="宋体"/>
          <w:b/>
          <w:color w:val="auto"/>
          <w:sz w:val="21"/>
        </w:rPr>
        <w:t xml:space="preserve">表 </w:t>
      </w:r>
      <w:r>
        <w:rPr>
          <w:rFonts w:hint="eastAsia" w:ascii="宋体" w:hAnsi="宋体"/>
          <w:b/>
          <w:color w:val="auto"/>
          <w:sz w:val="21"/>
        </w:rPr>
        <w:t xml:space="preserve">3-2-7  </w:t>
      </w:r>
      <w:r>
        <w:rPr>
          <w:rFonts w:ascii="宋体" w:hAnsi="宋体"/>
          <w:b/>
          <w:color w:val="auto"/>
          <w:sz w:val="21"/>
        </w:rPr>
        <w:tab/>
      </w:r>
      <w:r>
        <w:rPr>
          <w:rFonts w:hint="eastAsia" w:ascii="宋体" w:hAnsi="宋体"/>
          <w:b/>
          <w:color w:val="auto"/>
          <w:sz w:val="21"/>
        </w:rPr>
        <w:t>H</w:t>
      </w:r>
      <w:r>
        <w:rPr>
          <w:rFonts w:ascii="宋体" w:hAnsi="宋体"/>
          <w:b/>
          <w:color w:val="auto"/>
          <w:sz w:val="21"/>
        </w:rPr>
        <w:t>-</w:t>
      </w:r>
      <w:r>
        <w:rPr>
          <w:rFonts w:hint="eastAsia" w:ascii="宋体" w:hAnsi="宋体"/>
          <w:b/>
          <w:color w:val="auto"/>
          <w:sz w:val="21"/>
        </w:rPr>
        <w:t>H</w:t>
      </w:r>
      <w:r>
        <w:rPr>
          <w:rFonts w:ascii="宋体" w:hAnsi="宋体"/>
          <w:b/>
          <w:color w:val="auto"/>
          <w:sz w:val="21"/>
        </w:rPr>
        <w:t>剖面各种工况下坝坡稳定性系数计算成果</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4"/>
        <w:gridCol w:w="1302"/>
        <w:gridCol w:w="1658"/>
        <w:gridCol w:w="1234"/>
        <w:gridCol w:w="1234"/>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exact"/>
        </w:trPr>
        <w:tc>
          <w:tcPr>
            <w:tcW w:w="1489" w:type="pct"/>
            <w:gridSpan w:val="2"/>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滑弧圆心坐标</w:t>
            </w:r>
          </w:p>
        </w:tc>
        <w:tc>
          <w:tcPr>
            <w:tcW w:w="997" w:type="pct"/>
            <w:vMerge w:val="restart"/>
            <w:vAlign w:val="center"/>
          </w:tcPr>
          <w:p>
            <w:pPr>
              <w:pStyle w:val="69"/>
              <w:spacing w:before="43"/>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滑弧半径</w:t>
            </w:r>
          </w:p>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R（m）</w:t>
            </w:r>
          </w:p>
        </w:tc>
        <w:tc>
          <w:tcPr>
            <w:tcW w:w="2514" w:type="pct"/>
            <w:gridSpan w:val="3"/>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滑弧最小安全系数 Kmin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exact"/>
        </w:trPr>
        <w:tc>
          <w:tcPr>
            <w:tcW w:w="706"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X（m）</w:t>
            </w:r>
          </w:p>
        </w:tc>
        <w:tc>
          <w:tcPr>
            <w:tcW w:w="783"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Y（m）</w:t>
            </w:r>
          </w:p>
        </w:tc>
        <w:tc>
          <w:tcPr>
            <w:tcW w:w="997" w:type="pct"/>
            <w:vMerge w:val="continue"/>
            <w:vAlign w:val="center"/>
          </w:tcPr>
          <w:p>
            <w:pPr>
              <w:spacing w:line="240" w:lineRule="auto"/>
              <w:ind w:firstLine="420"/>
              <w:jc w:val="center"/>
              <w:rPr>
                <w:rFonts w:cs="Microsoft JhengHei" w:asciiTheme="minorEastAsia" w:hAnsiTheme="minorEastAsia" w:eastAsiaTheme="minorEastAsia"/>
                <w:color w:val="auto"/>
                <w:kern w:val="0"/>
                <w:sz w:val="21"/>
                <w:lang w:eastAsia="en-US"/>
              </w:rPr>
            </w:pPr>
          </w:p>
        </w:tc>
        <w:tc>
          <w:tcPr>
            <w:tcW w:w="742"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静力 K</w:t>
            </w:r>
          </w:p>
        </w:tc>
        <w:tc>
          <w:tcPr>
            <w:tcW w:w="742"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洪水 K</w:t>
            </w:r>
          </w:p>
        </w:tc>
        <w:tc>
          <w:tcPr>
            <w:tcW w:w="1030"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特殊情况 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06"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27.463</w:t>
            </w:r>
          </w:p>
        </w:tc>
        <w:tc>
          <w:tcPr>
            <w:tcW w:w="783"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78.845</w:t>
            </w:r>
          </w:p>
        </w:tc>
        <w:tc>
          <w:tcPr>
            <w:tcW w:w="997"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79.239</w:t>
            </w:r>
          </w:p>
        </w:tc>
        <w:tc>
          <w:tcPr>
            <w:tcW w:w="742"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1.418</w:t>
            </w:r>
          </w:p>
        </w:tc>
        <w:tc>
          <w:tcPr>
            <w:tcW w:w="742" w:type="pct"/>
            <w:vAlign w:val="center"/>
          </w:tcPr>
          <w:p>
            <w:pPr>
              <w:ind w:firstLine="420"/>
              <w:jc w:val="center"/>
              <w:rPr>
                <w:rFonts w:cs="Microsoft JhengHei" w:asciiTheme="minorEastAsia" w:hAnsiTheme="minorEastAsia" w:eastAsiaTheme="minorEastAsia"/>
                <w:color w:val="auto"/>
                <w:kern w:val="0"/>
                <w:sz w:val="21"/>
                <w:lang w:eastAsia="en-US"/>
              </w:rPr>
            </w:pPr>
          </w:p>
        </w:tc>
        <w:tc>
          <w:tcPr>
            <w:tcW w:w="1030" w:type="pct"/>
            <w:vAlign w:val="center"/>
          </w:tcPr>
          <w:p>
            <w:pPr>
              <w:ind w:firstLine="420"/>
              <w:jc w:val="center"/>
              <w:rPr>
                <w:rFonts w:cs="Microsoft JhengHei" w:asciiTheme="minorEastAsia" w:hAnsiTheme="minorEastAsia" w:eastAsiaTheme="minorEastAsia"/>
                <w:color w:val="auto"/>
                <w:kern w:val="0"/>
                <w:sz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06"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27.463</w:t>
            </w:r>
          </w:p>
        </w:tc>
        <w:tc>
          <w:tcPr>
            <w:tcW w:w="783"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78.845</w:t>
            </w:r>
          </w:p>
        </w:tc>
        <w:tc>
          <w:tcPr>
            <w:tcW w:w="997"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79.239</w:t>
            </w:r>
          </w:p>
        </w:tc>
        <w:tc>
          <w:tcPr>
            <w:tcW w:w="742" w:type="pct"/>
            <w:vAlign w:val="center"/>
          </w:tcPr>
          <w:p>
            <w:pPr>
              <w:ind w:firstLine="420"/>
              <w:jc w:val="center"/>
              <w:rPr>
                <w:rFonts w:cs="Microsoft JhengHei" w:asciiTheme="minorEastAsia" w:hAnsiTheme="minorEastAsia" w:eastAsiaTheme="minorEastAsia"/>
                <w:color w:val="auto"/>
                <w:kern w:val="0"/>
                <w:sz w:val="21"/>
                <w:lang w:eastAsia="en-US"/>
              </w:rPr>
            </w:pPr>
          </w:p>
        </w:tc>
        <w:tc>
          <w:tcPr>
            <w:tcW w:w="742"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1.233</w:t>
            </w:r>
          </w:p>
        </w:tc>
        <w:tc>
          <w:tcPr>
            <w:tcW w:w="1030" w:type="pct"/>
            <w:vAlign w:val="center"/>
          </w:tcPr>
          <w:p>
            <w:pPr>
              <w:ind w:firstLine="420"/>
              <w:jc w:val="center"/>
              <w:rPr>
                <w:rFonts w:cs="Microsoft JhengHei" w:asciiTheme="minorEastAsia" w:hAnsiTheme="minorEastAsia" w:eastAsiaTheme="minorEastAsia"/>
                <w:color w:val="auto"/>
                <w:kern w:val="0"/>
                <w:sz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exact"/>
        </w:trPr>
        <w:tc>
          <w:tcPr>
            <w:tcW w:w="706"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27.976</w:t>
            </w:r>
          </w:p>
        </w:tc>
        <w:tc>
          <w:tcPr>
            <w:tcW w:w="783"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69.503</w:t>
            </w:r>
          </w:p>
        </w:tc>
        <w:tc>
          <w:tcPr>
            <w:tcW w:w="997"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69.633</w:t>
            </w:r>
          </w:p>
        </w:tc>
        <w:tc>
          <w:tcPr>
            <w:tcW w:w="742" w:type="pct"/>
            <w:vAlign w:val="center"/>
          </w:tcPr>
          <w:p>
            <w:pPr>
              <w:ind w:firstLine="420"/>
              <w:jc w:val="center"/>
              <w:rPr>
                <w:rFonts w:cs="Microsoft JhengHei" w:asciiTheme="minorEastAsia" w:hAnsiTheme="minorEastAsia" w:eastAsiaTheme="minorEastAsia"/>
                <w:color w:val="auto"/>
                <w:kern w:val="0"/>
                <w:sz w:val="21"/>
                <w:lang w:eastAsia="en-US"/>
              </w:rPr>
            </w:pPr>
          </w:p>
        </w:tc>
        <w:tc>
          <w:tcPr>
            <w:tcW w:w="742" w:type="pct"/>
            <w:vAlign w:val="center"/>
          </w:tcPr>
          <w:p>
            <w:pPr>
              <w:ind w:firstLine="420"/>
              <w:jc w:val="center"/>
              <w:rPr>
                <w:rFonts w:cs="Microsoft JhengHei" w:asciiTheme="minorEastAsia" w:hAnsiTheme="minorEastAsia" w:eastAsiaTheme="minorEastAsia"/>
                <w:color w:val="auto"/>
                <w:kern w:val="0"/>
                <w:sz w:val="21"/>
                <w:lang w:eastAsia="en-US"/>
              </w:rPr>
            </w:pPr>
          </w:p>
        </w:tc>
        <w:tc>
          <w:tcPr>
            <w:tcW w:w="1030" w:type="pct"/>
            <w:vAlign w:val="center"/>
          </w:tcPr>
          <w:p>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1.185</w:t>
            </w:r>
          </w:p>
        </w:tc>
      </w:tr>
    </w:tbl>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通过计算分析，坝坡在各种工况下整体处于稳定状态。建议排土过程中应严格按设计要求进行分台阶排土，并做好监测工作。</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 3 \* GB3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③</w:t>
      </w:r>
      <w:r>
        <w:rPr>
          <w:rFonts w:hint="eastAsia" w:ascii="仿宋" w:hAnsi="仿宋" w:eastAsia="仿宋" w:cs="仿宋"/>
          <w:color w:val="auto"/>
          <w:sz w:val="28"/>
          <w:szCs w:val="28"/>
          <w:lang w:val="en-US" w:eastAsia="zh-CN"/>
        </w:rPr>
        <w:fldChar w:fldCharType="end"/>
      </w:r>
      <w:r>
        <w:rPr>
          <w:rFonts w:hint="eastAsia" w:ascii="仿宋" w:hAnsi="仿宋" w:eastAsia="仿宋" w:cs="仿宋"/>
          <w:color w:val="auto"/>
          <w:sz w:val="28"/>
          <w:szCs w:val="28"/>
          <w:lang w:val="en-US" w:eastAsia="zh-CN"/>
        </w:rPr>
        <w:t>土建设施遭受地质灾害危险性预测</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根据现场调查，矿山土建设施主要为开采区域，遭受地质灾害危害的可能性小。</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 4 \* GB3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④</w:t>
      </w:r>
      <w:r>
        <w:rPr>
          <w:rFonts w:hint="eastAsia" w:ascii="仿宋" w:hAnsi="仿宋" w:eastAsia="仿宋" w:cs="仿宋"/>
          <w:color w:val="auto"/>
          <w:sz w:val="28"/>
          <w:szCs w:val="28"/>
          <w:lang w:val="en-US" w:eastAsia="zh-CN"/>
        </w:rPr>
        <w:fldChar w:fldCharType="end"/>
      </w:r>
      <w:r>
        <w:rPr>
          <w:rFonts w:hint="eastAsia" w:ascii="仿宋" w:hAnsi="仿宋" w:eastAsia="仿宋" w:cs="仿宋"/>
          <w:color w:val="auto"/>
          <w:sz w:val="28"/>
          <w:szCs w:val="28"/>
          <w:lang w:val="en-US" w:eastAsia="zh-CN"/>
        </w:rPr>
        <w:t>矿山公路遭受地质灾害危险性预测</w:t>
      </w:r>
    </w:p>
    <w:p>
      <w:pPr>
        <w:spacing w:line="360" w:lineRule="auto"/>
        <w:ind w:firstLine="560" w:firstLineChars="200"/>
        <w:rPr>
          <w:rFonts w:ascii="Times New Roman" w:hAnsi="Times New Roman" w:cs="Times New Roman"/>
          <w:color w:val="auto"/>
          <w:sz w:val="24"/>
          <w:szCs w:val="24"/>
          <w:highlight w:val="none"/>
        </w:rPr>
      </w:pPr>
      <w:r>
        <w:rPr>
          <w:rFonts w:hint="eastAsia" w:ascii="仿宋" w:hAnsi="仿宋" w:eastAsia="仿宋" w:cs="仿宋"/>
          <w:color w:val="auto"/>
          <w:sz w:val="28"/>
          <w:szCs w:val="28"/>
          <w:lang w:val="en-US" w:eastAsia="zh-CN"/>
        </w:rPr>
        <w:t>据现场调查，目前矿山开采为露天开采，开采边坡总体不高，对矿山公路影响不大。此次调查未发现公路沿线发育有地质灾害和地面沉降等地质环境问题，公路使用中失稳坍塌的可能性小，危险性小</w:t>
      </w:r>
      <w:r>
        <w:rPr>
          <w:rFonts w:ascii="Times New Roman" w:hAnsi="Times New Roman" w:cs="Times New Roman"/>
          <w:color w:val="auto"/>
          <w:sz w:val="24"/>
          <w:szCs w:val="24"/>
          <w:highlight w:val="none"/>
        </w:rPr>
        <w:t>。</w:t>
      </w:r>
    </w:p>
    <w:p>
      <w:pPr>
        <w:pStyle w:val="5"/>
        <w:rPr>
          <w:rFonts w:ascii="Times New Roman" w:hAnsi="Times New Roman" w:eastAsia="宋体" w:cs="Times New Roman"/>
          <w:color w:val="auto"/>
          <w:sz w:val="28"/>
          <w:szCs w:val="28"/>
          <w:highlight w:val="none"/>
        </w:rPr>
      </w:pPr>
      <w:bookmarkStart w:id="100" w:name="_Toc16929"/>
      <w:r>
        <w:rPr>
          <w:rFonts w:ascii="Times New Roman" w:hAnsi="Times New Roman" w:eastAsia="宋体" w:cs="Times New Roman"/>
          <w:color w:val="auto"/>
          <w:sz w:val="28"/>
          <w:szCs w:val="28"/>
          <w:highlight w:val="none"/>
        </w:rPr>
        <w:t>（三）矿区含水层损毁现状分析与预测</w:t>
      </w:r>
      <w:bookmarkEnd w:id="100"/>
    </w:p>
    <w:p>
      <w:pPr>
        <w:adjustRightInd w:val="0"/>
        <w:spacing w:line="360" w:lineRule="auto"/>
        <w:ind w:firstLine="48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1、含水层破坏现状分析</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矿区内无大的地表水系，冲沟均为季节性冲沟， 区内地下水主要接受大气降水补给，补给区域较小，地下水径流较短，一般就近在沟谷及低洼处排泄。地形坡度较陡，植被发育一般，矿区开采标高远高于当地侵蚀基准面，利于地表水和地下水排泄。 </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根据矿山相关资料和实地调查得知，矿山开采的矿石无有毒有害元素，矿区未见地下水泉点出露，且区内无居民饮用水源，未影响矿山及周围生产生活用水。区内地下水埋藏较深，矿山开采未造成区域地下水位下降，矿山开采对含水层影响或破坏较轻。</w:t>
      </w:r>
    </w:p>
    <w:p>
      <w:pPr>
        <w:pStyle w:val="10"/>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rPr>
        <w:t>依据（DZ/T0223-2011）表 E.1，矿业活动对含水层的影响预测评估为“</w:t>
      </w:r>
      <w:r>
        <w:rPr>
          <w:rFonts w:hint="eastAsia" w:ascii="仿宋" w:hAnsi="仿宋" w:eastAsia="仿宋" w:cs="仿宋"/>
          <w:b/>
          <w:color w:val="auto"/>
          <w:sz w:val="28"/>
          <w:szCs w:val="28"/>
          <w:highlight w:val="none"/>
        </w:rPr>
        <w:t>较轻”</w:t>
      </w:r>
      <w:r>
        <w:rPr>
          <w:rFonts w:hint="eastAsia" w:ascii="仿宋" w:hAnsi="仿宋" w:eastAsia="仿宋" w:cs="仿宋"/>
          <w:color w:val="auto"/>
          <w:kern w:val="0"/>
          <w:sz w:val="28"/>
          <w:szCs w:val="28"/>
          <w:highlight w:val="none"/>
        </w:rPr>
        <w:t>。</w:t>
      </w:r>
    </w:p>
    <w:p>
      <w:pPr>
        <w:adjustRightInd w:val="0"/>
        <w:spacing w:line="360" w:lineRule="auto"/>
        <w:ind w:firstLine="48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2、含水层破坏预测分析</w:t>
      </w:r>
    </w:p>
    <w:p>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矿山开采为山坡露天开采，不会形成露天封闭圈，且区内无大的地表水存在，雨季地表径流沿区内冲沟和排洪沟排泄，对水的径流排泄影响不大。矿区位于基岩山区的山坡上，汇水面积小，区内地下水主要接受大气降水补给，地下水沿孔隙、风化裂隙由高处向低处运移。根据地貌形态特征，工作区处于一个小的水文地质单元中地下水径流部位，属于径流区。大气降水是影响矿床充水的主要因素，但其影响程度受季节性影响变化较大，加之区内岩体富水性弱，地下水埋深较大，矿山最低开采标高为250m，远高于地下含水层深度，故矿山开采造成区内地下水位下降的可能性小。矿区未见地下水泉点出露，且无居民饮用水源，不会影响矿山及周围生产生活用水。</w:t>
      </w:r>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综上述，预测矿山开采对地下含水层影响和破坏较轻。</w:t>
      </w:r>
    </w:p>
    <w:p>
      <w:pPr>
        <w:pStyle w:val="10"/>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rPr>
        <w:t>依据（DZ/T0223-2011）表 E.1，矿业活动对含水层的影响预测评估为“</w:t>
      </w:r>
      <w:r>
        <w:rPr>
          <w:rFonts w:hint="eastAsia" w:ascii="仿宋" w:hAnsi="仿宋" w:eastAsia="仿宋" w:cs="仿宋"/>
          <w:b/>
          <w:color w:val="auto"/>
          <w:sz w:val="28"/>
          <w:szCs w:val="28"/>
          <w:highlight w:val="none"/>
        </w:rPr>
        <w:t>较轻”</w:t>
      </w:r>
      <w:r>
        <w:rPr>
          <w:rFonts w:hint="eastAsia" w:ascii="仿宋" w:hAnsi="仿宋" w:eastAsia="仿宋" w:cs="仿宋"/>
          <w:color w:val="auto"/>
          <w:kern w:val="0"/>
          <w:sz w:val="28"/>
          <w:szCs w:val="28"/>
          <w:highlight w:val="none"/>
        </w:rPr>
        <w:t>。</w:t>
      </w:r>
    </w:p>
    <w:p>
      <w:pPr>
        <w:pStyle w:val="5"/>
        <w:rPr>
          <w:rFonts w:ascii="Times New Roman" w:hAnsi="Times New Roman" w:eastAsia="宋体" w:cs="Times New Roman"/>
          <w:color w:val="auto"/>
          <w:spacing w:val="-6"/>
          <w:sz w:val="28"/>
          <w:szCs w:val="28"/>
          <w:highlight w:val="none"/>
        </w:rPr>
      </w:pPr>
      <w:bookmarkStart w:id="101" w:name="_Toc18783"/>
      <w:r>
        <w:rPr>
          <w:rFonts w:ascii="Times New Roman" w:hAnsi="Times New Roman" w:eastAsia="宋体" w:cs="Times New Roman"/>
          <w:color w:val="auto"/>
          <w:sz w:val="28"/>
          <w:szCs w:val="28"/>
          <w:highlight w:val="none"/>
        </w:rPr>
        <w:t>（四）</w:t>
      </w:r>
      <w:r>
        <w:rPr>
          <w:rFonts w:ascii="Times New Roman" w:hAnsi="Times New Roman" w:eastAsia="宋体" w:cs="Times New Roman"/>
          <w:color w:val="auto"/>
          <w:spacing w:val="-6"/>
          <w:sz w:val="28"/>
          <w:szCs w:val="28"/>
          <w:highlight w:val="none"/>
        </w:rPr>
        <w:t>矿区地形地貌景观（地质遗迹、人文景观）损毁现状分析与预测</w:t>
      </w:r>
      <w:bookmarkEnd w:id="101"/>
    </w:p>
    <w:p>
      <w:pPr>
        <w:spacing w:line="360" w:lineRule="auto"/>
        <w:ind w:firstLine="481"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1、矿区地形地貌景观（地质遗迹、人文景观）破坏现状分析</w:t>
      </w:r>
    </w:p>
    <w:p>
      <w:pPr>
        <w:spacing w:line="36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区内及附近未见国家、省级、大英县级自然保护区、人文景观、旅游景区（点），无交通要道、无重要水源地，不存在此类影响或破坏问题。矿山为露天开采，经过常年开采已经对原始地形地貌造成破坏，现状矿山开采对地形地貌景观造成影响和破坏程度较严重。</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根据《矿山地质环境保护与恢复治理方案编制规范》中附录表E.1“矿山地质环境影响程度分级表”，矿山地形地貌景观破坏程度“</w:t>
      </w:r>
      <w:r>
        <w:rPr>
          <w:rFonts w:hint="eastAsia" w:ascii="仿宋" w:hAnsi="仿宋" w:eastAsia="仿宋" w:cs="仿宋"/>
          <w:b/>
          <w:bCs/>
          <w:color w:val="auto"/>
          <w:sz w:val="28"/>
          <w:szCs w:val="28"/>
          <w:highlight w:val="none"/>
        </w:rPr>
        <w:t>较严重”</w:t>
      </w:r>
      <w:r>
        <w:rPr>
          <w:rFonts w:hint="eastAsia" w:ascii="仿宋" w:hAnsi="仿宋" w:eastAsia="仿宋" w:cs="仿宋"/>
          <w:color w:val="auto"/>
          <w:sz w:val="28"/>
          <w:szCs w:val="28"/>
          <w:highlight w:val="none"/>
        </w:rPr>
        <w:t>。</w:t>
      </w:r>
    </w:p>
    <w:p>
      <w:pPr>
        <w:spacing w:line="360" w:lineRule="auto"/>
        <w:ind w:firstLine="481"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2、矿区地形地貌景观（地质遗迹、人文景观）破坏预测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评估区无重要地质地貌景观保护区和地质遗迹、人文景观分布区。</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未来矿山继续开采将继续对土地造成压占损毁，同时预测采区对地貌景观挖损也产生较大破坏。预测矿山地形地貌景观破坏程度“</w:t>
      </w:r>
      <w:r>
        <w:rPr>
          <w:rFonts w:hint="eastAsia" w:ascii="仿宋" w:hAnsi="仿宋" w:eastAsia="仿宋" w:cs="仿宋"/>
          <w:b/>
          <w:bCs/>
          <w:color w:val="auto"/>
          <w:sz w:val="28"/>
          <w:szCs w:val="28"/>
          <w:highlight w:val="none"/>
        </w:rPr>
        <w:t>较严重</w:t>
      </w:r>
      <w:r>
        <w:rPr>
          <w:rFonts w:hint="eastAsia" w:ascii="仿宋" w:hAnsi="仿宋" w:eastAsia="仿宋" w:cs="仿宋"/>
          <w:color w:val="auto"/>
          <w:sz w:val="28"/>
          <w:szCs w:val="28"/>
          <w:highlight w:val="none"/>
        </w:rPr>
        <w:t>”。</w:t>
      </w:r>
    </w:p>
    <w:p>
      <w:pPr>
        <w:pStyle w:val="5"/>
        <w:rPr>
          <w:rFonts w:ascii="Times New Roman" w:hAnsi="Times New Roman" w:eastAsia="宋体" w:cs="Times New Roman"/>
          <w:color w:val="auto"/>
          <w:sz w:val="28"/>
          <w:szCs w:val="28"/>
          <w:highlight w:val="none"/>
        </w:rPr>
      </w:pPr>
      <w:bookmarkStart w:id="102" w:name="_Toc978"/>
      <w:r>
        <w:rPr>
          <w:rFonts w:ascii="Times New Roman" w:hAnsi="Times New Roman" w:eastAsia="宋体" w:cs="Times New Roman"/>
          <w:color w:val="auto"/>
          <w:sz w:val="28"/>
          <w:szCs w:val="28"/>
          <w:highlight w:val="none"/>
        </w:rPr>
        <w:t>（五）矿区水土环境污染现状分析与预测</w:t>
      </w:r>
      <w:bookmarkEnd w:id="102"/>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1、矿区水土环境污染现状分析</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本次调查矿山为新建矿山，矿区水土环境污染现状无影响。</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2、水土污染预测评估</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现状条件下矿山未发生水土环境污染情况，今后矿山开采页岩矿，虽矿石及废石中不含有毒有害成分，不会污染水体、土地，但机械设备及人员活动形成的漏油、生活污水等一定程度上存在对水土环境污染的可能；另外矿山对土地植被资源的影响和破坏主要为露天采场、排土场等的建设破坏。矿山开采在占用土地的同时对地表植被进行了破坏，根据现场调查，矿山开采最终将损毁或破坏土地及植被</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，但矿山只要做好环保设施设备的养护和更新，按照主管部门要求采取降尘、净化设施，做到达标排放，矿山今后开采对水土环境的污染轻微。由此预测矿山开采对水土环境污染较轻。</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因此，预测矿山水土环境污染程度“</w:t>
      </w:r>
      <w:r>
        <w:rPr>
          <w:rFonts w:hint="eastAsia" w:ascii="仿宋" w:hAnsi="仿宋" w:eastAsia="仿宋" w:cs="仿宋"/>
          <w:b/>
          <w:color w:val="auto"/>
          <w:sz w:val="28"/>
          <w:szCs w:val="28"/>
          <w:highlight w:val="none"/>
        </w:rPr>
        <w:t>较轻</w:t>
      </w:r>
      <w:r>
        <w:rPr>
          <w:rFonts w:hint="eastAsia" w:ascii="仿宋" w:hAnsi="仿宋" w:eastAsia="仿宋" w:cs="仿宋"/>
          <w:bCs/>
          <w:color w:val="auto"/>
          <w:sz w:val="28"/>
          <w:szCs w:val="28"/>
          <w:highlight w:val="none"/>
        </w:rPr>
        <w:t>”</w:t>
      </w:r>
      <w:r>
        <w:rPr>
          <w:rFonts w:hint="eastAsia" w:ascii="仿宋" w:hAnsi="仿宋" w:eastAsia="仿宋" w:cs="仿宋"/>
          <w:color w:val="auto"/>
          <w:sz w:val="28"/>
          <w:szCs w:val="28"/>
          <w:highlight w:val="none"/>
        </w:rPr>
        <w:t>。</w:t>
      </w:r>
    </w:p>
    <w:p>
      <w:pPr>
        <w:tabs>
          <w:tab w:val="left" w:pos="3064"/>
        </w:tabs>
        <w:spacing w:line="360" w:lineRule="auto"/>
        <w:ind w:firstLine="464"/>
        <w:jc w:val="center"/>
        <w:rPr>
          <w:rFonts w:ascii="宋体" w:hAnsi="宋体" w:eastAsia="宋体"/>
          <w:b/>
          <w:color w:val="auto"/>
          <w:spacing w:val="-11"/>
          <w:w w:val="105"/>
          <w:sz w:val="24"/>
          <w:szCs w:val="24"/>
          <w:highlight w:val="none"/>
        </w:rPr>
      </w:pPr>
      <w:r>
        <w:rPr>
          <w:rFonts w:hint="eastAsia" w:ascii="宋体" w:hAnsi="宋体" w:eastAsia="宋体"/>
          <w:b/>
          <w:color w:val="auto"/>
          <w:spacing w:val="-11"/>
          <w:w w:val="105"/>
          <w:sz w:val="24"/>
          <w:szCs w:val="24"/>
          <w:highlight w:val="none"/>
        </w:rPr>
        <w:t>表3-6</w:t>
      </w:r>
      <w:r>
        <w:rPr>
          <w:rFonts w:ascii="宋体" w:hAnsi="宋体" w:eastAsia="宋体"/>
          <w:b/>
          <w:color w:val="auto"/>
          <w:spacing w:val="-11"/>
          <w:w w:val="105"/>
          <w:sz w:val="24"/>
          <w:szCs w:val="24"/>
          <w:highlight w:val="none"/>
        </w:rPr>
        <w:t xml:space="preserve"> </w:t>
      </w:r>
      <w:r>
        <w:rPr>
          <w:rFonts w:hint="eastAsia" w:ascii="宋体" w:hAnsi="宋体" w:eastAsia="宋体"/>
          <w:b/>
          <w:color w:val="auto"/>
          <w:spacing w:val="-11"/>
          <w:w w:val="105"/>
          <w:sz w:val="24"/>
          <w:szCs w:val="24"/>
          <w:highlight w:val="none"/>
        </w:rPr>
        <w:t>矿山地质环境影响程度分级表（预测评估）</w:t>
      </w:r>
    </w:p>
    <w:tbl>
      <w:tblPr>
        <w:tblStyle w:val="23"/>
        <w:tblW w:w="0" w:type="auto"/>
        <w:jc w:val="center"/>
        <w:tblLayout w:type="fixed"/>
        <w:tblCellMar>
          <w:top w:w="0" w:type="dxa"/>
          <w:left w:w="0" w:type="dxa"/>
          <w:bottom w:w="0" w:type="dxa"/>
          <w:right w:w="0" w:type="dxa"/>
        </w:tblCellMar>
      </w:tblPr>
      <w:tblGrid>
        <w:gridCol w:w="902"/>
        <w:gridCol w:w="2186"/>
        <w:gridCol w:w="2839"/>
        <w:gridCol w:w="2358"/>
        <w:gridCol w:w="1842"/>
      </w:tblGrid>
      <w:tr>
        <w:tblPrEx>
          <w:tblCellMar>
            <w:top w:w="0" w:type="dxa"/>
            <w:left w:w="0" w:type="dxa"/>
            <w:bottom w:w="0" w:type="dxa"/>
            <w:right w:w="0" w:type="dxa"/>
          </w:tblCellMar>
        </w:tblPrEx>
        <w:trPr>
          <w:trHeight w:val="494" w:hRule="exact"/>
          <w:jc w:val="center"/>
        </w:trPr>
        <w:tc>
          <w:tcPr>
            <w:tcW w:w="902" w:type="dxa"/>
            <w:tcBorders>
              <w:top w:val="single" w:color="000000" w:sz="4" w:space="0"/>
              <w:left w:val="single" w:color="000000" w:sz="4" w:space="0"/>
              <w:bottom w:val="single" w:color="000000" w:sz="4" w:space="0"/>
              <w:right w:val="single" w:color="000000" w:sz="4" w:space="0"/>
            </w:tcBorders>
          </w:tcPr>
          <w:p>
            <w:pPr>
              <w:pStyle w:val="69"/>
              <w:kinsoku w:val="0"/>
              <w:overflowPunct w:val="0"/>
              <w:spacing w:line="240" w:lineRule="exact"/>
              <w:ind w:left="110" w:right="109"/>
              <w:rPr>
                <w:rFonts w:ascii="宋体" w:hAnsi="宋体"/>
                <w:color w:val="auto"/>
                <w:sz w:val="21"/>
                <w:szCs w:val="21"/>
                <w:highlight w:val="none"/>
              </w:rPr>
            </w:pPr>
            <w:r>
              <w:rPr>
                <w:rFonts w:hint="eastAsia" w:ascii="宋体" w:hAnsi="宋体" w:cs="宋体"/>
                <w:color w:val="auto"/>
                <w:sz w:val="21"/>
                <w:szCs w:val="21"/>
                <w:highlight w:val="none"/>
              </w:rPr>
              <w:t>影响程</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度分级</w:t>
            </w:r>
          </w:p>
        </w:tc>
        <w:tc>
          <w:tcPr>
            <w:tcW w:w="2186" w:type="dxa"/>
            <w:tcBorders>
              <w:top w:val="single" w:color="000000" w:sz="4" w:space="0"/>
              <w:left w:val="single" w:color="000000" w:sz="4" w:space="0"/>
              <w:bottom w:val="single" w:color="000000" w:sz="4" w:space="0"/>
              <w:right w:val="single" w:color="000000" w:sz="4" w:space="0"/>
            </w:tcBorders>
          </w:tcPr>
          <w:p>
            <w:pPr>
              <w:pStyle w:val="69"/>
              <w:kinsoku w:val="0"/>
              <w:overflowPunct w:val="0"/>
              <w:spacing w:before="78"/>
              <w:rPr>
                <w:rFonts w:ascii="宋体" w:hAnsi="宋体"/>
                <w:color w:val="auto"/>
                <w:sz w:val="21"/>
                <w:szCs w:val="21"/>
                <w:highlight w:val="none"/>
              </w:rPr>
            </w:pPr>
            <w:r>
              <w:rPr>
                <w:rFonts w:hint="eastAsia" w:ascii="宋体" w:hAnsi="宋体" w:cs="宋体"/>
                <w:color w:val="auto"/>
                <w:sz w:val="21"/>
                <w:szCs w:val="21"/>
                <w:highlight w:val="none"/>
              </w:rPr>
              <w:t>地质灾害</w:t>
            </w:r>
          </w:p>
        </w:tc>
        <w:tc>
          <w:tcPr>
            <w:tcW w:w="2839" w:type="dxa"/>
            <w:tcBorders>
              <w:top w:val="single" w:color="000000" w:sz="4" w:space="0"/>
              <w:left w:val="single" w:color="000000" w:sz="4" w:space="0"/>
              <w:bottom w:val="single" w:color="000000" w:sz="4" w:space="0"/>
              <w:right w:val="single" w:color="000000" w:sz="4" w:space="0"/>
            </w:tcBorders>
          </w:tcPr>
          <w:p>
            <w:pPr>
              <w:pStyle w:val="69"/>
              <w:kinsoku w:val="0"/>
              <w:overflowPunct w:val="0"/>
              <w:spacing w:before="78"/>
              <w:ind w:firstLine="400"/>
              <w:rPr>
                <w:rFonts w:ascii="宋体" w:hAnsi="宋体"/>
                <w:color w:val="auto"/>
                <w:sz w:val="21"/>
                <w:szCs w:val="21"/>
                <w:highlight w:val="none"/>
              </w:rPr>
            </w:pPr>
            <w:r>
              <w:rPr>
                <w:rFonts w:hint="eastAsia" w:ascii="宋体" w:hAnsi="宋体" w:cs="宋体"/>
                <w:color w:val="auto"/>
                <w:sz w:val="21"/>
                <w:szCs w:val="21"/>
                <w:highlight w:val="none"/>
              </w:rPr>
              <w:t>含水层</w:t>
            </w:r>
          </w:p>
        </w:tc>
        <w:tc>
          <w:tcPr>
            <w:tcW w:w="2358" w:type="dxa"/>
            <w:tcBorders>
              <w:top w:val="single" w:color="000000" w:sz="4" w:space="0"/>
              <w:left w:val="single" w:color="000000" w:sz="4" w:space="0"/>
              <w:bottom w:val="single" w:color="000000" w:sz="4" w:space="0"/>
              <w:right w:val="single" w:color="000000" w:sz="4" w:space="0"/>
            </w:tcBorders>
          </w:tcPr>
          <w:p>
            <w:pPr>
              <w:pStyle w:val="69"/>
              <w:kinsoku w:val="0"/>
              <w:overflowPunct w:val="0"/>
              <w:spacing w:before="78"/>
              <w:rPr>
                <w:rFonts w:ascii="宋体" w:hAnsi="宋体"/>
                <w:color w:val="auto"/>
                <w:sz w:val="21"/>
                <w:szCs w:val="21"/>
                <w:highlight w:val="none"/>
              </w:rPr>
            </w:pPr>
            <w:r>
              <w:rPr>
                <w:rFonts w:hint="eastAsia" w:ascii="宋体" w:hAnsi="宋体" w:cs="宋体"/>
                <w:color w:val="auto"/>
                <w:sz w:val="21"/>
                <w:szCs w:val="21"/>
                <w:highlight w:val="none"/>
              </w:rPr>
              <w:t>地形地貌景观</w:t>
            </w:r>
          </w:p>
        </w:tc>
        <w:tc>
          <w:tcPr>
            <w:tcW w:w="1842" w:type="dxa"/>
            <w:tcBorders>
              <w:top w:val="single" w:color="000000" w:sz="4" w:space="0"/>
              <w:left w:val="single" w:color="000000" w:sz="4" w:space="0"/>
              <w:bottom w:val="single" w:color="000000" w:sz="4" w:space="0"/>
              <w:right w:val="single" w:color="000000" w:sz="4" w:space="0"/>
            </w:tcBorders>
          </w:tcPr>
          <w:p>
            <w:pPr>
              <w:pStyle w:val="69"/>
              <w:kinsoku w:val="0"/>
              <w:overflowPunct w:val="0"/>
              <w:spacing w:before="78"/>
              <w:rPr>
                <w:rFonts w:ascii="宋体" w:hAnsi="宋体"/>
                <w:color w:val="auto"/>
                <w:sz w:val="21"/>
                <w:szCs w:val="21"/>
                <w:highlight w:val="none"/>
              </w:rPr>
            </w:pPr>
            <w:r>
              <w:rPr>
                <w:rFonts w:hint="eastAsia" w:ascii="宋体" w:hAnsi="宋体" w:cs="宋体"/>
                <w:color w:val="auto"/>
                <w:sz w:val="21"/>
                <w:szCs w:val="21"/>
                <w:highlight w:val="none"/>
              </w:rPr>
              <w:t>土地资源</w:t>
            </w:r>
          </w:p>
        </w:tc>
      </w:tr>
      <w:tr>
        <w:tblPrEx>
          <w:tblCellMar>
            <w:top w:w="0" w:type="dxa"/>
            <w:left w:w="0" w:type="dxa"/>
            <w:bottom w:w="0" w:type="dxa"/>
            <w:right w:w="0" w:type="dxa"/>
          </w:tblCellMar>
        </w:tblPrEx>
        <w:trPr>
          <w:trHeight w:val="2433" w:hRule="exact"/>
          <w:jc w:val="center"/>
        </w:trPr>
        <w:tc>
          <w:tcPr>
            <w:tcW w:w="902" w:type="dxa"/>
            <w:tcBorders>
              <w:top w:val="single" w:color="000000" w:sz="4" w:space="0"/>
              <w:left w:val="single" w:color="000000" w:sz="4" w:space="0"/>
              <w:bottom w:val="single" w:color="000000" w:sz="4" w:space="0"/>
              <w:right w:val="single" w:color="000000" w:sz="4" w:space="0"/>
            </w:tcBorders>
            <w:textDirection w:val="tbRl"/>
          </w:tcPr>
          <w:p>
            <w:pPr>
              <w:pStyle w:val="69"/>
              <w:kinsoku w:val="0"/>
              <w:overflowPunct w:val="0"/>
              <w:spacing w:before="11"/>
              <w:ind w:firstLine="400"/>
              <w:rPr>
                <w:rFonts w:ascii="宋体" w:hAnsi="宋体" w:cs="黑体"/>
                <w:color w:val="auto"/>
                <w:sz w:val="21"/>
                <w:szCs w:val="21"/>
                <w:highlight w:val="none"/>
              </w:rPr>
            </w:pPr>
          </w:p>
          <w:p>
            <w:pPr>
              <w:pStyle w:val="69"/>
              <w:kinsoku w:val="0"/>
              <w:overflowPunct w:val="0"/>
              <w:ind w:left="1" w:firstLine="400"/>
              <w:jc w:val="center"/>
              <w:rPr>
                <w:rFonts w:ascii="宋体" w:hAnsi="宋体"/>
                <w:b/>
                <w:bCs/>
                <w:color w:val="auto"/>
                <w:sz w:val="21"/>
                <w:szCs w:val="21"/>
                <w:highlight w:val="none"/>
              </w:rPr>
            </w:pPr>
            <w:bookmarkStart w:id="103" w:name="bookmark37"/>
            <w:bookmarkEnd w:id="103"/>
            <w:bookmarkStart w:id="104" w:name="（三）矿区含水层破坏现状分析与预测"/>
            <w:bookmarkEnd w:id="104"/>
            <w:r>
              <w:rPr>
                <w:rFonts w:hint="eastAsia" w:ascii="宋体" w:hAnsi="宋体" w:cs="宋体"/>
                <w:b/>
                <w:bCs/>
                <w:color w:val="auto"/>
                <w:sz w:val="21"/>
                <w:szCs w:val="21"/>
                <w:highlight w:val="none"/>
              </w:rPr>
              <w:t>严重</w:t>
            </w:r>
          </w:p>
        </w:tc>
        <w:tc>
          <w:tcPr>
            <w:tcW w:w="2186"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before="1" w:line="240" w:lineRule="exact"/>
              <w:ind w:left="103" w:right="101"/>
              <w:jc w:val="both"/>
              <w:rPr>
                <w:rFonts w:ascii="宋体" w:hAnsi="宋体" w:cs="宋体"/>
                <w:color w:val="auto"/>
                <w:sz w:val="21"/>
                <w:szCs w:val="21"/>
                <w:highlight w:val="none"/>
              </w:rPr>
            </w:pPr>
            <w:r>
              <w:rPr>
                <w:rFonts w:hint="eastAsia" w:ascii="宋体" w:hAnsi="宋体" w:cs="宋体"/>
                <w:color w:val="auto"/>
                <w:sz w:val="21"/>
                <w:szCs w:val="21"/>
                <w:highlight w:val="none"/>
              </w:rPr>
              <w:t>地质灾害规模大，发生的可能性大；影响到城市、乡镇、重要行政村、重要交通干线、重要工程设施及各类保护区安全；造成或可能造成直接经</w:t>
            </w:r>
            <w:r>
              <w:rPr>
                <w:rFonts w:hint="eastAsia" w:ascii="宋体" w:hAnsi="宋体" w:cs="宋体"/>
                <w:color w:val="auto"/>
                <w:spacing w:val="12"/>
                <w:sz w:val="21"/>
                <w:szCs w:val="21"/>
                <w:highlight w:val="none"/>
              </w:rPr>
              <w:t>济损失大于</w:t>
            </w:r>
            <w:r>
              <w:rPr>
                <w:rFonts w:ascii="宋体" w:hAnsi="宋体"/>
                <w:color w:val="auto"/>
                <w:sz w:val="21"/>
                <w:szCs w:val="21"/>
                <w:highlight w:val="none"/>
              </w:rPr>
              <w:t>500</w:t>
            </w:r>
            <w:r>
              <w:rPr>
                <w:rFonts w:hint="eastAsia" w:ascii="宋体" w:hAnsi="宋体" w:cs="宋体"/>
                <w:color w:val="auto"/>
                <w:sz w:val="21"/>
                <w:szCs w:val="21"/>
                <w:highlight w:val="none"/>
              </w:rPr>
              <w:t>万元；受威胁人数大于</w:t>
            </w:r>
          </w:p>
          <w:p>
            <w:pPr>
              <w:pStyle w:val="69"/>
              <w:kinsoku w:val="0"/>
              <w:overflowPunct w:val="0"/>
              <w:spacing w:line="235" w:lineRule="exact"/>
              <w:jc w:val="both"/>
              <w:rPr>
                <w:rFonts w:ascii="宋体" w:hAnsi="宋体"/>
                <w:color w:val="auto"/>
                <w:sz w:val="21"/>
                <w:szCs w:val="21"/>
                <w:highlight w:val="none"/>
              </w:rPr>
            </w:pPr>
            <w:r>
              <w:rPr>
                <w:rFonts w:ascii="宋体" w:hAnsi="宋体"/>
                <w:color w:val="auto"/>
                <w:sz w:val="21"/>
                <w:szCs w:val="21"/>
                <w:highlight w:val="none"/>
              </w:rPr>
              <w:t>100</w:t>
            </w:r>
            <w:r>
              <w:rPr>
                <w:rFonts w:hint="eastAsia" w:ascii="宋体" w:hAnsi="宋体" w:cs="宋体"/>
                <w:color w:val="auto"/>
                <w:sz w:val="21"/>
                <w:szCs w:val="21"/>
                <w:highlight w:val="none"/>
              </w:rPr>
              <w:t>人</w:t>
            </w:r>
          </w:p>
        </w:tc>
        <w:tc>
          <w:tcPr>
            <w:tcW w:w="2839"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before="1" w:line="240" w:lineRule="exact"/>
              <w:ind w:left="103" w:leftChars="0" w:right="101" w:rightChars="0"/>
              <w:jc w:val="both"/>
              <w:rPr>
                <w:rFonts w:ascii="宋体" w:hAnsi="宋体"/>
                <w:color w:val="auto"/>
                <w:sz w:val="21"/>
                <w:szCs w:val="21"/>
                <w:highlight w:val="none"/>
              </w:rPr>
            </w:pPr>
            <w:r>
              <w:rPr>
                <w:rFonts w:hint="eastAsia" w:ascii="宋体" w:hAnsi="宋体" w:cs="宋体"/>
                <w:color w:val="auto"/>
                <w:sz w:val="21"/>
                <w:szCs w:val="21"/>
                <w:highlight w:val="none"/>
              </w:rPr>
              <w:t>矿床充水主要含水层结构破坏，产生导水通道；矿井正</w:t>
            </w:r>
            <w:r>
              <w:rPr>
                <w:rFonts w:hint="eastAsia" w:ascii="宋体" w:hAnsi="宋体" w:cs="宋体"/>
                <w:color w:val="auto"/>
                <w:spacing w:val="2"/>
                <w:sz w:val="21"/>
                <w:szCs w:val="21"/>
                <w:highlight w:val="none"/>
              </w:rPr>
              <w:t>常涌水量大于</w:t>
            </w:r>
            <w:r>
              <w:rPr>
                <w:rFonts w:ascii="宋体" w:hAnsi="宋体"/>
                <w:color w:val="auto"/>
                <w:sz w:val="21"/>
                <w:szCs w:val="21"/>
                <w:highlight w:val="none"/>
              </w:rPr>
              <w:t>10000m</w:t>
            </w:r>
            <w:r>
              <w:rPr>
                <w:rFonts w:hint="eastAsia" w:ascii="宋体" w:hAnsi="宋体" w:cs="宋体"/>
                <w:color w:val="auto"/>
                <w:sz w:val="21"/>
                <w:szCs w:val="21"/>
                <w:highlight w:val="none"/>
                <w:vertAlign w:val="superscript"/>
                <w:lang w:val="en-US" w:eastAsia="zh-CN"/>
              </w:rPr>
              <w:t>3</w:t>
            </w:r>
            <w:r>
              <w:rPr>
                <w:rFonts w:ascii="宋体" w:hAnsi="宋体"/>
                <w:color w:val="auto"/>
                <w:sz w:val="21"/>
                <w:szCs w:val="21"/>
                <w:highlight w:val="none"/>
              </w:rPr>
              <w:t>/d</w:t>
            </w:r>
            <w:r>
              <w:rPr>
                <w:rFonts w:hint="eastAsia" w:ascii="宋体" w:hAnsi="宋体" w:cs="宋体"/>
                <w:color w:val="auto"/>
                <w:sz w:val="21"/>
                <w:szCs w:val="21"/>
                <w:highlight w:val="none"/>
              </w:rPr>
              <w:t>；矿区地下水位下降；矿区周围主要含水层（带）水位大幅下降，或呈疏干状态，地表水体漏失严重；不同含水层（组）串通水质恶化；影响集中水源地供水，矿区及周围生产、生活供水困难</w:t>
            </w:r>
          </w:p>
        </w:tc>
        <w:tc>
          <w:tcPr>
            <w:tcW w:w="2358"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line="240" w:lineRule="exact"/>
              <w:ind w:right="61" w:rightChars="0"/>
              <w:jc w:val="both"/>
              <w:rPr>
                <w:rFonts w:ascii="宋体" w:hAnsi="宋体"/>
                <w:color w:val="auto"/>
                <w:sz w:val="21"/>
                <w:szCs w:val="21"/>
                <w:highlight w:val="none"/>
              </w:rPr>
            </w:pPr>
            <w:r>
              <w:rPr>
                <w:rFonts w:hint="eastAsia" w:ascii="宋体" w:hAnsi="宋体" w:cs="宋体"/>
                <w:color w:val="auto"/>
                <w:spacing w:val="16"/>
                <w:sz w:val="21"/>
                <w:szCs w:val="21"/>
                <w:highlight w:val="none"/>
              </w:rPr>
              <w:t>对</w:t>
            </w:r>
            <w:r>
              <w:rPr>
                <w:rFonts w:hint="eastAsia" w:ascii="宋体" w:hAnsi="宋体" w:cs="宋体"/>
                <w:color w:val="auto"/>
                <w:spacing w:val="16"/>
                <w:sz w:val="21"/>
                <w:szCs w:val="21"/>
                <w:highlight w:val="none"/>
                <w:lang w:eastAsia="zh-CN"/>
              </w:rPr>
              <w:t>原生地</w:t>
            </w:r>
            <w:r>
              <w:rPr>
                <w:rFonts w:hint="eastAsia" w:ascii="宋体" w:hAnsi="宋体" w:cs="宋体"/>
                <w:color w:val="auto"/>
                <w:spacing w:val="16"/>
                <w:sz w:val="21"/>
                <w:szCs w:val="21"/>
                <w:highlight w:val="none"/>
              </w:rPr>
              <w:t>地形地貌景</w:t>
            </w:r>
            <w:r>
              <w:rPr>
                <w:rFonts w:hint="eastAsia" w:ascii="宋体" w:hAnsi="宋体" w:cs="宋体"/>
                <w:color w:val="auto"/>
                <w:spacing w:val="-1"/>
                <w:sz w:val="21"/>
                <w:szCs w:val="21"/>
                <w:highlight w:val="none"/>
              </w:rPr>
              <w:t>观影响和破坏程度大；</w:t>
            </w:r>
            <w:r>
              <w:rPr>
                <w:rFonts w:hint="eastAsia" w:ascii="宋体" w:hAnsi="宋体" w:cs="宋体"/>
                <w:color w:val="auto"/>
                <w:spacing w:val="-5"/>
                <w:sz w:val="21"/>
                <w:szCs w:val="21"/>
                <w:highlight w:val="none"/>
              </w:rPr>
              <w:t>对各类自然保护区、人</w:t>
            </w:r>
            <w:r>
              <w:rPr>
                <w:rFonts w:hint="eastAsia" w:ascii="宋体" w:hAnsi="宋体" w:cs="宋体"/>
                <w:color w:val="auto"/>
                <w:spacing w:val="-1"/>
                <w:sz w:val="21"/>
                <w:szCs w:val="21"/>
                <w:highlight w:val="none"/>
              </w:rPr>
              <w:t>文景观、风景旅游区、</w:t>
            </w:r>
            <w:r>
              <w:rPr>
                <w:rFonts w:hint="eastAsia" w:ascii="宋体" w:hAnsi="宋体" w:cs="宋体"/>
                <w:color w:val="auto"/>
                <w:spacing w:val="-5"/>
                <w:sz w:val="21"/>
                <w:szCs w:val="21"/>
                <w:highlight w:val="none"/>
              </w:rPr>
              <w:t>城市周围、主要交通干</w:t>
            </w:r>
            <w:r>
              <w:rPr>
                <w:rFonts w:hint="eastAsia" w:ascii="宋体" w:hAnsi="宋体" w:cs="宋体"/>
                <w:color w:val="auto"/>
                <w:spacing w:val="16"/>
                <w:sz w:val="21"/>
                <w:szCs w:val="21"/>
                <w:highlight w:val="none"/>
              </w:rPr>
              <w:t>线两侧可视范围内地</w:t>
            </w:r>
            <w:r>
              <w:rPr>
                <w:rFonts w:hint="eastAsia" w:ascii="宋体" w:hAnsi="宋体" w:cs="宋体"/>
                <w:color w:val="auto"/>
                <w:sz w:val="21"/>
                <w:szCs w:val="21"/>
                <w:highlight w:val="none"/>
              </w:rPr>
              <w:t>形地貌景观影响严重</w:t>
            </w:r>
          </w:p>
        </w:tc>
        <w:tc>
          <w:tcPr>
            <w:tcW w:w="1842"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before="1" w:line="240" w:lineRule="exact"/>
              <w:ind w:left="103" w:leftChars="0" w:right="101" w:rightChars="0"/>
              <w:jc w:val="both"/>
              <w:rPr>
                <w:rFonts w:ascii="宋体" w:hAnsi="宋体"/>
                <w:color w:val="auto"/>
                <w:sz w:val="21"/>
                <w:szCs w:val="21"/>
                <w:highlight w:val="none"/>
              </w:rPr>
            </w:pPr>
            <w:r>
              <w:rPr>
                <w:rFonts w:hint="eastAsia" w:ascii="宋体" w:hAnsi="宋体" w:cs="宋体"/>
                <w:color w:val="auto"/>
                <w:sz w:val="21"/>
                <w:szCs w:val="21"/>
                <w:highlight w:val="none"/>
              </w:rPr>
              <w:t>破坏基本农田；破坏耕地大于2hm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；破坏林地或草地大于4hm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；破坏荒地或未开发利用土地大于20hm</w:t>
            </w:r>
            <w:r>
              <w:rPr>
                <w:rFonts w:hint="eastAsia" w:ascii="宋体" w:hAnsi="宋体" w:cs="宋体"/>
                <w:color w:val="auto"/>
                <w:sz w:val="21"/>
                <w:szCs w:val="21"/>
                <w:highlight w:val="none"/>
                <w:vertAlign w:val="superscript"/>
              </w:rPr>
              <w:t>2</w:t>
            </w:r>
          </w:p>
        </w:tc>
      </w:tr>
      <w:tr>
        <w:tblPrEx>
          <w:tblCellMar>
            <w:top w:w="0" w:type="dxa"/>
            <w:left w:w="0" w:type="dxa"/>
            <w:bottom w:w="0" w:type="dxa"/>
            <w:right w:w="0" w:type="dxa"/>
          </w:tblCellMar>
        </w:tblPrEx>
        <w:trPr>
          <w:trHeight w:val="2337" w:hRule="exact"/>
          <w:jc w:val="center"/>
        </w:trPr>
        <w:tc>
          <w:tcPr>
            <w:tcW w:w="902" w:type="dxa"/>
            <w:tcBorders>
              <w:top w:val="single" w:color="000000" w:sz="4" w:space="0"/>
              <w:left w:val="single" w:color="000000" w:sz="4" w:space="0"/>
              <w:bottom w:val="single" w:color="000000" w:sz="4" w:space="0"/>
              <w:right w:val="single" w:color="000000" w:sz="4" w:space="0"/>
            </w:tcBorders>
            <w:textDirection w:val="tbRl"/>
          </w:tcPr>
          <w:p>
            <w:pPr>
              <w:pStyle w:val="69"/>
              <w:kinsoku w:val="0"/>
              <w:overflowPunct w:val="0"/>
              <w:spacing w:before="11"/>
              <w:ind w:firstLine="400"/>
              <w:rPr>
                <w:rFonts w:ascii="宋体" w:hAnsi="宋体" w:cs="黑体"/>
                <w:color w:val="auto"/>
                <w:sz w:val="21"/>
                <w:szCs w:val="21"/>
                <w:highlight w:val="none"/>
              </w:rPr>
            </w:pPr>
          </w:p>
          <w:p>
            <w:pPr>
              <w:pStyle w:val="69"/>
              <w:kinsoku w:val="0"/>
              <w:overflowPunct w:val="0"/>
              <w:ind w:left="3" w:firstLine="386"/>
              <w:jc w:val="center"/>
              <w:rPr>
                <w:rFonts w:ascii="宋体" w:hAnsi="宋体"/>
                <w:color w:val="auto"/>
                <w:sz w:val="21"/>
                <w:szCs w:val="21"/>
                <w:highlight w:val="none"/>
              </w:rPr>
            </w:pPr>
            <w:r>
              <w:rPr>
                <w:rFonts w:hint="eastAsia" w:ascii="宋体" w:hAnsi="宋体" w:cs="宋体"/>
                <w:color w:val="auto"/>
                <w:spacing w:val="-4"/>
                <w:sz w:val="21"/>
                <w:szCs w:val="21"/>
                <w:highlight w:val="none"/>
              </w:rPr>
              <w:t>较严</w:t>
            </w:r>
            <w:r>
              <w:rPr>
                <w:rFonts w:hint="eastAsia" w:ascii="宋体" w:hAnsi="宋体" w:cs="宋体"/>
                <w:color w:val="auto"/>
                <w:sz w:val="21"/>
                <w:szCs w:val="21"/>
                <w:highlight w:val="none"/>
              </w:rPr>
              <w:t>重</w:t>
            </w:r>
          </w:p>
        </w:tc>
        <w:tc>
          <w:tcPr>
            <w:tcW w:w="2186"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before="67" w:line="240" w:lineRule="exact"/>
              <w:ind w:left="103" w:leftChars="0" w:right="70" w:rightChars="0" w:firstLine="400" w:firstLineChars="0"/>
              <w:jc w:val="both"/>
              <w:rPr>
                <w:rFonts w:ascii="宋体" w:hAnsi="宋体"/>
                <w:color w:val="auto"/>
                <w:sz w:val="21"/>
                <w:szCs w:val="21"/>
                <w:highlight w:val="none"/>
              </w:rPr>
            </w:pPr>
            <w:r>
              <w:rPr>
                <w:rFonts w:hint="eastAsia" w:ascii="宋体" w:hAnsi="宋体" w:cs="宋体"/>
                <w:color w:val="auto"/>
                <w:sz w:val="21"/>
                <w:szCs w:val="21"/>
                <w:highlight w:val="none"/>
              </w:rPr>
              <w:t>地质灾害规模中等，发生的可能性较大；影响到村庄、居民聚居区、一般交通线和</w:t>
            </w:r>
            <w:r>
              <w:rPr>
                <w:rFonts w:hint="eastAsia" w:ascii="宋体" w:hAnsi="宋体" w:cs="宋体"/>
                <w:color w:val="auto"/>
                <w:spacing w:val="23"/>
                <w:sz w:val="21"/>
                <w:szCs w:val="21"/>
                <w:highlight w:val="none"/>
              </w:rPr>
              <w:t>较重要工程设施安</w:t>
            </w:r>
            <w:r>
              <w:rPr>
                <w:rFonts w:hint="eastAsia" w:ascii="宋体" w:hAnsi="宋体" w:cs="宋体"/>
                <w:color w:val="auto"/>
                <w:sz w:val="21"/>
                <w:szCs w:val="21"/>
                <w:highlight w:val="none"/>
              </w:rPr>
              <w:t>全；造成或可能造成直接经济损失</w:t>
            </w:r>
            <w:r>
              <w:rPr>
                <w:rFonts w:hint="eastAsia" w:ascii="宋体" w:hAnsi="宋体" w:cs="宋体"/>
                <w:color w:val="auto"/>
                <w:sz w:val="21"/>
                <w:szCs w:val="21"/>
                <w:highlight w:val="none"/>
                <w:lang w:eastAsia="zh-CN"/>
              </w:rPr>
              <w:t>100万～500万</w:t>
            </w:r>
            <w:r>
              <w:rPr>
                <w:rFonts w:hint="eastAsia" w:ascii="宋体" w:hAnsi="宋体" w:cs="宋体"/>
                <w:color w:val="auto"/>
                <w:sz w:val="21"/>
                <w:szCs w:val="21"/>
                <w:highlight w:val="none"/>
              </w:rPr>
              <w:t>元；受威胁人数</w:t>
            </w:r>
            <w:r>
              <w:rPr>
                <w:rFonts w:ascii="宋体" w:hAnsi="宋体"/>
                <w:color w:val="auto"/>
                <w:sz w:val="21"/>
                <w:szCs w:val="21"/>
                <w:highlight w:val="none"/>
              </w:rPr>
              <w:t>10</w:t>
            </w:r>
            <w:r>
              <w:rPr>
                <w:rFonts w:hint="eastAsia" w:ascii="宋体" w:hAnsi="宋体" w:cs="宋体"/>
                <w:color w:val="auto"/>
                <w:sz w:val="21"/>
                <w:szCs w:val="21"/>
                <w:highlight w:val="none"/>
              </w:rPr>
              <w:t>～</w:t>
            </w:r>
            <w:r>
              <w:rPr>
                <w:rFonts w:ascii="宋体" w:hAnsi="宋体"/>
                <w:color w:val="auto"/>
                <w:sz w:val="21"/>
                <w:szCs w:val="21"/>
                <w:highlight w:val="none"/>
              </w:rPr>
              <w:t>100</w:t>
            </w:r>
            <w:r>
              <w:rPr>
                <w:rFonts w:hint="eastAsia" w:ascii="宋体" w:hAnsi="宋体" w:cs="宋体"/>
                <w:color w:val="auto"/>
                <w:sz w:val="21"/>
                <w:szCs w:val="21"/>
                <w:highlight w:val="none"/>
              </w:rPr>
              <w:t>人</w:t>
            </w:r>
          </w:p>
        </w:tc>
        <w:tc>
          <w:tcPr>
            <w:tcW w:w="2839"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line="216" w:lineRule="auto"/>
              <w:rPr>
                <w:rFonts w:ascii="宋体" w:hAnsi="宋体"/>
                <w:color w:val="auto"/>
                <w:sz w:val="21"/>
                <w:szCs w:val="21"/>
                <w:highlight w:val="none"/>
              </w:rPr>
            </w:pPr>
            <w:r>
              <w:rPr>
                <w:rFonts w:hint="eastAsia" w:ascii="宋体" w:hAnsi="宋体" w:cs="宋体"/>
                <w:color w:val="auto"/>
                <w:spacing w:val="16"/>
                <w:sz w:val="21"/>
                <w:szCs w:val="21"/>
                <w:highlight w:val="none"/>
              </w:rPr>
              <w:t>矿井正常涌水量3000m</w:t>
            </w:r>
            <w:r>
              <w:rPr>
                <w:rFonts w:hint="eastAsia" w:ascii="宋体" w:hAnsi="宋体" w:cs="宋体"/>
                <w:color w:val="auto"/>
                <w:spacing w:val="16"/>
                <w:sz w:val="21"/>
                <w:szCs w:val="21"/>
                <w:highlight w:val="none"/>
                <w:vertAlign w:val="superscript"/>
              </w:rPr>
              <w:t>3</w:t>
            </w:r>
            <w:r>
              <w:rPr>
                <w:rFonts w:hint="eastAsia" w:ascii="宋体" w:hAnsi="宋体" w:cs="宋体"/>
                <w:color w:val="auto"/>
                <w:spacing w:val="16"/>
                <w:sz w:val="21"/>
                <w:szCs w:val="21"/>
                <w:highlight w:val="none"/>
              </w:rPr>
              <w:t>/d～ 10000m</w:t>
            </w:r>
            <w:r>
              <w:rPr>
                <w:rFonts w:hint="eastAsia" w:ascii="宋体" w:hAnsi="宋体" w:cs="宋体"/>
                <w:color w:val="auto"/>
                <w:spacing w:val="16"/>
                <w:sz w:val="21"/>
                <w:szCs w:val="21"/>
                <w:highlight w:val="none"/>
                <w:vertAlign w:val="superscript"/>
              </w:rPr>
              <w:t>3</w:t>
            </w:r>
            <w:r>
              <w:rPr>
                <w:rFonts w:hint="eastAsia" w:ascii="宋体" w:hAnsi="宋体" w:cs="宋体"/>
                <w:color w:val="auto"/>
                <w:spacing w:val="16"/>
                <w:sz w:val="21"/>
                <w:szCs w:val="21"/>
                <w:highlight w:val="none"/>
              </w:rPr>
              <w:t>/d；矿区及周围主要 含水层（带）水位下降幅度 较大，地下水呈半疏干状态；矿区及周围地表水体漏失较严重；影响矿区及周围部分生产生活供水</w:t>
            </w:r>
          </w:p>
        </w:tc>
        <w:tc>
          <w:tcPr>
            <w:tcW w:w="2358"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line="240" w:lineRule="exact"/>
              <w:ind w:left="103" w:leftChars="0" w:right="99" w:rightChars="0" w:firstLine="464" w:firstLineChars="0"/>
              <w:jc w:val="both"/>
              <w:rPr>
                <w:rFonts w:ascii="宋体" w:hAnsi="宋体"/>
                <w:color w:val="auto"/>
                <w:sz w:val="21"/>
                <w:szCs w:val="21"/>
                <w:highlight w:val="none"/>
              </w:rPr>
            </w:pPr>
            <w:r>
              <w:rPr>
                <w:rFonts w:hint="eastAsia" w:ascii="宋体" w:hAnsi="宋体" w:cs="宋体"/>
                <w:b/>
                <w:bCs/>
                <w:color w:val="auto"/>
                <w:sz w:val="21"/>
                <w:szCs w:val="21"/>
                <w:highlight w:val="none"/>
              </w:rPr>
              <w:t>（</w:t>
            </w:r>
            <w:r>
              <w:rPr>
                <w:rFonts w:ascii="宋体" w:hAnsi="宋体"/>
                <w:b/>
                <w:bCs/>
                <w:color w:val="auto"/>
                <w:sz w:val="21"/>
                <w:szCs w:val="21"/>
                <w:highlight w:val="none"/>
              </w:rPr>
              <w:t>√</w:t>
            </w:r>
            <w:r>
              <w:rPr>
                <w:rFonts w:hint="eastAsia" w:ascii="宋体" w:hAnsi="宋体" w:cs="宋体"/>
                <w:b/>
                <w:bCs/>
                <w:color w:val="auto"/>
                <w:sz w:val="21"/>
                <w:szCs w:val="21"/>
                <w:highlight w:val="none"/>
              </w:rPr>
              <w:t>）</w:t>
            </w:r>
            <w:r>
              <w:rPr>
                <w:rFonts w:hint="eastAsia" w:ascii="宋体" w:hAnsi="宋体" w:cs="宋体"/>
                <w:color w:val="auto"/>
                <w:spacing w:val="16"/>
                <w:sz w:val="21"/>
                <w:szCs w:val="21"/>
                <w:highlight w:val="none"/>
              </w:rPr>
              <w:t>对</w:t>
            </w:r>
            <w:r>
              <w:rPr>
                <w:rFonts w:hint="eastAsia" w:ascii="宋体" w:hAnsi="宋体" w:cs="宋体"/>
                <w:color w:val="auto"/>
                <w:spacing w:val="16"/>
                <w:sz w:val="21"/>
                <w:szCs w:val="21"/>
                <w:highlight w:val="none"/>
                <w:lang w:eastAsia="zh-CN"/>
              </w:rPr>
              <w:t>原生地</w:t>
            </w:r>
            <w:r>
              <w:rPr>
                <w:rFonts w:hint="eastAsia" w:ascii="宋体" w:hAnsi="宋体" w:cs="宋体"/>
                <w:color w:val="auto"/>
                <w:spacing w:val="16"/>
                <w:sz w:val="21"/>
                <w:szCs w:val="21"/>
                <w:highlight w:val="none"/>
              </w:rPr>
              <w:t>地形地貌景观影响和破坏程度较大；对各类自然保护</w:t>
            </w:r>
            <w:r>
              <w:rPr>
                <w:rFonts w:hint="eastAsia" w:ascii="宋体" w:hAnsi="宋体" w:cs="宋体"/>
                <w:color w:val="auto"/>
                <w:spacing w:val="-5"/>
                <w:sz w:val="21"/>
                <w:szCs w:val="21"/>
                <w:highlight w:val="none"/>
              </w:rPr>
              <w:t>区、人文景观、风景旅游区、城市周围、主要</w:t>
            </w:r>
            <w:r>
              <w:rPr>
                <w:rFonts w:hint="eastAsia" w:ascii="宋体" w:hAnsi="宋体" w:cs="宋体"/>
                <w:color w:val="auto"/>
                <w:spacing w:val="16"/>
                <w:sz w:val="21"/>
                <w:szCs w:val="21"/>
                <w:highlight w:val="none"/>
              </w:rPr>
              <w:t>交通干线两侧可视范围内地形地貌景观影</w:t>
            </w:r>
            <w:r>
              <w:rPr>
                <w:rFonts w:hint="eastAsia" w:ascii="宋体" w:hAnsi="宋体" w:cs="宋体"/>
                <w:color w:val="auto"/>
                <w:sz w:val="21"/>
                <w:szCs w:val="21"/>
                <w:highlight w:val="none"/>
              </w:rPr>
              <w:t>响较重</w:t>
            </w:r>
          </w:p>
        </w:tc>
        <w:tc>
          <w:tcPr>
            <w:tcW w:w="1842"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line="260" w:lineRule="exact"/>
              <w:ind w:firstLine="403" w:firstLineChars="0"/>
              <w:rPr>
                <w:rFonts w:ascii="宋体" w:hAnsi="宋体"/>
                <w:color w:val="auto"/>
                <w:sz w:val="21"/>
                <w:szCs w:val="21"/>
                <w:highlight w:val="none"/>
              </w:rPr>
            </w:pPr>
            <w:r>
              <w:rPr>
                <w:rFonts w:hint="eastAsia" w:ascii="宋体" w:hAnsi="宋体" w:cs="宋体"/>
                <w:b/>
                <w:bCs/>
                <w:color w:val="auto"/>
                <w:sz w:val="21"/>
                <w:szCs w:val="21"/>
                <w:highlight w:val="none"/>
              </w:rPr>
              <w:t>（</w:t>
            </w:r>
            <w:r>
              <w:rPr>
                <w:rFonts w:ascii="宋体" w:hAnsi="宋体"/>
                <w:b/>
                <w:bCs/>
                <w:color w:val="auto"/>
                <w:sz w:val="21"/>
                <w:szCs w:val="21"/>
                <w:highlight w:val="none"/>
              </w:rPr>
              <w:t>√</w:t>
            </w:r>
            <w:r>
              <w:rPr>
                <w:rFonts w:hint="eastAsia" w:ascii="宋体" w:hAnsi="宋体" w:cs="宋体"/>
                <w:b/>
                <w:bCs/>
                <w:color w:val="auto"/>
                <w:sz w:val="21"/>
                <w:szCs w:val="21"/>
                <w:highlight w:val="none"/>
              </w:rPr>
              <w:t>）</w:t>
            </w:r>
            <w:r>
              <w:rPr>
                <w:rFonts w:hint="eastAsia" w:ascii="宋体" w:hAnsi="宋体" w:cs="宋体"/>
                <w:color w:val="auto"/>
                <w:spacing w:val="12"/>
                <w:sz w:val="21"/>
                <w:szCs w:val="21"/>
                <w:highlight w:val="none"/>
              </w:rPr>
              <w:t>破坏耕地小于等</w:t>
            </w:r>
            <w:r>
              <w:rPr>
                <w:rFonts w:hint="eastAsia" w:ascii="宋体" w:hAnsi="宋体" w:cs="宋体"/>
                <w:color w:val="auto"/>
                <w:sz w:val="21"/>
                <w:szCs w:val="21"/>
                <w:highlight w:val="none"/>
              </w:rPr>
              <w:t>于</w:t>
            </w:r>
            <w:r>
              <w:rPr>
                <w:rFonts w:ascii="宋体" w:hAnsi="宋体" w:cs="宋体"/>
                <w:color w:val="auto"/>
                <w:spacing w:val="-39"/>
                <w:sz w:val="21"/>
                <w:szCs w:val="21"/>
                <w:highlight w:val="none"/>
              </w:rPr>
              <w:t xml:space="preserve"> </w:t>
            </w:r>
            <w:r>
              <w:rPr>
                <w:rFonts w:ascii="宋体" w:hAnsi="宋体"/>
                <w:color w:val="auto"/>
                <w:sz w:val="21"/>
                <w:szCs w:val="21"/>
                <w:highlight w:val="none"/>
              </w:rPr>
              <w:t>2hm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；破坏林地或草地</w:t>
            </w:r>
            <w:r>
              <w:rPr>
                <w:rFonts w:ascii="宋体" w:hAnsi="宋体"/>
                <w:color w:val="auto"/>
                <w:sz w:val="21"/>
                <w:szCs w:val="21"/>
                <w:highlight w:val="none"/>
              </w:rPr>
              <w:t>2hm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w:t>
            </w:r>
            <w:r>
              <w:rPr>
                <w:rFonts w:ascii="宋体" w:hAnsi="宋体"/>
                <w:color w:val="auto"/>
                <w:sz w:val="21"/>
                <w:szCs w:val="21"/>
                <w:highlight w:val="none"/>
              </w:rPr>
              <w:t>4hm</w:t>
            </w:r>
            <w:r>
              <w:rPr>
                <w:rFonts w:hint="eastAsia" w:ascii="宋体" w:hAnsi="宋体" w:cs="宋体"/>
                <w:color w:val="auto"/>
                <w:sz w:val="21"/>
                <w:szCs w:val="21"/>
                <w:highlight w:val="none"/>
                <w:vertAlign w:val="superscript"/>
              </w:rPr>
              <w:t>2</w:t>
            </w:r>
            <w:r>
              <w:rPr>
                <w:rFonts w:hint="eastAsia" w:ascii="宋体" w:hAnsi="宋体" w:cs="宋体"/>
                <w:color w:val="auto"/>
                <w:spacing w:val="9"/>
                <w:sz w:val="21"/>
                <w:szCs w:val="21"/>
                <w:highlight w:val="none"/>
              </w:rPr>
              <w:t>；破坏荒地</w:t>
            </w:r>
            <w:r>
              <w:rPr>
                <w:rFonts w:hint="eastAsia" w:ascii="宋体" w:hAnsi="宋体" w:cs="宋体"/>
                <w:color w:val="auto"/>
                <w:spacing w:val="10"/>
                <w:sz w:val="21"/>
                <w:szCs w:val="21"/>
                <w:highlight w:val="none"/>
              </w:rPr>
              <w:t>或未开发利用土</w:t>
            </w:r>
            <w:r>
              <w:rPr>
                <w:rFonts w:hint="eastAsia" w:ascii="宋体" w:hAnsi="宋体" w:cs="宋体"/>
                <w:color w:val="auto"/>
                <w:sz w:val="21"/>
                <w:szCs w:val="21"/>
                <w:highlight w:val="none"/>
              </w:rPr>
              <w:t>地大于</w:t>
            </w:r>
            <w:r>
              <w:rPr>
                <w:rFonts w:ascii="宋体" w:hAnsi="宋体"/>
                <w:color w:val="auto"/>
                <w:sz w:val="21"/>
                <w:szCs w:val="21"/>
                <w:highlight w:val="none"/>
              </w:rPr>
              <w:t>10hm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w:t>
            </w:r>
            <w:r>
              <w:rPr>
                <w:rFonts w:ascii="宋体" w:hAnsi="宋体"/>
                <w:color w:val="auto"/>
                <w:sz w:val="21"/>
                <w:szCs w:val="21"/>
                <w:highlight w:val="none"/>
              </w:rPr>
              <w:t>20hm</w:t>
            </w:r>
            <w:r>
              <w:rPr>
                <w:rFonts w:hint="eastAsia" w:ascii="宋体" w:hAnsi="宋体" w:cs="宋体"/>
                <w:color w:val="auto"/>
                <w:sz w:val="21"/>
                <w:szCs w:val="21"/>
                <w:highlight w:val="none"/>
                <w:vertAlign w:val="superscript"/>
              </w:rPr>
              <w:t>2</w:t>
            </w:r>
          </w:p>
        </w:tc>
      </w:tr>
      <w:tr>
        <w:tblPrEx>
          <w:tblCellMar>
            <w:top w:w="0" w:type="dxa"/>
            <w:left w:w="0" w:type="dxa"/>
            <w:bottom w:w="0" w:type="dxa"/>
            <w:right w:w="0" w:type="dxa"/>
          </w:tblCellMar>
        </w:tblPrEx>
        <w:trPr>
          <w:trHeight w:val="2206" w:hRule="exact"/>
          <w:jc w:val="center"/>
        </w:trPr>
        <w:tc>
          <w:tcPr>
            <w:tcW w:w="902" w:type="dxa"/>
            <w:tcBorders>
              <w:top w:val="single" w:color="000000" w:sz="4" w:space="0"/>
              <w:left w:val="single" w:color="000000" w:sz="4" w:space="0"/>
              <w:bottom w:val="single" w:color="000000" w:sz="4" w:space="0"/>
              <w:right w:val="single" w:color="000000" w:sz="4" w:space="0"/>
            </w:tcBorders>
            <w:textDirection w:val="tbRl"/>
          </w:tcPr>
          <w:p>
            <w:pPr>
              <w:pStyle w:val="69"/>
              <w:kinsoku w:val="0"/>
              <w:overflowPunct w:val="0"/>
              <w:spacing w:before="11"/>
              <w:ind w:firstLine="400"/>
              <w:rPr>
                <w:rFonts w:ascii="宋体" w:hAnsi="宋体" w:cs="黑体"/>
                <w:color w:val="auto"/>
                <w:sz w:val="21"/>
                <w:szCs w:val="21"/>
                <w:highlight w:val="none"/>
              </w:rPr>
            </w:pPr>
          </w:p>
          <w:p>
            <w:pPr>
              <w:pStyle w:val="69"/>
              <w:kinsoku w:val="0"/>
              <w:overflowPunct w:val="0"/>
              <w:ind w:left="2" w:firstLine="400"/>
              <w:jc w:val="center"/>
              <w:rPr>
                <w:rFonts w:ascii="宋体" w:hAnsi="宋体"/>
                <w:color w:val="auto"/>
                <w:sz w:val="21"/>
                <w:szCs w:val="21"/>
                <w:highlight w:val="none"/>
              </w:rPr>
            </w:pPr>
            <w:r>
              <w:rPr>
                <w:rFonts w:hint="eastAsia" w:ascii="宋体" w:hAnsi="宋体" w:cs="宋体"/>
                <w:color w:val="auto"/>
                <w:sz w:val="21"/>
                <w:szCs w:val="21"/>
                <w:highlight w:val="none"/>
              </w:rPr>
              <w:t>较轻</w:t>
            </w:r>
          </w:p>
        </w:tc>
        <w:tc>
          <w:tcPr>
            <w:tcW w:w="2186"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before="8" w:line="240" w:lineRule="exact"/>
              <w:ind w:left="103" w:leftChars="0" w:right="70" w:rightChars="0" w:firstLine="402" w:firstLineChars="0"/>
              <w:rPr>
                <w:rFonts w:ascii="宋体" w:hAnsi="宋体"/>
                <w:color w:val="auto"/>
                <w:sz w:val="21"/>
                <w:szCs w:val="21"/>
                <w:highlight w:val="none"/>
              </w:rPr>
            </w:pPr>
            <w:r>
              <w:rPr>
                <w:rFonts w:hint="eastAsia" w:ascii="宋体" w:hAnsi="宋体" w:cs="宋体"/>
                <w:b/>
                <w:bCs/>
                <w:color w:val="auto"/>
                <w:sz w:val="21"/>
                <w:szCs w:val="21"/>
                <w:highlight w:val="none"/>
              </w:rPr>
              <w:t>（</w:t>
            </w:r>
            <w:r>
              <w:rPr>
                <w:rFonts w:ascii="宋体" w:hAnsi="宋体"/>
                <w:b/>
                <w:bCs/>
                <w:color w:val="auto"/>
                <w:sz w:val="21"/>
                <w:szCs w:val="21"/>
                <w:highlight w:val="none"/>
              </w:rPr>
              <w:t>√</w:t>
            </w:r>
            <w:r>
              <w:rPr>
                <w:rFonts w:hint="eastAsia" w:ascii="宋体" w:hAnsi="宋体" w:cs="宋体"/>
                <w:b/>
                <w:bCs/>
                <w:color w:val="auto"/>
                <w:sz w:val="21"/>
                <w:szCs w:val="21"/>
                <w:highlight w:val="none"/>
              </w:rPr>
              <w:t>）</w:t>
            </w:r>
            <w:r>
              <w:rPr>
                <w:rFonts w:hint="eastAsia" w:ascii="宋体" w:hAnsi="宋体" w:cs="宋体"/>
                <w:color w:val="auto"/>
                <w:sz w:val="21"/>
                <w:szCs w:val="21"/>
                <w:highlight w:val="none"/>
              </w:rPr>
              <w:t>地质灾害规模小，发生的可能性小；影响到分散性居民、一般</w:t>
            </w:r>
            <w:r>
              <w:rPr>
                <w:rFonts w:hint="eastAsia" w:ascii="宋体" w:hAnsi="宋体" w:cs="宋体"/>
                <w:color w:val="auto"/>
                <w:spacing w:val="23"/>
                <w:sz w:val="21"/>
                <w:szCs w:val="21"/>
                <w:highlight w:val="none"/>
              </w:rPr>
              <w:t>性小规模建筑及设</w:t>
            </w:r>
            <w:r>
              <w:rPr>
                <w:rFonts w:hint="eastAsia" w:ascii="宋体" w:hAnsi="宋体" w:cs="宋体"/>
                <w:color w:val="auto"/>
                <w:sz w:val="21"/>
                <w:szCs w:val="21"/>
                <w:highlight w:val="none"/>
              </w:rPr>
              <w:t>施；造成或可能造成</w:t>
            </w:r>
            <w:r>
              <w:rPr>
                <w:rFonts w:hint="eastAsia" w:ascii="宋体" w:hAnsi="宋体" w:cs="宋体"/>
                <w:color w:val="auto"/>
                <w:spacing w:val="23"/>
                <w:sz w:val="21"/>
                <w:szCs w:val="21"/>
                <w:highlight w:val="none"/>
              </w:rPr>
              <w:t>直接经济损失小于</w:t>
            </w:r>
            <w:r>
              <w:rPr>
                <w:rFonts w:ascii="宋体" w:hAnsi="宋体"/>
                <w:color w:val="auto"/>
                <w:sz w:val="21"/>
                <w:szCs w:val="21"/>
                <w:highlight w:val="none"/>
              </w:rPr>
              <w:t>100</w:t>
            </w:r>
            <w:r>
              <w:rPr>
                <w:rFonts w:hint="eastAsia" w:ascii="宋体" w:hAnsi="宋体" w:cs="宋体"/>
                <w:color w:val="auto"/>
                <w:sz w:val="21"/>
                <w:szCs w:val="21"/>
                <w:highlight w:val="none"/>
              </w:rPr>
              <w:t>万元；受威胁人数小于</w:t>
            </w:r>
            <w:r>
              <w:rPr>
                <w:rFonts w:ascii="宋体" w:hAnsi="宋体" w:cs="宋体"/>
                <w:color w:val="auto"/>
                <w:spacing w:val="-49"/>
                <w:sz w:val="21"/>
                <w:szCs w:val="21"/>
                <w:highlight w:val="none"/>
              </w:rPr>
              <w:t xml:space="preserve"> </w:t>
            </w:r>
            <w:r>
              <w:rPr>
                <w:rFonts w:ascii="宋体" w:hAnsi="宋体"/>
                <w:color w:val="auto"/>
                <w:sz w:val="21"/>
                <w:szCs w:val="21"/>
                <w:highlight w:val="none"/>
              </w:rPr>
              <w:t>10</w:t>
            </w:r>
            <w:r>
              <w:rPr>
                <w:rFonts w:hint="eastAsia" w:ascii="宋体" w:hAnsi="宋体" w:cs="宋体"/>
                <w:color w:val="auto"/>
                <w:sz w:val="21"/>
                <w:szCs w:val="21"/>
                <w:highlight w:val="none"/>
              </w:rPr>
              <w:t>人</w:t>
            </w:r>
          </w:p>
        </w:tc>
        <w:tc>
          <w:tcPr>
            <w:tcW w:w="2839"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line="258" w:lineRule="exact"/>
              <w:ind w:right="1" w:rightChars="0" w:firstLine="402" w:firstLineChars="0"/>
              <w:rPr>
                <w:rFonts w:ascii="宋体" w:hAnsi="宋体"/>
                <w:color w:val="auto"/>
                <w:sz w:val="21"/>
                <w:szCs w:val="21"/>
                <w:highlight w:val="none"/>
              </w:rPr>
            </w:pPr>
            <w:r>
              <w:rPr>
                <w:rFonts w:hint="eastAsia" w:ascii="宋体" w:hAnsi="宋体" w:cs="宋体"/>
                <w:b/>
                <w:bCs/>
                <w:color w:val="auto"/>
                <w:sz w:val="21"/>
                <w:szCs w:val="21"/>
                <w:highlight w:val="none"/>
              </w:rPr>
              <w:t>（</w:t>
            </w:r>
            <w:r>
              <w:rPr>
                <w:rFonts w:ascii="宋体" w:hAnsi="宋体"/>
                <w:b/>
                <w:bCs/>
                <w:color w:val="auto"/>
                <w:sz w:val="21"/>
                <w:szCs w:val="21"/>
                <w:highlight w:val="none"/>
              </w:rPr>
              <w:t>√</w:t>
            </w:r>
            <w:r>
              <w:rPr>
                <w:rFonts w:hint="eastAsia" w:ascii="宋体" w:hAnsi="宋体" w:cs="宋体"/>
                <w:b/>
                <w:bCs/>
                <w:color w:val="auto"/>
                <w:sz w:val="21"/>
                <w:szCs w:val="21"/>
                <w:highlight w:val="none"/>
              </w:rPr>
              <w:t>）</w:t>
            </w:r>
            <w:r>
              <w:rPr>
                <w:rFonts w:hint="eastAsia" w:ascii="宋体" w:hAnsi="宋体" w:cs="宋体"/>
                <w:color w:val="auto"/>
                <w:spacing w:val="55"/>
                <w:sz w:val="21"/>
                <w:szCs w:val="21"/>
                <w:highlight w:val="none"/>
              </w:rPr>
              <w:t>矿井正常涌水量小</w:t>
            </w:r>
            <w:r>
              <w:rPr>
                <w:rFonts w:hint="eastAsia" w:ascii="宋体" w:hAnsi="宋体" w:cs="宋体"/>
                <w:color w:val="auto"/>
                <w:sz w:val="21"/>
                <w:szCs w:val="21"/>
                <w:highlight w:val="none"/>
              </w:rPr>
              <w:t>于</w:t>
            </w:r>
            <w:r>
              <w:rPr>
                <w:rFonts w:ascii="宋体" w:hAnsi="宋体"/>
                <w:color w:val="auto"/>
                <w:sz w:val="21"/>
                <w:szCs w:val="21"/>
                <w:highlight w:val="none"/>
              </w:rPr>
              <w:t>3000m</w:t>
            </w:r>
            <w:r>
              <w:rPr>
                <w:rFonts w:ascii="宋体" w:hAnsi="宋体"/>
                <w:color w:val="auto"/>
                <w:position w:val="7"/>
                <w:sz w:val="21"/>
                <w:szCs w:val="21"/>
                <w:highlight w:val="none"/>
              </w:rPr>
              <w:t>3</w:t>
            </w:r>
            <w:r>
              <w:rPr>
                <w:rFonts w:ascii="宋体" w:hAnsi="宋体"/>
                <w:color w:val="auto"/>
                <w:sz w:val="21"/>
                <w:szCs w:val="21"/>
                <w:highlight w:val="none"/>
              </w:rPr>
              <w:t>/d</w:t>
            </w:r>
            <w:r>
              <w:rPr>
                <w:rFonts w:hint="eastAsia" w:ascii="宋体" w:hAnsi="宋体" w:cs="宋体"/>
                <w:color w:val="auto"/>
                <w:sz w:val="21"/>
                <w:szCs w:val="21"/>
                <w:highlight w:val="none"/>
              </w:rPr>
              <w:t>；矿区及周围主要含水层（带）水位下降幅度小；矿区及周围地表水体未漏失；未影响矿区及周围部分生产生活供水</w:t>
            </w:r>
          </w:p>
        </w:tc>
        <w:tc>
          <w:tcPr>
            <w:tcW w:w="2358"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before="87" w:line="258" w:lineRule="exact"/>
              <w:ind w:right="1" w:rightChars="0" w:firstLine="402" w:firstLineChars="0"/>
              <w:rPr>
                <w:rFonts w:ascii="宋体" w:hAnsi="宋体"/>
                <w:color w:val="auto"/>
                <w:sz w:val="21"/>
                <w:szCs w:val="21"/>
                <w:highlight w:val="none"/>
              </w:rPr>
            </w:pPr>
            <w:r>
              <w:rPr>
                <w:rFonts w:hint="eastAsia" w:ascii="宋体" w:hAnsi="宋体" w:cs="宋体"/>
                <w:color w:val="auto"/>
                <w:spacing w:val="16"/>
                <w:sz w:val="21"/>
                <w:szCs w:val="21"/>
                <w:highlight w:val="none"/>
              </w:rPr>
              <w:t>对</w:t>
            </w:r>
            <w:r>
              <w:rPr>
                <w:rFonts w:hint="eastAsia" w:ascii="宋体" w:hAnsi="宋体" w:cs="宋体"/>
                <w:color w:val="auto"/>
                <w:spacing w:val="16"/>
                <w:sz w:val="21"/>
                <w:szCs w:val="21"/>
                <w:highlight w:val="none"/>
                <w:lang w:eastAsia="zh-CN"/>
              </w:rPr>
              <w:t>原生地</w:t>
            </w:r>
            <w:r>
              <w:rPr>
                <w:rFonts w:hint="eastAsia" w:ascii="宋体" w:hAnsi="宋体" w:cs="宋体"/>
                <w:color w:val="auto"/>
                <w:spacing w:val="16"/>
                <w:sz w:val="21"/>
                <w:szCs w:val="21"/>
                <w:highlight w:val="none"/>
              </w:rPr>
              <w:t>地形地貌景</w:t>
            </w:r>
            <w:r>
              <w:rPr>
                <w:rFonts w:hint="eastAsia" w:ascii="宋体" w:hAnsi="宋体" w:cs="宋体"/>
                <w:color w:val="auto"/>
                <w:spacing w:val="-1"/>
                <w:sz w:val="21"/>
                <w:szCs w:val="21"/>
                <w:highlight w:val="none"/>
              </w:rPr>
              <w:t>观影响和破坏程度小；</w:t>
            </w:r>
            <w:r>
              <w:rPr>
                <w:rFonts w:ascii="宋体" w:hAnsi="宋体" w:cs="宋体"/>
                <w:color w:val="auto"/>
                <w:sz w:val="21"/>
                <w:szCs w:val="21"/>
                <w:highlight w:val="none"/>
              </w:rPr>
              <w:t xml:space="preserve"> </w:t>
            </w:r>
            <w:r>
              <w:rPr>
                <w:rFonts w:hint="eastAsia" w:ascii="宋体" w:hAnsi="宋体" w:cs="宋体"/>
                <w:color w:val="auto"/>
                <w:spacing w:val="-5"/>
                <w:sz w:val="21"/>
                <w:szCs w:val="21"/>
                <w:highlight w:val="none"/>
              </w:rPr>
              <w:t>对各类自然保护区、人</w:t>
            </w:r>
            <w:r>
              <w:rPr>
                <w:rFonts w:hint="eastAsia" w:ascii="宋体" w:hAnsi="宋体" w:cs="宋体"/>
                <w:color w:val="auto"/>
                <w:spacing w:val="-1"/>
                <w:sz w:val="21"/>
                <w:szCs w:val="21"/>
                <w:highlight w:val="none"/>
              </w:rPr>
              <w:t>文景观、风景旅游区、</w:t>
            </w:r>
            <w:r>
              <w:rPr>
                <w:rFonts w:hint="eastAsia" w:ascii="宋体" w:hAnsi="宋体" w:cs="宋体"/>
                <w:color w:val="auto"/>
                <w:spacing w:val="-5"/>
                <w:sz w:val="21"/>
                <w:szCs w:val="21"/>
                <w:highlight w:val="none"/>
              </w:rPr>
              <w:t>城市周围、主要交通干</w:t>
            </w:r>
            <w:r>
              <w:rPr>
                <w:rFonts w:hint="eastAsia" w:ascii="宋体" w:hAnsi="宋体" w:cs="宋体"/>
                <w:color w:val="auto"/>
                <w:spacing w:val="16"/>
                <w:sz w:val="21"/>
                <w:szCs w:val="21"/>
                <w:highlight w:val="none"/>
              </w:rPr>
              <w:t>线两侧可视范围内地</w:t>
            </w:r>
            <w:r>
              <w:rPr>
                <w:rFonts w:hint="eastAsia" w:ascii="宋体" w:hAnsi="宋体" w:cs="宋体"/>
                <w:color w:val="auto"/>
                <w:sz w:val="21"/>
                <w:szCs w:val="21"/>
                <w:highlight w:val="none"/>
              </w:rPr>
              <w:t>形地貌景观影响较轻</w:t>
            </w:r>
          </w:p>
        </w:tc>
        <w:tc>
          <w:tcPr>
            <w:tcW w:w="1842" w:type="dxa"/>
            <w:tcBorders>
              <w:top w:val="single" w:color="000000" w:sz="4" w:space="0"/>
              <w:left w:val="single" w:color="000000" w:sz="4" w:space="0"/>
              <w:bottom w:val="single" w:color="000000" w:sz="4" w:space="0"/>
              <w:right w:val="single" w:color="000000" w:sz="4" w:space="0"/>
            </w:tcBorders>
            <w:vAlign w:val="top"/>
          </w:tcPr>
          <w:p>
            <w:pPr>
              <w:pStyle w:val="69"/>
              <w:kinsoku w:val="0"/>
              <w:overflowPunct w:val="0"/>
              <w:spacing w:line="216" w:lineRule="auto"/>
              <w:ind w:left="103" w:leftChars="0" w:right="99" w:rightChars="0" w:firstLine="440" w:firstLineChars="0"/>
              <w:jc w:val="both"/>
              <w:rPr>
                <w:rFonts w:ascii="宋体" w:hAnsi="宋体"/>
                <w:color w:val="auto"/>
                <w:sz w:val="21"/>
                <w:szCs w:val="21"/>
                <w:highlight w:val="none"/>
              </w:rPr>
            </w:pPr>
            <w:r>
              <w:rPr>
                <w:rFonts w:hint="eastAsia" w:ascii="宋体" w:hAnsi="宋体" w:cs="宋体"/>
                <w:color w:val="auto"/>
                <w:spacing w:val="-5"/>
                <w:sz w:val="21"/>
                <w:szCs w:val="21"/>
                <w:highlight w:val="none"/>
              </w:rPr>
              <w:t>破坏林地或草地小于等于2hm</w:t>
            </w:r>
            <w:r>
              <w:rPr>
                <w:rFonts w:hint="eastAsia" w:ascii="宋体" w:hAnsi="宋体" w:cs="宋体"/>
                <w:color w:val="auto"/>
                <w:spacing w:val="-5"/>
                <w:sz w:val="21"/>
                <w:szCs w:val="21"/>
                <w:highlight w:val="none"/>
                <w:vertAlign w:val="superscript"/>
              </w:rPr>
              <w:t>2</w:t>
            </w:r>
            <w:r>
              <w:rPr>
                <w:rFonts w:hint="eastAsia" w:ascii="宋体" w:hAnsi="宋体" w:cs="宋体"/>
                <w:color w:val="auto"/>
                <w:spacing w:val="-5"/>
                <w:sz w:val="21"/>
                <w:szCs w:val="21"/>
                <w:highlight w:val="none"/>
              </w:rPr>
              <w:t>；破坏荒地或未开发利用土地小于等于10hm</w:t>
            </w:r>
            <w:r>
              <w:rPr>
                <w:rFonts w:hint="eastAsia" w:ascii="宋体" w:hAnsi="宋体" w:cs="宋体"/>
                <w:color w:val="auto"/>
                <w:spacing w:val="-5"/>
                <w:sz w:val="21"/>
                <w:szCs w:val="21"/>
                <w:highlight w:val="none"/>
                <w:vertAlign w:val="superscript"/>
              </w:rPr>
              <w:t>2</w:t>
            </w:r>
          </w:p>
        </w:tc>
      </w:tr>
    </w:tbl>
    <w:p>
      <w:pPr>
        <w:pStyle w:val="10"/>
        <w:kinsoku w:val="0"/>
        <w:overflowPunct w:val="0"/>
        <w:spacing w:line="317" w:lineRule="auto"/>
        <w:jc w:val="left"/>
        <w:rPr>
          <w:color w:val="auto"/>
          <w:highlight w:val="none"/>
        </w:rPr>
      </w:pPr>
      <w:r>
        <w:rPr>
          <w:rFonts w:hint="eastAsia" w:ascii="黑体" w:eastAsia="黑体" w:cs="黑体"/>
          <w:color w:val="auto"/>
          <w:spacing w:val="-4"/>
          <w:sz w:val="18"/>
          <w:szCs w:val="18"/>
          <w:highlight w:val="none"/>
        </w:rPr>
        <w:t>注：分级确定采取上一级别优先原则，只要有一项要素符合每一级别，就定为该级别；（√）表示评估区的</w:t>
      </w:r>
      <w:r>
        <w:rPr>
          <w:rFonts w:hint="eastAsia" w:ascii="黑体" w:eastAsia="黑体" w:cs="黑体"/>
          <w:color w:val="auto"/>
          <w:sz w:val="18"/>
          <w:szCs w:val="18"/>
          <w:highlight w:val="none"/>
        </w:rPr>
        <w:t>地质环境影响程度分级</w:t>
      </w:r>
    </w:p>
    <w:p>
      <w:pPr>
        <w:pStyle w:val="5"/>
        <w:rPr>
          <w:rFonts w:ascii="Times New Roman" w:hAnsi="Times New Roman" w:eastAsia="宋体" w:cs="Times New Roman"/>
          <w:color w:val="auto"/>
          <w:sz w:val="28"/>
          <w:szCs w:val="28"/>
          <w:highlight w:val="none"/>
        </w:rPr>
      </w:pPr>
      <w:bookmarkStart w:id="105" w:name="_Toc19814"/>
      <w:r>
        <w:rPr>
          <w:rFonts w:ascii="Times New Roman" w:hAnsi="Times New Roman" w:eastAsia="宋体" w:cs="Times New Roman"/>
          <w:color w:val="auto"/>
          <w:sz w:val="28"/>
          <w:szCs w:val="28"/>
          <w:highlight w:val="none"/>
        </w:rPr>
        <w:t>（六）矿区环境影响评估小结</w:t>
      </w:r>
      <w:bookmarkEnd w:id="105"/>
    </w:p>
    <w:p>
      <w:pPr>
        <w:pStyle w:val="58"/>
        <w:spacing w:line="360" w:lineRule="auto"/>
        <w:ind w:firstLine="480"/>
        <w:rPr>
          <w:rFonts w:hint="eastAsia" w:ascii="仿宋" w:hAnsi="仿宋" w:eastAsia="仿宋" w:cs="仿宋"/>
          <w:b/>
          <w:color w:val="auto"/>
          <w:kern w:val="0"/>
          <w:sz w:val="28"/>
          <w:szCs w:val="28"/>
          <w:highlight w:val="none"/>
        </w:rPr>
      </w:pPr>
      <w:r>
        <w:rPr>
          <w:rFonts w:hint="eastAsia" w:ascii="仿宋" w:hAnsi="仿宋" w:eastAsia="仿宋" w:cs="仿宋"/>
          <w:bCs/>
          <w:color w:val="auto"/>
          <w:sz w:val="28"/>
          <w:szCs w:val="28"/>
          <w:highlight w:val="none"/>
        </w:rPr>
        <w:t>通过以上对</w:t>
      </w:r>
      <w:r>
        <w:rPr>
          <w:rFonts w:hint="eastAsia" w:ascii="仿宋" w:hAnsi="仿宋" w:eastAsia="仿宋" w:cs="仿宋"/>
          <w:color w:val="auto"/>
          <w:sz w:val="28"/>
          <w:szCs w:val="28"/>
          <w:highlight w:val="none"/>
          <w:lang w:val="en-US" w:eastAsia="zh-CN"/>
        </w:rPr>
        <w:t>大英县玉峰镇浅垭子村砖瓦用</w:t>
      </w:r>
      <w:r>
        <w:rPr>
          <w:rFonts w:hint="eastAsia" w:ascii="仿宋" w:hAnsi="仿宋" w:eastAsia="仿宋" w:cs="仿宋"/>
          <w:color w:val="auto"/>
          <w:sz w:val="28"/>
          <w:szCs w:val="28"/>
          <w:highlight w:val="none"/>
        </w:rPr>
        <w:t>页岩矿</w:t>
      </w:r>
      <w:r>
        <w:rPr>
          <w:rFonts w:hint="eastAsia" w:ascii="仿宋" w:hAnsi="仿宋" w:eastAsia="仿宋" w:cs="仿宋"/>
          <w:bCs/>
          <w:color w:val="auto"/>
          <w:sz w:val="28"/>
          <w:szCs w:val="28"/>
          <w:highlight w:val="none"/>
        </w:rPr>
        <w:t>矿山地质环境四个方面的现状分析与预测，按照就高不就低的原则，将矿山地质</w:t>
      </w:r>
      <w:r>
        <w:rPr>
          <w:rFonts w:hint="eastAsia" w:ascii="仿宋" w:hAnsi="仿宋" w:eastAsia="仿宋" w:cs="仿宋"/>
          <w:bCs/>
          <w:color w:val="auto"/>
          <w:sz w:val="28"/>
          <w:szCs w:val="28"/>
          <w:highlight w:val="none"/>
          <w:lang w:eastAsia="zh-CN"/>
        </w:rPr>
        <w:t>环境影响评价</w:t>
      </w:r>
      <w:r>
        <w:rPr>
          <w:rFonts w:hint="eastAsia" w:ascii="仿宋" w:hAnsi="仿宋" w:eastAsia="仿宋" w:cs="仿宋"/>
          <w:bCs/>
          <w:color w:val="auto"/>
          <w:sz w:val="28"/>
          <w:szCs w:val="28"/>
          <w:highlight w:val="none"/>
        </w:rPr>
        <w:t>结果汇总见表3-7。</w:t>
      </w:r>
    </w:p>
    <w:p>
      <w:pPr>
        <w:pStyle w:val="54"/>
        <w:spacing w:line="240" w:lineRule="auto"/>
        <w:rPr>
          <w:rFonts w:ascii="Times New Roman" w:hAnsi="Times New Roman" w:cs="Times New Roman"/>
          <w:color w:val="auto"/>
          <w:highlight w:val="none"/>
        </w:rPr>
      </w:pPr>
    </w:p>
    <w:p>
      <w:pPr>
        <w:spacing w:line="276" w:lineRule="auto"/>
        <w:jc w:val="center"/>
        <w:rPr>
          <w:rFonts w:ascii="Times New Roman" w:hAnsi="Times New Roman" w:eastAsia="宋体" w:cs="Times New Roman"/>
          <w:b/>
          <w:color w:val="auto"/>
          <w:kern w:val="0"/>
          <w:sz w:val="24"/>
          <w:highlight w:val="none"/>
        </w:rPr>
      </w:pPr>
      <w:r>
        <w:rPr>
          <w:rFonts w:ascii="Times New Roman" w:hAnsi="Times New Roman" w:eastAsia="宋体" w:cs="Times New Roman"/>
          <w:b/>
          <w:color w:val="auto"/>
          <w:kern w:val="0"/>
          <w:sz w:val="24"/>
          <w:highlight w:val="none"/>
        </w:rPr>
        <w:t>表3-</w:t>
      </w:r>
      <w:r>
        <w:rPr>
          <w:rFonts w:hint="eastAsia" w:ascii="Times New Roman" w:hAnsi="Times New Roman" w:eastAsia="宋体" w:cs="Times New Roman"/>
          <w:b/>
          <w:color w:val="auto"/>
          <w:kern w:val="0"/>
          <w:sz w:val="24"/>
          <w:highlight w:val="none"/>
          <w:lang w:val="en-US" w:eastAsia="zh-CN"/>
        </w:rPr>
        <w:t>7</w:t>
      </w:r>
      <w:r>
        <w:rPr>
          <w:rFonts w:ascii="Times New Roman" w:hAnsi="Times New Roman" w:eastAsia="宋体" w:cs="Times New Roman"/>
          <w:b/>
          <w:color w:val="auto"/>
          <w:kern w:val="0"/>
          <w:sz w:val="24"/>
          <w:highlight w:val="none"/>
        </w:rPr>
        <w:t xml:space="preserve">  矿山地质环境影响预测评估汇总表</w:t>
      </w:r>
    </w:p>
    <w:tbl>
      <w:tblPr>
        <w:tblStyle w:val="23"/>
        <w:tblW w:w="5000" w:type="pct"/>
        <w:tblInd w:w="0" w:type="dxa"/>
        <w:tblLayout w:type="autofit"/>
        <w:tblCellMar>
          <w:top w:w="0" w:type="dxa"/>
          <w:left w:w="108" w:type="dxa"/>
          <w:bottom w:w="0" w:type="dxa"/>
          <w:right w:w="108" w:type="dxa"/>
        </w:tblCellMar>
      </w:tblPr>
      <w:tblGrid>
        <w:gridCol w:w="833"/>
        <w:gridCol w:w="1796"/>
        <w:gridCol w:w="1067"/>
        <w:gridCol w:w="1003"/>
        <w:gridCol w:w="846"/>
        <w:gridCol w:w="993"/>
        <w:gridCol w:w="1104"/>
        <w:gridCol w:w="880"/>
      </w:tblGrid>
      <w:tr>
        <w:tblPrEx>
          <w:tblCellMar>
            <w:top w:w="0" w:type="dxa"/>
            <w:left w:w="108" w:type="dxa"/>
            <w:bottom w:w="0" w:type="dxa"/>
            <w:right w:w="108" w:type="dxa"/>
          </w:tblCellMar>
        </w:tblPrEx>
        <w:trPr>
          <w:trHeight w:val="312" w:hRule="atLeast"/>
        </w:trPr>
        <w:tc>
          <w:tcPr>
            <w:tcW w:w="495"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序号</w:t>
            </w:r>
          </w:p>
        </w:tc>
        <w:tc>
          <w:tcPr>
            <w:tcW w:w="1059"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评估对象</w:t>
            </w:r>
          </w:p>
        </w:tc>
        <w:tc>
          <w:tcPr>
            <w:tcW w:w="589"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面积（hm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p>
        </w:tc>
        <w:tc>
          <w:tcPr>
            <w:tcW w:w="594" w:type="pct"/>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地质灾害</w:t>
            </w:r>
          </w:p>
        </w:tc>
        <w:tc>
          <w:tcPr>
            <w:tcW w:w="496"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含水层</w:t>
            </w:r>
          </w:p>
        </w:tc>
        <w:tc>
          <w:tcPr>
            <w:tcW w:w="588" w:type="pct"/>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地形地貌景观</w:t>
            </w:r>
          </w:p>
        </w:tc>
        <w:tc>
          <w:tcPr>
            <w:tcW w:w="653" w:type="pct"/>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水土环境污染</w:t>
            </w:r>
          </w:p>
        </w:tc>
        <w:tc>
          <w:tcPr>
            <w:tcW w:w="522"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总评</w:t>
            </w:r>
          </w:p>
        </w:tc>
      </w:tr>
      <w:tr>
        <w:tblPrEx>
          <w:tblCellMar>
            <w:top w:w="0" w:type="dxa"/>
            <w:left w:w="108" w:type="dxa"/>
            <w:bottom w:w="0" w:type="dxa"/>
            <w:right w:w="108" w:type="dxa"/>
          </w:tblCellMar>
        </w:tblPrEx>
        <w:trPr>
          <w:trHeight w:val="312" w:hRule="atLeast"/>
        </w:trPr>
        <w:tc>
          <w:tcPr>
            <w:tcW w:w="49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10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94"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88"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653"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2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r>
      <w:tr>
        <w:tblPrEx>
          <w:tblCellMar>
            <w:top w:w="0" w:type="dxa"/>
            <w:left w:w="108" w:type="dxa"/>
            <w:bottom w:w="0" w:type="dxa"/>
            <w:right w:w="108" w:type="dxa"/>
          </w:tblCellMar>
        </w:tblPrEx>
        <w:trPr>
          <w:trHeight w:val="288" w:hRule="atLeast"/>
        </w:trPr>
        <w:tc>
          <w:tcPr>
            <w:tcW w:w="49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10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w:t>
            </w:r>
          </w:p>
        </w:tc>
        <w:tc>
          <w:tcPr>
            <w:tcW w:w="496"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w:t>
            </w:r>
          </w:p>
        </w:tc>
        <w:tc>
          <w:tcPr>
            <w:tcW w:w="58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w:t>
            </w:r>
          </w:p>
        </w:tc>
        <w:tc>
          <w:tcPr>
            <w:tcW w:w="653"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w:t>
            </w:r>
          </w:p>
        </w:tc>
        <w:tc>
          <w:tcPr>
            <w:tcW w:w="52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r>
      <w:tr>
        <w:tblPrEx>
          <w:tblCellMar>
            <w:top w:w="0" w:type="dxa"/>
            <w:left w:w="108" w:type="dxa"/>
            <w:bottom w:w="0" w:type="dxa"/>
            <w:right w:w="108" w:type="dxa"/>
          </w:tblCellMar>
        </w:tblPrEx>
        <w:trPr>
          <w:trHeight w:val="288" w:hRule="atLeast"/>
        </w:trPr>
        <w:tc>
          <w:tcPr>
            <w:tcW w:w="495" w:type="pct"/>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w:t>
            </w:r>
          </w:p>
        </w:tc>
        <w:tc>
          <w:tcPr>
            <w:tcW w:w="1059"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终采平台区</w:t>
            </w:r>
          </w:p>
        </w:tc>
        <w:tc>
          <w:tcPr>
            <w:tcW w:w="589" w:type="pct"/>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等线" w:cs="Times New Roman"/>
                <w:color w:val="auto"/>
                <w:highlight w:val="none"/>
                <w:lang w:val="en-US" w:eastAsia="zh-CN"/>
              </w:rPr>
              <w:t>1.98</w:t>
            </w:r>
          </w:p>
        </w:tc>
        <w:tc>
          <w:tcPr>
            <w:tcW w:w="594" w:type="pct"/>
            <w:tcBorders>
              <w:top w:val="nil"/>
              <w:left w:val="nil"/>
              <w:bottom w:val="single" w:color="auto" w:sz="4" w:space="0"/>
              <w:right w:val="single" w:color="auto" w:sz="4" w:space="0"/>
            </w:tcBorders>
            <w:noWrap/>
            <w:vAlign w:val="center"/>
          </w:tcPr>
          <w:p>
            <w:pPr>
              <w:widowControl/>
              <w:jc w:val="center"/>
              <w:rPr>
                <w:rFonts w:hint="eastAsia" w:ascii="Times New Roman" w:hAnsi="Times New Roman" w:eastAsia="宋体" w:cs="Times New Roman"/>
                <w:color w:val="auto"/>
                <w:kern w:val="0"/>
                <w:highlight w:val="none"/>
                <w:lang w:eastAsia="zh-CN"/>
              </w:rPr>
            </w:pPr>
            <w:r>
              <w:rPr>
                <w:rFonts w:hint="eastAsia" w:ascii="Times New Roman" w:hAnsi="Times New Roman" w:eastAsia="宋体" w:cs="Times New Roman"/>
                <w:color w:val="auto"/>
                <w:kern w:val="0"/>
                <w:highlight w:val="none"/>
                <w:lang w:val="en-US" w:eastAsia="zh-CN"/>
              </w:rPr>
              <w:t>较轻</w:t>
            </w:r>
          </w:p>
        </w:tc>
        <w:tc>
          <w:tcPr>
            <w:tcW w:w="496"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58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653"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较轻</w:t>
            </w:r>
          </w:p>
        </w:tc>
        <w:tc>
          <w:tcPr>
            <w:tcW w:w="522"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r>
      <w:tr>
        <w:tblPrEx>
          <w:tblCellMar>
            <w:top w:w="0" w:type="dxa"/>
            <w:left w:w="108" w:type="dxa"/>
            <w:bottom w:w="0" w:type="dxa"/>
            <w:right w:w="108" w:type="dxa"/>
          </w:tblCellMar>
        </w:tblPrEx>
        <w:trPr>
          <w:trHeight w:val="324" w:hRule="atLeast"/>
        </w:trPr>
        <w:tc>
          <w:tcPr>
            <w:tcW w:w="495" w:type="pct"/>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p>
        </w:tc>
        <w:tc>
          <w:tcPr>
            <w:tcW w:w="1059"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终采边坡区</w:t>
            </w:r>
          </w:p>
        </w:tc>
        <w:tc>
          <w:tcPr>
            <w:tcW w:w="589" w:type="pct"/>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等线" w:cs="Times New Roman"/>
                <w:color w:val="auto"/>
                <w:highlight w:val="none"/>
                <w:lang w:val="en-US" w:eastAsia="zh-CN"/>
              </w:rPr>
              <w:t>1.91</w:t>
            </w:r>
          </w:p>
        </w:tc>
        <w:tc>
          <w:tcPr>
            <w:tcW w:w="594" w:type="pct"/>
            <w:tcBorders>
              <w:top w:val="nil"/>
              <w:left w:val="nil"/>
              <w:bottom w:val="single" w:color="auto" w:sz="4" w:space="0"/>
              <w:right w:val="single" w:color="auto" w:sz="4" w:space="0"/>
            </w:tcBorders>
            <w:noWrap/>
            <w:vAlign w:val="center"/>
          </w:tcPr>
          <w:p>
            <w:pPr>
              <w:widowControl/>
              <w:jc w:val="center"/>
              <w:rPr>
                <w:rFonts w:hint="eastAsia" w:ascii="Times New Roman" w:hAnsi="Times New Roman" w:eastAsia="宋体" w:cs="Times New Roman"/>
                <w:color w:val="auto"/>
                <w:kern w:val="0"/>
                <w:highlight w:val="none"/>
                <w:lang w:eastAsia="zh-CN"/>
              </w:rPr>
            </w:pPr>
            <w:r>
              <w:rPr>
                <w:rFonts w:hint="eastAsia" w:ascii="Times New Roman" w:hAnsi="Times New Roman" w:eastAsia="宋体" w:cs="Times New Roman"/>
                <w:color w:val="auto"/>
                <w:kern w:val="0"/>
                <w:highlight w:val="none"/>
                <w:lang w:val="en-US" w:eastAsia="zh-CN"/>
              </w:rPr>
              <w:t>较轻</w:t>
            </w:r>
          </w:p>
        </w:tc>
        <w:tc>
          <w:tcPr>
            <w:tcW w:w="496"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58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653"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较轻</w:t>
            </w:r>
          </w:p>
        </w:tc>
        <w:tc>
          <w:tcPr>
            <w:tcW w:w="522"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r>
      <w:tr>
        <w:tblPrEx>
          <w:tblCellMar>
            <w:top w:w="0" w:type="dxa"/>
            <w:left w:w="108" w:type="dxa"/>
            <w:bottom w:w="0" w:type="dxa"/>
            <w:right w:w="108" w:type="dxa"/>
          </w:tblCellMar>
        </w:tblPrEx>
        <w:trPr>
          <w:trHeight w:val="288" w:hRule="atLeast"/>
        </w:trPr>
        <w:tc>
          <w:tcPr>
            <w:tcW w:w="495" w:type="pct"/>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6</w:t>
            </w:r>
          </w:p>
        </w:tc>
        <w:tc>
          <w:tcPr>
            <w:tcW w:w="1059"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评估区其余区域</w:t>
            </w:r>
          </w:p>
        </w:tc>
        <w:tc>
          <w:tcPr>
            <w:tcW w:w="589" w:type="pct"/>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0.91</w:t>
            </w:r>
          </w:p>
        </w:tc>
        <w:tc>
          <w:tcPr>
            <w:tcW w:w="5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496"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58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653"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522"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r>
      <w:tr>
        <w:tblPrEx>
          <w:tblCellMar>
            <w:top w:w="0" w:type="dxa"/>
            <w:left w:w="108" w:type="dxa"/>
            <w:bottom w:w="0" w:type="dxa"/>
            <w:right w:w="108" w:type="dxa"/>
          </w:tblCellMar>
        </w:tblPrEx>
        <w:trPr>
          <w:trHeight w:val="288" w:hRule="atLeast"/>
        </w:trPr>
        <w:tc>
          <w:tcPr>
            <w:tcW w:w="495" w:type="pct"/>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合计</w:t>
            </w:r>
          </w:p>
        </w:tc>
        <w:tc>
          <w:tcPr>
            <w:tcW w:w="1059" w:type="pct"/>
            <w:tcBorders>
              <w:top w:val="nil"/>
              <w:left w:val="nil"/>
              <w:bottom w:val="single" w:color="auto" w:sz="4" w:space="0"/>
              <w:right w:val="single" w:color="auto" w:sz="4" w:space="0"/>
            </w:tcBorders>
            <w:noWrap/>
            <w:vAlign w:val="center"/>
          </w:tcPr>
          <w:p>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589" w:type="pct"/>
            <w:tcBorders>
              <w:top w:val="nil"/>
              <w:left w:val="nil"/>
              <w:bottom w:val="single" w:color="auto" w:sz="4" w:space="0"/>
              <w:right w:val="single" w:color="auto" w:sz="4" w:space="0"/>
            </w:tcBorders>
            <w:noWrap/>
            <w:vAlign w:val="center"/>
          </w:tcPr>
          <w:p>
            <w:pPr>
              <w:widowControl/>
              <w:jc w:val="center"/>
              <w:rPr>
                <w:rFonts w:hint="eastAsia" w:ascii="Times New Roman" w:hAnsi="Times New Roman" w:eastAsia="等线" w:cs="Times New Roman"/>
                <w:color w:val="auto"/>
                <w:kern w:val="0"/>
                <w:highlight w:val="none"/>
                <w:lang w:eastAsia="zh-CN"/>
              </w:rPr>
            </w:pPr>
            <w:r>
              <w:rPr>
                <w:rFonts w:hint="eastAsia" w:ascii="Times New Roman" w:hAnsi="Times New Roman" w:eastAsia="等线" w:cs="Times New Roman"/>
                <w:color w:val="auto"/>
                <w:highlight w:val="none"/>
              </w:rPr>
              <w:t>4.</w:t>
            </w:r>
            <w:r>
              <w:rPr>
                <w:rFonts w:hint="eastAsia" w:ascii="Times New Roman" w:hAnsi="Times New Roman" w:eastAsia="等线" w:cs="Times New Roman"/>
                <w:color w:val="auto"/>
                <w:highlight w:val="none"/>
                <w:lang w:val="en-US" w:eastAsia="zh-CN"/>
              </w:rPr>
              <w:t>8</w:t>
            </w:r>
          </w:p>
        </w:tc>
        <w:tc>
          <w:tcPr>
            <w:tcW w:w="594" w:type="pct"/>
            <w:tcBorders>
              <w:top w:val="nil"/>
              <w:left w:val="nil"/>
              <w:bottom w:val="single" w:color="auto" w:sz="4" w:space="0"/>
              <w:right w:val="single" w:color="auto" w:sz="4" w:space="0"/>
            </w:tcBorders>
            <w:noWrap/>
            <w:vAlign w:val="center"/>
          </w:tcPr>
          <w:p>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496" w:type="pct"/>
            <w:tcBorders>
              <w:top w:val="nil"/>
              <w:left w:val="nil"/>
              <w:bottom w:val="single" w:color="auto" w:sz="4" w:space="0"/>
              <w:right w:val="single" w:color="auto" w:sz="4" w:space="0"/>
            </w:tcBorders>
            <w:noWrap/>
            <w:vAlign w:val="center"/>
          </w:tcPr>
          <w:p>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588" w:type="pct"/>
            <w:tcBorders>
              <w:top w:val="nil"/>
              <w:left w:val="nil"/>
              <w:bottom w:val="single" w:color="auto" w:sz="4" w:space="0"/>
              <w:right w:val="single" w:color="auto" w:sz="4" w:space="0"/>
            </w:tcBorders>
            <w:noWrap/>
            <w:vAlign w:val="center"/>
          </w:tcPr>
          <w:p>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653" w:type="pct"/>
            <w:tcBorders>
              <w:top w:val="nil"/>
              <w:left w:val="nil"/>
              <w:bottom w:val="single" w:color="auto" w:sz="4" w:space="0"/>
              <w:right w:val="single" w:color="auto" w:sz="4" w:space="0"/>
            </w:tcBorders>
            <w:noWrap/>
            <w:vAlign w:val="center"/>
          </w:tcPr>
          <w:p>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522" w:type="pct"/>
            <w:tcBorders>
              <w:top w:val="nil"/>
              <w:left w:val="nil"/>
              <w:bottom w:val="single" w:color="auto" w:sz="4" w:space="0"/>
              <w:right w:val="single" w:color="auto" w:sz="4" w:space="0"/>
            </w:tcBorders>
            <w:noWrap/>
            <w:vAlign w:val="center"/>
          </w:tcPr>
          <w:p>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r>
    </w:tbl>
    <w:p>
      <w:pPr>
        <w:pStyle w:val="4"/>
        <w:rPr>
          <w:rFonts w:ascii="Times New Roman" w:hAnsi="Times New Roman" w:eastAsia="宋体" w:cs="Times New Roman"/>
          <w:color w:val="auto"/>
          <w:sz w:val="30"/>
          <w:szCs w:val="30"/>
          <w:highlight w:val="none"/>
        </w:rPr>
      </w:pPr>
      <w:bookmarkStart w:id="106" w:name="_Toc2451"/>
      <w:r>
        <w:rPr>
          <w:rFonts w:ascii="Times New Roman" w:hAnsi="Times New Roman" w:eastAsia="宋体" w:cs="Times New Roman"/>
          <w:color w:val="auto"/>
          <w:sz w:val="30"/>
          <w:szCs w:val="30"/>
          <w:highlight w:val="none"/>
        </w:rPr>
        <w:t>三、矿山土地损毁预测与评估</w:t>
      </w:r>
      <w:bookmarkEnd w:id="106"/>
    </w:p>
    <w:p>
      <w:pPr>
        <w:pStyle w:val="5"/>
        <w:rPr>
          <w:rFonts w:ascii="Times New Roman" w:hAnsi="Times New Roman" w:eastAsia="宋体" w:cs="Times New Roman"/>
          <w:color w:val="auto"/>
          <w:sz w:val="28"/>
          <w:szCs w:val="28"/>
          <w:highlight w:val="none"/>
        </w:rPr>
      </w:pPr>
      <w:bookmarkStart w:id="107" w:name="_Toc16194"/>
      <w:r>
        <w:rPr>
          <w:rFonts w:ascii="Times New Roman" w:hAnsi="Times New Roman" w:eastAsia="宋体" w:cs="Times New Roman"/>
          <w:color w:val="auto"/>
          <w:sz w:val="28"/>
          <w:szCs w:val="28"/>
          <w:highlight w:val="none"/>
        </w:rPr>
        <w:t>（一）土地损毁环节与时序</w:t>
      </w:r>
      <w:bookmarkEnd w:id="107"/>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1、土地损毁环节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露天采场：矿山在开采过程中受挖机等重型机械的破坏，同时对土地的碾压，致使土壤板结、理化性状发生改变，破坏类型属挖损。</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场地：矿山工业广场等地面设施的修建，对地面先挖损后压占，同时矿山修建建筑、临时矿石堆置、临时表土堆场等对场地造成压占。</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2、土地损毁时序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土地损毁预测主要包括土地的挖损和压占。</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根据矿山矿石开采的特性和本工程的施工、运行情况，工程建设期和运行期可能造成土地损毁的活动主要有工程挖损和压占等，将使地表受到不同程度的扰动和损坏，现分述如下：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1）工程占地对土地的损毁</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各类占地将改变、压埋或损坏原有植被、地貌，将不同程度地对原有土地造成损坏。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2）矿区开挖对土地的损毁</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施工开挖和填筑将使原地表植被、地面组成物质以及地形地貌受到扰动和损毁，造成表层土壤裸露或形成松散的堆积体，失去原有植被的防冲、固土能力，也使其自然稳定状态受到损毁，在降雨和地表径流作用下可能发生冲刷、垮塌现象，增加新的水土流失。</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3）矿山工业广场对土地的影响</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本工程在完成建设期将对施工迹地进行复耕，考虑运距、费用等因素，覆土来源主要采用</w:t>
      </w:r>
      <w:r>
        <w:rPr>
          <w:rFonts w:hint="eastAsia" w:ascii="仿宋" w:hAnsi="仿宋" w:eastAsia="仿宋" w:cs="仿宋"/>
          <w:color w:val="auto"/>
          <w:sz w:val="28"/>
          <w:szCs w:val="28"/>
          <w:highlight w:val="none"/>
          <w:lang w:val="en-US" w:eastAsia="zh-CN"/>
        </w:rPr>
        <w:t>拟损毁土地剥离</w:t>
      </w:r>
      <w:r>
        <w:rPr>
          <w:rFonts w:hint="eastAsia" w:ascii="仿宋" w:hAnsi="仿宋" w:eastAsia="仿宋" w:cs="仿宋"/>
          <w:color w:val="auto"/>
          <w:sz w:val="28"/>
          <w:szCs w:val="28"/>
          <w:highlight w:val="none"/>
        </w:rPr>
        <w:t>表土</w:t>
      </w:r>
      <w:r>
        <w:rPr>
          <w:rFonts w:hint="eastAsia" w:ascii="仿宋" w:hAnsi="仿宋" w:eastAsia="仿宋" w:cs="仿宋"/>
          <w:color w:val="auto"/>
          <w:sz w:val="28"/>
          <w:szCs w:val="28"/>
          <w:highlight w:val="none"/>
          <w:lang w:val="en-US" w:eastAsia="zh-CN"/>
        </w:rPr>
        <w:t>及客土</w:t>
      </w:r>
      <w:r>
        <w:rPr>
          <w:rFonts w:hint="eastAsia" w:ascii="仿宋" w:hAnsi="仿宋" w:eastAsia="仿宋" w:cs="仿宋"/>
          <w:color w:val="auto"/>
          <w:sz w:val="28"/>
          <w:szCs w:val="28"/>
          <w:highlight w:val="none"/>
        </w:rPr>
        <w:t>，堆放地位于</w:t>
      </w:r>
      <w:r>
        <w:rPr>
          <w:rFonts w:hint="eastAsia" w:ascii="仿宋" w:hAnsi="仿宋" w:eastAsia="仿宋" w:cs="仿宋"/>
          <w:color w:val="auto"/>
          <w:sz w:val="28"/>
          <w:szCs w:val="28"/>
          <w:highlight w:val="none"/>
          <w:lang w:val="en-US" w:eastAsia="zh-CN"/>
        </w:rPr>
        <w:t>拟设采矿权东部采矿用地范围内，</w:t>
      </w:r>
      <w:r>
        <w:rPr>
          <w:rFonts w:hint="eastAsia" w:ascii="仿宋" w:hAnsi="仿宋" w:eastAsia="仿宋" w:cs="仿宋"/>
          <w:color w:val="auto"/>
          <w:sz w:val="28"/>
          <w:szCs w:val="28"/>
          <w:highlight w:val="none"/>
        </w:rPr>
        <w:t>表层土的临时堆放将形成松散堆积体，如不采取临时防护措施，形成的不稳定土质边坡极易被降水等外界因素所干扰而发生流失。</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前期准备阶段：在正式开工前，前期准备主要逐步完成租地和开辟场地等工作，损毁土地的方式主要为挖毁、压占等。</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生产阶段：生产开始后，首先剥离表层，表土剥离后对项目区内的页岩矿进行露天开采，土地损毁的形式主要为挖损。</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生产后阶段：该阶段主要完成对前期构筑物和施工器械的拆除搬运，该阶段不会新增损毁土地资源；拆除搬运完后进行复垦，恢复其生态环境。</w:t>
      </w:r>
    </w:p>
    <w:p>
      <w:pPr>
        <w:pStyle w:val="5"/>
        <w:rPr>
          <w:rFonts w:ascii="Times New Roman" w:hAnsi="Times New Roman" w:eastAsia="宋体" w:cs="Times New Roman"/>
          <w:color w:val="auto"/>
          <w:sz w:val="28"/>
          <w:szCs w:val="28"/>
          <w:highlight w:val="none"/>
        </w:rPr>
      </w:pPr>
      <w:bookmarkStart w:id="108" w:name="_Toc193"/>
      <w:r>
        <w:rPr>
          <w:rFonts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二</w:t>
      </w:r>
      <w:r>
        <w:rPr>
          <w:rFonts w:ascii="Times New Roman" w:hAnsi="Times New Roman" w:eastAsia="宋体" w:cs="Times New Roman"/>
          <w:color w:val="auto"/>
          <w:sz w:val="28"/>
          <w:szCs w:val="28"/>
          <w:highlight w:val="none"/>
        </w:rPr>
        <w:t>）拟损毁土地预测与评估</w:t>
      </w:r>
      <w:bookmarkEnd w:id="108"/>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1、预测依据</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露天开采建设与生产过程中对土地的损毁为直接损毁。直接损毁主要发生在生产期，其表现形式为土地直接压占，地面大规模开挖与碾压，地表形态和功能发生根本改变，如采场、工业广场等。损毁范围可以通过现场勘测及征地协议对其进行确定。</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本矿山为</w:t>
      </w:r>
      <w:r>
        <w:rPr>
          <w:rFonts w:hint="eastAsia" w:ascii="仿宋" w:hAnsi="仿宋" w:eastAsia="仿宋" w:cs="仿宋"/>
          <w:color w:val="auto"/>
          <w:sz w:val="28"/>
          <w:szCs w:val="28"/>
          <w:highlight w:val="none"/>
          <w:lang w:val="en-US" w:eastAsia="zh-CN"/>
        </w:rPr>
        <w:t>新建</w:t>
      </w:r>
      <w:r>
        <w:rPr>
          <w:rFonts w:hint="eastAsia" w:ascii="仿宋" w:hAnsi="仿宋" w:eastAsia="仿宋" w:cs="仿宋"/>
          <w:color w:val="auto"/>
          <w:sz w:val="28"/>
          <w:szCs w:val="28"/>
          <w:highlight w:val="none"/>
        </w:rPr>
        <w:t>矿山，未来矿山对土地的损毁，主要是随着开采范围的扩大而变化。</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2、预测单元及预测时段</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（1）预测单元划分</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根据矿产开采特点和开采时序，结合当地自然环境概况、社会经济概况和土地复垦方向，将矿区划分为一个预测单元。预测单元的划分，要遵循以下原则：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1）地形地貌及土地利用现状相似原则；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2）工程破坏、占压土地方式一致性原则；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3）原始土地立地条件相似性原则；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4）复垦方向一致性原则；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5）便于复垦措施统筹安排，分区整体性原则。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根据以上原则，将矿区分为露天采场终采平台区、露天采场终采平台区共</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个区域。</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（2）预测时段</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根据开采过程中损毁土地资源的特点，将预测时段分为开采期和自然恢复期两个时段。</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开采期：开采期由于矿山开采等活动的存在，形成开采矿渣、人工固体堆积物、不稳定斜坡，不可避免地会破坏、占压、挖损土地，是破坏土地的高发期。因此，开采期是土地破坏预测的重点时段。</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恢复期：恢复期不存在新的损毁，土地损毁仅是开采期破坏的土地通过各类水土流失形式的扩展，随着各项土地复垦措施和水土保持措施的实施，土地破坏将逐步得到</w:t>
      </w:r>
      <w:r>
        <w:rPr>
          <w:rFonts w:hint="eastAsia" w:ascii="仿宋" w:hAnsi="仿宋" w:eastAsia="仿宋" w:cs="仿宋"/>
          <w:color w:val="auto"/>
          <w:sz w:val="28"/>
          <w:szCs w:val="28"/>
          <w:highlight w:val="none"/>
          <w:lang w:eastAsia="zh-CN"/>
        </w:rPr>
        <w:t>遏</w:t>
      </w:r>
      <w:r>
        <w:rPr>
          <w:rFonts w:hint="eastAsia" w:ascii="仿宋" w:hAnsi="仿宋" w:eastAsia="仿宋" w:cs="仿宋"/>
          <w:color w:val="auto"/>
          <w:sz w:val="28"/>
          <w:szCs w:val="28"/>
          <w:highlight w:val="none"/>
        </w:rPr>
        <w:t>制，矿区的土地生态环境将得到恢复和改善，直至达到新的平衡状态。</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3、预测内容及方法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（1）预测内容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根据编制指南的要求，结合开发利用方案及安全设施设计，土地破坏预测内容包括以下几项内容：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1）各预测时段和预测分区土地破坏的方式；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2）各预测时段和预测分区破坏土地的面积；</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3）各预测时段和预测分区破坏土地类型；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4）各预测时段和预测分区土地破坏程度。</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（2）预测方法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矿区地形中等复杂，土地破坏类型较单一，土地破坏预测采用定量统计和定性描述相结合的方法进行，具体叙述如下：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1）土地破坏方式预测方法：根据工程特点，土地破坏方式表现多样性，除工程建设引起的挖损和压占两种显而易见的方式外，还有由于矿山开采水土流失引起的土地破坏等，预测方法采用定性描述的方法进行。</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2）破坏土地的面积预测方法：通过对各预测分区占地的分析和统计，结合土地破坏方式采用定量统计的方法进行。</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3）破坏土地类型预测方法：根据《土地利用现状分类》（GB/T 21010-2017）对土地类型的分类，结合现场调查资料，确定由于加工区建设造成破坏的土地类型。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4）土地破坏程度预测方法：矿山开采对土地的破坏因用地目的不同，破坏程度不同，直接改变了土地利用方向，土地破坏以后具有不可恢复性，对地面的扰动比较强烈。开采区土地破坏方式主</w:t>
      </w:r>
      <w:r>
        <w:rPr>
          <w:rFonts w:hint="eastAsia" w:ascii="仿宋" w:hAnsi="仿宋" w:eastAsia="仿宋" w:cs="仿宋"/>
          <w:color w:val="auto"/>
          <w:sz w:val="28"/>
          <w:szCs w:val="28"/>
          <w:highlight w:val="none"/>
          <w:lang w:eastAsia="zh-CN"/>
        </w:rPr>
        <w:t>要以</w:t>
      </w:r>
      <w:r>
        <w:rPr>
          <w:rFonts w:hint="eastAsia" w:ascii="仿宋" w:hAnsi="仿宋" w:eastAsia="仿宋" w:cs="仿宋"/>
          <w:color w:val="auto"/>
          <w:sz w:val="28"/>
          <w:szCs w:val="28"/>
          <w:highlight w:val="none"/>
        </w:rPr>
        <w:t>挖损为主，土地复垦难度较大，土地破坏程度相对比较大。</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4、分区预测结果</w:t>
      </w:r>
    </w:p>
    <w:p>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根据开发利用方案及现场调查得知，矿山</w:t>
      </w:r>
      <w:r>
        <w:rPr>
          <w:rFonts w:hint="eastAsia" w:ascii="仿宋" w:hAnsi="仿宋" w:eastAsia="仿宋" w:cs="仿宋"/>
          <w:color w:val="auto"/>
          <w:sz w:val="28"/>
          <w:szCs w:val="28"/>
          <w:highlight w:val="none"/>
          <w:lang w:val="en-US" w:eastAsia="zh-CN"/>
        </w:rPr>
        <w:t>投产后</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拟损毁土地面积为</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，其中乔木林地</w:t>
      </w:r>
      <w:r>
        <w:rPr>
          <w:rFonts w:hint="eastAsia" w:ascii="仿宋" w:hAnsi="仿宋" w:eastAsia="仿宋" w:cs="仿宋"/>
          <w:color w:val="auto"/>
          <w:sz w:val="28"/>
          <w:szCs w:val="28"/>
          <w:highlight w:val="none"/>
          <w:lang w:val="en-US" w:eastAsia="zh-CN"/>
        </w:rPr>
        <w:t>1.99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其他林地1.7</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；采矿用地0.0</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。拟损毁土地利用现状详见下表3-10。</w:t>
      </w:r>
    </w:p>
    <w:p>
      <w:pPr>
        <w:spacing w:line="360"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表3-1</w:t>
      </w:r>
      <w:r>
        <w:rPr>
          <w:rFonts w:hint="eastAsia" w:ascii="Times New Roman" w:hAnsi="Times New Roman" w:eastAsia="宋体" w:cs="Times New Roman"/>
          <w:b/>
          <w:color w:val="auto"/>
          <w:kern w:val="0"/>
          <w:highlight w:val="none"/>
        </w:rPr>
        <w:t>0</w:t>
      </w:r>
      <w:r>
        <w:rPr>
          <w:rFonts w:ascii="Times New Roman" w:hAnsi="Times New Roman" w:eastAsia="宋体" w:cs="Times New Roman"/>
          <w:b/>
          <w:color w:val="auto"/>
          <w:kern w:val="0"/>
          <w:highlight w:val="none"/>
        </w:rPr>
        <w:t xml:space="preserve">   拟损毁土地利用现状统计表</w:t>
      </w:r>
    </w:p>
    <w:p>
      <w:pPr>
        <w:pStyle w:val="2"/>
        <w:rPr>
          <w:color w:val="auto"/>
        </w:rPr>
      </w:pPr>
    </w:p>
    <w:tbl>
      <w:tblPr>
        <w:tblStyle w:val="23"/>
        <w:tblW w:w="8652" w:type="dxa"/>
        <w:jc w:val="center"/>
        <w:tblLayout w:type="autofit"/>
        <w:tblCellMar>
          <w:top w:w="0" w:type="dxa"/>
          <w:left w:w="108" w:type="dxa"/>
          <w:bottom w:w="0" w:type="dxa"/>
          <w:right w:w="108" w:type="dxa"/>
        </w:tblCellMar>
      </w:tblPr>
      <w:tblGrid>
        <w:gridCol w:w="1103"/>
        <w:gridCol w:w="1147"/>
        <w:gridCol w:w="676"/>
        <w:gridCol w:w="1157"/>
        <w:gridCol w:w="818"/>
        <w:gridCol w:w="1337"/>
        <w:gridCol w:w="1147"/>
        <w:gridCol w:w="1390"/>
      </w:tblGrid>
      <w:tr>
        <w:tblPrEx>
          <w:tblCellMar>
            <w:top w:w="0" w:type="dxa"/>
            <w:left w:w="108" w:type="dxa"/>
            <w:bottom w:w="0" w:type="dxa"/>
            <w:right w:w="108" w:type="dxa"/>
          </w:tblCellMar>
        </w:tblPrEx>
        <w:trPr>
          <w:trHeight w:val="472" w:hRule="atLeast"/>
          <w:jc w:val="center"/>
        </w:trPr>
        <w:tc>
          <w:tcPr>
            <w:tcW w:w="110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损毁单元</w:t>
            </w:r>
          </w:p>
        </w:tc>
        <w:tc>
          <w:tcPr>
            <w:tcW w:w="1147"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损毁类型</w:t>
            </w:r>
          </w:p>
        </w:tc>
        <w:tc>
          <w:tcPr>
            <w:tcW w:w="1833" w:type="dxa"/>
            <w:gridSpan w:val="2"/>
            <w:tcBorders>
              <w:top w:val="single" w:color="auto" w:sz="4" w:space="0"/>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一级地类</w:t>
            </w:r>
          </w:p>
        </w:tc>
        <w:tc>
          <w:tcPr>
            <w:tcW w:w="2032" w:type="dxa"/>
            <w:gridSpan w:val="2"/>
            <w:tcBorders>
              <w:top w:val="single" w:color="auto" w:sz="4" w:space="0"/>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二级地类</w:t>
            </w:r>
          </w:p>
        </w:tc>
        <w:tc>
          <w:tcPr>
            <w:tcW w:w="1147" w:type="dxa"/>
            <w:tcBorders>
              <w:top w:val="single" w:color="auto" w:sz="4" w:space="0"/>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面积</w:t>
            </w:r>
          </w:p>
        </w:tc>
        <w:tc>
          <w:tcPr>
            <w:tcW w:w="1390" w:type="dxa"/>
            <w:vMerge w:val="restart"/>
            <w:tcBorders>
              <w:top w:val="single" w:color="auto" w:sz="4" w:space="0"/>
              <w:left w:val="single" w:color="auto" w:sz="4" w:space="0"/>
              <w:right w:val="single" w:color="auto" w:sz="4" w:space="0"/>
            </w:tcBorders>
            <w:vAlign w:val="center"/>
          </w:tcPr>
          <w:p>
            <w:pPr>
              <w:widowControl/>
              <w:jc w:val="center"/>
              <w:rPr>
                <w:rFonts w:eastAsia="宋体"/>
                <w:color w:val="auto"/>
                <w:highlight w:val="none"/>
              </w:rPr>
            </w:pPr>
            <w:r>
              <w:rPr>
                <w:rFonts w:hint="eastAsia" w:eastAsia="宋体"/>
                <w:color w:val="auto"/>
                <w:highlight w:val="none"/>
              </w:rPr>
              <w:t>占总面积比例</w:t>
            </w:r>
            <w:r>
              <w:rPr>
                <w:rFonts w:hint="eastAsia" w:eastAsia="宋体"/>
                <w:color w:val="auto"/>
                <w:highlight w:val="none"/>
                <w:lang w:eastAsia="zh-CN"/>
              </w:rPr>
              <w:t>（</w:t>
            </w:r>
            <w:r>
              <w:rPr>
                <w:rFonts w:hint="eastAsia" w:eastAsia="宋体"/>
                <w:color w:val="auto"/>
                <w:highlight w:val="none"/>
              </w:rPr>
              <w:t>%</w:t>
            </w:r>
            <w:r>
              <w:rPr>
                <w:rFonts w:hint="eastAsia" w:eastAsia="宋体"/>
                <w:color w:val="auto"/>
                <w:highlight w:val="none"/>
                <w:lang w:eastAsia="zh-CN"/>
              </w:rPr>
              <w:t>）</w:t>
            </w:r>
          </w:p>
        </w:tc>
      </w:tr>
      <w:tr>
        <w:tblPrEx>
          <w:tblCellMar>
            <w:top w:w="0" w:type="dxa"/>
            <w:left w:w="108" w:type="dxa"/>
            <w:bottom w:w="0" w:type="dxa"/>
            <w:right w:w="108" w:type="dxa"/>
          </w:tblCellMar>
        </w:tblPrEx>
        <w:trPr>
          <w:trHeight w:val="352" w:hRule="atLeast"/>
          <w:jc w:val="center"/>
        </w:trPr>
        <w:tc>
          <w:tcPr>
            <w:tcW w:w="11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highlight w:val="none"/>
              </w:rPr>
            </w:pPr>
          </w:p>
        </w:tc>
        <w:tc>
          <w:tcPr>
            <w:tcW w:w="11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highlight w:val="none"/>
              </w:rPr>
            </w:pPr>
          </w:p>
        </w:tc>
        <w:tc>
          <w:tcPr>
            <w:tcW w:w="676"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编码</w:t>
            </w:r>
          </w:p>
        </w:tc>
        <w:tc>
          <w:tcPr>
            <w:tcW w:w="1157"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名称</w:t>
            </w:r>
          </w:p>
        </w:tc>
        <w:tc>
          <w:tcPr>
            <w:tcW w:w="695"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编码</w:t>
            </w:r>
          </w:p>
        </w:tc>
        <w:tc>
          <w:tcPr>
            <w:tcW w:w="1337"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名称</w:t>
            </w:r>
          </w:p>
        </w:tc>
        <w:tc>
          <w:tcPr>
            <w:tcW w:w="1147"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hm</w:t>
            </w:r>
            <w:r>
              <w:rPr>
                <w:rFonts w:hint="eastAsia" w:eastAsia="宋体"/>
                <w:color w:val="auto"/>
                <w:highlight w:val="none"/>
                <w:vertAlign w:val="superscript"/>
              </w:rPr>
              <w:t>2</w:t>
            </w:r>
          </w:p>
        </w:tc>
        <w:tc>
          <w:tcPr>
            <w:tcW w:w="1390" w:type="dxa"/>
            <w:vMerge w:val="continue"/>
            <w:tcBorders>
              <w:left w:val="single" w:color="auto" w:sz="4" w:space="0"/>
              <w:bottom w:val="single" w:color="auto" w:sz="4" w:space="0"/>
              <w:right w:val="single" w:color="auto" w:sz="4" w:space="0"/>
            </w:tcBorders>
            <w:vAlign w:val="center"/>
          </w:tcPr>
          <w:p>
            <w:pPr>
              <w:widowControl/>
              <w:jc w:val="left"/>
              <w:rPr>
                <w:rFonts w:eastAsia="宋体"/>
                <w:color w:val="auto"/>
                <w:highlight w:val="none"/>
              </w:rPr>
            </w:pPr>
          </w:p>
        </w:tc>
      </w:tr>
      <w:tr>
        <w:tblPrEx>
          <w:tblCellMar>
            <w:top w:w="0" w:type="dxa"/>
            <w:left w:w="108" w:type="dxa"/>
            <w:bottom w:w="0" w:type="dxa"/>
            <w:right w:w="108" w:type="dxa"/>
          </w:tblCellMar>
        </w:tblPrEx>
        <w:trPr>
          <w:trHeight w:val="321" w:hRule="atLeast"/>
          <w:jc w:val="center"/>
        </w:trPr>
        <w:tc>
          <w:tcPr>
            <w:tcW w:w="1103" w:type="dxa"/>
            <w:vMerge w:val="restart"/>
            <w:tcBorders>
              <w:top w:val="nil"/>
              <w:left w:val="single" w:color="auto" w:sz="4" w:space="0"/>
              <w:right w:val="single" w:color="auto" w:sz="4" w:space="0"/>
            </w:tcBorders>
            <w:vAlign w:val="center"/>
          </w:tcPr>
          <w:p>
            <w:pPr>
              <w:widowControl/>
              <w:jc w:val="center"/>
              <w:rPr>
                <w:rFonts w:eastAsia="宋体"/>
                <w:color w:val="auto"/>
                <w:highlight w:val="none"/>
              </w:rPr>
            </w:pPr>
            <w:r>
              <w:rPr>
                <w:rFonts w:hint="eastAsia" w:eastAsia="宋体"/>
                <w:color w:val="auto"/>
                <w:highlight w:val="none"/>
              </w:rPr>
              <w:t>露天采场（预计开采区）</w:t>
            </w:r>
          </w:p>
        </w:tc>
        <w:tc>
          <w:tcPr>
            <w:tcW w:w="1147" w:type="dxa"/>
            <w:vMerge w:val="restart"/>
            <w:tcBorders>
              <w:top w:val="nil"/>
              <w:left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挖损</w:t>
            </w:r>
          </w:p>
        </w:tc>
        <w:tc>
          <w:tcPr>
            <w:tcW w:w="676" w:type="dxa"/>
            <w:tcBorders>
              <w:top w:val="nil"/>
              <w:left w:val="single" w:color="auto" w:sz="4" w:space="0"/>
              <w:bottom w:val="single" w:color="auto" w:sz="4" w:space="0"/>
              <w:right w:val="single" w:color="auto" w:sz="4" w:space="0"/>
            </w:tcBorders>
            <w:noWrap/>
            <w:vAlign w:val="center"/>
          </w:tcPr>
          <w:p>
            <w:pPr>
              <w:widowControl/>
              <w:jc w:val="center"/>
              <w:rPr>
                <w:rFonts w:hint="eastAsia" w:eastAsia="宋体"/>
                <w:color w:val="auto"/>
                <w:highlight w:val="none"/>
                <w:lang w:eastAsia="zh-CN"/>
              </w:rPr>
            </w:pPr>
            <w:r>
              <w:rPr>
                <w:rFonts w:hint="eastAsia" w:eastAsia="宋体"/>
                <w:color w:val="auto"/>
                <w:highlight w:val="none"/>
              </w:rPr>
              <w:t>0</w:t>
            </w:r>
            <w:r>
              <w:rPr>
                <w:rFonts w:hint="eastAsia" w:eastAsia="宋体"/>
                <w:color w:val="auto"/>
                <w:highlight w:val="none"/>
                <w:lang w:val="en-US" w:eastAsia="zh-CN"/>
              </w:rPr>
              <w:t>3</w:t>
            </w:r>
          </w:p>
        </w:tc>
        <w:tc>
          <w:tcPr>
            <w:tcW w:w="1157" w:type="dxa"/>
            <w:tcBorders>
              <w:top w:val="nil"/>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耕地</w:t>
            </w:r>
          </w:p>
        </w:tc>
        <w:tc>
          <w:tcPr>
            <w:tcW w:w="695"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0</w:t>
            </w:r>
            <w:r>
              <w:rPr>
                <w:rFonts w:hint="eastAsia" w:eastAsia="宋体"/>
                <w:color w:val="auto"/>
                <w:highlight w:val="none"/>
                <w:lang w:val="en-US" w:eastAsia="zh-CN"/>
              </w:rPr>
              <w:t>301</w:t>
            </w:r>
            <w:r>
              <w:rPr>
                <w:rFonts w:hint="eastAsia" w:eastAsia="宋体"/>
                <w:color w:val="auto"/>
                <w:highlight w:val="none"/>
              </w:rPr>
              <w:t>.</w:t>
            </w:r>
          </w:p>
        </w:tc>
        <w:tc>
          <w:tcPr>
            <w:tcW w:w="133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rPr>
              <w:t>乔木林地</w:t>
            </w:r>
          </w:p>
        </w:tc>
        <w:tc>
          <w:tcPr>
            <w:tcW w:w="114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1.99</w:t>
            </w:r>
          </w:p>
        </w:tc>
        <w:tc>
          <w:tcPr>
            <w:tcW w:w="13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51.2</w:t>
            </w:r>
          </w:p>
        </w:tc>
      </w:tr>
      <w:tr>
        <w:tblPrEx>
          <w:tblCellMar>
            <w:top w:w="0" w:type="dxa"/>
            <w:left w:w="108" w:type="dxa"/>
            <w:bottom w:w="0" w:type="dxa"/>
            <w:right w:w="108" w:type="dxa"/>
          </w:tblCellMar>
        </w:tblPrEx>
        <w:trPr>
          <w:trHeight w:val="328" w:hRule="atLeast"/>
          <w:jc w:val="center"/>
        </w:trPr>
        <w:tc>
          <w:tcPr>
            <w:tcW w:w="1103" w:type="dxa"/>
            <w:vMerge w:val="continue"/>
            <w:tcBorders>
              <w:left w:val="single" w:color="auto" w:sz="4" w:space="0"/>
              <w:right w:val="single" w:color="auto" w:sz="4" w:space="0"/>
            </w:tcBorders>
            <w:vAlign w:val="center"/>
          </w:tcPr>
          <w:p>
            <w:pPr>
              <w:widowControl/>
              <w:jc w:val="center"/>
              <w:rPr>
                <w:rFonts w:eastAsia="宋体"/>
                <w:color w:val="auto"/>
                <w:highlight w:val="none"/>
              </w:rPr>
            </w:pPr>
          </w:p>
        </w:tc>
        <w:tc>
          <w:tcPr>
            <w:tcW w:w="1147" w:type="dxa"/>
            <w:vMerge w:val="continue"/>
            <w:tcBorders>
              <w:left w:val="single" w:color="auto" w:sz="4" w:space="0"/>
              <w:right w:val="single" w:color="auto" w:sz="4" w:space="0"/>
            </w:tcBorders>
            <w:noWrap/>
            <w:vAlign w:val="center"/>
          </w:tcPr>
          <w:p>
            <w:pPr>
              <w:widowControl/>
              <w:jc w:val="center"/>
              <w:rPr>
                <w:rFonts w:eastAsia="宋体"/>
                <w:color w:val="auto"/>
                <w:highlight w:val="none"/>
              </w:rPr>
            </w:pPr>
          </w:p>
        </w:tc>
        <w:tc>
          <w:tcPr>
            <w:tcW w:w="676" w:type="dxa"/>
            <w:tcBorders>
              <w:top w:val="nil"/>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03</w:t>
            </w:r>
          </w:p>
        </w:tc>
        <w:tc>
          <w:tcPr>
            <w:tcW w:w="1157" w:type="dxa"/>
            <w:tcBorders>
              <w:top w:val="nil"/>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林地</w:t>
            </w:r>
          </w:p>
        </w:tc>
        <w:tc>
          <w:tcPr>
            <w:tcW w:w="695" w:type="dxa"/>
            <w:tcBorders>
              <w:top w:val="nil"/>
              <w:left w:val="nil"/>
              <w:bottom w:val="single" w:color="auto" w:sz="4" w:space="0"/>
              <w:right w:val="single" w:color="auto" w:sz="4" w:space="0"/>
            </w:tcBorders>
            <w:noWrap/>
            <w:vAlign w:val="center"/>
          </w:tcPr>
          <w:p>
            <w:pPr>
              <w:widowControl/>
              <w:jc w:val="center"/>
              <w:rPr>
                <w:rFonts w:hint="eastAsia" w:eastAsia="宋体"/>
                <w:color w:val="auto"/>
                <w:highlight w:val="none"/>
                <w:lang w:eastAsia="zh-CN"/>
              </w:rPr>
            </w:pPr>
            <w:r>
              <w:rPr>
                <w:rFonts w:hint="eastAsia" w:eastAsia="宋体"/>
                <w:color w:val="auto"/>
                <w:highlight w:val="none"/>
              </w:rPr>
              <w:t>030</w:t>
            </w:r>
            <w:r>
              <w:rPr>
                <w:rFonts w:hint="eastAsia" w:eastAsia="宋体"/>
                <w:color w:val="auto"/>
                <w:highlight w:val="none"/>
                <w:lang w:val="en-US" w:eastAsia="zh-CN"/>
              </w:rPr>
              <w:t>7</w:t>
            </w:r>
          </w:p>
        </w:tc>
        <w:tc>
          <w:tcPr>
            <w:tcW w:w="133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rPr>
              <w:t>其他林地</w:t>
            </w:r>
          </w:p>
        </w:tc>
        <w:tc>
          <w:tcPr>
            <w:tcW w:w="114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1.7</w:t>
            </w:r>
          </w:p>
        </w:tc>
        <w:tc>
          <w:tcPr>
            <w:tcW w:w="13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43.7</w:t>
            </w:r>
          </w:p>
        </w:tc>
      </w:tr>
      <w:tr>
        <w:tblPrEx>
          <w:tblCellMar>
            <w:top w:w="0" w:type="dxa"/>
            <w:left w:w="108" w:type="dxa"/>
            <w:bottom w:w="0" w:type="dxa"/>
            <w:right w:w="108" w:type="dxa"/>
          </w:tblCellMar>
        </w:tblPrEx>
        <w:trPr>
          <w:trHeight w:val="328" w:hRule="atLeast"/>
          <w:jc w:val="center"/>
        </w:trPr>
        <w:tc>
          <w:tcPr>
            <w:tcW w:w="1103" w:type="dxa"/>
            <w:vMerge w:val="continue"/>
            <w:tcBorders>
              <w:left w:val="single" w:color="auto" w:sz="4" w:space="0"/>
              <w:bottom w:val="single" w:color="000000" w:sz="4" w:space="0"/>
              <w:right w:val="single" w:color="auto" w:sz="4" w:space="0"/>
            </w:tcBorders>
            <w:vAlign w:val="center"/>
          </w:tcPr>
          <w:p>
            <w:pPr>
              <w:widowControl/>
              <w:jc w:val="center"/>
              <w:rPr>
                <w:rFonts w:eastAsia="宋体"/>
                <w:color w:val="auto"/>
                <w:highlight w:val="none"/>
              </w:rPr>
            </w:pPr>
          </w:p>
        </w:tc>
        <w:tc>
          <w:tcPr>
            <w:tcW w:w="1147" w:type="dxa"/>
            <w:vMerge w:val="continue"/>
            <w:tcBorders>
              <w:left w:val="single" w:color="auto" w:sz="4" w:space="0"/>
              <w:bottom w:val="single" w:color="000000" w:sz="4" w:space="0"/>
              <w:right w:val="single" w:color="auto" w:sz="4" w:space="0"/>
            </w:tcBorders>
            <w:noWrap/>
            <w:vAlign w:val="center"/>
          </w:tcPr>
          <w:p>
            <w:pPr>
              <w:widowControl/>
              <w:jc w:val="center"/>
              <w:rPr>
                <w:rFonts w:eastAsia="宋体"/>
                <w:color w:val="auto"/>
                <w:highlight w:val="none"/>
              </w:rPr>
            </w:pPr>
          </w:p>
        </w:tc>
        <w:tc>
          <w:tcPr>
            <w:tcW w:w="676" w:type="dxa"/>
            <w:tcBorders>
              <w:top w:val="nil"/>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auto"/>
                <w:highlight w:val="none"/>
              </w:rPr>
            </w:pPr>
            <w:r>
              <w:rPr>
                <w:rFonts w:ascii="Times New Roman" w:hAnsi="Times New Roman" w:eastAsia="宋体" w:cs="Times New Roman"/>
                <w:color w:val="auto"/>
                <w:kern w:val="0"/>
                <w:highlight w:val="none"/>
                <w:lang w:bidi="ar"/>
              </w:rPr>
              <w:t>06</w:t>
            </w:r>
          </w:p>
        </w:tc>
        <w:tc>
          <w:tcPr>
            <w:tcW w:w="1157" w:type="dxa"/>
            <w:tcBorders>
              <w:top w:val="nil"/>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auto"/>
                <w:highlight w:val="none"/>
              </w:rPr>
            </w:pPr>
            <w:r>
              <w:rPr>
                <w:rFonts w:hint="eastAsia" w:ascii="宋体" w:hAnsi="宋体" w:eastAsia="宋体" w:cs="宋体"/>
                <w:color w:val="auto"/>
                <w:kern w:val="0"/>
                <w:highlight w:val="none"/>
                <w:lang w:bidi="ar"/>
              </w:rPr>
              <w:t>工矿仓储用地</w:t>
            </w:r>
          </w:p>
        </w:tc>
        <w:tc>
          <w:tcPr>
            <w:tcW w:w="695" w:type="dxa"/>
            <w:tcBorders>
              <w:top w:val="nil"/>
              <w:left w:val="nil"/>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auto"/>
                <w:highlight w:val="none"/>
              </w:rPr>
            </w:pPr>
            <w:r>
              <w:rPr>
                <w:rFonts w:ascii="Times New Roman" w:hAnsi="Times New Roman" w:eastAsia="宋体" w:cs="Times New Roman"/>
                <w:color w:val="auto"/>
                <w:kern w:val="0"/>
                <w:highlight w:val="none"/>
                <w:lang w:bidi="ar"/>
              </w:rPr>
              <w:t>0602</w:t>
            </w:r>
          </w:p>
        </w:tc>
        <w:tc>
          <w:tcPr>
            <w:tcW w:w="133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color w:val="auto"/>
                <w:highlight w:val="none"/>
              </w:rPr>
            </w:pPr>
            <w:r>
              <w:rPr>
                <w:rFonts w:hint="eastAsia" w:cs="宋体" w:asciiTheme="minorEastAsia" w:hAnsiTheme="minorEastAsia" w:eastAsiaTheme="minorEastAsia"/>
                <w:color w:val="auto"/>
                <w:kern w:val="0"/>
                <w:sz w:val="21"/>
              </w:rPr>
              <w:t>采矿用地</w:t>
            </w:r>
          </w:p>
        </w:tc>
        <w:tc>
          <w:tcPr>
            <w:tcW w:w="114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eastAsiaTheme="minorEastAsia"/>
                <w:color w:val="auto"/>
                <w:highlight w:val="none"/>
                <w:lang w:eastAsia="zh-CN"/>
              </w:rPr>
            </w:pPr>
            <w:r>
              <w:rPr>
                <w:rFonts w:cs="宋体" w:asciiTheme="minorEastAsia" w:hAnsiTheme="minorEastAsia" w:eastAsiaTheme="minorEastAsia"/>
                <w:color w:val="auto"/>
                <w:kern w:val="0"/>
                <w:sz w:val="21"/>
              </w:rPr>
              <w:t>0.</w:t>
            </w:r>
            <w:r>
              <w:rPr>
                <w:rFonts w:hint="eastAsia" w:cs="宋体" w:asciiTheme="minorEastAsia" w:hAnsiTheme="minorEastAsia"/>
                <w:color w:val="auto"/>
                <w:kern w:val="0"/>
                <w:sz w:val="21"/>
                <w:lang w:val="en-US" w:eastAsia="zh-CN"/>
              </w:rPr>
              <w:t>2</w:t>
            </w:r>
          </w:p>
        </w:tc>
        <w:tc>
          <w:tcPr>
            <w:tcW w:w="13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5.1</w:t>
            </w:r>
          </w:p>
        </w:tc>
      </w:tr>
      <w:tr>
        <w:tblPrEx>
          <w:tblCellMar>
            <w:top w:w="0" w:type="dxa"/>
            <w:left w:w="108" w:type="dxa"/>
            <w:bottom w:w="0" w:type="dxa"/>
            <w:right w:w="108" w:type="dxa"/>
          </w:tblCellMar>
        </w:tblPrEx>
        <w:trPr>
          <w:trHeight w:val="328" w:hRule="atLeast"/>
          <w:jc w:val="center"/>
        </w:trPr>
        <w:tc>
          <w:tcPr>
            <w:tcW w:w="4083"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合计</w:t>
            </w:r>
          </w:p>
        </w:tc>
        <w:tc>
          <w:tcPr>
            <w:tcW w:w="695"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w:t>
            </w:r>
          </w:p>
        </w:tc>
        <w:tc>
          <w:tcPr>
            <w:tcW w:w="1337"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w:t>
            </w:r>
          </w:p>
        </w:tc>
        <w:tc>
          <w:tcPr>
            <w:tcW w:w="1147" w:type="dxa"/>
            <w:tcBorders>
              <w:top w:val="nil"/>
              <w:left w:val="nil"/>
              <w:bottom w:val="single" w:color="auto" w:sz="4" w:space="0"/>
              <w:right w:val="single" w:color="auto" w:sz="4" w:space="0"/>
            </w:tcBorders>
            <w:noWrap/>
            <w:vAlign w:val="center"/>
          </w:tcPr>
          <w:p>
            <w:pPr>
              <w:widowControl/>
              <w:jc w:val="center"/>
              <w:rPr>
                <w:rFonts w:hint="default" w:eastAsia="宋体"/>
                <w:color w:val="auto"/>
                <w:highlight w:val="none"/>
                <w:lang w:val="en-US" w:eastAsia="zh-CN"/>
              </w:rPr>
            </w:pPr>
            <w:r>
              <w:rPr>
                <w:rFonts w:hint="eastAsia" w:eastAsia="宋体"/>
                <w:color w:val="auto"/>
                <w:highlight w:val="none"/>
                <w:lang w:val="en-US" w:eastAsia="zh-CN"/>
              </w:rPr>
              <w:t>3.89</w:t>
            </w:r>
          </w:p>
        </w:tc>
        <w:tc>
          <w:tcPr>
            <w:tcW w:w="1390"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100</w:t>
            </w:r>
          </w:p>
        </w:tc>
      </w:tr>
    </w:tbl>
    <w:p>
      <w:pPr>
        <w:pStyle w:val="22"/>
        <w:ind w:firstLine="0" w:firstLineChars="0"/>
        <w:rPr>
          <w:rFonts w:ascii="Times New Roman" w:hAnsi="Times New Roman" w:eastAsia="宋体" w:cs="Times New Roman"/>
          <w:b/>
          <w:color w:val="auto"/>
          <w:kern w:val="0"/>
          <w:sz w:val="21"/>
          <w:highlight w:val="none"/>
        </w:rPr>
      </w:pPr>
    </w:p>
    <w:p>
      <w:pPr>
        <w:pStyle w:val="5"/>
        <w:rPr>
          <w:rFonts w:ascii="Times New Roman" w:hAnsi="Times New Roman" w:eastAsia="宋体" w:cs="Times New Roman"/>
          <w:color w:val="auto"/>
          <w:highlight w:val="none"/>
        </w:rPr>
      </w:pPr>
      <w:bookmarkStart w:id="109" w:name="_Toc28943"/>
      <w:r>
        <w:rPr>
          <w:rFonts w:ascii="Times New Roman" w:hAnsi="Times New Roman" w:eastAsia="宋体" w:cs="Times New Roman"/>
          <w:color w:val="auto"/>
          <w:highlight w:val="none"/>
        </w:rPr>
        <w:t>（四）土地损毁程度</w:t>
      </w:r>
      <w:bookmarkEnd w:id="109"/>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土地破坏程度分析揭示了土地利用范围及可利用的能力，矿山土地的破坏表现在矿山开发活动，引起矿山土地质量控制因素指标在矿山原始土地质量背景值基础上，向不利于土地利用的方向变化。这包含了两个方面：</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一是矿山土地破坏是相对于开发活动之前土地质量原始背景值的变化；二是矿山土地质量的变化是矿山开发活动直接或间接引起的。</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土地破坏程度评价实际上是矿山开发活动引起的矿山土地质量变化程度的评价。根据《中华人民共和国土地管理法》和国务院颁布的《土地复垦规定》，把土地破坏程度预测等级数确定为3级标准，分别定为：一级（轻度破坏）、二级（中度破坏）、三级（重度破坏）。评价要素的具体等级标准目前国内外尚无精确的划分值，方案是根据类似工程的土地破坏要素调查情况，参考各相关学科的实际经验数据，采用主导要素法进行评价及划分等级。具体标准见表3-11和3-12。</w:t>
      </w:r>
    </w:p>
    <w:p>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表3-1</w:t>
      </w:r>
      <w:r>
        <w:rPr>
          <w:rFonts w:hint="eastAsia" w:ascii="Times New Roman" w:hAnsi="Times New Roman" w:eastAsia="宋体" w:cs="Times New Roman"/>
          <w:b/>
          <w:color w:val="auto"/>
          <w:kern w:val="0"/>
          <w:highlight w:val="none"/>
        </w:rPr>
        <w:t>1</w:t>
      </w:r>
      <w:r>
        <w:rPr>
          <w:rFonts w:ascii="Times New Roman" w:hAnsi="Times New Roman" w:eastAsia="宋体" w:cs="Times New Roman"/>
          <w:b/>
          <w:color w:val="auto"/>
          <w:kern w:val="0"/>
          <w:highlight w:val="none"/>
        </w:rPr>
        <w:t xml:space="preserve">  挖损地破坏程度评价要素及等级标准表</w:t>
      </w:r>
    </w:p>
    <w:tbl>
      <w:tblPr>
        <w:tblStyle w:val="23"/>
        <w:tblW w:w="8787" w:type="dxa"/>
        <w:jc w:val="center"/>
        <w:tblLayout w:type="fixed"/>
        <w:tblCellMar>
          <w:top w:w="0" w:type="dxa"/>
          <w:left w:w="0" w:type="dxa"/>
          <w:bottom w:w="0" w:type="dxa"/>
          <w:right w:w="0" w:type="dxa"/>
        </w:tblCellMar>
      </w:tblPr>
      <w:tblGrid>
        <w:gridCol w:w="1541"/>
        <w:gridCol w:w="1541"/>
        <w:gridCol w:w="1728"/>
        <w:gridCol w:w="2251"/>
        <w:gridCol w:w="1726"/>
      </w:tblGrid>
      <w:tr>
        <w:tblPrEx>
          <w:tblCellMar>
            <w:top w:w="0" w:type="dxa"/>
            <w:left w:w="0" w:type="dxa"/>
            <w:bottom w:w="0" w:type="dxa"/>
            <w:right w:w="0" w:type="dxa"/>
          </w:tblCellMar>
        </w:tblPrEx>
        <w:trPr>
          <w:trHeight w:val="285" w:hRule="atLeast"/>
          <w:jc w:val="center"/>
        </w:trPr>
        <w:tc>
          <w:tcPr>
            <w:tcW w:w="877"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评价要素</w:t>
            </w:r>
          </w:p>
        </w:tc>
        <w:tc>
          <w:tcPr>
            <w:tcW w:w="877"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评价因子</w:t>
            </w:r>
          </w:p>
        </w:tc>
        <w:tc>
          <w:tcPr>
            <w:tcW w:w="3246" w:type="pct"/>
            <w:gridSpan w:val="3"/>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评价等级</w:t>
            </w:r>
          </w:p>
        </w:tc>
      </w:tr>
      <w:tr>
        <w:tblPrEx>
          <w:tblCellMar>
            <w:top w:w="0" w:type="dxa"/>
            <w:left w:w="0" w:type="dxa"/>
            <w:bottom w:w="0" w:type="dxa"/>
            <w:right w:w="0" w:type="dxa"/>
          </w:tblCellMar>
        </w:tblPrEx>
        <w:trPr>
          <w:trHeight w:val="285" w:hRule="atLeast"/>
          <w:jc w:val="center"/>
        </w:trPr>
        <w:tc>
          <w:tcPr>
            <w:tcW w:w="87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p>
        </w:tc>
        <w:tc>
          <w:tcPr>
            <w:tcW w:w="87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p>
        </w:tc>
        <w:tc>
          <w:tcPr>
            <w:tcW w:w="983"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轻度破坏</w:t>
            </w:r>
          </w:p>
        </w:tc>
        <w:tc>
          <w:tcPr>
            <w:tcW w:w="1281"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中度破坏</w:t>
            </w:r>
          </w:p>
        </w:tc>
        <w:tc>
          <w:tcPr>
            <w:tcW w:w="982"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重度破坏</w:t>
            </w:r>
          </w:p>
        </w:tc>
      </w:tr>
      <w:tr>
        <w:tblPrEx>
          <w:tblCellMar>
            <w:top w:w="0" w:type="dxa"/>
            <w:left w:w="0" w:type="dxa"/>
            <w:bottom w:w="0" w:type="dxa"/>
            <w:right w:w="0" w:type="dxa"/>
          </w:tblCellMar>
        </w:tblPrEx>
        <w:trPr>
          <w:trHeight w:val="315" w:hRule="atLeast"/>
          <w:jc w:val="center"/>
        </w:trPr>
        <w:tc>
          <w:tcPr>
            <w:tcW w:w="877" w:type="pct"/>
            <w:vMerge w:val="restart"/>
            <w:tcBorders>
              <w:top w:val="nil"/>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地表变形</w:t>
            </w:r>
          </w:p>
        </w:tc>
        <w:tc>
          <w:tcPr>
            <w:tcW w:w="877"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挖掘深度</w:t>
            </w:r>
          </w:p>
        </w:tc>
        <w:tc>
          <w:tcPr>
            <w:tcW w:w="983"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&lt;6米</w:t>
            </w:r>
          </w:p>
        </w:tc>
        <w:tc>
          <w:tcPr>
            <w:tcW w:w="1281"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10米</w:t>
            </w:r>
          </w:p>
        </w:tc>
        <w:tc>
          <w:tcPr>
            <w:tcW w:w="982"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10米</w:t>
            </w:r>
          </w:p>
        </w:tc>
      </w:tr>
      <w:tr>
        <w:tblPrEx>
          <w:tblCellMar>
            <w:top w:w="0" w:type="dxa"/>
            <w:left w:w="0" w:type="dxa"/>
            <w:bottom w:w="0" w:type="dxa"/>
            <w:right w:w="0" w:type="dxa"/>
          </w:tblCellMar>
        </w:tblPrEx>
        <w:trPr>
          <w:trHeight w:val="315" w:hRule="atLeast"/>
          <w:jc w:val="center"/>
        </w:trPr>
        <w:tc>
          <w:tcPr>
            <w:tcW w:w="877"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p>
        </w:tc>
        <w:tc>
          <w:tcPr>
            <w:tcW w:w="877"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挖掘面积</w:t>
            </w:r>
          </w:p>
        </w:tc>
        <w:tc>
          <w:tcPr>
            <w:tcW w:w="983"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&lt;100hm</w:t>
            </w:r>
            <w:r>
              <w:rPr>
                <w:rFonts w:ascii="Times New Roman" w:hAnsi="Times New Roman" w:eastAsia="宋体" w:cs="Times New Roman"/>
                <w:color w:val="auto"/>
                <w:highlight w:val="none"/>
                <w:vertAlign w:val="superscript"/>
              </w:rPr>
              <w:t>2</w:t>
            </w:r>
          </w:p>
        </w:tc>
        <w:tc>
          <w:tcPr>
            <w:tcW w:w="1281"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100-1000hm</w:t>
            </w:r>
            <w:r>
              <w:rPr>
                <w:rFonts w:ascii="Times New Roman" w:hAnsi="Times New Roman" w:eastAsia="宋体" w:cs="Times New Roman"/>
                <w:color w:val="auto"/>
                <w:highlight w:val="none"/>
                <w:vertAlign w:val="superscript"/>
              </w:rPr>
              <w:t>2</w:t>
            </w:r>
          </w:p>
        </w:tc>
        <w:tc>
          <w:tcPr>
            <w:tcW w:w="982"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1000hm</w:t>
            </w:r>
            <w:r>
              <w:rPr>
                <w:rFonts w:ascii="Times New Roman" w:hAnsi="Times New Roman" w:eastAsia="宋体" w:cs="Times New Roman"/>
                <w:color w:val="auto"/>
                <w:highlight w:val="none"/>
                <w:vertAlign w:val="superscript"/>
              </w:rPr>
              <w:t>2</w:t>
            </w:r>
          </w:p>
        </w:tc>
      </w:tr>
    </w:tbl>
    <w:p>
      <w:pPr>
        <w:rPr>
          <w:rFonts w:ascii="Times New Roman" w:hAnsi="Times New Roman" w:cs="Times New Roman"/>
          <w:color w:val="auto"/>
          <w:highlight w:val="none"/>
        </w:rPr>
      </w:pPr>
    </w:p>
    <w:p>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表3-1</w:t>
      </w:r>
      <w:r>
        <w:rPr>
          <w:rFonts w:hint="eastAsia" w:ascii="Times New Roman" w:hAnsi="Times New Roman" w:eastAsia="宋体" w:cs="Times New Roman"/>
          <w:b/>
          <w:color w:val="auto"/>
          <w:kern w:val="0"/>
          <w:highlight w:val="none"/>
        </w:rPr>
        <w:t>2</w:t>
      </w:r>
      <w:r>
        <w:rPr>
          <w:rFonts w:ascii="Times New Roman" w:hAnsi="Times New Roman" w:eastAsia="宋体" w:cs="Times New Roman"/>
          <w:b/>
          <w:color w:val="auto"/>
          <w:kern w:val="0"/>
          <w:highlight w:val="none"/>
        </w:rPr>
        <w:t xml:space="preserve">  压占地破坏程度评价要素及等级标准表</w:t>
      </w:r>
    </w:p>
    <w:tbl>
      <w:tblPr>
        <w:tblStyle w:val="23"/>
        <w:tblW w:w="5000" w:type="pct"/>
        <w:tblInd w:w="0" w:type="dxa"/>
        <w:tblLayout w:type="fixed"/>
        <w:tblCellMar>
          <w:top w:w="0" w:type="dxa"/>
          <w:left w:w="0" w:type="dxa"/>
          <w:bottom w:w="0" w:type="dxa"/>
          <w:right w:w="0" w:type="dxa"/>
        </w:tblCellMar>
      </w:tblPr>
      <w:tblGrid>
        <w:gridCol w:w="1458"/>
        <w:gridCol w:w="1459"/>
        <w:gridCol w:w="1765"/>
        <w:gridCol w:w="1871"/>
        <w:gridCol w:w="1763"/>
      </w:tblGrid>
      <w:tr>
        <w:tblPrEx>
          <w:tblCellMar>
            <w:top w:w="0" w:type="dxa"/>
            <w:left w:w="0" w:type="dxa"/>
            <w:bottom w:w="0" w:type="dxa"/>
            <w:right w:w="0" w:type="dxa"/>
          </w:tblCellMar>
        </w:tblPrEx>
        <w:trPr>
          <w:trHeight w:val="315" w:hRule="atLeast"/>
        </w:trPr>
        <w:tc>
          <w:tcPr>
            <w:tcW w:w="877"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评价要素</w:t>
            </w:r>
          </w:p>
        </w:tc>
        <w:tc>
          <w:tcPr>
            <w:tcW w:w="877"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评价因子</w:t>
            </w:r>
          </w:p>
        </w:tc>
        <w:tc>
          <w:tcPr>
            <w:tcW w:w="3247" w:type="pct"/>
            <w:gridSpan w:val="3"/>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评价等级</w:t>
            </w:r>
          </w:p>
        </w:tc>
      </w:tr>
      <w:tr>
        <w:tblPrEx>
          <w:tblCellMar>
            <w:top w:w="0" w:type="dxa"/>
            <w:left w:w="0" w:type="dxa"/>
            <w:bottom w:w="0" w:type="dxa"/>
            <w:right w:w="0" w:type="dxa"/>
          </w:tblCellMar>
        </w:tblPrEx>
        <w:trPr>
          <w:trHeight w:val="285" w:hRule="atLeast"/>
        </w:trPr>
        <w:tc>
          <w:tcPr>
            <w:tcW w:w="87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p>
        </w:tc>
        <w:tc>
          <w:tcPr>
            <w:tcW w:w="87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p>
        </w:tc>
        <w:tc>
          <w:tcPr>
            <w:tcW w:w="1061"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轻度破坏</w:t>
            </w:r>
          </w:p>
        </w:tc>
        <w:tc>
          <w:tcPr>
            <w:tcW w:w="1125"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中度破坏</w:t>
            </w:r>
          </w:p>
        </w:tc>
        <w:tc>
          <w:tcPr>
            <w:tcW w:w="1061"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重度破坏</w:t>
            </w:r>
          </w:p>
        </w:tc>
      </w:tr>
      <w:tr>
        <w:tblPrEx>
          <w:tblCellMar>
            <w:top w:w="0" w:type="dxa"/>
            <w:left w:w="0" w:type="dxa"/>
            <w:bottom w:w="0" w:type="dxa"/>
            <w:right w:w="0" w:type="dxa"/>
          </w:tblCellMar>
        </w:tblPrEx>
        <w:trPr>
          <w:trHeight w:val="315" w:hRule="atLeast"/>
        </w:trPr>
        <w:tc>
          <w:tcPr>
            <w:tcW w:w="877" w:type="pct"/>
            <w:vMerge w:val="restart"/>
            <w:tcBorders>
              <w:top w:val="nil"/>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地表变形</w:t>
            </w:r>
          </w:p>
        </w:tc>
        <w:tc>
          <w:tcPr>
            <w:tcW w:w="877"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压占面积</w:t>
            </w:r>
          </w:p>
        </w:tc>
        <w:tc>
          <w:tcPr>
            <w:tcW w:w="1061"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&lt;10hm</w:t>
            </w:r>
            <w:r>
              <w:rPr>
                <w:rFonts w:ascii="Times New Roman" w:hAnsi="Times New Roman" w:eastAsia="宋体" w:cs="Times New Roman"/>
                <w:color w:val="auto"/>
                <w:highlight w:val="none"/>
                <w:vertAlign w:val="superscript"/>
              </w:rPr>
              <w:t>2</w:t>
            </w:r>
          </w:p>
        </w:tc>
        <w:tc>
          <w:tcPr>
            <w:tcW w:w="1125"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10-100hm</w:t>
            </w:r>
            <w:r>
              <w:rPr>
                <w:rFonts w:ascii="Times New Roman" w:hAnsi="Times New Roman" w:eastAsia="宋体" w:cs="Times New Roman"/>
                <w:color w:val="auto"/>
                <w:highlight w:val="none"/>
                <w:vertAlign w:val="superscript"/>
              </w:rPr>
              <w:t>2</w:t>
            </w:r>
          </w:p>
        </w:tc>
        <w:tc>
          <w:tcPr>
            <w:tcW w:w="1061"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100hm</w:t>
            </w:r>
            <w:r>
              <w:rPr>
                <w:rFonts w:ascii="Times New Roman" w:hAnsi="Times New Roman" w:eastAsia="宋体" w:cs="Times New Roman"/>
                <w:color w:val="auto"/>
                <w:highlight w:val="none"/>
                <w:vertAlign w:val="superscript"/>
              </w:rPr>
              <w:t>2</w:t>
            </w:r>
          </w:p>
        </w:tc>
      </w:tr>
      <w:tr>
        <w:tblPrEx>
          <w:tblCellMar>
            <w:top w:w="0" w:type="dxa"/>
            <w:left w:w="0" w:type="dxa"/>
            <w:bottom w:w="0" w:type="dxa"/>
            <w:right w:w="0" w:type="dxa"/>
          </w:tblCellMar>
        </w:tblPrEx>
        <w:trPr>
          <w:trHeight w:val="315" w:hRule="atLeast"/>
        </w:trPr>
        <w:tc>
          <w:tcPr>
            <w:tcW w:w="877"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p>
        </w:tc>
        <w:tc>
          <w:tcPr>
            <w:tcW w:w="877"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排土高度</w:t>
            </w:r>
          </w:p>
        </w:tc>
        <w:tc>
          <w:tcPr>
            <w:tcW w:w="1061"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&lt;10米</w:t>
            </w:r>
          </w:p>
        </w:tc>
        <w:tc>
          <w:tcPr>
            <w:tcW w:w="1125"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30米</w:t>
            </w:r>
          </w:p>
        </w:tc>
        <w:tc>
          <w:tcPr>
            <w:tcW w:w="1061" w:type="pct"/>
            <w:tcBorders>
              <w:top w:val="nil"/>
              <w:left w:val="nil"/>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30米</w:t>
            </w:r>
          </w:p>
        </w:tc>
      </w:tr>
    </w:tbl>
    <w:p>
      <w:pPr>
        <w:ind w:firstLine="480" w:firstLineChars="200"/>
        <w:rPr>
          <w:rFonts w:ascii="Times New Roman" w:hAnsi="Times New Roman" w:eastAsia="宋体" w:cs="Times New Roman"/>
          <w:color w:val="auto"/>
          <w:sz w:val="24"/>
          <w:highlight w:val="none"/>
        </w:rPr>
      </w:pP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根据前文拟损毁土地预测分析，损毁土地共计</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，参照以上评价指标体系，其评价结果见表3-13和3-14。</w:t>
      </w:r>
    </w:p>
    <w:p>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w:t>
      </w:r>
      <w:r>
        <w:rPr>
          <w:rFonts w:hint="eastAsia" w:ascii="Times New Roman" w:hAnsi="Times New Roman" w:eastAsia="宋体" w:cs="Times New Roman"/>
          <w:b/>
          <w:color w:val="auto"/>
          <w:kern w:val="0"/>
          <w:highlight w:val="none"/>
        </w:rPr>
        <w:t>13</w:t>
      </w:r>
      <w:r>
        <w:rPr>
          <w:rFonts w:ascii="Times New Roman" w:hAnsi="Times New Roman" w:eastAsia="宋体" w:cs="Times New Roman"/>
          <w:b/>
          <w:color w:val="auto"/>
          <w:kern w:val="0"/>
          <w:highlight w:val="none"/>
        </w:rPr>
        <w:t xml:space="preserve">  土地损毁程度分析预测表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794"/>
        <w:gridCol w:w="1432"/>
        <w:gridCol w:w="1562"/>
        <w:gridCol w:w="1434"/>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12" w:type="pct"/>
            <w:vMerge w:val="restart"/>
            <w:shd w:val="clear" w:color="000000" w:fill="FFFFFF"/>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1052" w:type="pct"/>
            <w:vMerge w:val="restart"/>
            <w:shd w:val="clear" w:color="000000" w:fill="FFFFFF"/>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功能区块</w:t>
            </w:r>
          </w:p>
        </w:tc>
        <w:tc>
          <w:tcPr>
            <w:tcW w:w="840" w:type="pct"/>
            <w:vMerge w:val="restart"/>
            <w:shd w:val="clear" w:color="000000" w:fill="FFFFFF"/>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损毁方式</w:t>
            </w:r>
          </w:p>
        </w:tc>
        <w:tc>
          <w:tcPr>
            <w:tcW w:w="1757" w:type="pct"/>
            <w:gridSpan w:val="2"/>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评价要素</w:t>
            </w:r>
          </w:p>
        </w:tc>
        <w:tc>
          <w:tcPr>
            <w:tcW w:w="837" w:type="pct"/>
            <w:vMerge w:val="restar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损毁程度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vMerge w:val="continue"/>
            <w:vAlign w:val="center"/>
          </w:tcPr>
          <w:p>
            <w:pPr>
              <w:jc w:val="center"/>
              <w:rPr>
                <w:rFonts w:ascii="Times New Roman" w:hAnsi="Times New Roman" w:eastAsia="宋体" w:cs="Times New Roman"/>
                <w:color w:val="auto"/>
                <w:highlight w:val="none"/>
              </w:rPr>
            </w:pPr>
          </w:p>
        </w:tc>
        <w:tc>
          <w:tcPr>
            <w:tcW w:w="1052" w:type="pct"/>
            <w:vMerge w:val="continue"/>
            <w:vAlign w:val="center"/>
          </w:tcPr>
          <w:p>
            <w:pPr>
              <w:jc w:val="center"/>
              <w:rPr>
                <w:rFonts w:ascii="Times New Roman" w:hAnsi="Times New Roman" w:eastAsia="宋体" w:cs="Times New Roman"/>
                <w:color w:val="auto"/>
                <w:highlight w:val="none"/>
              </w:rPr>
            </w:pPr>
          </w:p>
        </w:tc>
        <w:tc>
          <w:tcPr>
            <w:tcW w:w="840" w:type="pct"/>
            <w:vMerge w:val="continue"/>
            <w:vAlign w:val="center"/>
          </w:tcPr>
          <w:p>
            <w:pPr>
              <w:jc w:val="center"/>
              <w:rPr>
                <w:rFonts w:ascii="Times New Roman" w:hAnsi="Times New Roman" w:eastAsia="宋体" w:cs="Times New Roman"/>
                <w:color w:val="auto"/>
                <w:highlight w:val="none"/>
              </w:rPr>
            </w:pPr>
          </w:p>
        </w:tc>
        <w:tc>
          <w:tcPr>
            <w:tcW w:w="91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挖掘面积</w:t>
            </w:r>
          </w:p>
        </w:tc>
        <w:tc>
          <w:tcPr>
            <w:tcW w:w="840"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挖掘深度</w:t>
            </w:r>
          </w:p>
        </w:tc>
        <w:tc>
          <w:tcPr>
            <w:tcW w:w="837" w:type="pct"/>
            <w:vMerge w:val="continue"/>
            <w:vAlign w:val="center"/>
          </w:tcPr>
          <w:p>
            <w:pPr>
              <w:jc w:val="center"/>
              <w:rPr>
                <w:rFonts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vMerge w:val="continue"/>
            <w:vAlign w:val="center"/>
          </w:tcPr>
          <w:p>
            <w:pPr>
              <w:jc w:val="center"/>
              <w:rPr>
                <w:rFonts w:ascii="Times New Roman" w:hAnsi="Times New Roman" w:eastAsia="宋体" w:cs="Times New Roman"/>
                <w:color w:val="auto"/>
                <w:highlight w:val="none"/>
              </w:rPr>
            </w:pPr>
          </w:p>
        </w:tc>
        <w:tc>
          <w:tcPr>
            <w:tcW w:w="1052" w:type="pct"/>
            <w:vMerge w:val="continue"/>
            <w:vAlign w:val="center"/>
          </w:tcPr>
          <w:p>
            <w:pPr>
              <w:jc w:val="center"/>
              <w:rPr>
                <w:rFonts w:ascii="Times New Roman" w:hAnsi="Times New Roman" w:eastAsia="宋体" w:cs="Times New Roman"/>
                <w:color w:val="auto"/>
                <w:highlight w:val="none"/>
              </w:rPr>
            </w:pPr>
          </w:p>
        </w:tc>
        <w:tc>
          <w:tcPr>
            <w:tcW w:w="840" w:type="pct"/>
            <w:vMerge w:val="continue"/>
            <w:vAlign w:val="center"/>
          </w:tcPr>
          <w:p>
            <w:pPr>
              <w:jc w:val="center"/>
              <w:rPr>
                <w:rFonts w:ascii="Times New Roman" w:hAnsi="Times New Roman" w:eastAsia="宋体" w:cs="Times New Roman"/>
                <w:color w:val="auto"/>
                <w:highlight w:val="none"/>
              </w:rPr>
            </w:pPr>
          </w:p>
        </w:tc>
        <w:tc>
          <w:tcPr>
            <w:tcW w:w="91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排土面积</w:t>
            </w:r>
          </w:p>
        </w:tc>
        <w:tc>
          <w:tcPr>
            <w:tcW w:w="840"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排土高度</w:t>
            </w:r>
          </w:p>
        </w:tc>
        <w:tc>
          <w:tcPr>
            <w:tcW w:w="837" w:type="pct"/>
            <w:vMerge w:val="continue"/>
            <w:vAlign w:val="center"/>
          </w:tcPr>
          <w:p>
            <w:pPr>
              <w:jc w:val="center"/>
              <w:rPr>
                <w:rFonts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2" w:type="pct"/>
            <w:shd w:val="clear" w:color="000000" w:fill="FFFFFF"/>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1052" w:type="pct"/>
            <w:shd w:val="clear" w:color="000000" w:fill="FFFFFF"/>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p>
        </w:tc>
        <w:tc>
          <w:tcPr>
            <w:tcW w:w="840" w:type="pct"/>
            <w:shd w:val="clear" w:color="000000" w:fill="FFFFFF"/>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挖损</w:t>
            </w:r>
          </w:p>
        </w:tc>
        <w:tc>
          <w:tcPr>
            <w:tcW w:w="91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hm</w:t>
            </w:r>
            <w:r>
              <w:rPr>
                <w:rFonts w:ascii="Times New Roman" w:hAnsi="Times New Roman" w:eastAsia="宋体" w:cs="Times New Roman"/>
                <w:color w:val="auto"/>
                <w:highlight w:val="none"/>
                <w:vertAlign w:val="superscript"/>
              </w:rPr>
              <w:t>2</w:t>
            </w:r>
          </w:p>
        </w:tc>
        <w:tc>
          <w:tcPr>
            <w:tcW w:w="840"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＞10米</w:t>
            </w:r>
          </w:p>
        </w:tc>
        <w:tc>
          <w:tcPr>
            <w:tcW w:w="83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重度损毁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2" w:type="pct"/>
            <w:shd w:val="clear" w:color="000000" w:fill="FFFFFF"/>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1052" w:type="pct"/>
            <w:shd w:val="clear" w:color="000000" w:fill="FFFFFF"/>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工业广场</w:t>
            </w:r>
          </w:p>
        </w:tc>
        <w:tc>
          <w:tcPr>
            <w:tcW w:w="840" w:type="pct"/>
            <w:shd w:val="clear" w:color="000000" w:fill="FFFFFF"/>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压占</w:t>
            </w:r>
          </w:p>
        </w:tc>
        <w:tc>
          <w:tcPr>
            <w:tcW w:w="91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&lt;10hm</w:t>
            </w:r>
            <w:r>
              <w:rPr>
                <w:rFonts w:ascii="Times New Roman" w:hAnsi="Times New Roman" w:eastAsia="宋体" w:cs="Times New Roman"/>
                <w:color w:val="auto"/>
                <w:highlight w:val="none"/>
                <w:vertAlign w:val="superscript"/>
              </w:rPr>
              <w:t>2</w:t>
            </w:r>
          </w:p>
        </w:tc>
        <w:tc>
          <w:tcPr>
            <w:tcW w:w="840"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＞10米</w:t>
            </w:r>
          </w:p>
        </w:tc>
        <w:tc>
          <w:tcPr>
            <w:tcW w:w="837" w:type="pct"/>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中</w:t>
            </w:r>
            <w:r>
              <w:rPr>
                <w:rFonts w:ascii="Times New Roman" w:hAnsi="Times New Roman" w:eastAsia="宋体" w:cs="Times New Roman"/>
                <w:color w:val="auto"/>
                <w:highlight w:val="none"/>
              </w:rPr>
              <w:t>度损毁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2" w:type="pct"/>
            <w:shd w:val="clear" w:color="000000" w:fill="FFFFFF"/>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1052" w:type="pct"/>
            <w:shd w:val="clear" w:color="000000" w:fill="FFFFFF"/>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老采区</w:t>
            </w:r>
          </w:p>
        </w:tc>
        <w:tc>
          <w:tcPr>
            <w:tcW w:w="840" w:type="pct"/>
            <w:shd w:val="clear" w:color="000000" w:fill="FFFFFF"/>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挖损</w:t>
            </w:r>
          </w:p>
        </w:tc>
        <w:tc>
          <w:tcPr>
            <w:tcW w:w="91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hm</w:t>
            </w:r>
            <w:r>
              <w:rPr>
                <w:rFonts w:ascii="Times New Roman" w:hAnsi="Times New Roman" w:eastAsia="宋体" w:cs="Times New Roman"/>
                <w:color w:val="auto"/>
                <w:highlight w:val="none"/>
                <w:vertAlign w:val="superscript"/>
              </w:rPr>
              <w:t>2</w:t>
            </w:r>
          </w:p>
        </w:tc>
        <w:tc>
          <w:tcPr>
            <w:tcW w:w="840"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＞10米</w:t>
            </w:r>
          </w:p>
        </w:tc>
        <w:tc>
          <w:tcPr>
            <w:tcW w:w="83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重度损毁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2" w:type="pct"/>
            <w:shd w:val="clear" w:color="000000" w:fill="FFFFFF"/>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4</w:t>
            </w:r>
          </w:p>
        </w:tc>
        <w:tc>
          <w:tcPr>
            <w:tcW w:w="1052" w:type="pct"/>
            <w:shd w:val="clear" w:color="000000" w:fill="FFFFFF"/>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上山公路区</w:t>
            </w:r>
          </w:p>
        </w:tc>
        <w:tc>
          <w:tcPr>
            <w:tcW w:w="840" w:type="pct"/>
            <w:shd w:val="clear" w:color="000000" w:fill="FFFFFF"/>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挖损</w:t>
            </w:r>
          </w:p>
        </w:tc>
        <w:tc>
          <w:tcPr>
            <w:tcW w:w="91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hm</w:t>
            </w:r>
            <w:r>
              <w:rPr>
                <w:rFonts w:ascii="Times New Roman" w:hAnsi="Times New Roman" w:eastAsia="宋体" w:cs="Times New Roman"/>
                <w:color w:val="auto"/>
                <w:highlight w:val="none"/>
                <w:vertAlign w:val="superscript"/>
              </w:rPr>
              <w:t>2</w:t>
            </w:r>
          </w:p>
        </w:tc>
        <w:tc>
          <w:tcPr>
            <w:tcW w:w="840"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10米</w:t>
            </w:r>
          </w:p>
        </w:tc>
        <w:tc>
          <w:tcPr>
            <w:tcW w:w="837" w:type="pct"/>
            <w:noWrap/>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中</w:t>
            </w:r>
            <w:r>
              <w:rPr>
                <w:rFonts w:ascii="Times New Roman" w:hAnsi="Times New Roman" w:eastAsia="宋体" w:cs="Times New Roman"/>
                <w:color w:val="auto"/>
                <w:highlight w:val="none"/>
              </w:rPr>
              <w:t>度损毁</w:t>
            </w:r>
          </w:p>
        </w:tc>
      </w:tr>
    </w:tbl>
    <w:p>
      <w:pPr>
        <w:spacing w:line="276" w:lineRule="auto"/>
        <w:jc w:val="center"/>
        <w:rPr>
          <w:rFonts w:ascii="Times New Roman" w:hAnsi="Times New Roman" w:eastAsia="宋体" w:cs="Times New Roman"/>
          <w:b/>
          <w:color w:val="auto"/>
          <w:kern w:val="0"/>
          <w:sz w:val="24"/>
          <w:highlight w:val="none"/>
        </w:rPr>
      </w:pPr>
    </w:p>
    <w:p>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w:t>
      </w:r>
      <w:r>
        <w:rPr>
          <w:rFonts w:hint="eastAsia" w:ascii="Times New Roman" w:hAnsi="Times New Roman" w:eastAsia="宋体" w:cs="Times New Roman"/>
          <w:b/>
          <w:color w:val="auto"/>
          <w:kern w:val="0"/>
          <w:highlight w:val="none"/>
        </w:rPr>
        <w:t>14</w:t>
      </w:r>
      <w:r>
        <w:rPr>
          <w:rFonts w:ascii="Times New Roman" w:hAnsi="Times New Roman" w:eastAsia="宋体" w:cs="Times New Roman"/>
          <w:b/>
          <w:color w:val="auto"/>
          <w:kern w:val="0"/>
          <w:highlight w:val="none"/>
        </w:rPr>
        <w:t xml:space="preserve">  损毁土地总面积表</w:t>
      </w:r>
    </w:p>
    <w:tbl>
      <w:tblPr>
        <w:tblStyle w:val="23"/>
        <w:tblW w:w="8837" w:type="dxa"/>
        <w:jc w:val="center"/>
        <w:tblLayout w:type="fixed"/>
        <w:tblCellMar>
          <w:top w:w="0" w:type="dxa"/>
          <w:left w:w="108" w:type="dxa"/>
          <w:bottom w:w="0" w:type="dxa"/>
          <w:right w:w="108" w:type="dxa"/>
        </w:tblCellMar>
      </w:tblPr>
      <w:tblGrid>
        <w:gridCol w:w="3815"/>
        <w:gridCol w:w="1943"/>
        <w:gridCol w:w="1815"/>
        <w:gridCol w:w="1264"/>
      </w:tblGrid>
      <w:tr>
        <w:tblPrEx>
          <w:tblCellMar>
            <w:top w:w="0" w:type="dxa"/>
            <w:left w:w="108" w:type="dxa"/>
            <w:bottom w:w="0" w:type="dxa"/>
            <w:right w:w="108" w:type="dxa"/>
          </w:tblCellMar>
        </w:tblPrEx>
        <w:trPr>
          <w:trHeight w:val="187" w:hRule="atLeast"/>
          <w:jc w:val="center"/>
        </w:trPr>
        <w:tc>
          <w:tcPr>
            <w:tcW w:w="2158" w:type="pct"/>
            <w:tcBorders>
              <w:top w:val="single" w:color="auto" w:sz="4" w:space="0"/>
              <w:left w:val="single" w:color="auto" w:sz="4" w:space="0"/>
              <w:bottom w:val="single" w:color="auto" w:sz="4" w:space="0"/>
              <w:right w:val="single" w:color="auto" w:sz="4" w:space="0"/>
            </w:tcBorders>
            <w:noWrap/>
            <w:vAlign w:val="center"/>
          </w:tcPr>
          <w:p>
            <w:pPr>
              <w:jc w:val="center"/>
              <w:rPr>
                <w:rFonts w:eastAsia="宋体"/>
                <w:color w:val="auto"/>
                <w:highlight w:val="none"/>
              </w:rPr>
            </w:pPr>
            <w:r>
              <w:rPr>
                <w:rFonts w:eastAsia="宋体"/>
                <w:color w:val="auto"/>
                <w:highlight w:val="none"/>
              </w:rPr>
              <w:t>项目名称</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eastAsia="宋体"/>
                <w:color w:val="auto"/>
                <w:highlight w:val="none"/>
              </w:rPr>
            </w:pPr>
            <w:r>
              <w:rPr>
                <w:rFonts w:eastAsia="宋体"/>
                <w:color w:val="auto"/>
                <w:highlight w:val="none"/>
              </w:rPr>
              <w:t>土地损毁程度</w:t>
            </w:r>
          </w:p>
        </w:tc>
        <w:tc>
          <w:tcPr>
            <w:tcW w:w="1026" w:type="pct"/>
            <w:tcBorders>
              <w:top w:val="single" w:color="auto" w:sz="4" w:space="0"/>
              <w:left w:val="single" w:color="auto" w:sz="4" w:space="0"/>
              <w:bottom w:val="single" w:color="auto" w:sz="4" w:space="0"/>
              <w:right w:val="single" w:color="auto" w:sz="4" w:space="0"/>
            </w:tcBorders>
            <w:noWrap/>
            <w:vAlign w:val="center"/>
          </w:tcPr>
          <w:p>
            <w:pPr>
              <w:jc w:val="center"/>
              <w:rPr>
                <w:rFonts w:eastAsia="宋体"/>
                <w:color w:val="auto"/>
                <w:highlight w:val="none"/>
              </w:rPr>
            </w:pPr>
            <w:r>
              <w:rPr>
                <w:rFonts w:eastAsia="宋体"/>
                <w:color w:val="auto"/>
                <w:highlight w:val="none"/>
              </w:rPr>
              <w:t>损毁面积（hm</w:t>
            </w:r>
            <w:r>
              <w:rPr>
                <w:rFonts w:eastAsia="宋体"/>
                <w:color w:val="auto"/>
                <w:highlight w:val="none"/>
                <w:vertAlign w:val="superscript"/>
              </w:rPr>
              <w:t>2</w:t>
            </w:r>
            <w:r>
              <w:rPr>
                <w:rFonts w:eastAsia="宋体"/>
                <w:color w:val="auto"/>
                <w:highlight w:val="none"/>
              </w:rPr>
              <w:t>）</w:t>
            </w:r>
          </w:p>
        </w:tc>
        <w:tc>
          <w:tcPr>
            <w:tcW w:w="715" w:type="pct"/>
            <w:tcBorders>
              <w:top w:val="single" w:color="auto" w:sz="4" w:space="0"/>
              <w:left w:val="single" w:color="auto" w:sz="4" w:space="0"/>
              <w:bottom w:val="single" w:color="auto" w:sz="4" w:space="0"/>
              <w:right w:val="single" w:color="auto" w:sz="4" w:space="0"/>
            </w:tcBorders>
            <w:noWrap/>
            <w:vAlign w:val="center"/>
          </w:tcPr>
          <w:p>
            <w:pPr>
              <w:jc w:val="center"/>
              <w:rPr>
                <w:rFonts w:eastAsia="宋体"/>
                <w:color w:val="auto"/>
                <w:highlight w:val="none"/>
              </w:rPr>
            </w:pPr>
            <w:r>
              <w:rPr>
                <w:rFonts w:eastAsia="宋体"/>
                <w:color w:val="auto"/>
                <w:highlight w:val="none"/>
              </w:rPr>
              <w:t>比例%</w:t>
            </w:r>
          </w:p>
        </w:tc>
      </w:tr>
      <w:tr>
        <w:tblPrEx>
          <w:tblCellMar>
            <w:top w:w="0" w:type="dxa"/>
            <w:left w:w="108" w:type="dxa"/>
            <w:bottom w:w="0" w:type="dxa"/>
            <w:right w:w="108" w:type="dxa"/>
          </w:tblCellMar>
        </w:tblPrEx>
        <w:trPr>
          <w:trHeight w:val="484"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pPr>
              <w:jc w:val="center"/>
              <w:rPr>
                <w:rFonts w:eastAsia="宋体"/>
                <w:color w:val="auto"/>
                <w:highlight w:val="none"/>
              </w:rPr>
            </w:pPr>
            <w:r>
              <w:rPr>
                <w:rFonts w:hint="eastAsia" w:eastAsia="宋体"/>
                <w:color w:val="auto"/>
                <w:highlight w:val="none"/>
                <w:lang w:val="en-US" w:eastAsia="zh-CN"/>
              </w:rPr>
              <w:t>大英县玉峰镇浅垭子砖瓦用</w:t>
            </w:r>
            <w:r>
              <w:rPr>
                <w:rFonts w:hint="eastAsia" w:eastAsia="宋体"/>
                <w:color w:val="auto"/>
                <w:highlight w:val="none"/>
              </w:rPr>
              <w:t>页岩矿</w:t>
            </w:r>
          </w:p>
        </w:tc>
        <w:tc>
          <w:tcPr>
            <w:tcW w:w="1099" w:type="pct"/>
            <w:tcBorders>
              <w:top w:val="single" w:color="auto" w:sz="4" w:space="0"/>
              <w:left w:val="single" w:color="auto" w:sz="4" w:space="0"/>
              <w:right w:val="single" w:color="auto" w:sz="4" w:space="0"/>
            </w:tcBorders>
            <w:noWrap/>
            <w:vAlign w:val="center"/>
          </w:tcPr>
          <w:p>
            <w:pPr>
              <w:jc w:val="center"/>
              <w:rPr>
                <w:rFonts w:eastAsia="宋体"/>
                <w:color w:val="auto"/>
                <w:highlight w:val="none"/>
              </w:rPr>
            </w:pPr>
            <w:r>
              <w:rPr>
                <w:rFonts w:eastAsia="宋体"/>
                <w:color w:val="auto"/>
                <w:highlight w:val="none"/>
              </w:rPr>
              <w:t>重度损毁</w:t>
            </w:r>
          </w:p>
        </w:tc>
        <w:tc>
          <w:tcPr>
            <w:tcW w:w="1026" w:type="pct"/>
            <w:tcBorders>
              <w:top w:val="single" w:color="auto" w:sz="4" w:space="0"/>
              <w:left w:val="single" w:color="auto" w:sz="4" w:space="0"/>
              <w:right w:val="single" w:color="auto" w:sz="4" w:space="0"/>
            </w:tcBorders>
            <w:noWrap/>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3.89</w:t>
            </w:r>
          </w:p>
        </w:tc>
        <w:tc>
          <w:tcPr>
            <w:tcW w:w="71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w:t>
            </w:r>
          </w:p>
        </w:tc>
      </w:tr>
      <w:tr>
        <w:tblPrEx>
          <w:tblCellMar>
            <w:top w:w="0" w:type="dxa"/>
            <w:left w:w="108" w:type="dxa"/>
            <w:bottom w:w="0" w:type="dxa"/>
            <w:right w:w="108" w:type="dxa"/>
          </w:tblCellMar>
        </w:tblPrEx>
        <w:trPr>
          <w:trHeight w:val="354" w:hRule="atLeast"/>
          <w:jc w:val="center"/>
        </w:trPr>
        <w:tc>
          <w:tcPr>
            <w:tcW w:w="3257" w:type="pct"/>
            <w:gridSpan w:val="2"/>
            <w:tcBorders>
              <w:top w:val="single" w:color="auto" w:sz="4" w:space="0"/>
              <w:left w:val="single" w:color="auto" w:sz="4" w:space="0"/>
              <w:bottom w:val="single" w:color="auto" w:sz="4" w:space="0"/>
              <w:right w:val="single" w:color="auto" w:sz="4" w:space="0"/>
            </w:tcBorders>
            <w:vAlign w:val="center"/>
          </w:tcPr>
          <w:p>
            <w:pPr>
              <w:jc w:val="center"/>
              <w:rPr>
                <w:rFonts w:eastAsia="宋体"/>
                <w:color w:val="auto"/>
                <w:highlight w:val="none"/>
              </w:rPr>
            </w:pPr>
            <w:r>
              <w:rPr>
                <w:rFonts w:hint="eastAsia" w:eastAsia="宋体"/>
                <w:color w:val="auto"/>
                <w:highlight w:val="none"/>
              </w:rPr>
              <w:t>合计</w:t>
            </w:r>
          </w:p>
        </w:tc>
        <w:tc>
          <w:tcPr>
            <w:tcW w:w="1026"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Theme="minorEastAsia"/>
                <w:color w:val="auto"/>
                <w:lang w:val="en-US" w:eastAsia="zh-CN"/>
              </w:rPr>
            </w:pPr>
            <w:r>
              <w:rPr>
                <w:rFonts w:hint="eastAsia"/>
                <w:color w:val="auto"/>
                <w:lang w:val="en-US" w:eastAsia="zh-CN"/>
              </w:rPr>
              <w:t>3.89</w:t>
            </w:r>
          </w:p>
        </w:tc>
        <w:tc>
          <w:tcPr>
            <w:tcW w:w="715"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100</w:t>
            </w:r>
          </w:p>
        </w:tc>
      </w:tr>
    </w:tbl>
    <w:p>
      <w:pPr>
        <w:pStyle w:val="22"/>
        <w:ind w:firstLine="0" w:firstLineChars="0"/>
        <w:rPr>
          <w:rFonts w:ascii="Times New Roman" w:hAnsi="Times New Roman" w:cs="Times New Roman"/>
          <w:color w:val="auto"/>
          <w:sz w:val="24"/>
          <w:szCs w:val="24"/>
          <w:highlight w:val="none"/>
        </w:rPr>
      </w:pPr>
    </w:p>
    <w:p>
      <w:pPr>
        <w:pStyle w:val="4"/>
        <w:rPr>
          <w:rFonts w:ascii="Times New Roman" w:hAnsi="Times New Roman" w:eastAsia="宋体" w:cs="Times New Roman"/>
          <w:color w:val="auto"/>
          <w:sz w:val="30"/>
          <w:szCs w:val="30"/>
          <w:highlight w:val="none"/>
        </w:rPr>
      </w:pPr>
      <w:bookmarkStart w:id="110" w:name="_Toc11380"/>
      <w:r>
        <w:rPr>
          <w:rFonts w:ascii="Times New Roman" w:hAnsi="Times New Roman" w:eastAsia="宋体" w:cs="Times New Roman"/>
          <w:color w:val="auto"/>
          <w:sz w:val="30"/>
          <w:szCs w:val="30"/>
          <w:highlight w:val="none"/>
        </w:rPr>
        <w:t>四、矿山地质环境治理分区与土地复垦范围</w:t>
      </w:r>
      <w:bookmarkEnd w:id="110"/>
    </w:p>
    <w:p>
      <w:pPr>
        <w:pStyle w:val="5"/>
        <w:rPr>
          <w:rFonts w:ascii="Times New Roman" w:hAnsi="Times New Roman" w:eastAsia="宋体" w:cs="Times New Roman"/>
          <w:color w:val="auto"/>
          <w:sz w:val="28"/>
          <w:szCs w:val="28"/>
          <w:highlight w:val="none"/>
        </w:rPr>
      </w:pPr>
      <w:bookmarkStart w:id="111" w:name="_Toc5446"/>
      <w:r>
        <w:rPr>
          <w:rFonts w:ascii="Times New Roman" w:hAnsi="Times New Roman" w:eastAsia="宋体" w:cs="Times New Roman"/>
          <w:color w:val="auto"/>
          <w:sz w:val="28"/>
          <w:szCs w:val="28"/>
          <w:highlight w:val="none"/>
        </w:rPr>
        <w:t>（一）矿山地质环境保护与恢复治理分区</w:t>
      </w:r>
      <w:bookmarkEnd w:id="111"/>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1、分区原则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具有“自然、社会、经济”三重属性。因此，坚持“以人为本，以工程建设为中心，以可持续发展为目标”的原则。根据矿产资源开发利用方案确定的开采顺序，开采方法，工作面的推进速度以及方案的服务年限等。同时考虑基础建设和开采引发或加剧矿山地质环境恶化的危害，做到尽可能减小工程建设和矿山开采等人类工程活动对地质环境造成的破坏，以及尽可能对已破坏的地质环境进行恢复治理的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根据现状评估结果和预测评估结果，采取就上不就下的原则进行分区。</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2、分区方法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对地质灾害、含水层、地形地貌景观、土地资源影响和破坏现状评估与预测评估的基础上，根据可能造成的损失大小和防治难易程度，对矿山地质环境保护与治理恢复进行分区。选取地质灾害、含水层、地形地貌景观、土地资源现状与预测评估结果作为分区指标，利用叠加法进行分区，分区标准按《矿山地质环境保护与治理恢复方案编制规范》中附录表F.1：“矿山地质环境保护与治理恢复分区表”（表3-15）之规定进行。</w:t>
      </w:r>
    </w:p>
    <w:p>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w:t>
      </w:r>
      <w:r>
        <w:rPr>
          <w:rFonts w:hint="eastAsia" w:ascii="Times New Roman" w:hAnsi="Times New Roman" w:eastAsia="宋体" w:cs="Times New Roman"/>
          <w:b/>
          <w:color w:val="auto"/>
          <w:kern w:val="0"/>
          <w:highlight w:val="none"/>
        </w:rPr>
        <w:t>15</w:t>
      </w:r>
      <w:r>
        <w:rPr>
          <w:rFonts w:ascii="Times New Roman" w:hAnsi="Times New Roman" w:eastAsia="宋体" w:cs="Times New Roman"/>
          <w:b/>
          <w:color w:val="auto"/>
          <w:kern w:val="0"/>
          <w:highlight w:val="none"/>
        </w:rPr>
        <w:t xml:space="preserve">   矿山地质环境保护与治理恢复分区表</w:t>
      </w:r>
    </w:p>
    <w:tbl>
      <w:tblPr>
        <w:tblStyle w:val="23"/>
        <w:tblW w:w="8787" w:type="dxa"/>
        <w:jc w:val="center"/>
        <w:tblLayout w:type="fixed"/>
        <w:tblCellMar>
          <w:top w:w="0" w:type="dxa"/>
          <w:left w:w="108" w:type="dxa"/>
          <w:bottom w:w="0" w:type="dxa"/>
          <w:right w:w="108" w:type="dxa"/>
        </w:tblCellMar>
      </w:tblPr>
      <w:tblGrid>
        <w:gridCol w:w="2823"/>
        <w:gridCol w:w="1954"/>
        <w:gridCol w:w="1837"/>
        <w:gridCol w:w="2173"/>
      </w:tblGrid>
      <w:tr>
        <w:tblPrEx>
          <w:tblCellMar>
            <w:top w:w="0" w:type="dxa"/>
            <w:left w:w="108" w:type="dxa"/>
            <w:bottom w:w="0" w:type="dxa"/>
            <w:right w:w="108" w:type="dxa"/>
          </w:tblCellMar>
        </w:tblPrEx>
        <w:trPr>
          <w:trHeight w:val="340" w:hRule="exact"/>
          <w:jc w:val="center"/>
        </w:trPr>
        <w:tc>
          <w:tcPr>
            <w:tcW w:w="2832" w:type="dxa"/>
            <w:vMerge w:val="restart"/>
            <w:tcBorders>
              <w:top w:val="single" w:color="auto" w:sz="4" w:space="0"/>
              <w:left w:val="single" w:color="auto" w:sz="4" w:space="0"/>
              <w:bottom w:val="nil"/>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现状评估</w:t>
            </w:r>
          </w:p>
        </w:tc>
        <w:tc>
          <w:tcPr>
            <w:tcW w:w="5983"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预测评估</w:t>
            </w:r>
          </w:p>
        </w:tc>
      </w:tr>
      <w:tr>
        <w:tblPrEx>
          <w:tblCellMar>
            <w:top w:w="0" w:type="dxa"/>
            <w:left w:w="108" w:type="dxa"/>
            <w:bottom w:w="0" w:type="dxa"/>
            <w:right w:w="108" w:type="dxa"/>
          </w:tblCellMar>
        </w:tblPrEx>
        <w:trPr>
          <w:trHeight w:val="340" w:hRule="exact"/>
          <w:jc w:val="center"/>
        </w:trPr>
        <w:tc>
          <w:tcPr>
            <w:tcW w:w="2832" w:type="dxa"/>
            <w:vMerge w:val="continue"/>
            <w:tcBorders>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p>
        </w:tc>
        <w:tc>
          <w:tcPr>
            <w:tcW w:w="1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严重</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较严重</w:t>
            </w:r>
          </w:p>
        </w:tc>
        <w:tc>
          <w:tcPr>
            <w:tcW w:w="21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r>
      <w:tr>
        <w:tblPrEx>
          <w:tblCellMar>
            <w:top w:w="0" w:type="dxa"/>
            <w:left w:w="108" w:type="dxa"/>
            <w:bottom w:w="0" w:type="dxa"/>
            <w:right w:w="108" w:type="dxa"/>
          </w:tblCellMar>
        </w:tblPrEx>
        <w:trPr>
          <w:trHeight w:val="340" w:hRule="exact"/>
          <w:jc w:val="center"/>
        </w:trPr>
        <w:tc>
          <w:tcPr>
            <w:tcW w:w="28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严重</w:t>
            </w:r>
          </w:p>
        </w:tc>
        <w:tc>
          <w:tcPr>
            <w:tcW w:w="1960" w:type="dxa"/>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c>
          <w:tcPr>
            <w:tcW w:w="1843" w:type="dxa"/>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c>
          <w:tcPr>
            <w:tcW w:w="2180" w:type="dxa"/>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r>
      <w:tr>
        <w:tblPrEx>
          <w:tblCellMar>
            <w:top w:w="0" w:type="dxa"/>
            <w:left w:w="108" w:type="dxa"/>
            <w:bottom w:w="0" w:type="dxa"/>
            <w:right w:w="108" w:type="dxa"/>
          </w:tblCellMar>
        </w:tblPrEx>
        <w:trPr>
          <w:trHeight w:val="340" w:hRule="exact"/>
          <w:jc w:val="center"/>
        </w:trPr>
        <w:tc>
          <w:tcPr>
            <w:tcW w:w="28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较严重</w:t>
            </w:r>
          </w:p>
        </w:tc>
        <w:tc>
          <w:tcPr>
            <w:tcW w:w="1960"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c>
          <w:tcPr>
            <w:tcW w:w="1843" w:type="dxa"/>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次重点区</w:t>
            </w:r>
          </w:p>
        </w:tc>
        <w:tc>
          <w:tcPr>
            <w:tcW w:w="2180" w:type="dxa"/>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次重点区</w:t>
            </w:r>
          </w:p>
        </w:tc>
      </w:tr>
      <w:tr>
        <w:tblPrEx>
          <w:tblCellMar>
            <w:top w:w="0" w:type="dxa"/>
            <w:left w:w="108" w:type="dxa"/>
            <w:bottom w:w="0" w:type="dxa"/>
            <w:right w:w="108" w:type="dxa"/>
          </w:tblCellMar>
        </w:tblPrEx>
        <w:trPr>
          <w:trHeight w:val="340" w:hRule="exact"/>
          <w:jc w:val="center"/>
        </w:trPr>
        <w:tc>
          <w:tcPr>
            <w:tcW w:w="28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1960"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c>
          <w:tcPr>
            <w:tcW w:w="1843" w:type="dxa"/>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次重点区</w:t>
            </w:r>
          </w:p>
        </w:tc>
        <w:tc>
          <w:tcPr>
            <w:tcW w:w="2180" w:type="dxa"/>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一般区</w:t>
            </w:r>
          </w:p>
        </w:tc>
      </w:tr>
    </w:tbl>
    <w:p>
      <w:pPr>
        <w:spacing w:line="360" w:lineRule="auto"/>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3、分区评述</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上述分区原则和方法，结合本矿实际，坚持“以人为本”，在矿山地质环境影响现状评估和预测评估的基础上，充分考虑建设工程本身的重要性，将评估区划分为1个次重点防治区和1个一般防治区。分区叙述如下：</w:t>
      </w:r>
    </w:p>
    <w:p>
      <w:pPr>
        <w:spacing w:line="36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（1）次重点防治区（A）</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该区为</w:t>
      </w:r>
      <w:r>
        <w:rPr>
          <w:rFonts w:hint="eastAsia" w:ascii="仿宋" w:hAnsi="仿宋" w:eastAsia="仿宋" w:cs="仿宋"/>
          <w:color w:val="auto"/>
          <w:sz w:val="28"/>
          <w:szCs w:val="28"/>
          <w:highlight w:val="none"/>
        </w:rPr>
        <w:t>露天采场、上山公路区，</w:t>
      </w:r>
      <w:r>
        <w:rPr>
          <w:rFonts w:hint="eastAsia" w:ascii="仿宋" w:hAnsi="仿宋" w:eastAsia="仿宋" w:cs="仿宋"/>
          <w:bCs/>
          <w:color w:val="auto"/>
          <w:sz w:val="28"/>
          <w:szCs w:val="28"/>
          <w:highlight w:val="none"/>
        </w:rPr>
        <w:t>面积共</w:t>
      </w:r>
      <w:r>
        <w:rPr>
          <w:rFonts w:hint="eastAsia" w:ascii="仿宋" w:hAnsi="仿宋" w:eastAsia="仿宋" w:cs="仿宋"/>
          <w:bCs/>
          <w:color w:val="auto"/>
          <w:sz w:val="28"/>
          <w:szCs w:val="28"/>
          <w:highlight w:val="none"/>
          <w:lang w:val="en-US" w:eastAsia="zh-CN"/>
        </w:rPr>
        <w:t>3.89</w:t>
      </w:r>
      <w:r>
        <w:rPr>
          <w:rFonts w:hint="eastAsia" w:ascii="仿宋" w:hAnsi="仿宋" w:eastAsia="仿宋" w:cs="仿宋"/>
          <w:bCs/>
          <w:color w:val="auto"/>
          <w:sz w:val="28"/>
          <w:szCs w:val="28"/>
          <w:highlight w:val="none"/>
        </w:rPr>
        <w:t>hm</w:t>
      </w:r>
      <w:r>
        <w:rPr>
          <w:rFonts w:hint="eastAsia" w:ascii="仿宋" w:hAnsi="仿宋" w:eastAsia="仿宋" w:cs="仿宋"/>
          <w:bCs/>
          <w:color w:val="auto"/>
          <w:sz w:val="28"/>
          <w:szCs w:val="28"/>
          <w:highlight w:val="none"/>
          <w:vertAlign w:val="superscript"/>
        </w:rPr>
        <w:t>2</w:t>
      </w:r>
      <w:r>
        <w:rPr>
          <w:rFonts w:hint="eastAsia" w:ascii="仿宋" w:hAnsi="仿宋" w:eastAsia="仿宋" w:cs="仿宋"/>
          <w:bCs/>
          <w:color w:val="auto"/>
          <w:sz w:val="28"/>
          <w:szCs w:val="28"/>
          <w:highlight w:val="none"/>
        </w:rPr>
        <w:t>，占评估区（评估区面积4.8hm</w:t>
      </w:r>
      <w:r>
        <w:rPr>
          <w:rFonts w:hint="eastAsia" w:ascii="仿宋" w:hAnsi="仿宋" w:eastAsia="仿宋" w:cs="仿宋"/>
          <w:bCs/>
          <w:color w:val="auto"/>
          <w:sz w:val="28"/>
          <w:szCs w:val="28"/>
          <w:highlight w:val="none"/>
          <w:vertAlign w:val="superscript"/>
        </w:rPr>
        <w:t>2</w:t>
      </w:r>
      <w:r>
        <w:rPr>
          <w:rFonts w:hint="eastAsia" w:ascii="仿宋" w:hAnsi="仿宋" w:eastAsia="仿宋" w:cs="仿宋"/>
          <w:bCs/>
          <w:color w:val="auto"/>
          <w:sz w:val="28"/>
          <w:szCs w:val="28"/>
          <w:highlight w:val="none"/>
        </w:rPr>
        <w:t>）的</w:t>
      </w:r>
      <w:r>
        <w:rPr>
          <w:rFonts w:hint="eastAsia" w:ascii="仿宋" w:hAnsi="仿宋" w:eastAsia="仿宋" w:cs="仿宋"/>
          <w:bCs/>
          <w:color w:val="auto"/>
          <w:sz w:val="28"/>
          <w:szCs w:val="28"/>
          <w:highlight w:val="none"/>
          <w:lang w:val="en-US" w:eastAsia="zh-CN"/>
        </w:rPr>
        <w:t>81</w:t>
      </w:r>
      <w:r>
        <w:rPr>
          <w:rFonts w:hint="eastAsia" w:ascii="仿宋" w:hAnsi="仿宋" w:eastAsia="仿宋" w:cs="仿宋"/>
          <w:bCs/>
          <w:color w:val="auto"/>
          <w:sz w:val="28"/>
          <w:szCs w:val="28"/>
          <w:highlight w:val="none"/>
        </w:rPr>
        <w:t>%。预测该区地质环境影响较严重，主要表现为：对</w:t>
      </w:r>
      <w:r>
        <w:rPr>
          <w:rFonts w:hint="eastAsia" w:ascii="仿宋" w:hAnsi="仿宋" w:eastAsia="仿宋" w:cs="仿宋"/>
          <w:color w:val="auto"/>
          <w:sz w:val="28"/>
          <w:szCs w:val="28"/>
          <w:highlight w:val="none"/>
        </w:rPr>
        <w:t>地质灾害影响程度</w:t>
      </w:r>
      <w:r>
        <w:rPr>
          <w:rFonts w:hint="eastAsia" w:ascii="仿宋" w:hAnsi="仿宋" w:eastAsia="仿宋" w:cs="仿宋"/>
          <w:color w:val="auto"/>
          <w:sz w:val="28"/>
          <w:szCs w:val="28"/>
          <w:highlight w:val="none"/>
          <w:lang w:val="en-US" w:eastAsia="zh-CN"/>
        </w:rPr>
        <w:t>较轻</w:t>
      </w:r>
      <w:r>
        <w:rPr>
          <w:rFonts w:hint="eastAsia" w:ascii="仿宋" w:hAnsi="仿宋" w:eastAsia="仿宋" w:cs="仿宋"/>
          <w:color w:val="auto"/>
          <w:sz w:val="28"/>
          <w:szCs w:val="28"/>
          <w:highlight w:val="none"/>
        </w:rPr>
        <w:t>，对地形地貌景观破坏较严重，对土地资源损毁较严重。</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主要防治措施：开展矿山地质环境监测，及时了解掌握采矿活动原生地形地貌景观的影响范围和破坏程度。对监测发现的地质灾害隐患采取工程措施及时予以消除；结合土地复垦工程予以景观恢复。</w:t>
      </w:r>
    </w:p>
    <w:p>
      <w:pPr>
        <w:spacing w:line="36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（2）一般防治区（B）</w:t>
      </w:r>
    </w:p>
    <w:p>
      <w:pPr>
        <w:spacing w:line="36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除上述重点防治区以外的评估范围内</w:t>
      </w:r>
      <w:r>
        <w:rPr>
          <w:rFonts w:hint="eastAsia" w:ascii="仿宋" w:hAnsi="仿宋" w:eastAsia="仿宋" w:cs="仿宋"/>
          <w:bCs/>
          <w:color w:val="auto"/>
          <w:sz w:val="28"/>
          <w:szCs w:val="28"/>
          <w:highlight w:val="none"/>
          <w:lang w:eastAsia="zh-CN"/>
        </w:rPr>
        <w:t>的其他</w:t>
      </w:r>
      <w:r>
        <w:rPr>
          <w:rFonts w:hint="eastAsia" w:ascii="仿宋" w:hAnsi="仿宋" w:eastAsia="仿宋" w:cs="仿宋"/>
          <w:bCs/>
          <w:color w:val="auto"/>
          <w:sz w:val="28"/>
          <w:szCs w:val="28"/>
          <w:highlight w:val="none"/>
        </w:rPr>
        <w:t>区域，面积为</w:t>
      </w:r>
      <w:r>
        <w:rPr>
          <w:rFonts w:hint="eastAsia" w:ascii="仿宋" w:hAnsi="仿宋" w:eastAsia="仿宋" w:cs="仿宋"/>
          <w:color w:val="auto"/>
          <w:sz w:val="28"/>
          <w:szCs w:val="28"/>
          <w:highlight w:val="none"/>
          <w:lang w:val="en-US" w:eastAsia="zh-CN"/>
        </w:rPr>
        <w:t>0.91</w:t>
      </w:r>
      <w:r>
        <w:rPr>
          <w:rFonts w:hint="eastAsia" w:ascii="仿宋" w:hAnsi="仿宋" w:eastAsia="仿宋" w:cs="仿宋"/>
          <w:bCs/>
          <w:color w:val="auto"/>
          <w:sz w:val="28"/>
          <w:szCs w:val="28"/>
          <w:highlight w:val="none"/>
        </w:rPr>
        <w:t>hm</w:t>
      </w:r>
      <w:r>
        <w:rPr>
          <w:rFonts w:hint="eastAsia" w:ascii="仿宋" w:hAnsi="仿宋" w:eastAsia="仿宋" w:cs="仿宋"/>
          <w:bCs/>
          <w:color w:val="auto"/>
          <w:sz w:val="28"/>
          <w:szCs w:val="28"/>
          <w:highlight w:val="none"/>
          <w:vertAlign w:val="superscript"/>
        </w:rPr>
        <w:t>2</w:t>
      </w:r>
      <w:r>
        <w:rPr>
          <w:rFonts w:hint="eastAsia" w:ascii="仿宋" w:hAnsi="仿宋" w:eastAsia="仿宋" w:cs="仿宋"/>
          <w:bCs/>
          <w:color w:val="auto"/>
          <w:sz w:val="28"/>
          <w:szCs w:val="28"/>
          <w:highlight w:val="none"/>
        </w:rPr>
        <w:t>，占评估区（4.8hm</w:t>
      </w:r>
      <w:r>
        <w:rPr>
          <w:rFonts w:hint="eastAsia" w:ascii="仿宋" w:hAnsi="仿宋" w:eastAsia="仿宋" w:cs="仿宋"/>
          <w:bCs/>
          <w:color w:val="auto"/>
          <w:sz w:val="28"/>
          <w:szCs w:val="28"/>
          <w:highlight w:val="none"/>
          <w:vertAlign w:val="superscript"/>
        </w:rPr>
        <w:t>2</w:t>
      </w:r>
      <w:r>
        <w:rPr>
          <w:rFonts w:hint="eastAsia" w:ascii="仿宋" w:hAnsi="仿宋" w:eastAsia="仿宋" w:cs="仿宋"/>
          <w:bCs/>
          <w:color w:val="auto"/>
          <w:sz w:val="28"/>
          <w:szCs w:val="28"/>
          <w:highlight w:val="none"/>
        </w:rPr>
        <w:t>）面积</w:t>
      </w:r>
      <w:r>
        <w:rPr>
          <w:rFonts w:hint="eastAsia" w:ascii="仿宋" w:hAnsi="仿宋" w:eastAsia="仿宋" w:cs="仿宋"/>
          <w:bCs/>
          <w:color w:val="auto"/>
          <w:sz w:val="28"/>
          <w:szCs w:val="28"/>
          <w:highlight w:val="none"/>
          <w:lang w:val="en-US" w:eastAsia="zh-CN"/>
        </w:rPr>
        <w:t>4.8</w:t>
      </w:r>
      <w:r>
        <w:rPr>
          <w:rFonts w:hint="eastAsia" w:ascii="仿宋" w:hAnsi="仿宋" w:eastAsia="仿宋" w:cs="仿宋"/>
          <w:bCs/>
          <w:color w:val="auto"/>
          <w:sz w:val="28"/>
          <w:szCs w:val="28"/>
          <w:highlight w:val="none"/>
        </w:rPr>
        <w:t>%。该区人类工程活动较弱，主要影响地质环境的活动为采矿活动对矿区植被的破坏及地形地貌的影响。</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主要防治措施：开展矿山地质环境监测，对监测发现的地质环境问题采取措施及时予以消除。</w:t>
      </w:r>
    </w:p>
    <w:tbl>
      <w:tblPr>
        <w:tblStyle w:val="23"/>
        <w:tblpPr w:leftFromText="180" w:rightFromText="180" w:vertAnchor="text" w:horzAnchor="page" w:tblpX="1773" w:tblpY="319"/>
        <w:tblOverlap w:val="never"/>
        <w:tblW w:w="5201" w:type="pct"/>
        <w:tblInd w:w="0" w:type="dxa"/>
        <w:tblLayout w:type="fixed"/>
        <w:tblCellMar>
          <w:top w:w="0" w:type="dxa"/>
          <w:left w:w="108" w:type="dxa"/>
          <w:bottom w:w="0" w:type="dxa"/>
          <w:right w:w="108" w:type="dxa"/>
        </w:tblCellMar>
      </w:tblPr>
      <w:tblGrid>
        <w:gridCol w:w="460"/>
        <w:gridCol w:w="1443"/>
        <w:gridCol w:w="1034"/>
        <w:gridCol w:w="649"/>
        <w:gridCol w:w="512"/>
        <w:gridCol w:w="1358"/>
        <w:gridCol w:w="1752"/>
        <w:gridCol w:w="989"/>
        <w:gridCol w:w="668"/>
      </w:tblGrid>
      <w:tr>
        <w:tblPrEx>
          <w:tblCellMar>
            <w:top w:w="0" w:type="dxa"/>
            <w:left w:w="108" w:type="dxa"/>
            <w:bottom w:w="0" w:type="dxa"/>
            <w:right w:w="108" w:type="dxa"/>
          </w:tblCellMar>
        </w:tblPrEx>
        <w:trPr>
          <w:trHeight w:val="288" w:hRule="atLeast"/>
        </w:trPr>
        <w:tc>
          <w:tcPr>
            <w:tcW w:w="5000" w:type="pct"/>
            <w:gridSpan w:val="9"/>
            <w:tcBorders>
              <w:bottom w:val="single" w:color="auto" w:sz="4" w:space="0"/>
            </w:tcBorders>
            <w:vAlign w:val="center"/>
          </w:tcPr>
          <w:p>
            <w:pPr>
              <w:jc w:val="center"/>
              <w:rPr>
                <w:rFonts w:ascii="Times New Roman" w:hAnsi="Times New Roman" w:eastAsia="宋体" w:cs="Times New Roman"/>
                <w:bCs/>
                <w:color w:val="auto"/>
                <w:highlight w:val="none"/>
              </w:rPr>
            </w:pPr>
            <w:r>
              <w:rPr>
                <w:rFonts w:ascii="Times New Roman" w:hAnsi="Times New Roman" w:eastAsia="宋体" w:cs="Times New Roman"/>
                <w:b/>
                <w:color w:val="auto"/>
                <w:highlight w:val="none"/>
              </w:rPr>
              <w:t>表3-</w:t>
            </w:r>
            <w:r>
              <w:rPr>
                <w:rFonts w:hint="eastAsia" w:ascii="Times New Roman" w:hAnsi="Times New Roman" w:eastAsia="宋体" w:cs="Times New Roman"/>
                <w:b/>
                <w:color w:val="auto"/>
                <w:highlight w:val="none"/>
              </w:rPr>
              <w:t>16</w:t>
            </w:r>
            <w:r>
              <w:rPr>
                <w:rFonts w:ascii="Times New Roman" w:hAnsi="Times New Roman" w:eastAsia="宋体" w:cs="Times New Roman"/>
                <w:b/>
                <w:color w:val="auto"/>
                <w:highlight w:val="none"/>
              </w:rPr>
              <w:t xml:space="preserve">   矿山地质环境防治分区表</w:t>
            </w:r>
          </w:p>
        </w:tc>
      </w:tr>
      <w:tr>
        <w:tblPrEx>
          <w:tblCellMar>
            <w:top w:w="0" w:type="dxa"/>
            <w:left w:w="108" w:type="dxa"/>
            <w:bottom w:w="0" w:type="dxa"/>
            <w:right w:w="108" w:type="dxa"/>
          </w:tblCellMar>
        </w:tblPrEx>
        <w:trPr>
          <w:trHeight w:val="373" w:hRule="atLeast"/>
        </w:trPr>
        <w:tc>
          <w:tcPr>
            <w:tcW w:w="259"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防治级别</w:t>
            </w:r>
          </w:p>
        </w:tc>
        <w:tc>
          <w:tcPr>
            <w:tcW w:w="139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矿山地质环境影响与土地损毁评估</w:t>
            </w:r>
          </w:p>
        </w:tc>
        <w:tc>
          <w:tcPr>
            <w:tcW w:w="366" w:type="pct"/>
            <w:vMerge w:val="restart"/>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影响程度</w:t>
            </w:r>
          </w:p>
        </w:tc>
        <w:tc>
          <w:tcPr>
            <w:tcW w:w="289" w:type="pct"/>
            <w:vMerge w:val="restar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分区编号</w:t>
            </w:r>
          </w:p>
        </w:tc>
        <w:tc>
          <w:tcPr>
            <w:tcW w:w="766" w:type="pct"/>
            <w:vMerge w:val="restar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矿山地质环境治理</w:t>
            </w:r>
          </w:p>
        </w:tc>
        <w:tc>
          <w:tcPr>
            <w:tcW w:w="985"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工程布置</w:t>
            </w:r>
          </w:p>
        </w:tc>
        <w:tc>
          <w:tcPr>
            <w:tcW w:w="558" w:type="pct"/>
            <w:vMerge w:val="restar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面积</w:t>
            </w:r>
            <w:r>
              <w:rPr>
                <w:rFonts w:hint="eastAsia" w:ascii="Times New Roman" w:hAnsi="Times New Roman" w:eastAsia="宋体" w:cs="Times New Roman"/>
                <w:color w:val="auto"/>
                <w:kern w:val="0"/>
                <w:highlight w:val="none"/>
                <w:lang w:eastAsia="zh-CN"/>
              </w:rPr>
              <w:t>（</w:t>
            </w:r>
            <w:r>
              <w:rPr>
                <w:rFonts w:ascii="Times New Roman" w:hAnsi="Times New Roman" w:eastAsia="宋体" w:cs="Times New Roman"/>
                <w:color w:val="auto"/>
                <w:kern w:val="0"/>
                <w:highlight w:val="none"/>
              </w:rPr>
              <w:t>hm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p>
        </w:tc>
        <w:tc>
          <w:tcPr>
            <w:tcW w:w="376" w:type="pct"/>
            <w:vMerge w:val="restar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比例</w:t>
            </w:r>
            <w:r>
              <w:rPr>
                <w:rFonts w:hint="eastAsia" w:ascii="Times New Roman" w:hAnsi="Times New Roman" w:eastAsia="宋体" w:cs="Times New Roman"/>
                <w:color w:val="auto"/>
                <w:kern w:val="0"/>
                <w:highlight w:val="none"/>
                <w:lang w:eastAsia="zh-CN"/>
              </w:rPr>
              <w:t>（</w:t>
            </w:r>
            <w:r>
              <w:rPr>
                <w:rFonts w:ascii="Times New Roman" w:hAnsi="Times New Roman" w:eastAsia="宋体" w:cs="Times New Roman"/>
                <w:color w:val="auto"/>
                <w:kern w:val="0"/>
                <w:highlight w:val="none"/>
              </w:rPr>
              <w:t>%)</w:t>
            </w:r>
          </w:p>
        </w:tc>
      </w:tr>
      <w:tr>
        <w:tblPrEx>
          <w:tblCellMar>
            <w:top w:w="0" w:type="dxa"/>
            <w:left w:w="108" w:type="dxa"/>
            <w:bottom w:w="0" w:type="dxa"/>
            <w:right w:w="108" w:type="dxa"/>
          </w:tblCellMar>
        </w:tblPrEx>
        <w:trPr>
          <w:trHeight w:val="459"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814"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类型</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影响程度</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98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r>
      <w:tr>
        <w:trPr>
          <w:trHeight w:val="1404" w:hRule="atLeast"/>
        </w:trPr>
        <w:tc>
          <w:tcPr>
            <w:tcW w:w="259"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次</w:t>
            </w:r>
            <w:r>
              <w:rPr>
                <w:rFonts w:ascii="Times New Roman" w:hAnsi="Times New Roman" w:eastAsia="宋体" w:cs="Times New Roman"/>
                <w:color w:val="auto"/>
                <w:kern w:val="0"/>
                <w:highlight w:val="none"/>
              </w:rPr>
              <w:t>重点防治区</w:t>
            </w:r>
          </w:p>
        </w:tc>
        <w:tc>
          <w:tcPr>
            <w:tcW w:w="8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地质灾害</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rPr>
                <w:rFonts w:hint="eastAsia" w:ascii="Times New Roman" w:hAnsi="Times New Roman" w:eastAsia="宋体" w:cs="Times New Roman"/>
                <w:color w:val="auto"/>
                <w:kern w:val="0"/>
                <w:highlight w:val="none"/>
                <w:lang w:eastAsia="zh-CN"/>
              </w:rPr>
            </w:pPr>
            <w:r>
              <w:rPr>
                <w:rFonts w:ascii="Times New Roman" w:hAnsi="Times New Roman" w:eastAsia="宋体" w:cs="Times New Roman"/>
                <w:color w:val="auto"/>
                <w:kern w:val="0"/>
                <w:highlight w:val="none"/>
              </w:rPr>
              <w:t>较</w:t>
            </w:r>
            <w:r>
              <w:rPr>
                <w:rFonts w:hint="eastAsia" w:ascii="Times New Roman" w:hAnsi="Times New Roman" w:eastAsia="宋体" w:cs="Times New Roman"/>
                <w:color w:val="auto"/>
                <w:kern w:val="0"/>
                <w:highlight w:val="none"/>
                <w:lang w:val="en-US" w:eastAsia="zh-CN"/>
              </w:rPr>
              <w:t>轻</w:t>
            </w:r>
          </w:p>
        </w:tc>
        <w:tc>
          <w:tcPr>
            <w:tcW w:w="366" w:type="pct"/>
            <w:vMerge w:val="restar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289"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A</w:t>
            </w: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地质环境保护与土地复垦预防</w:t>
            </w:r>
          </w:p>
        </w:tc>
        <w:tc>
          <w:tcPr>
            <w:tcW w:w="985"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1、设置警示牌；</w:t>
            </w:r>
            <w:r>
              <w:rPr>
                <w:rFonts w:hint="eastAsia" w:ascii="Times New Roman" w:hAnsi="Times New Roman" w:eastAsia="宋体" w:cs="Times New Roman"/>
                <w:color w:val="auto"/>
                <w:kern w:val="0"/>
                <w:highlight w:val="none"/>
              </w:rPr>
              <w:t>2</w:t>
            </w:r>
            <w:r>
              <w:rPr>
                <w:rFonts w:ascii="Times New Roman" w:hAnsi="Times New Roman" w:eastAsia="宋体" w:cs="Times New Roman"/>
                <w:color w:val="auto"/>
                <w:kern w:val="0"/>
                <w:highlight w:val="none"/>
              </w:rPr>
              <w:t>、表土剥离；4、进行管护；5、监测。</w:t>
            </w:r>
          </w:p>
        </w:tc>
        <w:tc>
          <w:tcPr>
            <w:tcW w:w="558" w:type="pct"/>
            <w:vMerge w:val="restart"/>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3.89</w:t>
            </w:r>
          </w:p>
        </w:tc>
        <w:tc>
          <w:tcPr>
            <w:tcW w:w="376" w:type="pct"/>
            <w:vMerge w:val="restart"/>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81</w:t>
            </w:r>
          </w:p>
        </w:tc>
      </w:tr>
      <w:tr>
        <w:tblPrEx>
          <w:tblCellMar>
            <w:top w:w="0" w:type="dxa"/>
            <w:left w:w="108" w:type="dxa"/>
            <w:bottom w:w="0" w:type="dxa"/>
            <w:right w:w="108" w:type="dxa"/>
          </w:tblCellMar>
        </w:tblPrEx>
        <w:trPr>
          <w:trHeight w:val="288"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814"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含水层破坏</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地质灾害治理</w:t>
            </w:r>
          </w:p>
        </w:tc>
        <w:tc>
          <w:tcPr>
            <w:tcW w:w="985"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监测</w:t>
            </w: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r>
      <w:tr>
        <w:tblPrEx>
          <w:tblCellMar>
            <w:top w:w="0" w:type="dxa"/>
            <w:left w:w="108" w:type="dxa"/>
            <w:bottom w:w="0" w:type="dxa"/>
            <w:right w:w="108" w:type="dxa"/>
          </w:tblCellMar>
        </w:tblPrEx>
        <w:trPr>
          <w:trHeight w:val="480"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814"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地形地貌景观</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含水层破坏修复</w:t>
            </w:r>
          </w:p>
        </w:tc>
        <w:tc>
          <w:tcPr>
            <w:tcW w:w="985"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r>
      <w:tr>
        <w:tblPrEx>
          <w:tblCellMar>
            <w:top w:w="0" w:type="dxa"/>
            <w:left w:w="108" w:type="dxa"/>
            <w:bottom w:w="0" w:type="dxa"/>
            <w:right w:w="108" w:type="dxa"/>
          </w:tblCellMar>
        </w:tblPrEx>
        <w:trPr>
          <w:trHeight w:val="480"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814"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水土环境污染</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水土环境污染修复</w:t>
            </w:r>
          </w:p>
        </w:tc>
        <w:tc>
          <w:tcPr>
            <w:tcW w:w="985"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r>
      <w:tr>
        <w:trPr>
          <w:trHeight w:val="1788"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8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土地损毁</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地貌景观修复</w:t>
            </w:r>
          </w:p>
        </w:tc>
        <w:tc>
          <w:tcPr>
            <w:tcW w:w="985"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eastAsia="宋体"/>
                <w:color w:val="auto"/>
                <w:kern w:val="0"/>
                <w:sz w:val="20"/>
                <w:szCs w:val="20"/>
                <w:highlight w:val="none"/>
              </w:rPr>
              <w:t>1、对场地进行平整，覆表土；2、土地翻耕、培肥；3、种植乔木、播撒草籽，在边坡底部栽植葛藤；4、监测管护。</w:t>
            </w: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r>
      <w:tr>
        <w:tblPrEx>
          <w:tblCellMar>
            <w:top w:w="0" w:type="dxa"/>
            <w:left w:w="108" w:type="dxa"/>
            <w:bottom w:w="0" w:type="dxa"/>
            <w:right w:w="108" w:type="dxa"/>
          </w:tblCellMar>
        </w:tblPrEx>
        <w:trPr>
          <w:trHeight w:val="288" w:hRule="atLeast"/>
        </w:trPr>
        <w:tc>
          <w:tcPr>
            <w:tcW w:w="259"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一般防治区</w:t>
            </w:r>
          </w:p>
        </w:tc>
        <w:tc>
          <w:tcPr>
            <w:tcW w:w="814"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地质灾害</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366" w:type="pct"/>
            <w:vMerge w:val="restar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289"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B</w:t>
            </w: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地质环境保护</w:t>
            </w:r>
          </w:p>
        </w:tc>
        <w:tc>
          <w:tcPr>
            <w:tcW w:w="985"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1、设置警示牌；2、定期巡视；3、监测。</w:t>
            </w:r>
          </w:p>
        </w:tc>
        <w:tc>
          <w:tcPr>
            <w:tcW w:w="558" w:type="pct"/>
            <w:vMerge w:val="restart"/>
            <w:tcBorders>
              <w:top w:val="single" w:color="auto" w:sz="4" w:space="0"/>
              <w:left w:val="single" w:color="auto" w:sz="4" w:space="0"/>
              <w:bottom w:val="single" w:color="auto" w:sz="4" w:space="0"/>
              <w:right w:val="single" w:color="auto" w:sz="4" w:space="0"/>
            </w:tcBorders>
            <w:noWrap/>
            <w:vAlign w:val="center"/>
          </w:tcPr>
          <w:p>
            <w:pPr>
              <w:widowControl/>
              <w:rPr>
                <w:rFonts w:hint="default" w:ascii="Times New Roman" w:hAnsi="Times New Roman" w:eastAsia="宋体" w:cs="Times New Roman"/>
                <w:color w:val="auto"/>
                <w:kern w:val="0"/>
                <w:highlight w:val="none"/>
                <w:lang w:val="en-US" w:eastAsia="zh-CN"/>
              </w:rPr>
            </w:pPr>
            <w:r>
              <w:rPr>
                <w:rFonts w:hint="eastAsia" w:ascii="Times New Roman" w:hAnsi="Times New Roman" w:eastAsia="等线" w:cs="Times New Roman"/>
                <w:color w:val="auto"/>
                <w:highlight w:val="none"/>
                <w:lang w:val="en-US" w:eastAsia="zh-CN"/>
              </w:rPr>
              <w:t>0.91</w:t>
            </w:r>
          </w:p>
        </w:tc>
        <w:tc>
          <w:tcPr>
            <w:tcW w:w="376" w:type="pct"/>
            <w:vMerge w:val="restart"/>
            <w:tcBorders>
              <w:top w:val="single" w:color="auto" w:sz="4" w:space="0"/>
              <w:left w:val="single" w:color="auto" w:sz="4" w:space="0"/>
              <w:bottom w:val="single" w:color="auto" w:sz="4" w:space="0"/>
              <w:right w:val="single" w:color="auto" w:sz="4" w:space="0"/>
            </w:tcBorders>
            <w:noWrap/>
            <w:vAlign w:val="center"/>
          </w:tcPr>
          <w:p>
            <w:pPr>
              <w:widowControl/>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19</w:t>
            </w:r>
          </w:p>
        </w:tc>
      </w:tr>
      <w:tr>
        <w:tblPrEx>
          <w:tblCellMar>
            <w:top w:w="0" w:type="dxa"/>
            <w:left w:w="108" w:type="dxa"/>
            <w:bottom w:w="0" w:type="dxa"/>
            <w:right w:w="108" w:type="dxa"/>
          </w:tblCellMar>
        </w:tblPrEx>
        <w:trPr>
          <w:trHeight w:val="288"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814"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含水层破坏</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地质灾害治理</w:t>
            </w:r>
          </w:p>
        </w:tc>
        <w:tc>
          <w:tcPr>
            <w:tcW w:w="98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r>
      <w:tr>
        <w:tblPrEx>
          <w:tblCellMar>
            <w:top w:w="0" w:type="dxa"/>
            <w:left w:w="108" w:type="dxa"/>
            <w:bottom w:w="0" w:type="dxa"/>
            <w:right w:w="108" w:type="dxa"/>
          </w:tblCellMar>
        </w:tblPrEx>
        <w:trPr>
          <w:trHeight w:val="288"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814"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地形地貌景观</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含水层破坏</w:t>
            </w:r>
          </w:p>
        </w:tc>
        <w:tc>
          <w:tcPr>
            <w:tcW w:w="98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r>
      <w:tr>
        <w:trPr>
          <w:trHeight w:val="288"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814"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水土环境污染</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水土环境污染</w:t>
            </w:r>
          </w:p>
        </w:tc>
        <w:tc>
          <w:tcPr>
            <w:tcW w:w="98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r>
      <w:tr>
        <w:tblPrEx>
          <w:tblCellMar>
            <w:top w:w="0" w:type="dxa"/>
            <w:left w:w="108" w:type="dxa"/>
            <w:bottom w:w="0" w:type="dxa"/>
            <w:right w:w="108" w:type="dxa"/>
          </w:tblCellMar>
        </w:tblPrEx>
        <w:trPr>
          <w:trHeight w:val="288"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814"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土地损毁</w:t>
            </w:r>
          </w:p>
        </w:tc>
        <w:tc>
          <w:tcPr>
            <w:tcW w:w="58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地貌景观修复</w:t>
            </w:r>
          </w:p>
        </w:tc>
        <w:tc>
          <w:tcPr>
            <w:tcW w:w="98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auto"/>
                <w:kern w:val="0"/>
                <w:highlight w:val="none"/>
              </w:rPr>
            </w:pP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宋体" w:cs="Times New Roman"/>
                <w:color w:val="auto"/>
                <w:kern w:val="0"/>
                <w:highlight w:val="none"/>
              </w:rPr>
            </w:pPr>
          </w:p>
        </w:tc>
      </w:tr>
      <w:tr>
        <w:tblPrEx>
          <w:tblCellMar>
            <w:top w:w="0" w:type="dxa"/>
            <w:left w:w="108" w:type="dxa"/>
            <w:bottom w:w="0" w:type="dxa"/>
            <w:right w:w="108" w:type="dxa"/>
          </w:tblCellMar>
        </w:tblPrEx>
        <w:trPr>
          <w:trHeight w:val="288" w:hRule="atLeast"/>
        </w:trPr>
        <w:tc>
          <w:tcPr>
            <w:tcW w:w="4065" w:type="pct"/>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合计</w:t>
            </w:r>
          </w:p>
        </w:tc>
        <w:tc>
          <w:tcPr>
            <w:tcW w:w="558"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4.8</w:t>
            </w:r>
          </w:p>
        </w:tc>
        <w:tc>
          <w:tcPr>
            <w:tcW w:w="376" w:type="pct"/>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100</w:t>
            </w:r>
          </w:p>
        </w:tc>
      </w:tr>
    </w:tbl>
    <w:p>
      <w:pPr>
        <w:rPr>
          <w:rFonts w:ascii="Times New Roman" w:hAnsi="Times New Roman" w:cs="Times New Roman"/>
          <w:color w:val="auto"/>
          <w:highlight w:val="none"/>
        </w:rPr>
      </w:pPr>
    </w:p>
    <w:p>
      <w:pPr>
        <w:pStyle w:val="5"/>
        <w:rPr>
          <w:rFonts w:ascii="Times New Roman" w:hAnsi="Times New Roman" w:eastAsia="宋体" w:cs="Times New Roman"/>
          <w:color w:val="auto"/>
          <w:sz w:val="28"/>
          <w:szCs w:val="28"/>
          <w:highlight w:val="none"/>
        </w:rPr>
      </w:pPr>
      <w:bookmarkStart w:id="112" w:name="_Toc2553"/>
      <w:r>
        <w:rPr>
          <w:rFonts w:ascii="Times New Roman" w:hAnsi="Times New Roman" w:eastAsia="宋体" w:cs="Times New Roman"/>
          <w:color w:val="auto"/>
          <w:sz w:val="28"/>
          <w:szCs w:val="28"/>
          <w:highlight w:val="none"/>
        </w:rPr>
        <w:t>（二）土地复垦区与复垦责任范围</w:t>
      </w:r>
      <w:bookmarkEnd w:id="112"/>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根据《土地复垦方案编制规程》（TD/T1031.1-2011），项目复垦区为生产建设项目损毁土地的区域。</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根据《土地复垦方案编制规程第一部分：通则》，复垦区是生产建设项目损毁土地和永久性建设用地构成的区域，复垦责任范围是指复垦区中损毁土地及不再</w:t>
      </w:r>
      <w:r>
        <w:rPr>
          <w:rFonts w:hint="eastAsia" w:ascii="仿宋" w:hAnsi="仿宋" w:eastAsia="仿宋" w:cs="仿宋"/>
          <w:color w:val="auto"/>
          <w:sz w:val="28"/>
          <w:szCs w:val="28"/>
          <w:highlight w:val="none"/>
          <w:lang w:eastAsia="zh-CN"/>
        </w:rPr>
        <w:t>利用</w:t>
      </w:r>
      <w:r>
        <w:rPr>
          <w:rFonts w:hint="eastAsia" w:ascii="仿宋" w:hAnsi="仿宋" w:eastAsia="仿宋" w:cs="仿宋"/>
          <w:color w:val="auto"/>
          <w:sz w:val="28"/>
          <w:szCs w:val="28"/>
          <w:highlight w:val="none"/>
        </w:rPr>
        <w:t>的永久性建设用地构成的区域。</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w:t>
      </w:r>
      <w:r>
        <w:rPr>
          <w:rFonts w:hint="eastAsia" w:ascii="仿宋" w:hAnsi="仿宋" w:eastAsia="仿宋" w:cs="仿宋"/>
          <w:color w:val="auto"/>
          <w:sz w:val="28"/>
          <w:szCs w:val="28"/>
          <w:highlight w:val="none"/>
          <w:lang w:val="en-US" w:eastAsia="zh-CN"/>
        </w:rPr>
        <w:t>矿山开发利用方案及</w:t>
      </w:r>
      <w:r>
        <w:rPr>
          <w:rFonts w:hint="eastAsia" w:ascii="仿宋" w:hAnsi="仿宋" w:eastAsia="仿宋" w:cs="仿宋"/>
          <w:color w:val="auto"/>
          <w:sz w:val="28"/>
          <w:szCs w:val="28"/>
          <w:highlight w:val="none"/>
        </w:rPr>
        <w:t>矿山损毁土地分析</w:t>
      </w:r>
      <w:r>
        <w:rPr>
          <w:rFonts w:hint="eastAsia" w:ascii="仿宋" w:hAnsi="仿宋" w:eastAsia="仿宋" w:cs="仿宋"/>
          <w:color w:val="auto"/>
          <w:sz w:val="28"/>
          <w:szCs w:val="28"/>
          <w:highlight w:val="none"/>
          <w:lang w:val="en-US" w:eastAsia="zh-CN"/>
        </w:rPr>
        <w:t>，矿山部分区域无需进行开采，</w:t>
      </w:r>
      <w:r>
        <w:rPr>
          <w:rFonts w:hint="eastAsia" w:ascii="仿宋" w:hAnsi="仿宋" w:eastAsia="仿宋" w:cs="仿宋"/>
          <w:color w:val="auto"/>
          <w:sz w:val="28"/>
          <w:szCs w:val="28"/>
          <w:highlight w:val="none"/>
        </w:rPr>
        <w:t>至矿山开采结束累计损毁土地总面积约</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，损毁土地包括：露天采场终采平台区、露天采场终采边坡区。项目区不涉及永久性建设用地，因此复垦责任范围面积共</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，土地复垦率为100%。详见表3-17。</w:t>
      </w:r>
    </w:p>
    <w:p>
      <w:pPr>
        <w:pStyle w:val="22"/>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表3-</w:t>
      </w:r>
      <w:r>
        <w:rPr>
          <w:rFonts w:hint="eastAsia" w:ascii="Times New Roman" w:hAnsi="Times New Roman" w:eastAsia="宋体" w:cs="Times New Roman"/>
          <w:b/>
          <w:color w:val="auto"/>
          <w:kern w:val="0"/>
          <w:sz w:val="21"/>
          <w:highlight w:val="none"/>
        </w:rPr>
        <w:t>17</w:t>
      </w:r>
      <w:r>
        <w:rPr>
          <w:rFonts w:ascii="Times New Roman" w:hAnsi="Times New Roman" w:eastAsia="宋体" w:cs="Times New Roman"/>
          <w:b/>
          <w:color w:val="auto"/>
          <w:kern w:val="0"/>
          <w:sz w:val="21"/>
          <w:highlight w:val="none"/>
        </w:rPr>
        <w:t xml:space="preserve">   复垦责任范围土地利用现状表</w:t>
      </w:r>
    </w:p>
    <w:tbl>
      <w:tblPr>
        <w:tblStyle w:val="23"/>
        <w:tblW w:w="8652" w:type="dxa"/>
        <w:jc w:val="center"/>
        <w:tblLayout w:type="autofit"/>
        <w:tblCellMar>
          <w:top w:w="0" w:type="dxa"/>
          <w:left w:w="108" w:type="dxa"/>
          <w:bottom w:w="0" w:type="dxa"/>
          <w:right w:w="108" w:type="dxa"/>
        </w:tblCellMar>
      </w:tblPr>
      <w:tblGrid>
        <w:gridCol w:w="1103"/>
        <w:gridCol w:w="1147"/>
        <w:gridCol w:w="676"/>
        <w:gridCol w:w="1157"/>
        <w:gridCol w:w="818"/>
        <w:gridCol w:w="1337"/>
        <w:gridCol w:w="1147"/>
        <w:gridCol w:w="1390"/>
      </w:tblGrid>
      <w:tr>
        <w:tblPrEx>
          <w:tblCellMar>
            <w:top w:w="0" w:type="dxa"/>
            <w:left w:w="108" w:type="dxa"/>
            <w:bottom w:w="0" w:type="dxa"/>
            <w:right w:w="108" w:type="dxa"/>
          </w:tblCellMar>
        </w:tblPrEx>
        <w:trPr>
          <w:trHeight w:val="472" w:hRule="atLeast"/>
          <w:jc w:val="center"/>
        </w:trPr>
        <w:tc>
          <w:tcPr>
            <w:tcW w:w="110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损毁单元</w:t>
            </w:r>
          </w:p>
        </w:tc>
        <w:tc>
          <w:tcPr>
            <w:tcW w:w="1147"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损毁类型</w:t>
            </w:r>
          </w:p>
        </w:tc>
        <w:tc>
          <w:tcPr>
            <w:tcW w:w="1833" w:type="dxa"/>
            <w:gridSpan w:val="2"/>
            <w:tcBorders>
              <w:top w:val="single" w:color="auto" w:sz="4" w:space="0"/>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一级地类</w:t>
            </w:r>
          </w:p>
        </w:tc>
        <w:tc>
          <w:tcPr>
            <w:tcW w:w="2032" w:type="dxa"/>
            <w:gridSpan w:val="2"/>
            <w:tcBorders>
              <w:top w:val="single" w:color="auto" w:sz="4" w:space="0"/>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二级地类</w:t>
            </w:r>
          </w:p>
        </w:tc>
        <w:tc>
          <w:tcPr>
            <w:tcW w:w="1147" w:type="dxa"/>
            <w:tcBorders>
              <w:top w:val="single" w:color="auto" w:sz="4" w:space="0"/>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面积</w:t>
            </w:r>
          </w:p>
        </w:tc>
        <w:tc>
          <w:tcPr>
            <w:tcW w:w="1390" w:type="dxa"/>
            <w:vMerge w:val="restart"/>
            <w:tcBorders>
              <w:top w:val="single" w:color="auto" w:sz="4" w:space="0"/>
              <w:left w:val="single" w:color="auto" w:sz="4" w:space="0"/>
              <w:right w:val="single" w:color="auto" w:sz="4" w:space="0"/>
            </w:tcBorders>
            <w:vAlign w:val="center"/>
          </w:tcPr>
          <w:p>
            <w:pPr>
              <w:widowControl/>
              <w:jc w:val="center"/>
              <w:rPr>
                <w:rFonts w:eastAsia="宋体"/>
                <w:color w:val="auto"/>
                <w:highlight w:val="none"/>
              </w:rPr>
            </w:pPr>
            <w:r>
              <w:rPr>
                <w:rFonts w:hint="eastAsia" w:eastAsia="宋体"/>
                <w:color w:val="auto"/>
                <w:highlight w:val="none"/>
              </w:rPr>
              <w:t>占总面积比例</w:t>
            </w:r>
            <w:r>
              <w:rPr>
                <w:rFonts w:hint="eastAsia" w:eastAsia="宋体"/>
                <w:color w:val="auto"/>
                <w:highlight w:val="none"/>
                <w:lang w:eastAsia="zh-CN"/>
              </w:rPr>
              <w:t>（</w:t>
            </w:r>
            <w:r>
              <w:rPr>
                <w:rFonts w:hint="eastAsia" w:eastAsia="宋体"/>
                <w:color w:val="auto"/>
                <w:highlight w:val="none"/>
              </w:rPr>
              <w:t>%)</w:t>
            </w:r>
          </w:p>
        </w:tc>
      </w:tr>
      <w:tr>
        <w:tblPrEx>
          <w:tblCellMar>
            <w:top w:w="0" w:type="dxa"/>
            <w:left w:w="108" w:type="dxa"/>
            <w:bottom w:w="0" w:type="dxa"/>
            <w:right w:w="108" w:type="dxa"/>
          </w:tblCellMar>
        </w:tblPrEx>
        <w:trPr>
          <w:trHeight w:val="352" w:hRule="atLeast"/>
          <w:jc w:val="center"/>
        </w:trPr>
        <w:tc>
          <w:tcPr>
            <w:tcW w:w="11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highlight w:val="none"/>
              </w:rPr>
            </w:pPr>
          </w:p>
        </w:tc>
        <w:tc>
          <w:tcPr>
            <w:tcW w:w="11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highlight w:val="none"/>
              </w:rPr>
            </w:pPr>
          </w:p>
        </w:tc>
        <w:tc>
          <w:tcPr>
            <w:tcW w:w="676"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编码</w:t>
            </w:r>
          </w:p>
        </w:tc>
        <w:tc>
          <w:tcPr>
            <w:tcW w:w="1157"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名称</w:t>
            </w:r>
          </w:p>
        </w:tc>
        <w:tc>
          <w:tcPr>
            <w:tcW w:w="695"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编码</w:t>
            </w:r>
          </w:p>
        </w:tc>
        <w:tc>
          <w:tcPr>
            <w:tcW w:w="1337"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名称</w:t>
            </w:r>
          </w:p>
        </w:tc>
        <w:tc>
          <w:tcPr>
            <w:tcW w:w="1147"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hm</w:t>
            </w:r>
            <w:r>
              <w:rPr>
                <w:rFonts w:hint="eastAsia" w:eastAsia="宋体"/>
                <w:color w:val="auto"/>
                <w:highlight w:val="none"/>
                <w:vertAlign w:val="superscript"/>
              </w:rPr>
              <w:t>2</w:t>
            </w:r>
          </w:p>
        </w:tc>
        <w:tc>
          <w:tcPr>
            <w:tcW w:w="1390" w:type="dxa"/>
            <w:vMerge w:val="continue"/>
            <w:tcBorders>
              <w:left w:val="single" w:color="auto" w:sz="4" w:space="0"/>
              <w:bottom w:val="single" w:color="auto" w:sz="4" w:space="0"/>
              <w:right w:val="single" w:color="auto" w:sz="4" w:space="0"/>
            </w:tcBorders>
            <w:vAlign w:val="center"/>
          </w:tcPr>
          <w:p>
            <w:pPr>
              <w:widowControl/>
              <w:jc w:val="left"/>
              <w:rPr>
                <w:rFonts w:eastAsia="宋体"/>
                <w:color w:val="auto"/>
                <w:highlight w:val="none"/>
              </w:rPr>
            </w:pPr>
          </w:p>
        </w:tc>
      </w:tr>
      <w:tr>
        <w:tblPrEx>
          <w:tblCellMar>
            <w:top w:w="0" w:type="dxa"/>
            <w:left w:w="108" w:type="dxa"/>
            <w:bottom w:w="0" w:type="dxa"/>
            <w:right w:w="108" w:type="dxa"/>
          </w:tblCellMar>
        </w:tblPrEx>
        <w:trPr>
          <w:trHeight w:val="321" w:hRule="atLeast"/>
          <w:jc w:val="center"/>
        </w:trPr>
        <w:tc>
          <w:tcPr>
            <w:tcW w:w="1103" w:type="dxa"/>
            <w:vMerge w:val="restart"/>
            <w:tcBorders>
              <w:top w:val="nil"/>
              <w:left w:val="single" w:color="auto" w:sz="4" w:space="0"/>
              <w:right w:val="single" w:color="auto" w:sz="4" w:space="0"/>
            </w:tcBorders>
            <w:vAlign w:val="center"/>
          </w:tcPr>
          <w:p>
            <w:pPr>
              <w:widowControl/>
              <w:jc w:val="center"/>
              <w:rPr>
                <w:rFonts w:eastAsia="宋体"/>
                <w:color w:val="auto"/>
                <w:highlight w:val="none"/>
              </w:rPr>
            </w:pPr>
            <w:r>
              <w:rPr>
                <w:rFonts w:hint="eastAsia" w:eastAsia="宋体"/>
                <w:color w:val="auto"/>
                <w:highlight w:val="none"/>
              </w:rPr>
              <w:t>露天采场（预计开采区）</w:t>
            </w:r>
          </w:p>
        </w:tc>
        <w:tc>
          <w:tcPr>
            <w:tcW w:w="1147" w:type="dxa"/>
            <w:vMerge w:val="restart"/>
            <w:tcBorders>
              <w:top w:val="nil"/>
              <w:left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挖损</w:t>
            </w:r>
          </w:p>
        </w:tc>
        <w:tc>
          <w:tcPr>
            <w:tcW w:w="676" w:type="dxa"/>
            <w:tcBorders>
              <w:top w:val="nil"/>
              <w:left w:val="single" w:color="auto" w:sz="4" w:space="0"/>
              <w:bottom w:val="single" w:color="auto" w:sz="4" w:space="0"/>
              <w:right w:val="single" w:color="auto" w:sz="4" w:space="0"/>
            </w:tcBorders>
            <w:noWrap/>
            <w:vAlign w:val="center"/>
          </w:tcPr>
          <w:p>
            <w:pPr>
              <w:widowControl/>
              <w:jc w:val="center"/>
              <w:rPr>
                <w:rFonts w:hint="eastAsia" w:eastAsia="宋体"/>
                <w:color w:val="auto"/>
                <w:highlight w:val="none"/>
                <w:lang w:eastAsia="zh-CN"/>
              </w:rPr>
            </w:pPr>
            <w:r>
              <w:rPr>
                <w:rFonts w:hint="eastAsia" w:eastAsia="宋体"/>
                <w:color w:val="auto"/>
                <w:highlight w:val="none"/>
              </w:rPr>
              <w:t>0</w:t>
            </w:r>
            <w:r>
              <w:rPr>
                <w:rFonts w:hint="eastAsia" w:eastAsia="宋体"/>
                <w:color w:val="auto"/>
                <w:highlight w:val="none"/>
                <w:lang w:val="en-US" w:eastAsia="zh-CN"/>
              </w:rPr>
              <w:t>3</w:t>
            </w:r>
          </w:p>
        </w:tc>
        <w:tc>
          <w:tcPr>
            <w:tcW w:w="1157" w:type="dxa"/>
            <w:vMerge w:val="restart"/>
            <w:tcBorders>
              <w:top w:val="nil"/>
              <w:left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lang w:val="en-US" w:eastAsia="zh-CN"/>
              </w:rPr>
              <w:t>林地</w:t>
            </w:r>
          </w:p>
        </w:tc>
        <w:tc>
          <w:tcPr>
            <w:tcW w:w="695"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0</w:t>
            </w:r>
            <w:r>
              <w:rPr>
                <w:rFonts w:hint="eastAsia" w:eastAsia="宋体"/>
                <w:color w:val="auto"/>
                <w:highlight w:val="none"/>
                <w:lang w:val="en-US" w:eastAsia="zh-CN"/>
              </w:rPr>
              <w:t>301</w:t>
            </w:r>
            <w:r>
              <w:rPr>
                <w:rFonts w:hint="eastAsia" w:eastAsia="宋体"/>
                <w:color w:val="auto"/>
                <w:highlight w:val="none"/>
              </w:rPr>
              <w:t>.</w:t>
            </w:r>
          </w:p>
        </w:tc>
        <w:tc>
          <w:tcPr>
            <w:tcW w:w="133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rPr>
              <w:t>乔木林地</w:t>
            </w:r>
          </w:p>
        </w:tc>
        <w:tc>
          <w:tcPr>
            <w:tcW w:w="114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1.99</w:t>
            </w:r>
          </w:p>
        </w:tc>
        <w:tc>
          <w:tcPr>
            <w:tcW w:w="13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51.2</w:t>
            </w:r>
          </w:p>
        </w:tc>
      </w:tr>
      <w:tr>
        <w:tblPrEx>
          <w:tblCellMar>
            <w:top w:w="0" w:type="dxa"/>
            <w:left w:w="108" w:type="dxa"/>
            <w:bottom w:w="0" w:type="dxa"/>
            <w:right w:w="108" w:type="dxa"/>
          </w:tblCellMar>
        </w:tblPrEx>
        <w:trPr>
          <w:trHeight w:val="328" w:hRule="atLeast"/>
          <w:jc w:val="center"/>
        </w:trPr>
        <w:tc>
          <w:tcPr>
            <w:tcW w:w="1103" w:type="dxa"/>
            <w:vMerge w:val="continue"/>
            <w:tcBorders>
              <w:left w:val="single" w:color="auto" w:sz="4" w:space="0"/>
              <w:right w:val="single" w:color="auto" w:sz="4" w:space="0"/>
            </w:tcBorders>
            <w:vAlign w:val="center"/>
          </w:tcPr>
          <w:p>
            <w:pPr>
              <w:widowControl/>
              <w:jc w:val="center"/>
              <w:rPr>
                <w:rFonts w:eastAsia="宋体"/>
                <w:color w:val="auto"/>
                <w:highlight w:val="none"/>
              </w:rPr>
            </w:pPr>
          </w:p>
        </w:tc>
        <w:tc>
          <w:tcPr>
            <w:tcW w:w="1147" w:type="dxa"/>
            <w:vMerge w:val="continue"/>
            <w:tcBorders>
              <w:left w:val="single" w:color="auto" w:sz="4" w:space="0"/>
              <w:right w:val="single" w:color="auto" w:sz="4" w:space="0"/>
            </w:tcBorders>
            <w:noWrap/>
            <w:vAlign w:val="center"/>
          </w:tcPr>
          <w:p>
            <w:pPr>
              <w:widowControl/>
              <w:jc w:val="center"/>
              <w:rPr>
                <w:rFonts w:eastAsia="宋体"/>
                <w:color w:val="auto"/>
                <w:highlight w:val="none"/>
              </w:rPr>
            </w:pPr>
          </w:p>
        </w:tc>
        <w:tc>
          <w:tcPr>
            <w:tcW w:w="676" w:type="dxa"/>
            <w:tcBorders>
              <w:top w:val="nil"/>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03</w:t>
            </w:r>
          </w:p>
        </w:tc>
        <w:tc>
          <w:tcPr>
            <w:tcW w:w="1157" w:type="dxa"/>
            <w:vMerge w:val="continue"/>
            <w:tcBorders>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p>
        </w:tc>
        <w:tc>
          <w:tcPr>
            <w:tcW w:w="695" w:type="dxa"/>
            <w:tcBorders>
              <w:top w:val="nil"/>
              <w:left w:val="nil"/>
              <w:bottom w:val="single" w:color="auto" w:sz="4" w:space="0"/>
              <w:right w:val="single" w:color="auto" w:sz="4" w:space="0"/>
            </w:tcBorders>
            <w:noWrap/>
            <w:vAlign w:val="center"/>
          </w:tcPr>
          <w:p>
            <w:pPr>
              <w:widowControl/>
              <w:jc w:val="center"/>
              <w:rPr>
                <w:rFonts w:hint="eastAsia" w:eastAsia="宋体"/>
                <w:color w:val="auto"/>
                <w:highlight w:val="none"/>
                <w:lang w:eastAsia="zh-CN"/>
              </w:rPr>
            </w:pPr>
            <w:r>
              <w:rPr>
                <w:rFonts w:hint="eastAsia" w:eastAsia="宋体"/>
                <w:color w:val="auto"/>
                <w:highlight w:val="none"/>
              </w:rPr>
              <w:t>030</w:t>
            </w:r>
            <w:r>
              <w:rPr>
                <w:rFonts w:hint="eastAsia" w:eastAsia="宋体"/>
                <w:color w:val="auto"/>
                <w:highlight w:val="none"/>
                <w:lang w:val="en-US" w:eastAsia="zh-CN"/>
              </w:rPr>
              <w:t>7</w:t>
            </w:r>
          </w:p>
        </w:tc>
        <w:tc>
          <w:tcPr>
            <w:tcW w:w="133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rPr>
              <w:t>其他林地</w:t>
            </w:r>
          </w:p>
        </w:tc>
        <w:tc>
          <w:tcPr>
            <w:tcW w:w="114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1.7</w:t>
            </w:r>
          </w:p>
        </w:tc>
        <w:tc>
          <w:tcPr>
            <w:tcW w:w="13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43.7</w:t>
            </w:r>
          </w:p>
        </w:tc>
      </w:tr>
      <w:tr>
        <w:tblPrEx>
          <w:tblCellMar>
            <w:top w:w="0" w:type="dxa"/>
            <w:left w:w="108" w:type="dxa"/>
            <w:bottom w:w="0" w:type="dxa"/>
            <w:right w:w="108" w:type="dxa"/>
          </w:tblCellMar>
        </w:tblPrEx>
        <w:trPr>
          <w:trHeight w:val="328" w:hRule="atLeast"/>
          <w:jc w:val="center"/>
        </w:trPr>
        <w:tc>
          <w:tcPr>
            <w:tcW w:w="1103" w:type="dxa"/>
            <w:vMerge w:val="continue"/>
            <w:tcBorders>
              <w:left w:val="single" w:color="auto" w:sz="4" w:space="0"/>
              <w:bottom w:val="single" w:color="000000" w:sz="4" w:space="0"/>
              <w:right w:val="single" w:color="auto" w:sz="4" w:space="0"/>
            </w:tcBorders>
            <w:vAlign w:val="center"/>
          </w:tcPr>
          <w:p>
            <w:pPr>
              <w:widowControl/>
              <w:jc w:val="center"/>
              <w:rPr>
                <w:rFonts w:eastAsia="宋体"/>
                <w:color w:val="auto"/>
                <w:highlight w:val="none"/>
              </w:rPr>
            </w:pPr>
          </w:p>
        </w:tc>
        <w:tc>
          <w:tcPr>
            <w:tcW w:w="1147" w:type="dxa"/>
            <w:vMerge w:val="continue"/>
            <w:tcBorders>
              <w:left w:val="single" w:color="auto" w:sz="4" w:space="0"/>
              <w:bottom w:val="single" w:color="000000" w:sz="4" w:space="0"/>
              <w:right w:val="single" w:color="auto" w:sz="4" w:space="0"/>
            </w:tcBorders>
            <w:noWrap/>
            <w:vAlign w:val="center"/>
          </w:tcPr>
          <w:p>
            <w:pPr>
              <w:widowControl/>
              <w:jc w:val="center"/>
              <w:rPr>
                <w:rFonts w:eastAsia="宋体"/>
                <w:color w:val="auto"/>
                <w:highlight w:val="none"/>
              </w:rPr>
            </w:pPr>
          </w:p>
        </w:tc>
        <w:tc>
          <w:tcPr>
            <w:tcW w:w="676" w:type="dxa"/>
            <w:tcBorders>
              <w:top w:val="nil"/>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auto"/>
                <w:highlight w:val="none"/>
              </w:rPr>
            </w:pPr>
            <w:r>
              <w:rPr>
                <w:rFonts w:ascii="Times New Roman" w:hAnsi="Times New Roman" w:eastAsia="宋体" w:cs="Times New Roman"/>
                <w:color w:val="auto"/>
                <w:kern w:val="0"/>
                <w:highlight w:val="none"/>
                <w:lang w:bidi="ar"/>
              </w:rPr>
              <w:t>06</w:t>
            </w:r>
          </w:p>
        </w:tc>
        <w:tc>
          <w:tcPr>
            <w:tcW w:w="1157" w:type="dxa"/>
            <w:tcBorders>
              <w:top w:val="nil"/>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auto"/>
                <w:highlight w:val="none"/>
              </w:rPr>
            </w:pPr>
            <w:r>
              <w:rPr>
                <w:rFonts w:hint="eastAsia" w:ascii="宋体" w:hAnsi="宋体" w:eastAsia="宋体" w:cs="宋体"/>
                <w:color w:val="auto"/>
                <w:kern w:val="0"/>
                <w:highlight w:val="none"/>
                <w:lang w:bidi="ar"/>
              </w:rPr>
              <w:t>工矿仓储用地</w:t>
            </w:r>
          </w:p>
        </w:tc>
        <w:tc>
          <w:tcPr>
            <w:tcW w:w="695" w:type="dxa"/>
            <w:tcBorders>
              <w:top w:val="nil"/>
              <w:left w:val="nil"/>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auto"/>
                <w:highlight w:val="none"/>
              </w:rPr>
            </w:pPr>
            <w:r>
              <w:rPr>
                <w:rFonts w:ascii="Times New Roman" w:hAnsi="Times New Roman" w:eastAsia="宋体" w:cs="Times New Roman"/>
                <w:color w:val="auto"/>
                <w:kern w:val="0"/>
                <w:highlight w:val="none"/>
                <w:lang w:bidi="ar"/>
              </w:rPr>
              <w:t>0602</w:t>
            </w:r>
          </w:p>
        </w:tc>
        <w:tc>
          <w:tcPr>
            <w:tcW w:w="133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color w:val="auto"/>
                <w:highlight w:val="none"/>
              </w:rPr>
            </w:pPr>
            <w:r>
              <w:rPr>
                <w:rFonts w:hint="eastAsia" w:cs="宋体" w:asciiTheme="minorEastAsia" w:hAnsiTheme="minorEastAsia" w:eastAsiaTheme="minorEastAsia"/>
                <w:color w:val="auto"/>
                <w:kern w:val="0"/>
                <w:sz w:val="21"/>
              </w:rPr>
              <w:t>采矿用地</w:t>
            </w:r>
          </w:p>
        </w:tc>
        <w:tc>
          <w:tcPr>
            <w:tcW w:w="1147"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eastAsiaTheme="minorEastAsia"/>
                <w:color w:val="auto"/>
                <w:highlight w:val="none"/>
                <w:lang w:eastAsia="zh-CN"/>
              </w:rPr>
            </w:pPr>
            <w:r>
              <w:rPr>
                <w:rFonts w:cs="宋体" w:asciiTheme="minorEastAsia" w:hAnsiTheme="minorEastAsia" w:eastAsiaTheme="minorEastAsia"/>
                <w:color w:val="auto"/>
                <w:kern w:val="0"/>
                <w:sz w:val="21"/>
              </w:rPr>
              <w:t>0.</w:t>
            </w:r>
            <w:r>
              <w:rPr>
                <w:rFonts w:hint="eastAsia" w:cs="宋体" w:asciiTheme="minorEastAsia" w:hAnsiTheme="minorEastAsia"/>
                <w:color w:val="auto"/>
                <w:kern w:val="0"/>
                <w:sz w:val="21"/>
                <w:lang w:val="en-US" w:eastAsia="zh-CN"/>
              </w:rPr>
              <w:t>2</w:t>
            </w:r>
          </w:p>
        </w:tc>
        <w:tc>
          <w:tcPr>
            <w:tcW w:w="13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lang w:val="en-US" w:eastAsia="zh-CN"/>
              </w:rPr>
              <w:t>5.1</w:t>
            </w:r>
          </w:p>
        </w:tc>
      </w:tr>
      <w:tr>
        <w:tblPrEx>
          <w:tblCellMar>
            <w:top w:w="0" w:type="dxa"/>
            <w:left w:w="108" w:type="dxa"/>
            <w:bottom w:w="0" w:type="dxa"/>
            <w:right w:w="108" w:type="dxa"/>
          </w:tblCellMar>
        </w:tblPrEx>
        <w:trPr>
          <w:trHeight w:val="328" w:hRule="atLeast"/>
          <w:jc w:val="center"/>
        </w:trPr>
        <w:tc>
          <w:tcPr>
            <w:tcW w:w="4083"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合计</w:t>
            </w:r>
          </w:p>
        </w:tc>
        <w:tc>
          <w:tcPr>
            <w:tcW w:w="695"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w:t>
            </w:r>
          </w:p>
        </w:tc>
        <w:tc>
          <w:tcPr>
            <w:tcW w:w="1337"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w:t>
            </w:r>
          </w:p>
        </w:tc>
        <w:tc>
          <w:tcPr>
            <w:tcW w:w="1147" w:type="dxa"/>
            <w:tcBorders>
              <w:top w:val="nil"/>
              <w:left w:val="nil"/>
              <w:bottom w:val="single" w:color="auto" w:sz="4" w:space="0"/>
              <w:right w:val="single" w:color="auto" w:sz="4" w:space="0"/>
            </w:tcBorders>
            <w:noWrap/>
            <w:vAlign w:val="center"/>
          </w:tcPr>
          <w:p>
            <w:pPr>
              <w:widowControl/>
              <w:jc w:val="center"/>
              <w:rPr>
                <w:rFonts w:hint="default" w:eastAsia="宋体"/>
                <w:color w:val="auto"/>
                <w:highlight w:val="none"/>
                <w:lang w:val="en-US" w:eastAsia="zh-CN"/>
              </w:rPr>
            </w:pPr>
            <w:r>
              <w:rPr>
                <w:rFonts w:hint="eastAsia" w:eastAsia="宋体"/>
                <w:color w:val="auto"/>
                <w:highlight w:val="none"/>
                <w:lang w:val="en-US" w:eastAsia="zh-CN"/>
              </w:rPr>
              <w:t>3.89</w:t>
            </w:r>
          </w:p>
        </w:tc>
        <w:tc>
          <w:tcPr>
            <w:tcW w:w="1390"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100</w:t>
            </w:r>
          </w:p>
        </w:tc>
      </w:tr>
    </w:tbl>
    <w:p>
      <w:pPr>
        <w:rPr>
          <w:rFonts w:ascii="Times New Roman" w:hAnsi="Times New Roman" w:eastAsia="宋体" w:cs="Times New Roman"/>
          <w:b/>
          <w:color w:val="auto"/>
          <w:kern w:val="0"/>
          <w:sz w:val="21"/>
          <w:highlight w:val="none"/>
        </w:rPr>
      </w:pPr>
    </w:p>
    <w:p>
      <w:pPr>
        <w:rPr>
          <w:rFonts w:ascii="Times New Roman" w:hAnsi="Times New Roman" w:cs="Times New Roman"/>
          <w:color w:val="auto"/>
          <w:highlight w:val="none"/>
        </w:rPr>
      </w:pPr>
    </w:p>
    <w:p>
      <w:pPr>
        <w:pStyle w:val="5"/>
        <w:rPr>
          <w:rFonts w:ascii="Times New Roman" w:hAnsi="Times New Roman" w:eastAsia="宋体" w:cs="Times New Roman"/>
          <w:color w:val="auto"/>
          <w:sz w:val="28"/>
          <w:szCs w:val="28"/>
          <w:highlight w:val="none"/>
        </w:rPr>
      </w:pPr>
      <w:bookmarkStart w:id="113" w:name="_Toc19986"/>
      <w:r>
        <w:rPr>
          <w:rFonts w:ascii="Times New Roman" w:hAnsi="Times New Roman" w:eastAsia="宋体" w:cs="Times New Roman"/>
          <w:color w:val="auto"/>
          <w:sz w:val="28"/>
          <w:szCs w:val="28"/>
          <w:highlight w:val="none"/>
        </w:rPr>
        <w:t>（三）土地类型与权属</w:t>
      </w:r>
      <w:bookmarkEnd w:id="113"/>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矿山土地属于</w:t>
      </w:r>
      <w:r>
        <w:rPr>
          <w:rFonts w:hint="eastAsia" w:ascii="仿宋" w:hAnsi="仿宋" w:eastAsia="仿宋" w:cs="仿宋"/>
          <w:color w:val="auto"/>
          <w:sz w:val="28"/>
          <w:szCs w:val="28"/>
        </w:rPr>
        <w:t>大英县</w:t>
      </w:r>
      <w:r>
        <w:rPr>
          <w:rFonts w:hint="eastAsia" w:ascii="仿宋" w:hAnsi="仿宋" w:eastAsia="仿宋" w:cs="仿宋"/>
          <w:color w:val="auto"/>
          <w:sz w:val="28"/>
          <w:szCs w:val="28"/>
          <w:lang w:val="en-US" w:eastAsia="zh-CN"/>
        </w:rPr>
        <w:t>玉峰镇浅垭子村</w:t>
      </w:r>
      <w:r>
        <w:rPr>
          <w:rFonts w:hint="eastAsia" w:ascii="仿宋" w:hAnsi="仿宋" w:eastAsia="仿宋" w:cs="仿宋"/>
          <w:color w:val="auto"/>
          <w:sz w:val="28"/>
          <w:szCs w:val="28"/>
          <w:highlight w:val="none"/>
        </w:rPr>
        <w:t>，土地权属性质为集体所有（详见表3-25）。</w:t>
      </w:r>
      <w:r>
        <w:rPr>
          <w:rFonts w:hint="eastAsia" w:ascii="仿宋" w:hAnsi="仿宋" w:eastAsia="仿宋" w:cs="仿宋"/>
          <w:color w:val="auto"/>
          <w:sz w:val="28"/>
          <w:szCs w:val="28"/>
          <w:highlight w:val="none"/>
          <w:lang w:val="en-US" w:eastAsia="zh-CN"/>
        </w:rPr>
        <w:t>土地复垦责任范围</w:t>
      </w:r>
      <w:r>
        <w:rPr>
          <w:rFonts w:hint="eastAsia" w:ascii="仿宋" w:hAnsi="仿宋" w:eastAsia="仿宋" w:cs="仿宋"/>
          <w:color w:val="auto"/>
          <w:sz w:val="28"/>
          <w:szCs w:val="28"/>
          <w:highlight w:val="none"/>
        </w:rPr>
        <w:t>项目区现状地界清楚，面积准确，与周边村地界、镇界清楚，无使用权属纠纷。</w:t>
      </w:r>
    </w:p>
    <w:p>
      <w:pPr>
        <w:spacing w:line="276" w:lineRule="auto"/>
        <w:jc w:val="center"/>
        <w:rPr>
          <w:rFonts w:eastAsia="宋体"/>
          <w:b/>
          <w:color w:val="auto"/>
          <w:kern w:val="0"/>
          <w:sz w:val="24"/>
          <w:highlight w:val="none"/>
        </w:rPr>
      </w:pPr>
    </w:p>
    <w:p>
      <w:pPr>
        <w:spacing w:line="276" w:lineRule="auto"/>
        <w:jc w:val="center"/>
        <w:rPr>
          <w:rFonts w:eastAsia="宋体"/>
          <w:b/>
          <w:color w:val="auto"/>
          <w:kern w:val="0"/>
          <w:sz w:val="24"/>
          <w:highlight w:val="none"/>
        </w:rPr>
      </w:pPr>
      <w:r>
        <w:rPr>
          <w:rFonts w:eastAsia="宋体"/>
          <w:b/>
          <w:color w:val="auto"/>
          <w:kern w:val="0"/>
          <w:sz w:val="24"/>
          <w:highlight w:val="none"/>
        </w:rPr>
        <w:t>表3-</w:t>
      </w:r>
      <w:r>
        <w:rPr>
          <w:rFonts w:hint="eastAsia" w:eastAsia="宋体"/>
          <w:b/>
          <w:color w:val="auto"/>
          <w:kern w:val="0"/>
          <w:sz w:val="24"/>
          <w:highlight w:val="none"/>
        </w:rPr>
        <w:t>18</w:t>
      </w:r>
      <w:r>
        <w:rPr>
          <w:rFonts w:eastAsia="宋体"/>
          <w:b/>
          <w:color w:val="auto"/>
          <w:kern w:val="0"/>
          <w:sz w:val="24"/>
          <w:highlight w:val="none"/>
        </w:rPr>
        <w:t xml:space="preserve">  项目区土地利用现状及权属表</w:t>
      </w:r>
    </w:p>
    <w:tbl>
      <w:tblPr>
        <w:tblStyle w:val="23"/>
        <w:tblW w:w="5051" w:type="pct"/>
        <w:jc w:val="center"/>
        <w:tblLayout w:type="fixed"/>
        <w:tblCellMar>
          <w:top w:w="0" w:type="dxa"/>
          <w:left w:w="108" w:type="dxa"/>
          <w:bottom w:w="0" w:type="dxa"/>
          <w:right w:w="108" w:type="dxa"/>
        </w:tblCellMar>
      </w:tblPr>
      <w:tblGrid>
        <w:gridCol w:w="1031"/>
        <w:gridCol w:w="944"/>
        <w:gridCol w:w="654"/>
        <w:gridCol w:w="1587"/>
        <w:gridCol w:w="653"/>
        <w:gridCol w:w="1569"/>
        <w:gridCol w:w="1090"/>
        <w:gridCol w:w="1081"/>
      </w:tblGrid>
      <w:tr>
        <w:tblPrEx>
          <w:tblCellMar>
            <w:top w:w="0" w:type="dxa"/>
            <w:left w:w="108" w:type="dxa"/>
            <w:bottom w:w="0" w:type="dxa"/>
            <w:right w:w="108" w:type="dxa"/>
          </w:tblCellMar>
        </w:tblPrEx>
        <w:trPr>
          <w:trHeight w:val="424" w:hRule="atLeast"/>
          <w:tblHeader/>
          <w:jc w:val="center"/>
        </w:trPr>
        <w:tc>
          <w:tcPr>
            <w:tcW w:w="598"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kern w:val="0"/>
                <w:highlight w:val="none"/>
              </w:rPr>
            </w:pPr>
            <w:r>
              <w:rPr>
                <w:rFonts w:hint="eastAsia" w:eastAsia="宋体"/>
                <w:color w:val="auto"/>
                <w:kern w:val="0"/>
                <w:highlight w:val="none"/>
              </w:rPr>
              <w:t>项目名称</w:t>
            </w:r>
          </w:p>
        </w:tc>
        <w:tc>
          <w:tcPr>
            <w:tcW w:w="54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hint="eastAsia" w:eastAsia="宋体"/>
                <w:color w:val="auto"/>
                <w:kern w:val="0"/>
                <w:highlight w:val="none"/>
              </w:rPr>
              <w:t>土地权属</w:t>
            </w:r>
          </w:p>
        </w:tc>
        <w:tc>
          <w:tcPr>
            <w:tcW w:w="1301" w:type="pct"/>
            <w:gridSpan w:val="2"/>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一级地类</w:t>
            </w:r>
          </w:p>
        </w:tc>
        <w:tc>
          <w:tcPr>
            <w:tcW w:w="1290" w:type="pct"/>
            <w:gridSpan w:val="2"/>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eastAsia="宋体"/>
                <w:color w:val="auto"/>
                <w:kern w:val="0"/>
                <w:highlight w:val="none"/>
              </w:rPr>
              <w:t>二级地类</w:t>
            </w:r>
          </w:p>
        </w:tc>
        <w:tc>
          <w:tcPr>
            <w:tcW w:w="633"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eastAsia="宋体"/>
                <w:color w:val="auto"/>
                <w:kern w:val="0"/>
                <w:highlight w:val="none"/>
              </w:rPr>
              <w:t>面积</w:t>
            </w:r>
          </w:p>
        </w:tc>
        <w:tc>
          <w:tcPr>
            <w:tcW w:w="627" w:type="pct"/>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占总面积比例</w:t>
            </w:r>
          </w:p>
        </w:tc>
      </w:tr>
      <w:tr>
        <w:tblPrEx>
          <w:tblCellMar>
            <w:top w:w="0" w:type="dxa"/>
            <w:left w:w="108" w:type="dxa"/>
            <w:bottom w:w="0" w:type="dxa"/>
            <w:right w:w="108" w:type="dxa"/>
          </w:tblCellMar>
        </w:tblPrEx>
        <w:trPr>
          <w:trHeight w:val="247" w:hRule="atLeast"/>
          <w:tblHeader/>
          <w:jc w:val="center"/>
        </w:trPr>
        <w:tc>
          <w:tcPr>
            <w:tcW w:w="59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54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379"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eastAsia="宋体"/>
                <w:color w:val="auto"/>
                <w:kern w:val="0"/>
                <w:highlight w:val="none"/>
              </w:rPr>
              <w:t>编码</w:t>
            </w:r>
          </w:p>
        </w:tc>
        <w:tc>
          <w:tcPr>
            <w:tcW w:w="921"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eastAsia="宋体"/>
                <w:color w:val="auto"/>
                <w:kern w:val="0"/>
                <w:highlight w:val="none"/>
              </w:rPr>
              <w:t>名称</w:t>
            </w:r>
          </w:p>
        </w:tc>
        <w:tc>
          <w:tcPr>
            <w:tcW w:w="379"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eastAsia="宋体"/>
                <w:color w:val="auto"/>
                <w:kern w:val="0"/>
                <w:highlight w:val="none"/>
              </w:rPr>
              <w:t>编码</w:t>
            </w:r>
          </w:p>
        </w:tc>
        <w:tc>
          <w:tcPr>
            <w:tcW w:w="911"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eastAsia="宋体"/>
                <w:color w:val="auto"/>
                <w:kern w:val="0"/>
                <w:highlight w:val="none"/>
              </w:rPr>
              <w:t>名称</w:t>
            </w:r>
          </w:p>
        </w:tc>
        <w:tc>
          <w:tcPr>
            <w:tcW w:w="633"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627"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eastAsia="宋体"/>
                <w:color w:val="auto"/>
                <w:kern w:val="0"/>
                <w:highlight w:val="none"/>
              </w:rPr>
              <w:t>%</w:t>
            </w:r>
          </w:p>
        </w:tc>
      </w:tr>
      <w:tr>
        <w:tblPrEx>
          <w:tblCellMar>
            <w:top w:w="0" w:type="dxa"/>
            <w:left w:w="108" w:type="dxa"/>
            <w:bottom w:w="0" w:type="dxa"/>
            <w:right w:w="108" w:type="dxa"/>
          </w:tblCellMar>
        </w:tblPrEx>
        <w:trPr>
          <w:trHeight w:val="247" w:hRule="atLeast"/>
          <w:tblHeader/>
          <w:jc w:val="center"/>
        </w:trPr>
        <w:tc>
          <w:tcPr>
            <w:tcW w:w="598" w:type="pct"/>
            <w:vMerge w:val="restart"/>
            <w:tcBorders>
              <w:top w:val="single" w:color="auto" w:sz="4" w:space="0"/>
              <w:left w:val="single" w:color="auto" w:sz="4" w:space="0"/>
              <w:right w:val="single" w:color="auto" w:sz="4" w:space="0"/>
            </w:tcBorders>
            <w:vAlign w:val="center"/>
          </w:tcPr>
          <w:p>
            <w:pPr>
              <w:jc w:val="center"/>
              <w:rPr>
                <w:rFonts w:hint="default" w:eastAsia="宋体"/>
                <w:color w:val="auto"/>
                <w:kern w:val="0"/>
                <w:highlight w:val="none"/>
                <w:lang w:val="en-US" w:eastAsia="zh-CN"/>
              </w:rPr>
            </w:pPr>
            <w:r>
              <w:rPr>
                <w:rFonts w:hint="eastAsia" w:eastAsia="宋体"/>
                <w:color w:val="auto"/>
                <w:kern w:val="0"/>
                <w:highlight w:val="none"/>
                <w:lang w:val="en-US" w:eastAsia="zh-CN"/>
              </w:rPr>
              <w:t>大英县玉峰镇浅垭子砖瓦用页岩矿</w:t>
            </w:r>
          </w:p>
        </w:tc>
        <w:tc>
          <w:tcPr>
            <w:tcW w:w="548" w:type="pct"/>
            <w:vMerge w:val="restart"/>
            <w:tcBorders>
              <w:top w:val="single" w:color="auto" w:sz="4" w:space="0"/>
              <w:left w:val="single" w:color="auto" w:sz="4" w:space="0"/>
              <w:right w:val="single" w:color="auto" w:sz="4" w:space="0"/>
            </w:tcBorders>
            <w:vAlign w:val="center"/>
          </w:tcPr>
          <w:p>
            <w:pPr>
              <w:jc w:val="center"/>
              <w:rPr>
                <w:rFonts w:hint="eastAsia" w:eastAsia="宋体"/>
                <w:color w:val="auto"/>
                <w:kern w:val="0"/>
                <w:highlight w:val="none"/>
                <w:lang w:val="en-US" w:eastAsia="zh-CN"/>
              </w:rPr>
            </w:pPr>
            <w:r>
              <w:rPr>
                <w:rFonts w:hint="eastAsia" w:eastAsia="宋体"/>
                <w:color w:val="auto"/>
                <w:kern w:val="0"/>
                <w:highlight w:val="none"/>
                <w:lang w:val="en-US" w:eastAsia="zh-CN"/>
              </w:rPr>
              <w:t>大英县玉峰镇浅垭子村</w:t>
            </w:r>
          </w:p>
        </w:tc>
        <w:tc>
          <w:tcPr>
            <w:tcW w:w="379" w:type="pct"/>
            <w:tcBorders>
              <w:top w:val="single" w:color="auto" w:sz="4" w:space="0"/>
              <w:left w:val="nil"/>
              <w:bottom w:val="single" w:color="auto" w:sz="4" w:space="0"/>
              <w:right w:val="single" w:color="auto" w:sz="4" w:space="0"/>
            </w:tcBorders>
            <w:noWrap/>
            <w:vAlign w:val="center"/>
          </w:tcPr>
          <w:p>
            <w:pPr>
              <w:widowControl/>
              <w:jc w:val="center"/>
              <w:rPr>
                <w:rFonts w:hint="eastAsia" w:eastAsia="宋体"/>
                <w:color w:val="auto"/>
                <w:kern w:val="0"/>
                <w:highlight w:val="none"/>
                <w:lang w:eastAsia="zh-CN"/>
              </w:rPr>
            </w:pPr>
            <w:r>
              <w:rPr>
                <w:rFonts w:hint="eastAsia"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3</w:t>
            </w:r>
          </w:p>
        </w:tc>
        <w:tc>
          <w:tcPr>
            <w:tcW w:w="921" w:type="pct"/>
            <w:vMerge w:val="restart"/>
            <w:tcBorders>
              <w:top w:val="single" w:color="auto" w:sz="4" w:space="0"/>
              <w:left w:val="nil"/>
              <w:right w:val="single" w:color="auto" w:sz="4" w:space="0"/>
            </w:tcBorders>
            <w:noWrap/>
            <w:vAlign w:val="center"/>
          </w:tcPr>
          <w:p>
            <w:pPr>
              <w:widowControl/>
              <w:jc w:val="center"/>
              <w:textAlignment w:val="center"/>
              <w:rPr>
                <w:rFonts w:eastAsia="宋体"/>
                <w:color w:val="auto"/>
                <w:kern w:val="0"/>
                <w:highlight w:val="none"/>
              </w:rPr>
            </w:pPr>
            <w:r>
              <w:rPr>
                <w:rFonts w:hint="eastAsia" w:ascii="宋体" w:hAnsi="宋体" w:eastAsia="宋体" w:cs="宋体"/>
                <w:color w:val="auto"/>
                <w:kern w:val="0"/>
                <w:sz w:val="22"/>
                <w:szCs w:val="22"/>
                <w:highlight w:val="none"/>
                <w:lang w:bidi="ar"/>
              </w:rPr>
              <w:t>林地</w:t>
            </w:r>
          </w:p>
        </w:tc>
        <w:tc>
          <w:tcPr>
            <w:tcW w:w="379" w:type="pct"/>
            <w:tcBorders>
              <w:top w:val="single" w:color="auto" w:sz="4" w:space="0"/>
              <w:left w:val="nil"/>
              <w:bottom w:val="single" w:color="auto" w:sz="4" w:space="0"/>
              <w:right w:val="single" w:color="auto" w:sz="4" w:space="0"/>
            </w:tcBorders>
            <w:noWrap/>
            <w:vAlign w:val="center"/>
          </w:tcPr>
          <w:p>
            <w:pPr>
              <w:widowControl/>
              <w:jc w:val="center"/>
              <w:rPr>
                <w:rFonts w:hint="eastAsia" w:eastAsia="宋体"/>
                <w:color w:val="auto"/>
                <w:kern w:val="0"/>
                <w:highlight w:val="none"/>
                <w:lang w:eastAsia="zh-CN"/>
              </w:rPr>
            </w:pPr>
            <w:r>
              <w:rPr>
                <w:rFonts w:hint="eastAsia"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1</w:t>
            </w:r>
          </w:p>
        </w:tc>
        <w:tc>
          <w:tcPr>
            <w:tcW w:w="911" w:type="pct"/>
            <w:tcBorders>
              <w:top w:val="single" w:color="auto" w:sz="4" w:space="0"/>
              <w:left w:val="nil"/>
              <w:bottom w:val="single" w:color="auto" w:sz="4" w:space="0"/>
              <w:right w:val="single" w:color="auto" w:sz="4" w:space="0"/>
            </w:tcBorders>
            <w:noWrap/>
            <w:vAlign w:val="center"/>
          </w:tcPr>
          <w:p>
            <w:pPr>
              <w:widowControl/>
              <w:jc w:val="center"/>
              <w:textAlignment w:val="center"/>
              <w:rPr>
                <w:rFonts w:eastAsia="宋体"/>
                <w:color w:val="auto"/>
                <w:kern w:val="0"/>
                <w:highlight w:val="none"/>
              </w:rPr>
            </w:pPr>
            <w:r>
              <w:rPr>
                <w:rFonts w:hint="eastAsia" w:ascii="宋体" w:hAnsi="宋体" w:eastAsia="宋体" w:cs="宋体"/>
                <w:color w:val="auto"/>
                <w:kern w:val="0"/>
                <w:sz w:val="22"/>
                <w:szCs w:val="22"/>
                <w:highlight w:val="none"/>
                <w:lang w:bidi="ar"/>
              </w:rPr>
              <w:t>乔木林地</w:t>
            </w:r>
          </w:p>
        </w:tc>
        <w:tc>
          <w:tcPr>
            <w:tcW w:w="1090"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cs="宋体" w:asciiTheme="minorEastAsia" w:hAnsiTheme="minorEastAsia" w:eastAsiaTheme="minorEastAsia"/>
                <w:color w:val="auto"/>
                <w:kern w:val="0"/>
                <w:sz w:val="21"/>
                <w:lang w:val="en-US" w:eastAsia="zh-CN"/>
              </w:rPr>
              <w:t>1.99</w:t>
            </w:r>
          </w:p>
        </w:tc>
        <w:tc>
          <w:tcPr>
            <w:tcW w:w="1081"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cs="宋体" w:asciiTheme="minorEastAsia" w:hAnsiTheme="minorEastAsia" w:eastAsiaTheme="minorEastAsia"/>
                <w:color w:val="auto"/>
                <w:kern w:val="0"/>
                <w:sz w:val="21"/>
                <w:lang w:val="en-US" w:eastAsia="zh-CN"/>
              </w:rPr>
              <w:t>51.2</w:t>
            </w:r>
          </w:p>
        </w:tc>
      </w:tr>
      <w:tr>
        <w:tblPrEx>
          <w:tblCellMar>
            <w:top w:w="0" w:type="dxa"/>
            <w:left w:w="108" w:type="dxa"/>
            <w:bottom w:w="0" w:type="dxa"/>
            <w:right w:w="108" w:type="dxa"/>
          </w:tblCellMar>
        </w:tblPrEx>
        <w:trPr>
          <w:trHeight w:val="212" w:hRule="atLeast"/>
          <w:jc w:val="center"/>
        </w:trPr>
        <w:tc>
          <w:tcPr>
            <w:tcW w:w="598" w:type="pct"/>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548" w:type="pct"/>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kern w:val="0"/>
                <w:highlight w:val="none"/>
              </w:rPr>
            </w:pPr>
            <w:r>
              <w:rPr>
                <w:rFonts w:hint="eastAsia" w:ascii="Times New Roman" w:hAnsi="Times New Roman" w:eastAsia="宋体" w:cs="Times New Roman"/>
                <w:color w:val="auto"/>
                <w:highlight w:val="none"/>
              </w:rPr>
              <w:t>03</w:t>
            </w:r>
          </w:p>
        </w:tc>
        <w:tc>
          <w:tcPr>
            <w:tcW w:w="921" w:type="pct"/>
            <w:vMerge w:val="continue"/>
            <w:tcBorders>
              <w:left w:val="nil"/>
              <w:bottom w:val="single" w:color="auto" w:sz="4" w:space="0"/>
              <w:right w:val="single" w:color="auto" w:sz="4" w:space="0"/>
            </w:tcBorders>
            <w:vAlign w:val="center"/>
          </w:tcPr>
          <w:p>
            <w:pPr>
              <w:widowControl/>
              <w:jc w:val="center"/>
              <w:textAlignment w:val="center"/>
              <w:rPr>
                <w:rFonts w:eastAsia="宋体"/>
                <w:color w:val="auto"/>
                <w:kern w:val="0"/>
                <w:highlight w:val="none"/>
              </w:rPr>
            </w:pPr>
          </w:p>
        </w:tc>
        <w:tc>
          <w:tcPr>
            <w:tcW w:w="379"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hint="eastAsia" w:ascii="Times New Roman" w:hAnsi="Times New Roman" w:eastAsia="宋体" w:cs="Times New Roman"/>
                <w:color w:val="auto"/>
                <w:highlight w:val="none"/>
              </w:rPr>
              <w:t>0301</w:t>
            </w:r>
          </w:p>
        </w:tc>
        <w:tc>
          <w:tcPr>
            <w:tcW w:w="911" w:type="pct"/>
            <w:tcBorders>
              <w:top w:val="single" w:color="auto" w:sz="4" w:space="0"/>
              <w:left w:val="nil"/>
              <w:bottom w:val="single" w:color="auto" w:sz="4" w:space="0"/>
              <w:right w:val="single" w:color="auto" w:sz="4" w:space="0"/>
            </w:tcBorders>
            <w:noWrap/>
            <w:vAlign w:val="center"/>
          </w:tcPr>
          <w:p>
            <w:pPr>
              <w:widowControl/>
              <w:jc w:val="center"/>
              <w:textAlignment w:val="center"/>
              <w:rPr>
                <w:rFonts w:eastAsia="宋体"/>
                <w:color w:val="auto"/>
                <w:kern w:val="0"/>
                <w:highlight w:val="none"/>
              </w:rPr>
            </w:pPr>
            <w:r>
              <w:rPr>
                <w:rFonts w:hint="eastAsia" w:ascii="宋体" w:hAnsi="宋体" w:eastAsia="宋体" w:cs="宋体"/>
                <w:color w:val="auto"/>
                <w:kern w:val="0"/>
                <w:sz w:val="22"/>
                <w:szCs w:val="22"/>
                <w:highlight w:val="none"/>
                <w:lang w:val="en-US" w:eastAsia="zh-CN" w:bidi="ar"/>
              </w:rPr>
              <w:t>其他</w:t>
            </w:r>
            <w:r>
              <w:rPr>
                <w:rFonts w:hint="eastAsia" w:ascii="宋体" w:hAnsi="宋体" w:eastAsia="宋体" w:cs="宋体"/>
                <w:color w:val="auto"/>
                <w:kern w:val="0"/>
                <w:sz w:val="22"/>
                <w:szCs w:val="22"/>
                <w:highlight w:val="none"/>
                <w:lang w:bidi="ar"/>
              </w:rPr>
              <w:t>林地</w:t>
            </w:r>
          </w:p>
        </w:tc>
        <w:tc>
          <w:tcPr>
            <w:tcW w:w="1090"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cs="宋体" w:asciiTheme="minorEastAsia" w:hAnsiTheme="minorEastAsia" w:eastAsiaTheme="minorEastAsia"/>
                <w:color w:val="auto"/>
                <w:kern w:val="0"/>
                <w:sz w:val="21"/>
                <w:lang w:val="en-US" w:eastAsia="zh-CN"/>
              </w:rPr>
              <w:t>1.7</w:t>
            </w:r>
          </w:p>
        </w:tc>
        <w:tc>
          <w:tcPr>
            <w:tcW w:w="1081"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cs="宋体" w:asciiTheme="minorEastAsia" w:hAnsiTheme="minorEastAsia" w:eastAsiaTheme="minorEastAsia"/>
                <w:color w:val="auto"/>
                <w:kern w:val="0"/>
                <w:sz w:val="21"/>
                <w:lang w:val="en-US" w:eastAsia="zh-CN"/>
              </w:rPr>
              <w:t>43.7</w:t>
            </w:r>
          </w:p>
        </w:tc>
      </w:tr>
      <w:tr>
        <w:tblPrEx>
          <w:tblCellMar>
            <w:top w:w="0" w:type="dxa"/>
            <w:left w:w="108" w:type="dxa"/>
            <w:bottom w:w="0" w:type="dxa"/>
            <w:right w:w="108" w:type="dxa"/>
          </w:tblCellMar>
        </w:tblPrEx>
        <w:trPr>
          <w:trHeight w:val="212" w:hRule="atLeast"/>
          <w:jc w:val="center"/>
        </w:trPr>
        <w:tc>
          <w:tcPr>
            <w:tcW w:w="598" w:type="pct"/>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548" w:type="pct"/>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kern w:val="0"/>
                <w:highlight w:val="none"/>
              </w:rPr>
            </w:pPr>
            <w:r>
              <w:rPr>
                <w:rFonts w:hint="eastAsia" w:ascii="Times New Roman" w:hAnsi="Times New Roman" w:eastAsia="宋体" w:cs="Times New Roman"/>
                <w:color w:val="auto"/>
                <w:highlight w:val="none"/>
              </w:rPr>
              <w:t>06</w:t>
            </w:r>
          </w:p>
        </w:tc>
        <w:tc>
          <w:tcPr>
            <w:tcW w:w="92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eastAsia="宋体"/>
                <w:color w:val="auto"/>
                <w:kern w:val="0"/>
                <w:highlight w:val="none"/>
              </w:rPr>
            </w:pPr>
            <w:r>
              <w:rPr>
                <w:rFonts w:hint="eastAsia" w:ascii="宋体" w:hAnsi="宋体" w:eastAsia="宋体" w:cs="宋体"/>
                <w:color w:val="auto"/>
                <w:kern w:val="0"/>
                <w:sz w:val="22"/>
                <w:szCs w:val="22"/>
                <w:highlight w:val="none"/>
                <w:lang w:bidi="ar"/>
              </w:rPr>
              <w:t>工矿仓储用地</w:t>
            </w:r>
          </w:p>
        </w:tc>
        <w:tc>
          <w:tcPr>
            <w:tcW w:w="379"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highlight w:val="none"/>
              </w:rPr>
            </w:pPr>
            <w:r>
              <w:rPr>
                <w:rFonts w:hint="eastAsia" w:ascii="Times New Roman" w:hAnsi="Times New Roman" w:eastAsia="宋体" w:cs="Times New Roman"/>
                <w:color w:val="auto"/>
                <w:highlight w:val="none"/>
              </w:rPr>
              <w:t>0602</w:t>
            </w:r>
          </w:p>
        </w:tc>
        <w:tc>
          <w:tcPr>
            <w:tcW w:w="911" w:type="pct"/>
            <w:tcBorders>
              <w:top w:val="single" w:color="auto" w:sz="4" w:space="0"/>
              <w:left w:val="nil"/>
              <w:bottom w:val="single" w:color="auto" w:sz="4" w:space="0"/>
              <w:right w:val="single" w:color="auto" w:sz="4" w:space="0"/>
            </w:tcBorders>
            <w:noWrap/>
            <w:vAlign w:val="center"/>
          </w:tcPr>
          <w:p>
            <w:pPr>
              <w:widowControl/>
              <w:jc w:val="center"/>
              <w:textAlignment w:val="center"/>
              <w:rPr>
                <w:rFonts w:eastAsia="宋体"/>
                <w:color w:val="auto"/>
                <w:kern w:val="0"/>
                <w:highlight w:val="none"/>
              </w:rPr>
            </w:pPr>
            <w:r>
              <w:rPr>
                <w:rFonts w:hint="eastAsia" w:ascii="宋体" w:hAnsi="宋体" w:eastAsia="宋体" w:cs="宋体"/>
                <w:color w:val="auto"/>
                <w:kern w:val="0"/>
                <w:sz w:val="22"/>
                <w:szCs w:val="22"/>
                <w:highlight w:val="none"/>
                <w:lang w:bidi="ar"/>
              </w:rPr>
              <w:t>采矿用地</w:t>
            </w:r>
          </w:p>
        </w:tc>
        <w:tc>
          <w:tcPr>
            <w:tcW w:w="1090"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kern w:val="0"/>
                <w:highlight w:val="none"/>
              </w:rPr>
            </w:pPr>
            <w:r>
              <w:rPr>
                <w:rFonts w:cs="宋体" w:asciiTheme="minorEastAsia" w:hAnsiTheme="minorEastAsia" w:eastAsiaTheme="minorEastAsia"/>
                <w:color w:val="auto"/>
                <w:kern w:val="0"/>
                <w:sz w:val="21"/>
              </w:rPr>
              <w:t>0.</w:t>
            </w:r>
            <w:r>
              <w:rPr>
                <w:rFonts w:hint="eastAsia" w:cs="宋体" w:asciiTheme="minorEastAsia" w:hAnsiTheme="minorEastAsia"/>
                <w:color w:val="auto"/>
                <w:kern w:val="0"/>
                <w:sz w:val="21"/>
                <w:lang w:val="en-US" w:eastAsia="zh-CN"/>
              </w:rPr>
              <w:t>2</w:t>
            </w:r>
          </w:p>
        </w:tc>
        <w:tc>
          <w:tcPr>
            <w:tcW w:w="1081"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cs="宋体" w:asciiTheme="minorEastAsia" w:hAnsiTheme="minorEastAsia" w:eastAsiaTheme="minorEastAsia"/>
                <w:color w:val="auto"/>
                <w:kern w:val="0"/>
                <w:sz w:val="21"/>
                <w:lang w:val="en-US" w:eastAsia="zh-CN"/>
              </w:rPr>
              <w:t>5.1</w:t>
            </w:r>
          </w:p>
        </w:tc>
      </w:tr>
      <w:tr>
        <w:tblPrEx>
          <w:tblCellMar>
            <w:top w:w="0" w:type="dxa"/>
            <w:left w:w="108" w:type="dxa"/>
            <w:bottom w:w="0" w:type="dxa"/>
            <w:right w:w="108" w:type="dxa"/>
          </w:tblCellMar>
        </w:tblPrEx>
        <w:trPr>
          <w:trHeight w:val="212" w:hRule="atLeast"/>
          <w:jc w:val="center"/>
        </w:trPr>
        <w:tc>
          <w:tcPr>
            <w:tcW w:w="3739" w:type="pct"/>
            <w:gridSpan w:val="6"/>
            <w:tcBorders>
              <w:top w:val="single" w:color="auto" w:sz="4" w:space="0"/>
              <w:left w:val="single" w:color="auto" w:sz="4" w:space="0"/>
              <w:bottom w:val="single" w:color="auto" w:sz="4" w:space="0"/>
              <w:right w:val="single" w:color="000000" w:sz="4" w:space="0"/>
            </w:tcBorders>
            <w:noWrap/>
            <w:vAlign w:val="center"/>
          </w:tcPr>
          <w:p>
            <w:pPr>
              <w:widowControl/>
              <w:jc w:val="center"/>
              <w:rPr>
                <w:rFonts w:eastAsia="宋体"/>
                <w:color w:val="auto"/>
                <w:kern w:val="0"/>
                <w:highlight w:val="none"/>
              </w:rPr>
            </w:pPr>
            <w:r>
              <w:rPr>
                <w:rFonts w:eastAsia="宋体"/>
                <w:color w:val="auto"/>
                <w:kern w:val="0"/>
                <w:highlight w:val="none"/>
              </w:rPr>
              <w:t>合计</w:t>
            </w:r>
          </w:p>
        </w:tc>
        <w:tc>
          <w:tcPr>
            <w:tcW w:w="1090" w:type="dxa"/>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hint="eastAsia" w:eastAsia="宋体"/>
                <w:color w:val="auto"/>
                <w:highlight w:val="none"/>
                <w:lang w:val="en-US" w:eastAsia="zh-CN"/>
              </w:rPr>
              <w:t>3.89</w:t>
            </w:r>
          </w:p>
        </w:tc>
        <w:tc>
          <w:tcPr>
            <w:tcW w:w="1081" w:type="dxa"/>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kern w:val="0"/>
                <w:highlight w:val="none"/>
              </w:rPr>
            </w:pPr>
            <w:r>
              <w:rPr>
                <w:rFonts w:hint="eastAsia" w:eastAsia="宋体"/>
                <w:color w:val="auto"/>
                <w:highlight w:val="none"/>
              </w:rPr>
              <w:t>100</w:t>
            </w:r>
          </w:p>
        </w:tc>
      </w:tr>
    </w:tbl>
    <w:p>
      <w:pPr>
        <w:pStyle w:val="15"/>
        <w:rPr>
          <w:color w:val="auto"/>
          <w:highlight w:val="none"/>
        </w:rPr>
        <w:sectPr>
          <w:pgSz w:w="11906" w:h="16838"/>
          <w:pgMar w:top="1440" w:right="1800" w:bottom="1440" w:left="1800" w:header="851" w:footer="992" w:gutter="0"/>
          <w:cols w:space="425" w:num="1"/>
          <w:docGrid w:type="lines" w:linePitch="312" w:charSpace="0"/>
        </w:sectPr>
      </w:pPr>
    </w:p>
    <w:p>
      <w:pPr>
        <w:pStyle w:val="3"/>
        <w:spacing w:before="200" w:after="200" w:line="360" w:lineRule="auto"/>
        <w:jc w:val="center"/>
        <w:rPr>
          <w:rFonts w:ascii="Times New Roman" w:hAnsi="Times New Roman" w:eastAsia="宋体" w:cs="Times New Roman"/>
          <w:bCs/>
          <w:color w:val="auto"/>
          <w:sz w:val="32"/>
          <w:szCs w:val="44"/>
          <w:highlight w:val="none"/>
        </w:rPr>
      </w:pPr>
      <w:bookmarkStart w:id="114" w:name="_Toc29910"/>
      <w:r>
        <w:rPr>
          <w:rFonts w:ascii="Times New Roman" w:hAnsi="Times New Roman" w:eastAsia="宋体" w:cs="Times New Roman"/>
          <w:bCs/>
          <w:color w:val="auto"/>
          <w:sz w:val="32"/>
          <w:szCs w:val="44"/>
          <w:highlight w:val="none"/>
        </w:rPr>
        <w:t>第4章 矿山地质环境治理与土地复垦可行性分析</w:t>
      </w:r>
      <w:bookmarkEnd w:id="114"/>
    </w:p>
    <w:p>
      <w:pPr>
        <w:pStyle w:val="4"/>
        <w:rPr>
          <w:rFonts w:ascii="Times New Roman" w:hAnsi="Times New Roman" w:eastAsia="宋体" w:cs="Times New Roman"/>
          <w:color w:val="auto"/>
          <w:sz w:val="30"/>
          <w:szCs w:val="30"/>
          <w:highlight w:val="none"/>
        </w:rPr>
      </w:pPr>
      <w:bookmarkStart w:id="115" w:name="_Toc10572"/>
      <w:r>
        <w:rPr>
          <w:rFonts w:ascii="Times New Roman" w:hAnsi="Times New Roman" w:eastAsia="宋体" w:cs="Times New Roman"/>
          <w:color w:val="auto"/>
          <w:sz w:val="30"/>
          <w:szCs w:val="30"/>
          <w:highlight w:val="none"/>
        </w:rPr>
        <w:t>一、矿山地质环境治理可行性分析</w:t>
      </w:r>
      <w:bookmarkEnd w:id="115"/>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根据采矿活动产生的和预测将来可能产生的矿山地质灾害、含水层破坏、地形地貌景观（地质遗迹、人文景观）破坏和水土环境污染等问题的规模、特征、分布、危害等，按照问题类型分别阐述实施预防和治理的可行性和难易程度。</w:t>
      </w:r>
    </w:p>
    <w:p>
      <w:pPr>
        <w:pStyle w:val="5"/>
        <w:rPr>
          <w:rFonts w:ascii="Times New Roman" w:hAnsi="Times New Roman" w:eastAsia="宋体" w:cs="Times New Roman"/>
          <w:color w:val="auto"/>
          <w:sz w:val="28"/>
          <w:szCs w:val="28"/>
          <w:highlight w:val="none"/>
        </w:rPr>
      </w:pPr>
      <w:bookmarkStart w:id="116" w:name="_Toc9238"/>
      <w:r>
        <w:rPr>
          <w:rFonts w:ascii="Times New Roman" w:hAnsi="Times New Roman" w:eastAsia="宋体" w:cs="Times New Roman"/>
          <w:color w:val="auto"/>
          <w:sz w:val="28"/>
          <w:szCs w:val="28"/>
          <w:highlight w:val="none"/>
        </w:rPr>
        <w:t>（一）技术可行性分析</w:t>
      </w:r>
      <w:bookmarkEnd w:id="116"/>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调查结果显示矿山目前未发现地质灾害，预测分析由于矿山开采形成的高陡边坡和采矿作业对岩石完整性形成的破坏，预测矿山今后发生崩塌、垮塌的可能性较</w:t>
      </w:r>
      <w:r>
        <w:rPr>
          <w:rFonts w:hint="eastAsia" w:ascii="仿宋" w:hAnsi="仿宋" w:eastAsia="仿宋" w:cs="仿宋"/>
          <w:color w:val="auto"/>
          <w:sz w:val="28"/>
          <w:szCs w:val="28"/>
          <w:highlight w:val="none"/>
          <w:lang w:val="en-US" w:eastAsia="zh-CN"/>
        </w:rPr>
        <w:t>小</w:t>
      </w:r>
      <w:r>
        <w:rPr>
          <w:rFonts w:hint="eastAsia" w:ascii="仿宋" w:hAnsi="仿宋" w:eastAsia="仿宋" w:cs="仿宋"/>
          <w:color w:val="auto"/>
          <w:sz w:val="28"/>
          <w:szCs w:val="28"/>
          <w:highlight w:val="none"/>
        </w:rPr>
        <w:t>。预防措施主要为矿山今后开采需按照开发利用方案自上而下台阶式开采，预留充足安全平台宽度和按照设计预留边坡角，防止崩塌、垮塌的形成，同时在未达到设计要求前必须加强边坡监测工作。治理主要采取及时清理废土石危岩恢复场地。</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清理废土石及边坡监测等工作均属于常规措施，施工简单，可操作性强，不会对矿山开采产生影响，在技术施工上具有可行性，易于治理。</w:t>
      </w:r>
    </w:p>
    <w:p>
      <w:pPr>
        <w:pStyle w:val="5"/>
        <w:rPr>
          <w:rFonts w:ascii="Times New Roman" w:hAnsi="Times New Roman" w:eastAsia="宋体" w:cs="Times New Roman"/>
          <w:color w:val="auto"/>
          <w:sz w:val="28"/>
          <w:szCs w:val="28"/>
          <w:highlight w:val="none"/>
        </w:rPr>
      </w:pPr>
      <w:bookmarkStart w:id="117" w:name="_Toc29672"/>
      <w:r>
        <w:rPr>
          <w:rFonts w:ascii="Times New Roman" w:hAnsi="Times New Roman" w:eastAsia="宋体" w:cs="Times New Roman"/>
          <w:color w:val="auto"/>
          <w:sz w:val="28"/>
          <w:szCs w:val="28"/>
          <w:highlight w:val="none"/>
        </w:rPr>
        <w:t>（二）经济可行性分析</w:t>
      </w:r>
      <w:bookmarkEnd w:id="117"/>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恢复治理工程投资远小于项目总收益，有能力和实力进行矿山地质环境恢复治理，严格控制矿产资源开发对矿山地质环境的扰动和破坏，最大限度地减少或避免矿产开发引发的矿山地质环境问题，建立绿色矿山开发模式。</w:t>
      </w:r>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治理的实施，将消除治理区内地质环境问题的隐患，保证矿区生产建设的正常发展，为企业经济快速发展和矿区职工生活提供一个安全、良好的生活环境。改善区内生态环境质量，减轻对地质地貌景观的破坏，并在一定程度上恢复原有地质地貌景观，使区域内部分土地使用功能得到良好利用。具有良好的、长远的环境效益，符合当前政府提倡可持续发展政策，能够促进经济和社会的可持续发展，有利于和谐矿区、和谐社会的建设，其经济效益是可观的。</w:t>
      </w:r>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因此，矿山地质环境治理在经济上是可行的。</w:t>
      </w:r>
    </w:p>
    <w:p>
      <w:pPr>
        <w:pStyle w:val="5"/>
        <w:rPr>
          <w:rFonts w:ascii="Times New Roman" w:hAnsi="Times New Roman" w:eastAsia="宋体" w:cs="Times New Roman"/>
          <w:color w:val="auto"/>
          <w:sz w:val="28"/>
          <w:szCs w:val="28"/>
          <w:highlight w:val="none"/>
        </w:rPr>
      </w:pPr>
      <w:bookmarkStart w:id="118" w:name="_Toc27090"/>
      <w:r>
        <w:rPr>
          <w:rFonts w:ascii="Times New Roman" w:hAnsi="Times New Roman" w:eastAsia="宋体" w:cs="Times New Roman"/>
          <w:color w:val="auto"/>
          <w:sz w:val="28"/>
          <w:szCs w:val="28"/>
          <w:highlight w:val="none"/>
        </w:rPr>
        <w:t>（三）生态环境协调性分析</w:t>
      </w:r>
      <w:bookmarkEnd w:id="118"/>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开发是一项遵守自身规律复杂的系统工程。矿山开发程序分为设计前期阶段、设计阶段、建设阶段、生产阶段和闭坑阶段等五个阶段。矿山建设应遵循“生态和社会效益优先”的原则。矿山开发扰动破坏了地质环境，是生态环境复杂化，决定了矿山地质环境保护和生态恢复治理的多样性。根据矿山工程所处的地质环境特征和矿山工程活动对地质环境的压力，产生的矿山环境地质问题，矿山地质环境保护与生态恢复治理应按不同类型规划分区。针对不同的工程特点和地质环境特征，从可持续发展战略和“绿色矿山”建设要求，对矿山地质环境恢复与生态恢复治理进行全面规划综合整治。把矿山开发和环境保护整治作为一个复合系统，同步进行，协调发展。</w:t>
      </w:r>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山区矿山采选矿工程区，地形复杂，坡度较陡，以植被重建工程为主，防止不合理人工边坡和废渣堆放引发的崩塌、滑坡等地质灾害除采取工程措施，应栽植滞尘林树，减轻矿石粉尘扬尘污染。办公区多设置在地形相对开阔，比较安全的场地，是办公和休息娱乐场所，以生态工程为主，加强绿化，增加绿地面积，改善提高生态环境质量。</w:t>
      </w:r>
    </w:p>
    <w:p>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项目实施后，能增加项目区内表土植被、治理水土流失，创造一个良好的生态环境。因此，矿山地质环境治理工程防治是必要的，生态环境上是可行的。</w:t>
      </w:r>
    </w:p>
    <w:p>
      <w:pPr>
        <w:pStyle w:val="4"/>
        <w:rPr>
          <w:rFonts w:ascii="Times New Roman" w:hAnsi="Times New Roman" w:eastAsia="宋体" w:cs="Times New Roman"/>
          <w:color w:val="auto"/>
          <w:sz w:val="30"/>
          <w:szCs w:val="30"/>
          <w:highlight w:val="none"/>
        </w:rPr>
      </w:pPr>
      <w:bookmarkStart w:id="119" w:name="_Toc9770"/>
      <w:r>
        <w:rPr>
          <w:rFonts w:ascii="Times New Roman" w:hAnsi="Times New Roman" w:eastAsia="宋体" w:cs="Times New Roman"/>
          <w:color w:val="auto"/>
          <w:sz w:val="30"/>
          <w:szCs w:val="30"/>
          <w:highlight w:val="none"/>
        </w:rPr>
        <w:t>二、矿区土地复垦可行性分析</w:t>
      </w:r>
      <w:bookmarkEnd w:id="119"/>
    </w:p>
    <w:p>
      <w:pPr>
        <w:pStyle w:val="5"/>
        <w:rPr>
          <w:rFonts w:ascii="Times New Roman" w:hAnsi="Times New Roman" w:eastAsia="宋体" w:cs="Times New Roman"/>
          <w:color w:val="auto"/>
          <w:sz w:val="28"/>
          <w:szCs w:val="28"/>
          <w:highlight w:val="none"/>
        </w:rPr>
      </w:pPr>
      <w:bookmarkStart w:id="120" w:name="_Toc27724"/>
      <w:r>
        <w:rPr>
          <w:rFonts w:ascii="Times New Roman" w:hAnsi="Times New Roman" w:eastAsia="宋体" w:cs="Times New Roman"/>
          <w:color w:val="auto"/>
          <w:sz w:val="28"/>
          <w:szCs w:val="28"/>
          <w:highlight w:val="none"/>
        </w:rPr>
        <w:t>（一）复垦区土地利用现状</w:t>
      </w:r>
      <w:bookmarkEnd w:id="120"/>
      <w:r>
        <w:rPr>
          <w:rFonts w:ascii="Times New Roman" w:hAnsi="Times New Roman" w:eastAsia="宋体" w:cs="Times New Roman"/>
          <w:color w:val="auto"/>
          <w:sz w:val="28"/>
          <w:szCs w:val="28"/>
          <w:highlight w:val="none"/>
        </w:rPr>
        <w:t xml:space="preserve"> </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自然资源和规划局提供的“202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土地利用变更数据库”，结合本方案调查确定的矿山损毁范围，通过ArcGIS软件进行数据叠加分析得出复垦区土地利用现状主要是耕地、林地、工矿仓储用地、住宅用地。各种现状地类面积见表4-1。</w:t>
      </w:r>
    </w:p>
    <w:p>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 xml:space="preserve">表4-1 </w:t>
      </w:r>
      <w:r>
        <w:rPr>
          <w:rFonts w:ascii="Times New Roman" w:hAnsi="Times New Roman" w:eastAsia="宋体" w:cs="Times New Roman"/>
          <w:color w:val="auto"/>
          <w:highlight w:val="none"/>
        </w:rPr>
        <w:t xml:space="preserve">   </w:t>
      </w:r>
      <w:r>
        <w:rPr>
          <w:rFonts w:ascii="Times New Roman" w:hAnsi="Times New Roman" w:eastAsia="宋体" w:cs="Times New Roman"/>
          <w:b/>
          <w:color w:val="auto"/>
          <w:kern w:val="0"/>
          <w:highlight w:val="none"/>
        </w:rPr>
        <w:t>复垦责任范围土地利用现状统计表</w:t>
      </w:r>
    </w:p>
    <w:tbl>
      <w:tblPr>
        <w:tblStyle w:val="23"/>
        <w:tblW w:w="8162" w:type="dxa"/>
        <w:jc w:val="center"/>
        <w:tblLayout w:type="fixed"/>
        <w:tblCellMar>
          <w:top w:w="0" w:type="dxa"/>
          <w:left w:w="108" w:type="dxa"/>
          <w:bottom w:w="0" w:type="dxa"/>
          <w:right w:w="108" w:type="dxa"/>
        </w:tblCellMar>
      </w:tblPr>
      <w:tblGrid>
        <w:gridCol w:w="782"/>
        <w:gridCol w:w="1895"/>
        <w:gridCol w:w="913"/>
        <w:gridCol w:w="1767"/>
        <w:gridCol w:w="1315"/>
        <w:gridCol w:w="1490"/>
      </w:tblGrid>
      <w:tr>
        <w:tblPrEx>
          <w:tblCellMar>
            <w:top w:w="0" w:type="dxa"/>
            <w:left w:w="108" w:type="dxa"/>
            <w:bottom w:w="0" w:type="dxa"/>
            <w:right w:w="108" w:type="dxa"/>
          </w:tblCellMar>
        </w:tblPrEx>
        <w:trPr>
          <w:trHeight w:val="301" w:hRule="atLeast"/>
          <w:jc w:val="center"/>
        </w:trPr>
        <w:tc>
          <w:tcPr>
            <w:tcW w:w="26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olor w:val="auto"/>
                <w:highlight w:val="none"/>
              </w:rPr>
            </w:pPr>
            <w:r>
              <w:rPr>
                <w:rFonts w:hint="eastAsia" w:eastAsia="宋体"/>
                <w:color w:val="auto"/>
                <w:highlight w:val="none"/>
              </w:rPr>
              <w:t>一级地类</w:t>
            </w:r>
          </w:p>
        </w:tc>
        <w:tc>
          <w:tcPr>
            <w:tcW w:w="2680" w:type="dxa"/>
            <w:gridSpan w:val="2"/>
            <w:tcBorders>
              <w:top w:val="single" w:color="auto" w:sz="4" w:space="0"/>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二级地类</w:t>
            </w:r>
          </w:p>
        </w:tc>
        <w:tc>
          <w:tcPr>
            <w:tcW w:w="1315" w:type="dxa"/>
            <w:tcBorders>
              <w:top w:val="single" w:color="auto" w:sz="4" w:space="0"/>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面积</w:t>
            </w:r>
          </w:p>
        </w:tc>
        <w:tc>
          <w:tcPr>
            <w:tcW w:w="1490" w:type="dxa"/>
            <w:tcBorders>
              <w:top w:val="single" w:color="auto" w:sz="4" w:space="0"/>
              <w:left w:val="nil"/>
              <w:bottom w:val="single" w:color="auto" w:sz="4" w:space="0"/>
              <w:right w:val="single" w:color="auto" w:sz="4" w:space="0"/>
            </w:tcBorders>
            <w:vAlign w:val="center"/>
          </w:tcPr>
          <w:p>
            <w:pPr>
              <w:widowControl/>
              <w:jc w:val="center"/>
              <w:rPr>
                <w:rFonts w:eastAsia="宋体"/>
                <w:color w:val="auto"/>
                <w:highlight w:val="none"/>
              </w:rPr>
            </w:pPr>
            <w:r>
              <w:rPr>
                <w:rFonts w:hint="eastAsia" w:eastAsia="宋体"/>
                <w:color w:val="auto"/>
                <w:highlight w:val="none"/>
              </w:rPr>
              <w:t>占总面积比例</w:t>
            </w:r>
          </w:p>
        </w:tc>
      </w:tr>
      <w:tr>
        <w:tblPrEx>
          <w:tblCellMar>
            <w:top w:w="0" w:type="dxa"/>
            <w:left w:w="108" w:type="dxa"/>
            <w:bottom w:w="0" w:type="dxa"/>
            <w:right w:w="108" w:type="dxa"/>
          </w:tblCellMar>
        </w:tblPrEx>
        <w:trPr>
          <w:trHeight w:val="310" w:hRule="atLeast"/>
          <w:jc w:val="center"/>
        </w:trPr>
        <w:tc>
          <w:tcPr>
            <w:tcW w:w="782" w:type="dxa"/>
            <w:tcBorders>
              <w:top w:val="nil"/>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编码</w:t>
            </w:r>
          </w:p>
        </w:tc>
        <w:tc>
          <w:tcPr>
            <w:tcW w:w="1895"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名称</w:t>
            </w:r>
          </w:p>
        </w:tc>
        <w:tc>
          <w:tcPr>
            <w:tcW w:w="913"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编码</w:t>
            </w:r>
          </w:p>
        </w:tc>
        <w:tc>
          <w:tcPr>
            <w:tcW w:w="1767"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名称</w:t>
            </w:r>
          </w:p>
        </w:tc>
        <w:tc>
          <w:tcPr>
            <w:tcW w:w="1315"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hm</w:t>
            </w:r>
            <w:r>
              <w:rPr>
                <w:rFonts w:hint="eastAsia" w:eastAsia="宋体"/>
                <w:color w:val="auto"/>
                <w:highlight w:val="none"/>
                <w:vertAlign w:val="superscript"/>
              </w:rPr>
              <w:t>2</w:t>
            </w:r>
          </w:p>
        </w:tc>
        <w:tc>
          <w:tcPr>
            <w:tcW w:w="1490" w:type="dxa"/>
            <w:tcBorders>
              <w:top w:val="nil"/>
              <w:left w:val="nil"/>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w:t>
            </w:r>
          </w:p>
        </w:tc>
      </w:tr>
      <w:tr>
        <w:tblPrEx>
          <w:tblCellMar>
            <w:top w:w="0" w:type="dxa"/>
            <w:left w:w="108" w:type="dxa"/>
            <w:bottom w:w="0" w:type="dxa"/>
            <w:right w:w="108" w:type="dxa"/>
          </w:tblCellMar>
        </w:tblPrEx>
        <w:trPr>
          <w:trHeight w:val="289" w:hRule="atLeast"/>
          <w:jc w:val="center"/>
        </w:trPr>
        <w:tc>
          <w:tcPr>
            <w:tcW w:w="78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3</w:t>
            </w:r>
          </w:p>
        </w:tc>
        <w:tc>
          <w:tcPr>
            <w:tcW w:w="1895" w:type="dxa"/>
            <w:vMerge w:val="restart"/>
            <w:tcBorders>
              <w:top w:val="nil"/>
              <w:left w:val="single" w:color="auto" w:sz="4" w:space="0"/>
              <w:right w:val="single" w:color="auto" w:sz="4" w:space="0"/>
            </w:tcBorders>
            <w:vAlign w:val="center"/>
          </w:tcPr>
          <w:p>
            <w:pPr>
              <w:widowControl/>
              <w:jc w:val="center"/>
              <w:textAlignment w:val="center"/>
              <w:rPr>
                <w:rFonts w:eastAsia="宋体"/>
                <w:color w:val="auto"/>
                <w:highlight w:val="none"/>
              </w:rPr>
            </w:pPr>
            <w:r>
              <w:rPr>
                <w:rFonts w:hint="eastAsia" w:ascii="宋体" w:hAnsi="宋体" w:eastAsia="宋体" w:cs="宋体"/>
                <w:color w:val="auto"/>
                <w:kern w:val="0"/>
                <w:sz w:val="22"/>
                <w:szCs w:val="22"/>
                <w:highlight w:val="none"/>
                <w:lang w:bidi="ar"/>
              </w:rPr>
              <w:t>林地</w:t>
            </w:r>
          </w:p>
        </w:tc>
        <w:tc>
          <w:tcPr>
            <w:tcW w:w="913"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1</w:t>
            </w:r>
          </w:p>
        </w:tc>
        <w:tc>
          <w:tcPr>
            <w:tcW w:w="1767" w:type="dxa"/>
            <w:tcBorders>
              <w:top w:val="nil"/>
              <w:left w:val="nil"/>
              <w:bottom w:val="single" w:color="auto" w:sz="4" w:space="0"/>
              <w:right w:val="single" w:color="auto" w:sz="4" w:space="0"/>
            </w:tcBorders>
            <w:noWrap/>
            <w:vAlign w:val="center"/>
          </w:tcPr>
          <w:p>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乔木林地</w:t>
            </w:r>
          </w:p>
        </w:tc>
        <w:tc>
          <w:tcPr>
            <w:tcW w:w="1315"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highlight w:val="none"/>
              </w:rPr>
            </w:pPr>
            <w:r>
              <w:rPr>
                <w:rFonts w:hint="eastAsia" w:cs="宋体" w:asciiTheme="minorEastAsia" w:hAnsiTheme="minorEastAsia" w:eastAsiaTheme="minorEastAsia"/>
                <w:color w:val="auto"/>
                <w:kern w:val="0"/>
                <w:sz w:val="21"/>
                <w:lang w:val="en-US" w:eastAsia="zh-CN"/>
              </w:rPr>
              <w:t>1.99</w:t>
            </w:r>
          </w:p>
        </w:tc>
        <w:tc>
          <w:tcPr>
            <w:tcW w:w="149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highlight w:val="none"/>
              </w:rPr>
            </w:pPr>
            <w:r>
              <w:rPr>
                <w:rFonts w:hint="eastAsia" w:cs="宋体" w:asciiTheme="minorEastAsia" w:hAnsiTheme="minorEastAsia" w:eastAsiaTheme="minorEastAsia"/>
                <w:color w:val="auto"/>
                <w:kern w:val="0"/>
                <w:sz w:val="21"/>
                <w:lang w:val="en-US" w:eastAsia="zh-CN"/>
              </w:rPr>
              <w:t>51.2</w:t>
            </w:r>
          </w:p>
        </w:tc>
      </w:tr>
      <w:tr>
        <w:tblPrEx>
          <w:tblCellMar>
            <w:top w:w="0" w:type="dxa"/>
            <w:left w:w="108" w:type="dxa"/>
            <w:bottom w:w="0" w:type="dxa"/>
            <w:right w:w="108" w:type="dxa"/>
          </w:tblCellMar>
        </w:tblPrEx>
        <w:trPr>
          <w:trHeight w:val="289" w:hRule="atLeast"/>
          <w:jc w:val="center"/>
        </w:trPr>
        <w:tc>
          <w:tcPr>
            <w:tcW w:w="782"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03</w:t>
            </w:r>
          </w:p>
        </w:tc>
        <w:tc>
          <w:tcPr>
            <w:tcW w:w="1895"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eastAsia="宋体"/>
                <w:color w:val="auto"/>
                <w:highlight w:val="none"/>
              </w:rPr>
            </w:pPr>
          </w:p>
        </w:tc>
        <w:tc>
          <w:tcPr>
            <w:tcW w:w="913"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0301</w:t>
            </w:r>
          </w:p>
        </w:tc>
        <w:tc>
          <w:tcPr>
            <w:tcW w:w="1767" w:type="dxa"/>
            <w:tcBorders>
              <w:top w:val="nil"/>
              <w:left w:val="nil"/>
              <w:bottom w:val="single" w:color="auto" w:sz="4" w:space="0"/>
              <w:right w:val="single" w:color="auto" w:sz="4" w:space="0"/>
            </w:tcBorders>
            <w:noWrap/>
            <w:vAlign w:val="center"/>
          </w:tcPr>
          <w:p>
            <w:pPr>
              <w:widowControl/>
              <w:jc w:val="center"/>
              <w:textAlignment w:val="center"/>
              <w:rPr>
                <w:rFonts w:eastAsia="宋体"/>
                <w:color w:val="auto"/>
                <w:highlight w:val="none"/>
              </w:rPr>
            </w:pPr>
            <w:r>
              <w:rPr>
                <w:rFonts w:hint="eastAsia" w:ascii="宋体" w:hAnsi="宋体" w:eastAsia="宋体" w:cs="宋体"/>
                <w:color w:val="auto"/>
                <w:kern w:val="0"/>
                <w:sz w:val="22"/>
                <w:szCs w:val="22"/>
                <w:highlight w:val="none"/>
                <w:lang w:val="en-US" w:eastAsia="zh-CN" w:bidi="ar"/>
              </w:rPr>
              <w:t>其他</w:t>
            </w:r>
            <w:r>
              <w:rPr>
                <w:rFonts w:hint="eastAsia" w:ascii="宋体" w:hAnsi="宋体" w:eastAsia="宋体" w:cs="宋体"/>
                <w:color w:val="auto"/>
                <w:kern w:val="0"/>
                <w:sz w:val="22"/>
                <w:szCs w:val="22"/>
                <w:highlight w:val="none"/>
                <w:lang w:bidi="ar"/>
              </w:rPr>
              <w:t>林地</w:t>
            </w:r>
          </w:p>
        </w:tc>
        <w:tc>
          <w:tcPr>
            <w:tcW w:w="1315"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highlight w:val="none"/>
              </w:rPr>
            </w:pPr>
            <w:r>
              <w:rPr>
                <w:rFonts w:hint="eastAsia" w:cs="宋体" w:asciiTheme="minorEastAsia" w:hAnsiTheme="minorEastAsia" w:eastAsiaTheme="minorEastAsia"/>
                <w:color w:val="auto"/>
                <w:kern w:val="0"/>
                <w:sz w:val="21"/>
                <w:lang w:val="en-US" w:eastAsia="zh-CN"/>
              </w:rPr>
              <w:t>1.7</w:t>
            </w:r>
          </w:p>
        </w:tc>
        <w:tc>
          <w:tcPr>
            <w:tcW w:w="149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highlight w:val="none"/>
              </w:rPr>
            </w:pPr>
            <w:r>
              <w:rPr>
                <w:rFonts w:hint="eastAsia" w:cs="宋体" w:asciiTheme="minorEastAsia" w:hAnsiTheme="minorEastAsia" w:eastAsiaTheme="minorEastAsia"/>
                <w:color w:val="auto"/>
                <w:kern w:val="0"/>
                <w:sz w:val="21"/>
                <w:lang w:val="en-US" w:eastAsia="zh-CN"/>
              </w:rPr>
              <w:t>43.7</w:t>
            </w:r>
          </w:p>
        </w:tc>
      </w:tr>
      <w:tr>
        <w:tblPrEx>
          <w:tblCellMar>
            <w:top w:w="0" w:type="dxa"/>
            <w:left w:w="108" w:type="dxa"/>
            <w:bottom w:w="0" w:type="dxa"/>
            <w:right w:w="108" w:type="dxa"/>
          </w:tblCellMar>
        </w:tblPrEx>
        <w:trPr>
          <w:trHeight w:val="298" w:hRule="atLeast"/>
          <w:jc w:val="center"/>
        </w:trPr>
        <w:tc>
          <w:tcPr>
            <w:tcW w:w="782"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06</w:t>
            </w:r>
          </w:p>
        </w:tc>
        <w:tc>
          <w:tcPr>
            <w:tcW w:w="1895" w:type="dxa"/>
            <w:tcBorders>
              <w:top w:val="nil"/>
              <w:left w:val="nil"/>
              <w:bottom w:val="single" w:color="auto" w:sz="4" w:space="0"/>
              <w:right w:val="single" w:color="auto" w:sz="4" w:space="0"/>
            </w:tcBorders>
            <w:vAlign w:val="center"/>
          </w:tcPr>
          <w:p>
            <w:pPr>
              <w:widowControl/>
              <w:jc w:val="center"/>
              <w:textAlignment w:val="center"/>
              <w:rPr>
                <w:rFonts w:eastAsia="宋体"/>
                <w:color w:val="auto"/>
                <w:highlight w:val="none"/>
              </w:rPr>
            </w:pPr>
            <w:r>
              <w:rPr>
                <w:rFonts w:hint="eastAsia" w:ascii="宋体" w:hAnsi="宋体" w:eastAsia="宋体" w:cs="宋体"/>
                <w:color w:val="auto"/>
                <w:kern w:val="0"/>
                <w:sz w:val="22"/>
                <w:szCs w:val="22"/>
                <w:highlight w:val="none"/>
                <w:lang w:bidi="ar"/>
              </w:rPr>
              <w:t>工矿仓储用地</w:t>
            </w:r>
          </w:p>
        </w:tc>
        <w:tc>
          <w:tcPr>
            <w:tcW w:w="913"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0602</w:t>
            </w:r>
          </w:p>
        </w:tc>
        <w:tc>
          <w:tcPr>
            <w:tcW w:w="1767" w:type="dxa"/>
            <w:tcBorders>
              <w:top w:val="nil"/>
              <w:left w:val="nil"/>
              <w:bottom w:val="single" w:color="auto" w:sz="4" w:space="0"/>
              <w:right w:val="single" w:color="auto" w:sz="4" w:space="0"/>
            </w:tcBorders>
            <w:noWrap/>
            <w:vAlign w:val="center"/>
          </w:tcPr>
          <w:p>
            <w:pPr>
              <w:widowControl/>
              <w:jc w:val="center"/>
              <w:textAlignment w:val="center"/>
              <w:rPr>
                <w:rFonts w:eastAsia="宋体"/>
                <w:color w:val="auto"/>
                <w:highlight w:val="none"/>
              </w:rPr>
            </w:pPr>
            <w:r>
              <w:rPr>
                <w:rFonts w:hint="eastAsia" w:ascii="宋体" w:hAnsi="宋体" w:eastAsia="宋体" w:cs="宋体"/>
                <w:color w:val="auto"/>
                <w:kern w:val="0"/>
                <w:sz w:val="22"/>
                <w:szCs w:val="22"/>
                <w:highlight w:val="none"/>
                <w:lang w:bidi="ar"/>
              </w:rPr>
              <w:t>采矿用地</w:t>
            </w:r>
          </w:p>
        </w:tc>
        <w:tc>
          <w:tcPr>
            <w:tcW w:w="1315"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highlight w:val="none"/>
              </w:rPr>
            </w:pPr>
            <w:r>
              <w:rPr>
                <w:rFonts w:cs="宋体" w:asciiTheme="minorEastAsia" w:hAnsiTheme="minorEastAsia" w:eastAsiaTheme="minorEastAsia"/>
                <w:color w:val="auto"/>
                <w:kern w:val="0"/>
                <w:sz w:val="21"/>
              </w:rPr>
              <w:t>0.</w:t>
            </w:r>
            <w:r>
              <w:rPr>
                <w:rFonts w:hint="eastAsia" w:cs="宋体" w:asciiTheme="minorEastAsia" w:hAnsiTheme="minorEastAsia"/>
                <w:color w:val="auto"/>
                <w:kern w:val="0"/>
                <w:sz w:val="21"/>
                <w:lang w:val="en-US" w:eastAsia="zh-CN"/>
              </w:rPr>
              <w:t>2</w:t>
            </w:r>
          </w:p>
        </w:tc>
        <w:tc>
          <w:tcPr>
            <w:tcW w:w="149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eastAsia="宋体" w:cs="Times New Roman"/>
                <w:color w:val="auto"/>
                <w:highlight w:val="none"/>
              </w:rPr>
            </w:pPr>
            <w:r>
              <w:rPr>
                <w:rFonts w:hint="eastAsia" w:cs="宋体" w:asciiTheme="minorEastAsia" w:hAnsiTheme="minorEastAsia" w:eastAsiaTheme="minorEastAsia"/>
                <w:color w:val="auto"/>
                <w:kern w:val="0"/>
                <w:sz w:val="21"/>
                <w:lang w:val="en-US" w:eastAsia="zh-CN"/>
              </w:rPr>
              <w:t>5.1</w:t>
            </w:r>
          </w:p>
        </w:tc>
      </w:tr>
      <w:tr>
        <w:tblPrEx>
          <w:tblCellMar>
            <w:top w:w="0" w:type="dxa"/>
            <w:left w:w="108" w:type="dxa"/>
            <w:bottom w:w="0" w:type="dxa"/>
            <w:right w:w="108" w:type="dxa"/>
          </w:tblCellMar>
        </w:tblPrEx>
        <w:trPr>
          <w:trHeight w:val="289" w:hRule="atLeast"/>
          <w:jc w:val="center"/>
        </w:trPr>
        <w:tc>
          <w:tcPr>
            <w:tcW w:w="5357"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color w:val="auto"/>
                <w:highlight w:val="none"/>
              </w:rPr>
            </w:pPr>
            <w:r>
              <w:rPr>
                <w:rFonts w:hint="eastAsia" w:eastAsia="宋体"/>
                <w:color w:val="auto"/>
                <w:highlight w:val="none"/>
              </w:rPr>
              <w:t>合计</w:t>
            </w:r>
          </w:p>
        </w:tc>
        <w:tc>
          <w:tcPr>
            <w:tcW w:w="131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highlight w:val="none"/>
              </w:rPr>
            </w:pPr>
            <w:r>
              <w:rPr>
                <w:rFonts w:hint="eastAsia" w:eastAsia="宋体"/>
                <w:color w:val="auto"/>
                <w:highlight w:val="none"/>
                <w:lang w:val="en-US" w:eastAsia="zh-CN"/>
              </w:rPr>
              <w:t>3.89</w:t>
            </w:r>
          </w:p>
        </w:tc>
        <w:tc>
          <w:tcPr>
            <w:tcW w:w="149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auto"/>
                <w:highlight w:val="none"/>
              </w:rPr>
            </w:pPr>
            <w:r>
              <w:rPr>
                <w:rFonts w:hint="eastAsia" w:eastAsia="宋体"/>
                <w:color w:val="auto"/>
                <w:highlight w:val="none"/>
              </w:rPr>
              <w:t>100</w:t>
            </w:r>
          </w:p>
        </w:tc>
      </w:tr>
    </w:tbl>
    <w:p>
      <w:pPr>
        <w:rPr>
          <w:rFonts w:ascii="Times New Roman" w:hAnsi="Times New Roman" w:cs="Times New Roman"/>
          <w:color w:val="auto"/>
          <w:highlight w:val="none"/>
        </w:rPr>
      </w:pPr>
    </w:p>
    <w:p>
      <w:pPr>
        <w:pStyle w:val="5"/>
        <w:rPr>
          <w:rFonts w:ascii="Times New Roman" w:hAnsi="Times New Roman" w:eastAsia="宋体" w:cs="Times New Roman"/>
          <w:color w:val="auto"/>
          <w:sz w:val="28"/>
          <w:szCs w:val="28"/>
          <w:highlight w:val="none"/>
        </w:rPr>
      </w:pPr>
      <w:bookmarkStart w:id="121" w:name="_Toc26641"/>
      <w:r>
        <w:rPr>
          <w:rFonts w:ascii="Times New Roman" w:hAnsi="Times New Roman" w:eastAsia="宋体" w:cs="Times New Roman"/>
          <w:color w:val="auto"/>
          <w:sz w:val="28"/>
          <w:szCs w:val="28"/>
          <w:highlight w:val="none"/>
        </w:rPr>
        <w:t>（二）土地复垦适宜性评价</w:t>
      </w:r>
      <w:bookmarkEnd w:id="121"/>
    </w:p>
    <w:p>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根据矿山土地现状调查和拟损毁土地分析，矿山的复垦责任范围界定为露天采场终采平台区、露天采场终采边坡区</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个部分，总面积</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。复垦区域面积为</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，土地复垦率为100%。</w:t>
      </w:r>
    </w:p>
    <w:p>
      <w:pPr>
        <w:spacing w:line="360" w:lineRule="auto"/>
        <w:ind w:firstLine="481"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1、评价原则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（1）符合土地利用总体规划，并与其他规划相协调。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确定待复垦土地的适宜性时，不仅要考虑被评价土地的自然条件和损毁状况，还应考虑区域性的土地利用总体规划和农牧业规划，统筹考虑本地区的社会经济和矿区的生产建设发展，避免盲目投资、过度超前浪费土地资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（2）因地制宜原则。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利用受周围环境条件制约，土地利用方式必须有与环境特征相适应的配套设施。根据被损毁前后土地拥有的基础设施，因地制宜，扬长避短，发挥优势，确定合理的利用方向。复垦后的土地，根据土地利用总体规划和生态建设规划，尊重权利人意愿的基础上，宜农则农、宜林则林，宜牧则牧、宜渔则渔、宜草则草。</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（3）自然因素和社会经济因素相结合原则。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对于复垦区被损毁土地复垦适宜性评价，既要考虑它的自然属性</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如土壤、气候、地貌、损毁程度等</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，又要考虑它的社会属性</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如建设单位意愿、社会需求和资金等</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，二者相结合确定复垦利用方向。</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（4）主导性限制因素与综合平衡原则。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影响损毁土地复垦利用的因素很多，如土源、坡度、土壤肥力以及排灌条件等。根据矿区自然环境、土地利用和土地损毁情况，分析影响损毁土地复垦利用的主导性限制因素，同时也应兼顾其他限制因素。</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（5）综合效益最佳原则。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在确定土地的复垦方向</w:t>
      </w:r>
      <w:r>
        <w:rPr>
          <w:rFonts w:hint="eastAsia" w:ascii="仿宋" w:hAnsi="仿宋" w:eastAsia="仿宋" w:cs="仿宋"/>
          <w:color w:val="auto"/>
          <w:sz w:val="28"/>
          <w:szCs w:val="28"/>
          <w:highlight w:val="none"/>
          <w:lang w:eastAsia="zh-CN"/>
        </w:rPr>
        <w:t>时</w:t>
      </w:r>
      <w:r>
        <w:rPr>
          <w:rFonts w:hint="eastAsia" w:ascii="仿宋" w:hAnsi="仿宋" w:eastAsia="仿宋" w:cs="仿宋"/>
          <w:color w:val="auto"/>
          <w:sz w:val="28"/>
          <w:szCs w:val="28"/>
          <w:highlight w:val="none"/>
        </w:rPr>
        <w:t>，应首先考虑其最佳综合效益，选择最佳的利用方向，根据土地状况是否适宜复垦为某种用途的土地，或以最小的费用投入取得最佳的经济、社会和生态环境效益，同时应注意发挥整体效益。</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（6）动态和土地可持续利用原则。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土地损毁是一个动态过程，复垦土地的适宜性也随损毁等级与过程而变化，具有动态性，在进行复垦土地的适宜性评价时，应考虑矿区工农业发展的前景、科技进步以及生产和生活水平所带来的社会需求方面的变化，确定复垦土地的开发利用方向。复垦后的土地应既能满足保护生物多样性和生态环境的需要，又能满足人类对土地的需求，应保证生态安全和人类社会可持续发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（7）经济可行与技术合理性原则。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土地复垦所需的费用应在保证复垦目标完整、复垦效果达到复垦标准的前提下，兼顾土地复垦成本，尽可能减轻企业负担。复垦技术应能满足复垦工作顺利开展、复垦效果达到复垦质量的要求。</w:t>
      </w:r>
    </w:p>
    <w:p>
      <w:pPr>
        <w:spacing w:line="360" w:lineRule="auto"/>
        <w:ind w:firstLine="481"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2、评价依据</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适宜性评价在详细分析矿区自然条件、社会经济以及土地利用状况的基础上，依据国家和地方的法律及相关规划，综合考虑土地损毁分析结果、公众参与意见以及周边类似项目的复垦经验等，采取切实可行的办法，确定复垦利用方向。主要包括：</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（1）《中华人民共和国环境保护法》（2014.4）</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（2）《中华人民共和国环境影响评价法》（2016.7.2）</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（3）《规划环境影响评价技术导则  总纲》（HJ 130-2019）</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（4）《规划环境影响评价技术导则 产业园区》（HJ 131-2021）</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（5）《环境影响评价技术导则生态影响》（HJ 19-2022）</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（6）《生态环境状况评价技术规范》（HJ 192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2015）</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（7）《矿山地质环境保护与恢复治理方案编制规范》（DZ/T 0223-2011）</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（8）《土地复垦质量控制标准》（TD/T 1036-2013）</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（9）土地利用总体规划、土地整治规划、村镇规划等规划；</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（10）土地损毁预测结果、土地利用自然条件等。</w:t>
      </w:r>
    </w:p>
    <w:p>
      <w:pPr>
        <w:spacing w:line="360" w:lineRule="auto"/>
        <w:ind w:firstLine="481"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3、适宜性评价</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根据本项目的特点，因地制宜制定如下的适宜性评价技术路线，以期望得到最佳合理的土地复垦方案。</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1）复垦范围的界定</w:t>
      </w:r>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根据矿山已损毁土地现状调查和拟损毁土地分析，矿山损毁土地总面积为复垦责任范围，复垦责任范围面积共计</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2）复垦评价单元的划分</w:t>
      </w:r>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土地利用总体规划及相关规划，按照因地制宜的原则，在充分尊重土地权益人意愿的前提下，根据原土地利用类型、土地损毁情况、公众参与意见等，在经济可行、技术合理的条件下，确定拟复垦土地的最佳利用方向，划分土地复垦评价单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评价单元一般是按照将损毁方式、程度相同，内外部特征相同或相近的损毁地块作为同一评价单元，便于合理</w:t>
      </w:r>
      <w:r>
        <w:rPr>
          <w:rFonts w:hint="eastAsia" w:ascii="仿宋" w:hAnsi="仿宋" w:eastAsia="仿宋" w:cs="仿宋"/>
          <w:color w:val="auto"/>
          <w:sz w:val="28"/>
          <w:szCs w:val="28"/>
          <w:highlight w:val="none"/>
          <w:lang w:eastAsia="zh-CN"/>
        </w:rPr>
        <w:t>地</w:t>
      </w:r>
      <w:r>
        <w:rPr>
          <w:rFonts w:hint="eastAsia" w:ascii="仿宋" w:hAnsi="仿宋" w:eastAsia="仿宋" w:cs="仿宋"/>
          <w:color w:val="auto"/>
          <w:sz w:val="28"/>
          <w:szCs w:val="28"/>
          <w:highlight w:val="none"/>
        </w:rPr>
        <w:t>确定各评价单元参评因子的赋值、使确定的复垦方向更贴近于实际。</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通过现场勘查及调查发现，矿山采矿过程中造成的土地损毁类型主要是矿山露天采场、上山公路区的挖损；上山公路区对土地造成的压占。因此，根据各地块对土地的破坏特征不同划分出：露天采场终采平台区、露天采场终采</w:t>
      </w:r>
      <w:r>
        <w:rPr>
          <w:rFonts w:hint="eastAsia" w:ascii="仿宋" w:hAnsi="仿宋" w:eastAsia="仿宋" w:cs="仿宋"/>
          <w:color w:val="auto"/>
          <w:sz w:val="28"/>
          <w:szCs w:val="28"/>
          <w:highlight w:val="none"/>
          <w:lang w:eastAsia="zh-CN"/>
        </w:rPr>
        <w:t>边坡区</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个评价单元进行评价。</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3、评价单元开采前后特征分析</w:t>
      </w:r>
    </w:p>
    <w:p>
      <w:pPr>
        <w:spacing w:line="360" w:lineRule="auto"/>
        <w:ind w:firstLine="560" w:firstLineChars="200"/>
        <w:rPr>
          <w:rFonts w:hint="eastAsia" w:ascii="仿宋" w:hAnsi="仿宋" w:eastAsia="仿宋" w:cs="仿宋"/>
          <w:b/>
          <w:color w:val="auto"/>
          <w:sz w:val="28"/>
          <w:szCs w:val="28"/>
          <w:highlight w:val="none"/>
        </w:rPr>
      </w:pPr>
      <w:r>
        <w:rPr>
          <w:rFonts w:hint="eastAsia" w:ascii="仿宋" w:hAnsi="仿宋" w:eastAsia="仿宋" w:cs="仿宋"/>
          <w:color w:val="auto"/>
          <w:sz w:val="28"/>
          <w:szCs w:val="28"/>
          <w:highlight w:val="none"/>
        </w:rPr>
        <w:t>评价单元开采前后特征是根据对各评价单元现状踏勘资料，并结合矿山的建设方案进行预测，各评价单元的开采前后特征分析如表4-2。</w:t>
      </w:r>
    </w:p>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 4-2  各评价单元开采前后特征分析</w:t>
      </w:r>
    </w:p>
    <w:tbl>
      <w:tblPr>
        <w:tblStyle w:val="23"/>
        <w:tblW w:w="8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7"/>
        <w:gridCol w:w="3438"/>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384" w:type="dxa"/>
            <w:vAlign w:val="center"/>
          </w:tcPr>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评价单元</w:t>
            </w:r>
          </w:p>
        </w:tc>
        <w:tc>
          <w:tcPr>
            <w:tcW w:w="1277" w:type="dxa"/>
            <w:vAlign w:val="center"/>
          </w:tcPr>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面积（hm</w:t>
            </w:r>
            <w:r>
              <w:rPr>
                <w:rFonts w:ascii="Times New Roman" w:hAnsi="Times New Roman" w:eastAsia="宋体" w:cs="Times New Roman"/>
                <w:b/>
                <w:color w:val="auto"/>
                <w:highlight w:val="none"/>
                <w:vertAlign w:val="superscript"/>
              </w:rPr>
              <w:t>2</w:t>
            </w:r>
            <w:r>
              <w:rPr>
                <w:rFonts w:ascii="Times New Roman" w:hAnsi="Times New Roman" w:eastAsia="宋体" w:cs="Times New Roman"/>
                <w:b/>
                <w:color w:val="auto"/>
                <w:highlight w:val="none"/>
              </w:rPr>
              <w:t>）</w:t>
            </w:r>
          </w:p>
        </w:tc>
        <w:tc>
          <w:tcPr>
            <w:tcW w:w="3438" w:type="dxa"/>
            <w:vAlign w:val="center"/>
          </w:tcPr>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开采前特征</w:t>
            </w:r>
          </w:p>
        </w:tc>
        <w:tc>
          <w:tcPr>
            <w:tcW w:w="2462" w:type="dxa"/>
            <w:vAlign w:val="center"/>
          </w:tcPr>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开采后特征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1384" w:type="dxa"/>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c>
          <w:tcPr>
            <w:tcW w:w="1277" w:type="dxa"/>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1.98</w:t>
            </w:r>
          </w:p>
        </w:tc>
        <w:tc>
          <w:tcPr>
            <w:tcW w:w="3438" w:type="dxa"/>
            <w:vMerge w:val="restart"/>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区位于四川盆地中部。区内以方山、浑圆状或垅岗状山丘为主的丘陵地貌特征。区内最高海拔392m，最低338m左右，相对高差54m左右，为浅丘地貌。由于组成山谷均为较软弱地层，常形成脚基相连的缓坡、缓梁及山脊。</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矿区范围内植被较发育，</w:t>
            </w:r>
            <w:r>
              <w:rPr>
                <w:rFonts w:hint="eastAsia" w:ascii="Times New Roman" w:hAnsi="Times New Roman" w:eastAsia="宋体" w:cs="Times New Roman"/>
                <w:color w:val="auto"/>
                <w:highlight w:val="none"/>
              </w:rPr>
              <w:t>植被以灌木、荆棘、乔木为主，覆盖率约</w:t>
            </w:r>
            <w:r>
              <w:rPr>
                <w:rFonts w:ascii="Times New Roman" w:hAnsi="Times New Roman" w:eastAsia="宋体" w:cs="Times New Roman"/>
                <w:color w:val="auto"/>
                <w:highlight w:val="none"/>
              </w:rPr>
              <w:t>80%。</w:t>
            </w:r>
          </w:p>
        </w:tc>
        <w:tc>
          <w:tcPr>
            <w:tcW w:w="2462" w:type="dxa"/>
            <w:vAlign w:val="center"/>
          </w:tcPr>
          <w:p>
            <w:pPr>
              <w:jc w:val="center"/>
              <w:rPr>
                <w:rFonts w:ascii="Times New Roman" w:hAnsi="Times New Roman" w:eastAsia="宋体" w:cs="Times New Roman"/>
                <w:color w:val="auto"/>
                <w:highlight w:val="none"/>
              </w:rPr>
            </w:pPr>
            <w:r>
              <w:rPr>
                <w:rFonts w:eastAsia="宋体"/>
                <w:color w:val="auto"/>
                <w:highlight w:val="none"/>
              </w:rPr>
              <w:t>土地被剥离挖损，植被被破坏，场地较平坦，场地内岩石裸露。坡度约0°</w:t>
            </w:r>
            <w:r>
              <w:rPr>
                <w:color w:val="auto"/>
                <w:highlight w:val="none"/>
              </w:rPr>
              <w:t>～</w:t>
            </w:r>
            <w:r>
              <w:rPr>
                <w:rFonts w:eastAsia="宋体"/>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1384" w:type="dxa"/>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c>
          <w:tcPr>
            <w:tcW w:w="1277" w:type="dxa"/>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1.91</w:t>
            </w:r>
          </w:p>
        </w:tc>
        <w:tc>
          <w:tcPr>
            <w:tcW w:w="3438" w:type="dxa"/>
            <w:vMerge w:val="continue"/>
            <w:vAlign w:val="center"/>
          </w:tcPr>
          <w:p>
            <w:pPr>
              <w:jc w:val="center"/>
              <w:rPr>
                <w:rFonts w:ascii="Times New Roman" w:hAnsi="Times New Roman" w:eastAsia="宋体" w:cs="Times New Roman"/>
                <w:color w:val="auto"/>
                <w:highlight w:val="none"/>
              </w:rPr>
            </w:pPr>
          </w:p>
        </w:tc>
        <w:tc>
          <w:tcPr>
            <w:tcW w:w="2462" w:type="dxa"/>
            <w:vAlign w:val="center"/>
          </w:tcPr>
          <w:p>
            <w:pPr>
              <w:jc w:val="center"/>
              <w:rPr>
                <w:rFonts w:ascii="Times New Roman" w:hAnsi="Times New Roman" w:eastAsia="宋体" w:cs="Times New Roman"/>
                <w:color w:val="auto"/>
                <w:highlight w:val="none"/>
              </w:rPr>
            </w:pPr>
            <w:r>
              <w:rPr>
                <w:rFonts w:eastAsia="宋体"/>
                <w:color w:val="auto"/>
                <w:highlight w:val="none"/>
              </w:rPr>
              <w:t>土地被剥离挖损，植被被破坏，场地内岩石裸露，开采后形成</w:t>
            </w:r>
            <w:r>
              <w:rPr>
                <w:rFonts w:hint="eastAsia" w:eastAsia="宋体"/>
                <w:color w:val="auto"/>
                <w:highlight w:val="none"/>
                <w:lang w:eastAsia="zh-CN"/>
              </w:rPr>
              <w:t>高</w:t>
            </w:r>
            <w:r>
              <w:rPr>
                <w:rFonts w:eastAsia="宋体"/>
                <w:color w:val="auto"/>
                <w:highlight w:val="none"/>
              </w:rPr>
              <w:t>陡边坡，最终边坡角</w:t>
            </w:r>
            <w:r>
              <w:rPr>
                <w:rFonts w:hint="eastAsia" w:eastAsia="宋体"/>
                <w:color w:val="auto"/>
                <w:highlight w:val="none"/>
              </w:rPr>
              <w:t>60</w:t>
            </w:r>
            <w:r>
              <w:rPr>
                <w:rFonts w:eastAsia="宋体"/>
                <w:color w:val="auto"/>
                <w:highlight w:val="none"/>
              </w:rPr>
              <w:t>°，形成高陡的台阶。</w:t>
            </w:r>
          </w:p>
        </w:tc>
      </w:tr>
    </w:tbl>
    <w:p>
      <w:pPr>
        <w:spacing w:before="156" w:beforeLines="50"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4、评价单元可复垦方向的选择</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评价单元可复垦方向的选择依据矿山损毁地块的实际情况和当地的主要土地利用方式确定为旱地、乔木林地、其他草地。</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5、各复垦方向评价等级的确定</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根据项目区的实际情况和复垦后的土地用途，参考《土地复垦质量控制标准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第二次全国土壤普查技术规范》等资料，确定选择土地质地、地形坡度、土壤有机质含量、土地利用现状、地质灾害、灌溉条件、排水条件、岩土污染、有效土层厚度等作为宜性评价的因子，评价本项目待复垦土地的宜垦情况。90分以上为宜水田类，60～90分为宜旱地类，40～60分为宜草宜林类。</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其评价标准和权重见下表（表4-3）：</w:t>
      </w:r>
    </w:p>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表4-3  复垦土地主要限制因素的等级标准各类参评单元适宜性评价一览表</w:t>
      </w:r>
    </w:p>
    <w:tbl>
      <w:tblPr>
        <w:tblStyle w:val="23"/>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6"/>
        <w:gridCol w:w="3110"/>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Align w:val="center"/>
          </w:tcPr>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因子及满分</w:t>
            </w:r>
          </w:p>
        </w:tc>
        <w:tc>
          <w:tcPr>
            <w:tcW w:w="3110" w:type="dxa"/>
            <w:vAlign w:val="center"/>
          </w:tcPr>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指标</w:t>
            </w:r>
          </w:p>
        </w:tc>
        <w:tc>
          <w:tcPr>
            <w:tcW w:w="1932" w:type="dxa"/>
            <w:vAlign w:val="center"/>
          </w:tcPr>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权重指数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土壤质地</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壤土</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粘土、砂壤土</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重粘土、砂土</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砂质土、砾质</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石质</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地形坡度（°）</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（12）</w:t>
            </w: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 2</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2～5</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5～8</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8～15</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15～25</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&gt;25</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土壤有机质含量（g·kg</w:t>
            </w:r>
            <w:r>
              <w:rPr>
                <w:rFonts w:ascii="Times New Roman" w:hAnsi="Times New Roman" w:eastAsia="宋体" w:cs="Times New Roman"/>
                <w:color w:val="auto"/>
                <w:highlight w:val="none"/>
                <w:vertAlign w:val="superscript"/>
              </w:rPr>
              <w:t>-1</w:t>
            </w:r>
            <w:r>
              <w:rPr>
                <w:rFonts w:ascii="Times New Roman" w:hAnsi="Times New Roman" w:eastAsia="宋体" w:cs="Times New Roman"/>
                <w:color w:val="auto"/>
                <w:highlight w:val="none"/>
              </w:rPr>
              <w:t>）</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&gt;4％</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4％～3％</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3％～2％</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2％～1％</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0.6～1％</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 0.6％</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土地利用现状</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平田</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梯田、平地、菜地</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梯地</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坡地、望天田</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园地</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林地</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牧草地、荒草地</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裸土地、裸岩石砾地</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地质灾害危险性程度</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良好</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轻度</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严重</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灌溉条件</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有稳定灌溉条件</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灌溉水源保证一般</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灌溉水源保证差</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无灌溉水源保证</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restart"/>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排水条件</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排水好</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排水一般</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排水差</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无</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restart"/>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岩土污染</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不</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轻度</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中度</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restart"/>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有效土层厚度（cm）</w:t>
            </w:r>
          </w:p>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&gt;150</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100～150</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60～100</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30～60</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pPr>
              <w:jc w:val="center"/>
              <w:rPr>
                <w:rFonts w:ascii="Times New Roman" w:hAnsi="Times New Roman" w:eastAsia="宋体" w:cs="Times New Roman"/>
                <w:color w:val="auto"/>
                <w:highlight w:val="none"/>
              </w:rPr>
            </w:pPr>
          </w:p>
        </w:tc>
        <w:tc>
          <w:tcPr>
            <w:tcW w:w="311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&lt;30</w:t>
            </w: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总分</w:t>
            </w:r>
          </w:p>
        </w:tc>
        <w:tc>
          <w:tcPr>
            <w:tcW w:w="3110" w:type="dxa"/>
            <w:vAlign w:val="center"/>
          </w:tcPr>
          <w:p>
            <w:pPr>
              <w:jc w:val="center"/>
              <w:rPr>
                <w:rFonts w:ascii="Times New Roman" w:hAnsi="Times New Roman" w:eastAsia="宋体" w:cs="Times New Roman"/>
                <w:color w:val="auto"/>
                <w:highlight w:val="none"/>
              </w:rPr>
            </w:pPr>
          </w:p>
        </w:tc>
        <w:tc>
          <w:tcPr>
            <w:tcW w:w="193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100</w:t>
            </w:r>
          </w:p>
        </w:tc>
      </w:tr>
    </w:tbl>
    <w:p>
      <w:pPr>
        <w:spacing w:before="312" w:beforeLines="100" w:line="360" w:lineRule="auto"/>
        <w:ind w:firstLine="560" w:firstLineChars="200"/>
        <w:rPr>
          <w:rFonts w:hint="eastAsia" w:ascii="仿宋" w:hAnsi="仿宋" w:eastAsia="仿宋" w:cs="仿宋"/>
          <w:color w:val="auto"/>
          <w:sz w:val="28"/>
          <w:szCs w:val="28"/>
          <w:highlight w:val="none"/>
        </w:rPr>
      </w:pPr>
      <w:bookmarkStart w:id="122" w:name="_Toc230188564"/>
      <w:r>
        <w:rPr>
          <w:rFonts w:hint="eastAsia" w:ascii="仿宋" w:hAnsi="仿宋" w:eastAsia="仿宋" w:cs="仿宋"/>
          <w:color w:val="auto"/>
          <w:sz w:val="28"/>
          <w:szCs w:val="28"/>
          <w:highlight w:val="none"/>
        </w:rPr>
        <w:t>6、待复垦土地适宜性评价结果</w:t>
      </w:r>
      <w:bookmarkEnd w:id="122"/>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项目复垦土地经过整理后，将具有一定的生产力，但由于各评价单元条件不同，适宜性也不同。通过将参评单元土地质量与待复垦土地主要限制因素的农、林、牧评价等级标准进行比配，得出矿山项目复垦土地适宜性评价结果为终采平台区、老采区平台区、上山公路区平台区复垦方向为乔木林地；终采边坡区、老采区边坡区、上山公路区边坡区复垦方向为其他草地；工业广场、+335终采平台区复垦方向为旱地。各项指标评价结果如下表。</w:t>
      </w:r>
    </w:p>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表4-4       待复垦土地质量各指标分值结果表</w:t>
      </w:r>
    </w:p>
    <w:tbl>
      <w:tblPr>
        <w:tblStyle w:val="23"/>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709"/>
        <w:gridCol w:w="709"/>
        <w:gridCol w:w="643"/>
        <w:gridCol w:w="709"/>
        <w:gridCol w:w="992"/>
        <w:gridCol w:w="709"/>
        <w:gridCol w:w="709"/>
        <w:gridCol w:w="709"/>
        <w:gridCol w:w="850"/>
        <w:gridCol w:w="556"/>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07"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分区</w:t>
            </w:r>
          </w:p>
        </w:tc>
        <w:tc>
          <w:tcPr>
            <w:tcW w:w="709"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土壤质地</w:t>
            </w:r>
          </w:p>
        </w:tc>
        <w:tc>
          <w:tcPr>
            <w:tcW w:w="709"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地形坡度</w:t>
            </w:r>
          </w:p>
        </w:tc>
        <w:tc>
          <w:tcPr>
            <w:tcW w:w="643" w:type="dxa"/>
            <w:vAlign w:val="center"/>
          </w:tcPr>
          <w:p>
            <w:pPr>
              <w:ind w:left="-31" w:leftChars="-15" w:right="-21" w:rightChars="-1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有机质含量</w:t>
            </w:r>
          </w:p>
        </w:tc>
        <w:tc>
          <w:tcPr>
            <w:tcW w:w="709"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土地利用现状</w:t>
            </w:r>
          </w:p>
        </w:tc>
        <w:tc>
          <w:tcPr>
            <w:tcW w:w="99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地质灾害危险性程度</w:t>
            </w:r>
          </w:p>
        </w:tc>
        <w:tc>
          <w:tcPr>
            <w:tcW w:w="709"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灌溉条件</w:t>
            </w:r>
          </w:p>
        </w:tc>
        <w:tc>
          <w:tcPr>
            <w:tcW w:w="709"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排水条件</w:t>
            </w:r>
          </w:p>
        </w:tc>
        <w:tc>
          <w:tcPr>
            <w:tcW w:w="709"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岩土污染</w:t>
            </w:r>
          </w:p>
        </w:tc>
        <w:tc>
          <w:tcPr>
            <w:tcW w:w="850"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有效土层厚度</w:t>
            </w:r>
          </w:p>
        </w:tc>
        <w:tc>
          <w:tcPr>
            <w:tcW w:w="556"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得分</w:t>
            </w:r>
          </w:p>
        </w:tc>
        <w:tc>
          <w:tcPr>
            <w:tcW w:w="95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适宜性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407" w:type="dxa"/>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c>
          <w:tcPr>
            <w:tcW w:w="709"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p>
        </w:tc>
        <w:tc>
          <w:tcPr>
            <w:tcW w:w="709"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643" w:type="dxa"/>
            <w:vAlign w:val="center"/>
          </w:tcPr>
          <w:p>
            <w:pPr>
              <w:spacing w:line="276" w:lineRule="auto"/>
              <w:ind w:firstLine="199" w:firstLineChars="9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709"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11</w:t>
            </w:r>
          </w:p>
        </w:tc>
        <w:tc>
          <w:tcPr>
            <w:tcW w:w="992" w:type="dxa"/>
            <w:vAlign w:val="center"/>
          </w:tcPr>
          <w:p>
            <w:pPr>
              <w:spacing w:line="276" w:lineRule="auto"/>
              <w:ind w:firstLine="42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c>
          <w:tcPr>
            <w:tcW w:w="709" w:type="dxa"/>
            <w:vAlign w:val="center"/>
          </w:tcPr>
          <w:p>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c>
          <w:tcPr>
            <w:tcW w:w="709" w:type="dxa"/>
            <w:vAlign w:val="center"/>
          </w:tcPr>
          <w:p>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c>
          <w:tcPr>
            <w:tcW w:w="709"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850" w:type="dxa"/>
            <w:vAlign w:val="center"/>
          </w:tcPr>
          <w:p>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556"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59</w:t>
            </w:r>
          </w:p>
        </w:tc>
        <w:tc>
          <w:tcPr>
            <w:tcW w:w="952" w:type="dxa"/>
            <w:vAlign w:val="center"/>
          </w:tcPr>
          <w:p>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宜林地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07" w:type="dxa"/>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c>
          <w:tcPr>
            <w:tcW w:w="709"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p>
        </w:tc>
        <w:tc>
          <w:tcPr>
            <w:tcW w:w="709" w:type="dxa"/>
            <w:vAlign w:val="center"/>
          </w:tcPr>
          <w:p>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c>
          <w:tcPr>
            <w:tcW w:w="643" w:type="dxa"/>
            <w:vAlign w:val="center"/>
          </w:tcPr>
          <w:p>
            <w:pPr>
              <w:spacing w:line="276" w:lineRule="auto"/>
              <w:ind w:firstLine="199" w:firstLineChars="9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709"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11</w:t>
            </w:r>
          </w:p>
        </w:tc>
        <w:tc>
          <w:tcPr>
            <w:tcW w:w="992" w:type="dxa"/>
            <w:vAlign w:val="center"/>
          </w:tcPr>
          <w:p>
            <w:pPr>
              <w:spacing w:line="276" w:lineRule="auto"/>
              <w:ind w:firstLine="42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709" w:type="dxa"/>
            <w:vAlign w:val="center"/>
          </w:tcPr>
          <w:p>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c>
          <w:tcPr>
            <w:tcW w:w="709"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709"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850" w:type="dxa"/>
            <w:vAlign w:val="center"/>
          </w:tcPr>
          <w:p>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c>
          <w:tcPr>
            <w:tcW w:w="556" w:type="dxa"/>
            <w:vAlign w:val="center"/>
          </w:tcPr>
          <w:p>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45</w:t>
            </w:r>
          </w:p>
        </w:tc>
        <w:tc>
          <w:tcPr>
            <w:tcW w:w="952" w:type="dxa"/>
            <w:vAlign w:val="center"/>
          </w:tcPr>
          <w:p>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宜草地</w:t>
            </w:r>
          </w:p>
        </w:tc>
      </w:tr>
    </w:tbl>
    <w:p>
      <w:pPr>
        <w:jc w:val="center"/>
        <w:rPr>
          <w:rFonts w:ascii="Times New Roman" w:hAnsi="Times New Roman" w:eastAsia="宋体" w:cs="Times New Roman"/>
          <w:b/>
          <w:color w:val="auto"/>
          <w:highlight w:val="none"/>
        </w:rPr>
      </w:pPr>
    </w:p>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表4-5   各参评单元土地性质表</w:t>
      </w:r>
    </w:p>
    <w:tbl>
      <w:tblPr>
        <w:tblStyle w:val="23"/>
        <w:tblW w:w="5502" w:type="pct"/>
        <w:jc w:val="center"/>
        <w:tblLayout w:type="fixed"/>
        <w:tblCellMar>
          <w:top w:w="0" w:type="dxa"/>
          <w:left w:w="108" w:type="dxa"/>
          <w:bottom w:w="0" w:type="dxa"/>
          <w:right w:w="108" w:type="dxa"/>
        </w:tblCellMar>
      </w:tblPr>
      <w:tblGrid>
        <w:gridCol w:w="768"/>
        <w:gridCol w:w="2593"/>
        <w:gridCol w:w="1229"/>
        <w:gridCol w:w="1148"/>
        <w:gridCol w:w="915"/>
        <w:gridCol w:w="1191"/>
        <w:gridCol w:w="1534"/>
      </w:tblGrid>
      <w:tr>
        <w:tblPrEx>
          <w:tblCellMar>
            <w:top w:w="0" w:type="dxa"/>
            <w:left w:w="108" w:type="dxa"/>
            <w:bottom w:w="0" w:type="dxa"/>
            <w:right w:w="108" w:type="dxa"/>
          </w:tblCellMar>
        </w:tblPrEx>
        <w:trPr>
          <w:trHeight w:val="340" w:hRule="exact"/>
          <w:jc w:val="center"/>
        </w:trPr>
        <w:tc>
          <w:tcPr>
            <w:tcW w:w="2447" w:type="pct"/>
            <w:gridSpan w:val="3"/>
            <w:tcBorders>
              <w:top w:val="single" w:color="auto" w:sz="4" w:space="0"/>
              <w:left w:val="single" w:color="auto" w:sz="4" w:space="0"/>
              <w:bottom w:val="single" w:color="auto" w:sz="4" w:space="0"/>
              <w:right w:val="single" w:color="auto" w:sz="4" w:space="0"/>
            </w:tcBorders>
            <w:vAlign w:val="center"/>
          </w:tcPr>
          <w:p>
            <w:pPr>
              <w:widowControl/>
              <w:ind w:firstLine="42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评价单元</w:t>
            </w:r>
          </w:p>
        </w:tc>
        <w:tc>
          <w:tcPr>
            <w:tcW w:w="1734" w:type="pct"/>
            <w:gridSpan w:val="3"/>
            <w:tcBorders>
              <w:top w:val="single" w:color="auto" w:sz="4" w:space="0"/>
              <w:left w:val="nil"/>
              <w:bottom w:val="single" w:color="auto" w:sz="4" w:space="0"/>
              <w:right w:val="single" w:color="auto" w:sz="4" w:space="0"/>
            </w:tcBorders>
            <w:vAlign w:val="center"/>
          </w:tcPr>
          <w:p>
            <w:pPr>
              <w:widowControl/>
              <w:ind w:firstLine="42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适宜性等级</w:t>
            </w:r>
          </w:p>
        </w:tc>
        <w:tc>
          <w:tcPr>
            <w:tcW w:w="817" w:type="pct"/>
            <w:vMerge w:val="restart"/>
            <w:tcBorders>
              <w:top w:val="single" w:color="auto" w:sz="4" w:space="0"/>
              <w:left w:val="nil"/>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限制因子</w:t>
            </w:r>
          </w:p>
        </w:tc>
      </w:tr>
      <w:tr>
        <w:tblPrEx>
          <w:tblCellMar>
            <w:top w:w="0" w:type="dxa"/>
            <w:left w:w="108" w:type="dxa"/>
            <w:bottom w:w="0" w:type="dxa"/>
            <w:right w:w="108" w:type="dxa"/>
          </w:tblCellMar>
        </w:tblPrEx>
        <w:trPr>
          <w:trHeight w:val="340" w:hRule="exact"/>
          <w:jc w:val="center"/>
        </w:trPr>
        <w:tc>
          <w:tcPr>
            <w:tcW w:w="409"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序号</w:t>
            </w:r>
          </w:p>
        </w:tc>
        <w:tc>
          <w:tcPr>
            <w:tcW w:w="1382"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评价单元</w:t>
            </w:r>
          </w:p>
        </w:tc>
        <w:tc>
          <w:tcPr>
            <w:tcW w:w="655"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面积（hm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w:t>
            </w:r>
          </w:p>
        </w:tc>
        <w:tc>
          <w:tcPr>
            <w:tcW w:w="612"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耕地</w:t>
            </w:r>
          </w:p>
        </w:tc>
        <w:tc>
          <w:tcPr>
            <w:tcW w:w="487"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林地</w:t>
            </w:r>
          </w:p>
        </w:tc>
        <w:tc>
          <w:tcPr>
            <w:tcW w:w="634"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草地</w:t>
            </w:r>
          </w:p>
        </w:tc>
        <w:tc>
          <w:tcPr>
            <w:tcW w:w="817" w:type="pct"/>
            <w:vMerge w:val="continue"/>
            <w:tcBorders>
              <w:left w:val="nil"/>
              <w:bottom w:val="single" w:color="auto" w:sz="4" w:space="0"/>
              <w:right w:val="single" w:color="auto" w:sz="4" w:space="0"/>
            </w:tcBorders>
            <w:vAlign w:val="center"/>
          </w:tcPr>
          <w:p>
            <w:pPr>
              <w:widowControl/>
              <w:ind w:firstLine="420"/>
              <w:jc w:val="center"/>
              <w:rPr>
                <w:rFonts w:ascii="Times New Roman" w:hAnsi="Times New Roman" w:eastAsia="宋体" w:cs="Times New Roman"/>
                <w:color w:val="auto"/>
                <w:kern w:val="0"/>
                <w:highlight w:val="none"/>
              </w:rPr>
            </w:pPr>
          </w:p>
        </w:tc>
      </w:tr>
      <w:tr>
        <w:tblPrEx>
          <w:tblCellMar>
            <w:top w:w="0" w:type="dxa"/>
            <w:left w:w="108" w:type="dxa"/>
            <w:bottom w:w="0" w:type="dxa"/>
            <w:right w:w="108" w:type="dxa"/>
          </w:tblCellMar>
        </w:tblPrEx>
        <w:trPr>
          <w:trHeight w:val="340" w:hRule="exact"/>
          <w:jc w:val="center"/>
        </w:trPr>
        <w:tc>
          <w:tcPr>
            <w:tcW w:w="409"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w:t>
            </w:r>
          </w:p>
        </w:tc>
        <w:tc>
          <w:tcPr>
            <w:tcW w:w="1382" w:type="pct"/>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c>
          <w:tcPr>
            <w:tcW w:w="655" w:type="pct"/>
            <w:tcBorders>
              <w:top w:val="nil"/>
              <w:left w:val="nil"/>
              <w:bottom w:val="single" w:color="auto" w:sz="4" w:space="0"/>
              <w:right w:val="single" w:color="auto" w:sz="4" w:space="0"/>
            </w:tcBorders>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1.98</w:t>
            </w:r>
          </w:p>
        </w:tc>
        <w:tc>
          <w:tcPr>
            <w:tcW w:w="612"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3等</w:t>
            </w:r>
          </w:p>
        </w:tc>
        <w:tc>
          <w:tcPr>
            <w:tcW w:w="487"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2等</w:t>
            </w:r>
          </w:p>
        </w:tc>
        <w:tc>
          <w:tcPr>
            <w:tcW w:w="634"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1等</w:t>
            </w:r>
          </w:p>
        </w:tc>
        <w:tc>
          <w:tcPr>
            <w:tcW w:w="817" w:type="pct"/>
            <w:tcBorders>
              <w:top w:val="nil"/>
              <w:left w:val="nil"/>
              <w:bottom w:val="single" w:color="auto" w:sz="4" w:space="0"/>
              <w:right w:val="single" w:color="auto" w:sz="4" w:space="0"/>
            </w:tcBorders>
            <w:vAlign w:val="center"/>
          </w:tcPr>
          <w:p>
            <w:pPr>
              <w:widowControl/>
              <w:ind w:firstLine="420"/>
              <w:jc w:val="center"/>
              <w:rPr>
                <w:rFonts w:ascii="Times New Roman" w:hAnsi="Times New Roman" w:eastAsia="宋体" w:cs="Times New Roman"/>
                <w:color w:val="auto"/>
                <w:kern w:val="0"/>
                <w:highlight w:val="none"/>
              </w:rPr>
            </w:pPr>
            <w:r>
              <w:rPr>
                <w:rFonts w:ascii="Times New Roman" w:hAnsi="Times New Roman" w:eastAsia="宋体" w:cs="Times New Roman"/>
                <w:color w:val="auto"/>
                <w:highlight w:val="none"/>
              </w:rPr>
              <w:t>有效土层厚度</w:t>
            </w:r>
          </w:p>
        </w:tc>
      </w:tr>
      <w:tr>
        <w:tblPrEx>
          <w:tblCellMar>
            <w:top w:w="0" w:type="dxa"/>
            <w:left w:w="108" w:type="dxa"/>
            <w:bottom w:w="0" w:type="dxa"/>
            <w:right w:w="108" w:type="dxa"/>
          </w:tblCellMar>
        </w:tblPrEx>
        <w:trPr>
          <w:trHeight w:val="340" w:hRule="exact"/>
          <w:jc w:val="center"/>
        </w:trPr>
        <w:tc>
          <w:tcPr>
            <w:tcW w:w="409"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p>
        </w:tc>
        <w:tc>
          <w:tcPr>
            <w:tcW w:w="1382" w:type="pct"/>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c>
          <w:tcPr>
            <w:tcW w:w="655" w:type="pct"/>
            <w:tcBorders>
              <w:top w:val="nil"/>
              <w:left w:val="nil"/>
              <w:bottom w:val="single" w:color="auto" w:sz="4" w:space="0"/>
              <w:right w:val="single" w:color="auto" w:sz="4" w:space="0"/>
            </w:tcBorders>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1.91</w:t>
            </w:r>
          </w:p>
        </w:tc>
        <w:tc>
          <w:tcPr>
            <w:tcW w:w="612"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N</w:t>
            </w:r>
          </w:p>
        </w:tc>
        <w:tc>
          <w:tcPr>
            <w:tcW w:w="487"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3</w:t>
            </w:r>
            <w:r>
              <w:rPr>
                <w:rFonts w:ascii="Times New Roman" w:hAnsi="Times New Roman" w:eastAsia="宋体" w:cs="Times New Roman"/>
                <w:color w:val="auto"/>
                <w:kern w:val="0"/>
                <w:highlight w:val="none"/>
              </w:rPr>
              <w:t>等</w:t>
            </w:r>
          </w:p>
        </w:tc>
        <w:tc>
          <w:tcPr>
            <w:tcW w:w="634"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2</w:t>
            </w:r>
            <w:r>
              <w:rPr>
                <w:rFonts w:ascii="Times New Roman" w:hAnsi="Times New Roman" w:eastAsia="宋体" w:cs="Times New Roman"/>
                <w:color w:val="auto"/>
                <w:kern w:val="0"/>
                <w:highlight w:val="none"/>
              </w:rPr>
              <w:t>等</w:t>
            </w:r>
          </w:p>
        </w:tc>
        <w:tc>
          <w:tcPr>
            <w:tcW w:w="817" w:type="pct"/>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地形坡度</w:t>
            </w:r>
          </w:p>
        </w:tc>
      </w:tr>
      <w:tr>
        <w:tblPrEx>
          <w:tblCellMar>
            <w:top w:w="0" w:type="dxa"/>
            <w:left w:w="108" w:type="dxa"/>
            <w:bottom w:w="0" w:type="dxa"/>
            <w:right w:w="108" w:type="dxa"/>
          </w:tblCellMar>
        </w:tblPrEx>
        <w:trPr>
          <w:trHeight w:val="340" w:hRule="exact"/>
          <w:jc w:val="center"/>
        </w:trPr>
        <w:tc>
          <w:tcPr>
            <w:tcW w:w="1791" w:type="pct"/>
            <w:gridSpan w:val="2"/>
            <w:tcBorders>
              <w:top w:val="single" w:color="auto" w:sz="4" w:space="0"/>
              <w:left w:val="single" w:color="auto" w:sz="4" w:space="0"/>
              <w:bottom w:val="single" w:color="auto" w:sz="4" w:space="0"/>
              <w:right w:val="single" w:color="auto" w:sz="4" w:space="0"/>
            </w:tcBorders>
            <w:noWrap/>
            <w:vAlign w:val="center"/>
          </w:tcPr>
          <w:p>
            <w:pPr>
              <w:widowControl/>
              <w:ind w:firstLine="42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合计</w:t>
            </w:r>
          </w:p>
        </w:tc>
        <w:tc>
          <w:tcPr>
            <w:tcW w:w="655" w:type="pct"/>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3.89</w:t>
            </w:r>
          </w:p>
        </w:tc>
        <w:tc>
          <w:tcPr>
            <w:tcW w:w="612" w:type="pct"/>
            <w:tcBorders>
              <w:top w:val="nil"/>
              <w:left w:val="nil"/>
              <w:bottom w:val="single" w:color="auto" w:sz="4" w:space="0"/>
              <w:right w:val="single" w:color="auto" w:sz="4" w:space="0"/>
            </w:tcBorders>
            <w:noWrap/>
            <w:vAlign w:val="center"/>
          </w:tcPr>
          <w:p>
            <w:pPr>
              <w:widowControl/>
              <w:ind w:firstLine="420"/>
              <w:jc w:val="center"/>
              <w:rPr>
                <w:rFonts w:ascii="Times New Roman" w:hAnsi="Times New Roman" w:eastAsia="宋体" w:cs="Times New Roman"/>
                <w:color w:val="auto"/>
                <w:kern w:val="0"/>
                <w:highlight w:val="none"/>
              </w:rPr>
            </w:pPr>
          </w:p>
        </w:tc>
        <w:tc>
          <w:tcPr>
            <w:tcW w:w="487" w:type="pct"/>
            <w:tcBorders>
              <w:top w:val="nil"/>
              <w:left w:val="nil"/>
              <w:bottom w:val="single" w:color="auto" w:sz="4" w:space="0"/>
              <w:right w:val="single" w:color="auto" w:sz="4" w:space="0"/>
            </w:tcBorders>
            <w:noWrap/>
            <w:vAlign w:val="center"/>
          </w:tcPr>
          <w:p>
            <w:pPr>
              <w:widowControl/>
              <w:ind w:firstLine="420"/>
              <w:jc w:val="center"/>
              <w:rPr>
                <w:rFonts w:ascii="Times New Roman" w:hAnsi="Times New Roman" w:eastAsia="宋体" w:cs="Times New Roman"/>
                <w:color w:val="auto"/>
                <w:kern w:val="0"/>
                <w:highlight w:val="none"/>
              </w:rPr>
            </w:pPr>
          </w:p>
        </w:tc>
        <w:tc>
          <w:tcPr>
            <w:tcW w:w="634" w:type="pct"/>
            <w:tcBorders>
              <w:top w:val="nil"/>
              <w:left w:val="nil"/>
              <w:bottom w:val="single" w:color="auto" w:sz="4" w:space="0"/>
              <w:right w:val="single" w:color="auto" w:sz="4" w:space="0"/>
            </w:tcBorders>
            <w:noWrap/>
            <w:vAlign w:val="center"/>
          </w:tcPr>
          <w:p>
            <w:pPr>
              <w:widowControl/>
              <w:ind w:firstLine="420"/>
              <w:jc w:val="center"/>
              <w:rPr>
                <w:rFonts w:ascii="Times New Roman" w:hAnsi="Times New Roman" w:eastAsia="宋体" w:cs="Times New Roman"/>
                <w:color w:val="auto"/>
                <w:kern w:val="0"/>
                <w:highlight w:val="none"/>
              </w:rPr>
            </w:pPr>
          </w:p>
        </w:tc>
        <w:tc>
          <w:tcPr>
            <w:tcW w:w="817" w:type="pct"/>
            <w:tcBorders>
              <w:top w:val="nil"/>
              <w:left w:val="nil"/>
              <w:bottom w:val="single" w:color="auto" w:sz="4" w:space="0"/>
              <w:right w:val="single" w:color="auto" w:sz="4" w:space="0"/>
            </w:tcBorders>
            <w:noWrap/>
            <w:vAlign w:val="center"/>
          </w:tcPr>
          <w:p>
            <w:pPr>
              <w:widowControl/>
              <w:ind w:firstLine="420"/>
              <w:jc w:val="center"/>
              <w:rPr>
                <w:rFonts w:ascii="Times New Roman" w:hAnsi="Times New Roman" w:eastAsia="宋体" w:cs="Times New Roman"/>
                <w:color w:val="auto"/>
                <w:kern w:val="0"/>
                <w:highlight w:val="none"/>
              </w:rPr>
            </w:pPr>
          </w:p>
        </w:tc>
      </w:tr>
    </w:tbl>
    <w:p>
      <w:pPr>
        <w:ind w:firstLine="42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注：①“1”为非常适宜，“2”为较适宜，“3”为一般适宜，“N”为不适宜。</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7、矿区土地复垦目标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根据矿区土地利用现状图，矿区周边土地类型</w:t>
      </w:r>
      <w:r>
        <w:rPr>
          <w:rFonts w:hint="eastAsia" w:ascii="仿宋" w:hAnsi="仿宋" w:eastAsia="仿宋" w:cs="仿宋"/>
          <w:color w:val="auto"/>
          <w:sz w:val="28"/>
          <w:szCs w:val="28"/>
          <w:highlight w:val="none"/>
          <w:lang w:val="en-US" w:eastAsia="zh-CN"/>
        </w:rPr>
        <w:t>主要</w:t>
      </w:r>
      <w:r>
        <w:rPr>
          <w:rFonts w:hint="eastAsia" w:ascii="仿宋" w:hAnsi="仿宋" w:eastAsia="仿宋" w:cs="仿宋"/>
          <w:color w:val="auto"/>
          <w:sz w:val="28"/>
          <w:szCs w:val="28"/>
          <w:highlight w:val="none"/>
        </w:rPr>
        <w:t>为</w:t>
      </w:r>
      <w:r>
        <w:rPr>
          <w:rFonts w:hint="eastAsia" w:ascii="仿宋" w:hAnsi="仿宋" w:eastAsia="仿宋" w:cs="仿宋"/>
          <w:color w:val="auto"/>
          <w:sz w:val="28"/>
          <w:szCs w:val="28"/>
          <w:highlight w:val="none"/>
          <w:lang w:val="en-US" w:eastAsia="zh-CN"/>
        </w:rPr>
        <w:t>林地</w:t>
      </w:r>
      <w:r>
        <w:rPr>
          <w:rFonts w:hint="eastAsia" w:ascii="仿宋" w:hAnsi="仿宋" w:eastAsia="仿宋" w:cs="仿宋"/>
          <w:color w:val="auto"/>
          <w:sz w:val="28"/>
          <w:szCs w:val="28"/>
          <w:highlight w:val="none"/>
        </w:rPr>
        <w:t>。为了使得与周边环境相协调，结合矿山开采实际情况</w:t>
      </w:r>
      <w:r>
        <w:rPr>
          <w:rFonts w:hint="eastAsia" w:ascii="仿宋" w:hAnsi="仿宋" w:eastAsia="仿宋" w:cs="仿宋"/>
          <w:color w:val="auto"/>
          <w:sz w:val="28"/>
          <w:szCs w:val="28"/>
          <w:highlight w:val="none"/>
          <w:lang w:eastAsia="zh-CN"/>
        </w:rPr>
        <w:t>及待</w:t>
      </w:r>
      <w:r>
        <w:rPr>
          <w:rFonts w:hint="eastAsia" w:ascii="仿宋" w:hAnsi="仿宋" w:eastAsia="仿宋" w:cs="仿宋"/>
          <w:color w:val="auto"/>
          <w:sz w:val="28"/>
          <w:szCs w:val="28"/>
          <w:highlight w:val="none"/>
        </w:rPr>
        <w:t>复垦土地适宜性评价结果，确定露天采场终采平台区复垦方向为</w:t>
      </w:r>
      <w:r>
        <w:rPr>
          <w:rFonts w:hint="eastAsia" w:ascii="仿宋" w:hAnsi="仿宋" w:eastAsia="仿宋" w:cs="仿宋"/>
          <w:color w:val="auto"/>
          <w:sz w:val="28"/>
          <w:szCs w:val="28"/>
          <w:highlight w:val="none"/>
          <w:lang w:val="en-US" w:eastAsia="zh-CN"/>
        </w:rPr>
        <w:t>林地</w:t>
      </w:r>
      <w:r>
        <w:rPr>
          <w:rFonts w:hint="eastAsia" w:ascii="仿宋" w:hAnsi="仿宋" w:eastAsia="仿宋" w:cs="仿宋"/>
          <w:color w:val="auto"/>
          <w:sz w:val="28"/>
          <w:szCs w:val="28"/>
          <w:highlight w:val="none"/>
        </w:rPr>
        <w:t>；露天采场终采边坡区为其他草地。详见表4-6。</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矿区复垦责任范围面积</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，拟复垦为</w:t>
      </w:r>
      <w:r>
        <w:rPr>
          <w:rFonts w:hint="eastAsia" w:ascii="仿宋" w:hAnsi="仿宋" w:eastAsia="仿宋" w:cs="仿宋"/>
          <w:color w:val="auto"/>
          <w:sz w:val="28"/>
          <w:szCs w:val="28"/>
          <w:highlight w:val="none"/>
          <w:lang w:val="en-US" w:eastAsia="zh-CN"/>
        </w:rPr>
        <w:t>林地</w:t>
      </w:r>
      <w:r>
        <w:rPr>
          <w:rFonts w:hint="eastAsia" w:ascii="仿宋" w:hAnsi="仿宋" w:eastAsia="仿宋" w:cs="仿宋"/>
          <w:color w:val="auto"/>
          <w:sz w:val="28"/>
          <w:szCs w:val="28"/>
          <w:highlight w:val="none"/>
        </w:rPr>
        <w:t>面积</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，草地面积为</w:t>
      </w:r>
      <w:r>
        <w:rPr>
          <w:rFonts w:hint="eastAsia" w:ascii="仿宋" w:hAnsi="仿宋" w:eastAsia="仿宋" w:cs="仿宋"/>
          <w:color w:val="auto"/>
          <w:sz w:val="28"/>
          <w:szCs w:val="28"/>
          <w:highlight w:val="none"/>
          <w:lang w:val="en-US" w:eastAsia="zh-CN"/>
        </w:rPr>
        <w:t>1.91</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。复垦前后土地利用结构对比见表4-7。</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1121"/>
        <w:gridCol w:w="1939"/>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22" w:type="dxa"/>
            <w:gridSpan w:val="4"/>
            <w:tcBorders>
              <w:top w:val="nil"/>
              <w:left w:val="nil"/>
              <w:right w:val="nil"/>
            </w:tcBorders>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表4-6 各评价单元复垦方向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0" w:type="dxa"/>
            <w:vAlign w:val="center"/>
          </w:tcPr>
          <w:p>
            <w:pPr>
              <w:ind w:left="4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评价单元</w:t>
            </w:r>
          </w:p>
        </w:tc>
        <w:tc>
          <w:tcPr>
            <w:tcW w:w="1121" w:type="dxa"/>
            <w:vAlign w:val="center"/>
          </w:tcPr>
          <w:p>
            <w:pPr>
              <w:ind w:left="4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复垦方向</w:t>
            </w:r>
          </w:p>
        </w:tc>
        <w:tc>
          <w:tcPr>
            <w:tcW w:w="1939" w:type="dxa"/>
            <w:vAlign w:val="center"/>
          </w:tcPr>
          <w:p>
            <w:pPr>
              <w:ind w:left="4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复垦面积（hm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w:t>
            </w:r>
          </w:p>
        </w:tc>
        <w:tc>
          <w:tcPr>
            <w:tcW w:w="271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复垦单元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0" w:type="dxa"/>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c>
          <w:tcPr>
            <w:tcW w:w="1121" w:type="dxa"/>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乔木</w:t>
            </w:r>
            <w:r>
              <w:rPr>
                <w:rFonts w:ascii="Times New Roman" w:hAnsi="Times New Roman" w:eastAsia="宋体" w:cs="Times New Roman"/>
                <w:color w:val="auto"/>
                <w:highlight w:val="none"/>
              </w:rPr>
              <w:t>林地</w:t>
            </w:r>
          </w:p>
        </w:tc>
        <w:tc>
          <w:tcPr>
            <w:tcW w:w="1939" w:type="dxa"/>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1.98</w:t>
            </w:r>
          </w:p>
        </w:tc>
        <w:tc>
          <w:tcPr>
            <w:tcW w:w="2712" w:type="dxa"/>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0" w:type="dxa"/>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c>
          <w:tcPr>
            <w:tcW w:w="1121"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其他草地</w:t>
            </w:r>
          </w:p>
        </w:tc>
        <w:tc>
          <w:tcPr>
            <w:tcW w:w="1939" w:type="dxa"/>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1.91</w:t>
            </w:r>
          </w:p>
        </w:tc>
        <w:tc>
          <w:tcPr>
            <w:tcW w:w="2712" w:type="dxa"/>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71" w:type="dxa"/>
            <w:gridSpan w:val="2"/>
            <w:vAlign w:val="center"/>
          </w:tcPr>
          <w:p>
            <w:pPr>
              <w:ind w:left="4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合计</w:t>
            </w:r>
          </w:p>
        </w:tc>
        <w:tc>
          <w:tcPr>
            <w:tcW w:w="1939" w:type="dxa"/>
            <w:vAlign w:val="center"/>
          </w:tcPr>
          <w:p>
            <w:pPr>
              <w:ind w:left="45"/>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3.89</w:t>
            </w:r>
          </w:p>
        </w:tc>
        <w:tc>
          <w:tcPr>
            <w:tcW w:w="2712" w:type="dxa"/>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r>
    </w:tbl>
    <w:p>
      <w:pPr>
        <w:jc w:val="center"/>
        <w:rPr>
          <w:rFonts w:eastAsia="宋体"/>
          <w:b/>
          <w:color w:val="auto"/>
          <w:highlight w:val="none"/>
        </w:rPr>
      </w:pPr>
    </w:p>
    <w:p>
      <w:pPr>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w:t>
      </w:r>
      <w:r>
        <w:rPr>
          <w:rFonts w:hint="eastAsia" w:ascii="Times New Roman" w:hAnsi="Times New Roman" w:eastAsia="宋体" w:cs="Times New Roman"/>
          <w:b/>
          <w:bCs/>
          <w:color w:val="auto"/>
          <w:highlight w:val="none"/>
        </w:rPr>
        <w:t>7</w:t>
      </w:r>
      <w:r>
        <w:rPr>
          <w:rFonts w:ascii="Times New Roman" w:hAnsi="Times New Roman" w:eastAsia="宋体" w:cs="Times New Roman"/>
          <w:b/>
          <w:bCs/>
          <w:color w:val="auto"/>
          <w:highlight w:val="none"/>
        </w:rPr>
        <w:t xml:space="preserve">  复垦前后土地利用结构对比表</w:t>
      </w:r>
    </w:p>
    <w:tbl>
      <w:tblPr>
        <w:tblStyle w:val="23"/>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89"/>
        <w:gridCol w:w="1225"/>
        <w:gridCol w:w="1360"/>
        <w:gridCol w:w="1090"/>
        <w:gridCol w:w="1225"/>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61" w:type="dxa"/>
            <w:vAlign w:val="center"/>
          </w:tcPr>
          <w:p>
            <w:pPr>
              <w:widowControl/>
              <w:jc w:val="center"/>
              <w:rPr>
                <w:rFonts w:eastAsia="宋体"/>
                <w:color w:val="auto"/>
                <w:highlight w:val="none"/>
              </w:rPr>
            </w:pPr>
            <w:r>
              <w:rPr>
                <w:rFonts w:hint="eastAsia" w:eastAsia="宋体"/>
                <w:color w:val="auto"/>
                <w:highlight w:val="none"/>
              </w:rPr>
              <w:t>地类编码</w:t>
            </w:r>
          </w:p>
        </w:tc>
        <w:tc>
          <w:tcPr>
            <w:tcW w:w="1489" w:type="dxa"/>
            <w:vAlign w:val="center"/>
          </w:tcPr>
          <w:p>
            <w:pPr>
              <w:widowControl/>
              <w:jc w:val="center"/>
              <w:rPr>
                <w:rFonts w:eastAsia="宋体"/>
                <w:color w:val="auto"/>
                <w:highlight w:val="none"/>
              </w:rPr>
            </w:pPr>
            <w:r>
              <w:rPr>
                <w:rFonts w:hint="eastAsia" w:eastAsia="宋体"/>
                <w:color w:val="auto"/>
                <w:highlight w:val="none"/>
              </w:rPr>
              <w:t>一级地类</w:t>
            </w:r>
          </w:p>
        </w:tc>
        <w:tc>
          <w:tcPr>
            <w:tcW w:w="1225" w:type="dxa"/>
            <w:vAlign w:val="center"/>
          </w:tcPr>
          <w:p>
            <w:pPr>
              <w:widowControl/>
              <w:jc w:val="center"/>
              <w:rPr>
                <w:rFonts w:eastAsia="宋体"/>
                <w:color w:val="auto"/>
                <w:highlight w:val="none"/>
              </w:rPr>
            </w:pPr>
            <w:r>
              <w:rPr>
                <w:rFonts w:hint="eastAsia" w:eastAsia="宋体"/>
                <w:color w:val="auto"/>
                <w:highlight w:val="none"/>
              </w:rPr>
              <w:t>地类编码</w:t>
            </w:r>
          </w:p>
        </w:tc>
        <w:tc>
          <w:tcPr>
            <w:tcW w:w="1360" w:type="dxa"/>
            <w:vAlign w:val="center"/>
          </w:tcPr>
          <w:p>
            <w:pPr>
              <w:widowControl/>
              <w:jc w:val="center"/>
              <w:rPr>
                <w:rFonts w:eastAsia="宋体"/>
                <w:color w:val="auto"/>
                <w:highlight w:val="none"/>
              </w:rPr>
            </w:pPr>
            <w:r>
              <w:rPr>
                <w:rFonts w:hint="eastAsia" w:eastAsia="宋体"/>
                <w:color w:val="auto"/>
                <w:highlight w:val="none"/>
              </w:rPr>
              <w:t>二级地类</w:t>
            </w:r>
          </w:p>
        </w:tc>
        <w:tc>
          <w:tcPr>
            <w:tcW w:w="1090" w:type="dxa"/>
            <w:vAlign w:val="center"/>
          </w:tcPr>
          <w:p>
            <w:pPr>
              <w:widowControl/>
              <w:jc w:val="center"/>
              <w:rPr>
                <w:rFonts w:eastAsia="宋体"/>
                <w:color w:val="auto"/>
                <w:highlight w:val="none"/>
              </w:rPr>
            </w:pPr>
            <w:r>
              <w:rPr>
                <w:rFonts w:hint="eastAsia" w:eastAsia="宋体"/>
                <w:color w:val="auto"/>
                <w:highlight w:val="none"/>
              </w:rPr>
              <w:t>复垦前</w:t>
            </w:r>
            <w:r>
              <w:rPr>
                <w:rFonts w:hint="eastAsia" w:eastAsia="宋体"/>
                <w:color w:val="auto"/>
                <w:highlight w:val="none"/>
                <w:lang w:eastAsia="zh-CN"/>
              </w:rPr>
              <w:t>（</w:t>
            </w:r>
            <w:r>
              <w:rPr>
                <w:rFonts w:hint="eastAsia" w:eastAsia="宋体"/>
                <w:color w:val="auto"/>
                <w:highlight w:val="none"/>
              </w:rPr>
              <w:t>hm</w:t>
            </w:r>
            <w:r>
              <w:rPr>
                <w:rFonts w:hint="eastAsia" w:eastAsia="宋体"/>
                <w:color w:val="auto"/>
                <w:highlight w:val="none"/>
                <w:vertAlign w:val="superscript"/>
              </w:rPr>
              <w:t>2</w:t>
            </w:r>
            <w:r>
              <w:rPr>
                <w:rFonts w:hint="eastAsia" w:eastAsia="宋体"/>
                <w:color w:val="auto"/>
                <w:highlight w:val="none"/>
              </w:rPr>
              <w:t>)</w:t>
            </w:r>
          </w:p>
        </w:tc>
        <w:tc>
          <w:tcPr>
            <w:tcW w:w="1225" w:type="dxa"/>
            <w:vAlign w:val="center"/>
          </w:tcPr>
          <w:p>
            <w:pPr>
              <w:widowControl/>
              <w:jc w:val="center"/>
              <w:rPr>
                <w:rFonts w:eastAsia="宋体"/>
                <w:color w:val="auto"/>
                <w:highlight w:val="none"/>
              </w:rPr>
            </w:pPr>
            <w:r>
              <w:rPr>
                <w:rFonts w:hint="eastAsia" w:eastAsia="宋体"/>
                <w:color w:val="auto"/>
                <w:highlight w:val="none"/>
              </w:rPr>
              <w:t>复垦后</w:t>
            </w:r>
            <w:r>
              <w:rPr>
                <w:rFonts w:hint="eastAsia" w:eastAsia="宋体"/>
                <w:color w:val="auto"/>
                <w:highlight w:val="none"/>
                <w:lang w:eastAsia="zh-CN"/>
              </w:rPr>
              <w:t>（</w:t>
            </w:r>
            <w:r>
              <w:rPr>
                <w:rFonts w:hint="eastAsia" w:eastAsia="宋体"/>
                <w:color w:val="auto"/>
                <w:highlight w:val="none"/>
              </w:rPr>
              <w:t>hm</w:t>
            </w:r>
            <w:r>
              <w:rPr>
                <w:rFonts w:hint="eastAsia" w:eastAsia="宋体"/>
                <w:color w:val="auto"/>
                <w:highlight w:val="none"/>
                <w:vertAlign w:val="superscript"/>
              </w:rPr>
              <w:t>2</w:t>
            </w:r>
            <w:r>
              <w:rPr>
                <w:rFonts w:hint="eastAsia" w:eastAsia="宋体"/>
                <w:color w:val="auto"/>
                <w:highlight w:val="none"/>
              </w:rPr>
              <w:t>)</w:t>
            </w:r>
          </w:p>
        </w:tc>
        <w:tc>
          <w:tcPr>
            <w:tcW w:w="1230" w:type="dxa"/>
            <w:vAlign w:val="center"/>
          </w:tcPr>
          <w:p>
            <w:pPr>
              <w:widowControl/>
              <w:jc w:val="center"/>
              <w:rPr>
                <w:rFonts w:eastAsia="宋体"/>
                <w:color w:val="auto"/>
                <w:highlight w:val="none"/>
              </w:rPr>
            </w:pPr>
            <w:r>
              <w:rPr>
                <w:rFonts w:hint="eastAsia" w:eastAsia="宋体"/>
                <w:color w:val="auto"/>
                <w:highlight w:val="none"/>
              </w:rPr>
              <w:t>增减</w:t>
            </w:r>
            <w:r>
              <w:rPr>
                <w:rFonts w:hint="eastAsia" w:eastAsia="宋体"/>
                <w:color w:val="auto"/>
                <w:highlight w:val="none"/>
                <w:lang w:eastAsia="zh-CN"/>
              </w:rPr>
              <w:t>（</w:t>
            </w:r>
            <w:r>
              <w:rPr>
                <w:rFonts w:hint="eastAsia" w:eastAsia="宋体"/>
                <w:color w:val="auto"/>
                <w:highlight w:val="none"/>
              </w:rPr>
              <w:t>hm</w:t>
            </w:r>
            <w:r>
              <w:rPr>
                <w:rFonts w:hint="eastAsia" w:eastAsia="宋体"/>
                <w:color w:val="auto"/>
                <w:highlight w:val="none"/>
                <w:vertAlign w:val="superscript"/>
              </w:rPr>
              <w:t>2</w:t>
            </w:r>
            <w:r>
              <w:rPr>
                <w:rFonts w:hint="eastAsia" w:eastAsia="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noWrap/>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03</w:t>
            </w:r>
          </w:p>
        </w:tc>
        <w:tc>
          <w:tcPr>
            <w:tcW w:w="1489" w:type="dxa"/>
            <w:noWrap/>
            <w:vAlign w:val="center"/>
          </w:tcPr>
          <w:p>
            <w:pPr>
              <w:widowControl/>
              <w:jc w:val="center"/>
              <w:textAlignment w:val="center"/>
              <w:rPr>
                <w:rFonts w:hint="eastAsia" w:eastAsia="宋体"/>
                <w:color w:val="auto"/>
                <w:highlight w:val="none"/>
                <w:lang w:eastAsia="zh-CN"/>
              </w:rPr>
            </w:pPr>
            <w:r>
              <w:rPr>
                <w:rFonts w:hint="eastAsia" w:ascii="宋体" w:hAnsi="宋体" w:eastAsia="宋体" w:cs="宋体"/>
                <w:color w:val="auto"/>
                <w:kern w:val="0"/>
                <w:highlight w:val="none"/>
                <w:lang w:val="en-US" w:eastAsia="zh-CN" w:bidi="ar"/>
              </w:rPr>
              <w:t>林地</w:t>
            </w:r>
          </w:p>
        </w:tc>
        <w:tc>
          <w:tcPr>
            <w:tcW w:w="1225"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0103</w:t>
            </w:r>
          </w:p>
        </w:tc>
        <w:tc>
          <w:tcPr>
            <w:tcW w:w="1360" w:type="dxa"/>
            <w:noWrap/>
            <w:vAlign w:val="center"/>
          </w:tcPr>
          <w:p>
            <w:pPr>
              <w:widowControl/>
              <w:jc w:val="center"/>
              <w:textAlignment w:val="center"/>
              <w:rPr>
                <w:rFonts w:hint="eastAsia" w:eastAsia="宋体"/>
                <w:color w:val="auto"/>
                <w:highlight w:val="none"/>
                <w:lang w:eastAsia="zh-CN"/>
              </w:rPr>
            </w:pPr>
            <w:r>
              <w:rPr>
                <w:rFonts w:hint="eastAsia" w:ascii="宋体" w:hAnsi="宋体" w:eastAsia="宋体" w:cs="宋体"/>
                <w:color w:val="auto"/>
                <w:kern w:val="0"/>
                <w:highlight w:val="none"/>
                <w:lang w:val="en-US" w:eastAsia="zh-CN" w:bidi="ar"/>
              </w:rPr>
              <w:t>乔木林地</w:t>
            </w:r>
          </w:p>
        </w:tc>
        <w:tc>
          <w:tcPr>
            <w:tcW w:w="1090" w:type="dxa"/>
            <w:noWrap/>
            <w:vAlign w:val="center"/>
          </w:tcPr>
          <w:p>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1.99</w:t>
            </w:r>
          </w:p>
        </w:tc>
        <w:tc>
          <w:tcPr>
            <w:tcW w:w="1225"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1.98</w:t>
            </w:r>
          </w:p>
        </w:tc>
        <w:tc>
          <w:tcPr>
            <w:tcW w:w="1230"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03</w:t>
            </w:r>
          </w:p>
        </w:tc>
        <w:tc>
          <w:tcPr>
            <w:tcW w:w="1489" w:type="dxa"/>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林地</w:t>
            </w:r>
          </w:p>
        </w:tc>
        <w:tc>
          <w:tcPr>
            <w:tcW w:w="1225"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0301</w:t>
            </w:r>
          </w:p>
        </w:tc>
        <w:tc>
          <w:tcPr>
            <w:tcW w:w="1360" w:type="dxa"/>
            <w:noWrap/>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val="en-US" w:eastAsia="zh-CN" w:bidi="ar"/>
              </w:rPr>
              <w:t>其他</w:t>
            </w:r>
            <w:r>
              <w:rPr>
                <w:rFonts w:hint="eastAsia" w:ascii="宋体" w:hAnsi="宋体" w:eastAsia="宋体" w:cs="宋体"/>
                <w:color w:val="auto"/>
                <w:kern w:val="0"/>
                <w:highlight w:val="none"/>
                <w:lang w:bidi="ar"/>
              </w:rPr>
              <w:t>林地</w:t>
            </w:r>
          </w:p>
        </w:tc>
        <w:tc>
          <w:tcPr>
            <w:tcW w:w="1090" w:type="dxa"/>
            <w:noWrap/>
            <w:vAlign w:val="center"/>
          </w:tcPr>
          <w:p>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1.7</w:t>
            </w:r>
          </w:p>
        </w:tc>
        <w:tc>
          <w:tcPr>
            <w:tcW w:w="1225" w:type="dxa"/>
            <w:vAlign w:val="center"/>
          </w:tcPr>
          <w:p>
            <w:pPr>
              <w:widowControl/>
              <w:jc w:val="center"/>
              <w:textAlignment w:val="center"/>
              <w:rPr>
                <w:rFonts w:hint="eastAsia" w:eastAsia="宋体"/>
                <w:color w:val="auto"/>
                <w:highlight w:val="none"/>
                <w:lang w:eastAsia="zh-CN"/>
              </w:rPr>
            </w:pPr>
            <w:r>
              <w:rPr>
                <w:rFonts w:hint="eastAsia" w:ascii="Times New Roman" w:hAnsi="Times New Roman" w:eastAsia="宋体" w:cs="Times New Roman"/>
                <w:color w:val="auto"/>
                <w:kern w:val="0"/>
                <w:highlight w:val="none"/>
                <w:lang w:val="en-US" w:eastAsia="zh-CN" w:bidi="ar"/>
              </w:rPr>
              <w:t>0</w:t>
            </w:r>
          </w:p>
        </w:tc>
        <w:tc>
          <w:tcPr>
            <w:tcW w:w="1230"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961"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04</w:t>
            </w:r>
          </w:p>
        </w:tc>
        <w:tc>
          <w:tcPr>
            <w:tcW w:w="1489" w:type="dxa"/>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草地</w:t>
            </w:r>
          </w:p>
        </w:tc>
        <w:tc>
          <w:tcPr>
            <w:tcW w:w="1225"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0404</w:t>
            </w:r>
          </w:p>
        </w:tc>
        <w:tc>
          <w:tcPr>
            <w:tcW w:w="1360" w:type="dxa"/>
            <w:noWrap/>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其他草地</w:t>
            </w:r>
          </w:p>
        </w:tc>
        <w:tc>
          <w:tcPr>
            <w:tcW w:w="1090"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w:t>
            </w:r>
          </w:p>
        </w:tc>
        <w:tc>
          <w:tcPr>
            <w:tcW w:w="1225"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1.91</w:t>
            </w:r>
          </w:p>
        </w:tc>
        <w:tc>
          <w:tcPr>
            <w:tcW w:w="1230"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61"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06</w:t>
            </w:r>
          </w:p>
        </w:tc>
        <w:tc>
          <w:tcPr>
            <w:tcW w:w="1489" w:type="dxa"/>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工矿仓储用地</w:t>
            </w:r>
          </w:p>
        </w:tc>
        <w:tc>
          <w:tcPr>
            <w:tcW w:w="1225"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0602</w:t>
            </w:r>
          </w:p>
        </w:tc>
        <w:tc>
          <w:tcPr>
            <w:tcW w:w="1360" w:type="dxa"/>
            <w:noWrap/>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采矿用地</w:t>
            </w:r>
          </w:p>
        </w:tc>
        <w:tc>
          <w:tcPr>
            <w:tcW w:w="1090" w:type="dxa"/>
            <w:noWrap/>
            <w:vAlign w:val="center"/>
          </w:tcPr>
          <w:p>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0.2</w:t>
            </w:r>
          </w:p>
        </w:tc>
        <w:tc>
          <w:tcPr>
            <w:tcW w:w="1225" w:type="dxa"/>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w:t>
            </w:r>
          </w:p>
        </w:tc>
        <w:tc>
          <w:tcPr>
            <w:tcW w:w="1230" w:type="dxa"/>
            <w:vAlign w:val="center"/>
          </w:tcPr>
          <w:p>
            <w:pPr>
              <w:widowControl/>
              <w:jc w:val="center"/>
              <w:textAlignment w:val="center"/>
              <w:rPr>
                <w:rFonts w:hint="default" w:eastAsia="宋体"/>
                <w:color w:val="auto"/>
                <w:highlight w:val="none"/>
                <w:lang w:val="en-US" w:eastAsia="zh-CN"/>
              </w:rPr>
            </w:pPr>
            <w:r>
              <w:rPr>
                <w:rFonts w:ascii="Times New Roman" w:hAnsi="Times New Roman" w:eastAsia="宋体" w:cs="Times New Roman"/>
                <w:color w:val="auto"/>
                <w:kern w:val="0"/>
                <w:highlight w:val="none"/>
                <w:lang w:bidi="ar"/>
              </w:rPr>
              <w:t>-</w:t>
            </w:r>
            <w:r>
              <w:rPr>
                <w:rFonts w:hint="eastAsia" w:ascii="Times New Roman" w:hAnsi="Times New Roman" w:eastAsia="宋体" w:cs="Times New Roman"/>
                <w:color w:val="auto"/>
                <w:kern w:val="0"/>
                <w:highlight w:val="none"/>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vAlign w:val="center"/>
          </w:tcPr>
          <w:p>
            <w:pPr>
              <w:widowControl/>
              <w:jc w:val="center"/>
              <w:rPr>
                <w:rFonts w:eastAsia="宋体"/>
                <w:color w:val="auto"/>
                <w:highlight w:val="none"/>
              </w:rPr>
            </w:pPr>
            <w:r>
              <w:rPr>
                <w:rFonts w:hint="eastAsia" w:eastAsia="宋体"/>
                <w:color w:val="auto"/>
                <w:highlight w:val="none"/>
              </w:rPr>
              <w:t>合计</w:t>
            </w:r>
          </w:p>
        </w:tc>
        <w:tc>
          <w:tcPr>
            <w:tcW w:w="1489" w:type="dxa"/>
            <w:vAlign w:val="center"/>
          </w:tcPr>
          <w:p>
            <w:pPr>
              <w:widowControl/>
              <w:jc w:val="center"/>
              <w:rPr>
                <w:rFonts w:eastAsia="宋体"/>
                <w:color w:val="auto"/>
                <w:highlight w:val="none"/>
              </w:rPr>
            </w:pPr>
            <w:r>
              <w:rPr>
                <w:rFonts w:hint="eastAsia" w:eastAsia="宋体"/>
                <w:color w:val="auto"/>
                <w:highlight w:val="none"/>
              </w:rPr>
              <w:t>　</w:t>
            </w:r>
          </w:p>
        </w:tc>
        <w:tc>
          <w:tcPr>
            <w:tcW w:w="1225" w:type="dxa"/>
            <w:vAlign w:val="center"/>
          </w:tcPr>
          <w:p>
            <w:pPr>
              <w:widowControl/>
              <w:jc w:val="center"/>
              <w:rPr>
                <w:rFonts w:eastAsia="宋体"/>
                <w:color w:val="auto"/>
                <w:highlight w:val="none"/>
              </w:rPr>
            </w:pPr>
            <w:r>
              <w:rPr>
                <w:rFonts w:hint="eastAsia" w:eastAsia="宋体"/>
                <w:color w:val="auto"/>
                <w:highlight w:val="none"/>
              </w:rPr>
              <w:t>　</w:t>
            </w:r>
          </w:p>
        </w:tc>
        <w:tc>
          <w:tcPr>
            <w:tcW w:w="1360" w:type="dxa"/>
            <w:vAlign w:val="center"/>
          </w:tcPr>
          <w:p>
            <w:pPr>
              <w:widowControl/>
              <w:jc w:val="center"/>
              <w:rPr>
                <w:rFonts w:eastAsia="宋体"/>
                <w:color w:val="auto"/>
                <w:highlight w:val="none"/>
              </w:rPr>
            </w:pPr>
            <w:r>
              <w:rPr>
                <w:rFonts w:hint="eastAsia" w:eastAsia="宋体"/>
                <w:color w:val="auto"/>
                <w:highlight w:val="none"/>
              </w:rPr>
              <w:t>　</w:t>
            </w:r>
          </w:p>
        </w:tc>
        <w:tc>
          <w:tcPr>
            <w:tcW w:w="1090" w:type="dxa"/>
            <w:vAlign w:val="center"/>
          </w:tcPr>
          <w:p>
            <w:pPr>
              <w:widowControl/>
              <w:jc w:val="center"/>
              <w:rPr>
                <w:rFonts w:hint="default" w:eastAsia="宋体"/>
                <w:color w:val="auto"/>
                <w:highlight w:val="none"/>
                <w:lang w:val="en-US" w:eastAsia="zh-CN"/>
              </w:rPr>
            </w:pPr>
            <w:r>
              <w:rPr>
                <w:rFonts w:hint="eastAsia" w:eastAsia="宋体"/>
                <w:color w:val="auto"/>
                <w:highlight w:val="none"/>
                <w:lang w:val="en-US" w:eastAsia="zh-CN"/>
              </w:rPr>
              <w:t>3.89</w:t>
            </w:r>
          </w:p>
        </w:tc>
        <w:tc>
          <w:tcPr>
            <w:tcW w:w="1225" w:type="dxa"/>
            <w:vAlign w:val="center"/>
          </w:tcPr>
          <w:p>
            <w:pPr>
              <w:widowControl/>
              <w:jc w:val="center"/>
              <w:rPr>
                <w:rFonts w:hint="default" w:eastAsia="宋体"/>
                <w:color w:val="auto"/>
                <w:highlight w:val="none"/>
                <w:lang w:val="en-US" w:eastAsia="zh-CN"/>
              </w:rPr>
            </w:pPr>
            <w:r>
              <w:rPr>
                <w:rFonts w:hint="eastAsia" w:eastAsia="宋体"/>
                <w:color w:val="auto"/>
                <w:highlight w:val="none"/>
                <w:lang w:val="en-US" w:eastAsia="zh-CN"/>
              </w:rPr>
              <w:t>3.89</w:t>
            </w:r>
          </w:p>
        </w:tc>
        <w:tc>
          <w:tcPr>
            <w:tcW w:w="1230" w:type="dxa"/>
            <w:vAlign w:val="center"/>
          </w:tcPr>
          <w:p>
            <w:pPr>
              <w:widowControl/>
              <w:jc w:val="center"/>
              <w:rPr>
                <w:rFonts w:eastAsia="宋体"/>
                <w:color w:val="auto"/>
                <w:highlight w:val="none"/>
              </w:rPr>
            </w:pPr>
            <w:r>
              <w:rPr>
                <w:rFonts w:hint="eastAsia" w:eastAsia="宋体"/>
                <w:color w:val="auto"/>
                <w:highlight w:val="none"/>
              </w:rPr>
              <w:t>0</w:t>
            </w:r>
          </w:p>
        </w:tc>
      </w:tr>
    </w:tbl>
    <w:p>
      <w:pPr>
        <w:pStyle w:val="5"/>
        <w:rPr>
          <w:rFonts w:ascii="Times New Roman" w:hAnsi="Times New Roman" w:eastAsia="宋体" w:cs="Times New Roman"/>
          <w:color w:val="auto"/>
          <w:sz w:val="28"/>
          <w:szCs w:val="28"/>
          <w:highlight w:val="none"/>
        </w:rPr>
      </w:pPr>
      <w:bookmarkStart w:id="123" w:name="_Toc2864"/>
      <w:r>
        <w:rPr>
          <w:rFonts w:ascii="Times New Roman" w:hAnsi="Times New Roman" w:eastAsia="宋体" w:cs="Times New Roman"/>
          <w:color w:val="auto"/>
          <w:sz w:val="28"/>
          <w:szCs w:val="28"/>
          <w:highlight w:val="none"/>
        </w:rPr>
        <w:t>（三）水土资源平衡分析</w:t>
      </w:r>
      <w:bookmarkEnd w:id="123"/>
    </w:p>
    <w:p>
      <w:pPr>
        <w:spacing w:line="360" w:lineRule="auto"/>
        <w:ind w:firstLine="481"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rPr>
        <w:t>、</w:t>
      </w:r>
      <w:r>
        <w:rPr>
          <w:rFonts w:ascii="Times New Roman" w:hAnsi="Times New Roman" w:eastAsia="宋体" w:cs="Times New Roman"/>
          <w:b/>
          <w:bCs/>
          <w:color w:val="auto"/>
          <w:sz w:val="24"/>
          <w:szCs w:val="24"/>
          <w:highlight w:val="none"/>
        </w:rPr>
        <w:t>水资源平衡</w:t>
      </w:r>
      <w:r>
        <w:rPr>
          <w:rFonts w:hint="eastAsia" w:ascii="Times New Roman" w:hAnsi="Times New Roman" w:eastAsia="宋体" w:cs="Times New Roman"/>
          <w:b/>
          <w:bCs/>
          <w:color w:val="auto"/>
          <w:sz w:val="24"/>
          <w:szCs w:val="24"/>
          <w:highlight w:val="none"/>
        </w:rPr>
        <w:t>分析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本项目复垦的方向是乔木林地、其他草地。项目区土地复垦后，其主要用水对象是植被用水。</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1）复垦乔木林地需水分析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复垦后乔木林地面积为</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（约合</w:t>
      </w:r>
      <w:r>
        <w:rPr>
          <w:rFonts w:hint="eastAsia" w:ascii="仿宋" w:hAnsi="仿宋" w:eastAsia="仿宋" w:cs="仿宋"/>
          <w:color w:val="auto"/>
          <w:sz w:val="28"/>
          <w:szCs w:val="28"/>
          <w:highlight w:val="none"/>
          <w:lang w:val="en-US" w:eastAsia="zh-CN"/>
        </w:rPr>
        <w:t>29.7</w:t>
      </w:r>
      <w:r>
        <w:rPr>
          <w:rFonts w:hint="eastAsia" w:ascii="仿宋" w:hAnsi="仿宋" w:eastAsia="仿宋" w:cs="仿宋"/>
          <w:color w:val="auto"/>
          <w:sz w:val="28"/>
          <w:szCs w:val="28"/>
          <w:highlight w:val="none"/>
        </w:rPr>
        <w:t>亩），林地在幼苗期内需要灌溉，成活后靠大气降水自然补给。根据《四川省农业灌溉用水定额》中四川省农业灌溉用水定额表，“林木的培育和种植”，灌溉用水基准定额</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m0</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为160 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/亩。项目区累计复垦乔木林地</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（约合</w:t>
      </w:r>
      <w:r>
        <w:rPr>
          <w:rFonts w:hint="eastAsia" w:ascii="仿宋" w:hAnsi="仿宋" w:eastAsia="仿宋" w:cs="仿宋"/>
          <w:color w:val="auto"/>
          <w:sz w:val="28"/>
          <w:szCs w:val="28"/>
          <w:highlight w:val="none"/>
          <w:lang w:val="en-US" w:eastAsia="zh-CN"/>
        </w:rPr>
        <w:t>29.7</w:t>
      </w:r>
      <w:r>
        <w:rPr>
          <w:rFonts w:hint="eastAsia" w:ascii="仿宋" w:hAnsi="仿宋" w:eastAsia="仿宋" w:cs="仿宋"/>
          <w:color w:val="auto"/>
          <w:sz w:val="28"/>
          <w:szCs w:val="28"/>
          <w:highlight w:val="none"/>
        </w:rPr>
        <w:t>亩），计算出乔木林地复垦区累计需水量约为</w:t>
      </w:r>
      <w:r>
        <w:rPr>
          <w:rFonts w:hint="eastAsia" w:ascii="仿宋" w:hAnsi="仿宋" w:eastAsia="仿宋" w:cs="仿宋"/>
          <w:color w:val="auto"/>
          <w:sz w:val="28"/>
          <w:szCs w:val="28"/>
          <w:highlight w:val="none"/>
          <w:lang w:val="en-US" w:eastAsia="zh-CN"/>
        </w:rPr>
        <w:t>4752</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2）复垦草地需水分析</w:t>
      </w:r>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复垦草地区域按复垦林地灌溉标准80%计，即128m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/亩。复垦草地面积</w:t>
      </w:r>
      <w:r>
        <w:rPr>
          <w:rFonts w:hint="eastAsia" w:ascii="仿宋" w:hAnsi="仿宋" w:eastAsia="仿宋" w:cs="仿宋"/>
          <w:color w:val="auto"/>
          <w:sz w:val="28"/>
          <w:szCs w:val="28"/>
          <w:highlight w:val="none"/>
          <w:lang w:val="en-US" w:eastAsia="zh-CN"/>
        </w:rPr>
        <w:t>1.91</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（约合</w:t>
      </w:r>
      <w:r>
        <w:rPr>
          <w:rFonts w:hint="eastAsia" w:ascii="仿宋" w:hAnsi="仿宋" w:eastAsia="仿宋" w:cs="仿宋"/>
          <w:color w:val="auto"/>
          <w:sz w:val="28"/>
          <w:szCs w:val="28"/>
          <w:highlight w:val="none"/>
          <w:lang w:val="en-US" w:eastAsia="zh-CN"/>
        </w:rPr>
        <w:t>28.6</w:t>
      </w:r>
      <w:r>
        <w:rPr>
          <w:rFonts w:hint="eastAsia" w:ascii="仿宋" w:hAnsi="仿宋" w:eastAsia="仿宋" w:cs="仿宋"/>
          <w:color w:val="auto"/>
          <w:sz w:val="28"/>
          <w:szCs w:val="28"/>
          <w:highlight w:val="none"/>
        </w:rPr>
        <w:t>亩），计算出草地复垦区累计需水量约为</w:t>
      </w:r>
      <w:r>
        <w:rPr>
          <w:rFonts w:hint="eastAsia" w:ascii="仿宋" w:hAnsi="仿宋" w:eastAsia="仿宋" w:cs="仿宋"/>
          <w:color w:val="auto"/>
          <w:sz w:val="28"/>
          <w:szCs w:val="28"/>
          <w:highlight w:val="none"/>
          <w:lang w:val="en-US" w:eastAsia="zh-CN"/>
        </w:rPr>
        <w:t>3660.8</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pPr>
        <w:spacing w:line="360" w:lineRule="auto"/>
        <w:ind w:firstLine="481"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eastAsia="zh-CN"/>
        </w:rPr>
        <w:t>土地</w:t>
      </w:r>
      <w:r>
        <w:rPr>
          <w:rFonts w:ascii="Times New Roman" w:hAnsi="Times New Roman" w:eastAsia="宋体" w:cs="Times New Roman"/>
          <w:b/>
          <w:bCs/>
          <w:color w:val="auto"/>
          <w:sz w:val="24"/>
          <w:szCs w:val="24"/>
          <w:highlight w:val="none"/>
        </w:rPr>
        <w:t>资源平衡</w:t>
      </w:r>
    </w:p>
    <w:p>
      <w:pPr>
        <w:spacing w:line="360" w:lineRule="auto"/>
        <w:ind w:firstLine="480"/>
        <w:jc w:val="left"/>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1）需土分析</w:t>
      </w:r>
    </w:p>
    <w:p>
      <w:pPr>
        <w:pStyle w:val="14"/>
        <w:spacing w:line="360" w:lineRule="auto"/>
        <w:ind w:firstLine="480"/>
        <w:rPr>
          <w:rFonts w:ascii="Times New Roman" w:hAnsi="Times New Roman" w:cs="Times New Roman"/>
          <w:color w:val="auto"/>
          <w:sz w:val="24"/>
          <w:szCs w:val="24"/>
          <w:highlight w:val="none"/>
        </w:rPr>
      </w:pPr>
      <w:r>
        <w:rPr>
          <w:rFonts w:hint="eastAsia" w:ascii="仿宋" w:hAnsi="仿宋" w:eastAsia="仿宋" w:cs="仿宋"/>
          <w:color w:val="auto"/>
          <w:sz w:val="28"/>
          <w:szCs w:val="28"/>
          <w:highlight w:val="none"/>
        </w:rPr>
        <w:t>根据评价单元的复垦适宜性评价，本项目复垦方向为乔木林地、其他草地。复垦为乔木林地面积</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、其他草地面积为</w:t>
      </w:r>
      <w:r>
        <w:rPr>
          <w:rFonts w:hint="eastAsia" w:ascii="仿宋" w:hAnsi="仿宋" w:eastAsia="仿宋" w:cs="仿宋"/>
          <w:color w:val="auto"/>
          <w:sz w:val="28"/>
          <w:szCs w:val="28"/>
          <w:highlight w:val="none"/>
          <w:lang w:val="en-US" w:eastAsia="zh-CN"/>
        </w:rPr>
        <w:t>1.91</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。对复垦乔木林地区域，回填表土标准按照0.3m进行覆土，计算出土壤需求为</w:t>
      </w:r>
      <w:r>
        <w:rPr>
          <w:rFonts w:hint="eastAsia" w:ascii="仿宋" w:hAnsi="仿宋" w:eastAsia="仿宋" w:cs="仿宋"/>
          <w:color w:val="auto"/>
          <w:sz w:val="28"/>
          <w:szCs w:val="28"/>
          <w:highlight w:val="none"/>
          <w:lang w:val="en-US" w:eastAsia="zh-CN"/>
        </w:rPr>
        <w:t>5940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；复垦其他草地区域由于终采边坡区坡度较陡，不进行覆土，直接清理浮石后，在</w:t>
      </w:r>
      <w:r>
        <w:rPr>
          <w:rFonts w:hint="eastAsia" w:ascii="仿宋" w:hAnsi="仿宋" w:eastAsia="仿宋" w:cs="仿宋"/>
          <w:color w:val="auto"/>
          <w:sz w:val="28"/>
          <w:szCs w:val="28"/>
          <w:highlight w:val="none"/>
          <w:lang w:val="en-US" w:eastAsia="zh-CN"/>
        </w:rPr>
        <w:t>边坡处</w:t>
      </w:r>
      <w:r>
        <w:rPr>
          <w:rFonts w:hint="eastAsia" w:ascii="仿宋" w:hAnsi="仿宋" w:eastAsia="仿宋" w:cs="仿宋"/>
          <w:color w:val="auto"/>
          <w:sz w:val="28"/>
          <w:szCs w:val="28"/>
          <w:highlight w:val="none"/>
        </w:rPr>
        <w:t>种植爬藤。因此项目区需覆表土量</w:t>
      </w:r>
      <w:r>
        <w:rPr>
          <w:rFonts w:hint="eastAsia" w:ascii="仿宋" w:hAnsi="仿宋" w:eastAsia="仿宋" w:cs="仿宋"/>
          <w:color w:val="auto"/>
          <w:sz w:val="28"/>
          <w:szCs w:val="28"/>
          <w:highlight w:val="none"/>
          <w:lang w:val="en-US" w:eastAsia="zh-CN"/>
        </w:rPr>
        <w:t>5940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pPr>
        <w:jc w:val="center"/>
        <w:rPr>
          <w:rFonts w:eastAsia="宋体"/>
          <w:b/>
          <w:color w:val="auto"/>
          <w:highlight w:val="none"/>
        </w:rPr>
      </w:pPr>
      <w:r>
        <w:rPr>
          <w:rFonts w:eastAsia="宋体"/>
          <w:b/>
          <w:color w:val="auto"/>
          <w:highlight w:val="none"/>
        </w:rPr>
        <w:t>表4-</w:t>
      </w:r>
      <w:r>
        <w:rPr>
          <w:rFonts w:hint="eastAsia" w:eastAsia="宋体"/>
          <w:b/>
          <w:color w:val="auto"/>
          <w:highlight w:val="none"/>
        </w:rPr>
        <w:t>9</w:t>
      </w:r>
      <w:r>
        <w:rPr>
          <w:rFonts w:eastAsia="宋体"/>
          <w:b/>
          <w:color w:val="auto"/>
          <w:highlight w:val="none"/>
        </w:rPr>
        <w:t xml:space="preserve">   项目区覆土量分析表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2142"/>
        <w:gridCol w:w="2125"/>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8" w:type="dxa"/>
            <w:vAlign w:val="center"/>
          </w:tcPr>
          <w:p>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复垦地类</w:t>
            </w:r>
          </w:p>
        </w:tc>
        <w:tc>
          <w:tcPr>
            <w:tcW w:w="2142" w:type="dxa"/>
            <w:vAlign w:val="center"/>
          </w:tcPr>
          <w:p>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复垦面积（hm</w:t>
            </w:r>
            <w:r>
              <w:rPr>
                <w:rFonts w:ascii="Times New Roman" w:hAnsi="Times New Roman"/>
                <w:color w:val="auto"/>
                <w:sz w:val="21"/>
                <w:highlight w:val="none"/>
                <w:vertAlign w:val="superscript"/>
              </w:rPr>
              <w:t>2</w:t>
            </w:r>
            <w:r>
              <w:rPr>
                <w:rFonts w:ascii="Times New Roman" w:hAnsi="Times New Roman"/>
                <w:color w:val="auto"/>
                <w:sz w:val="21"/>
                <w:highlight w:val="none"/>
              </w:rPr>
              <w:t>）</w:t>
            </w:r>
          </w:p>
        </w:tc>
        <w:tc>
          <w:tcPr>
            <w:tcW w:w="2125" w:type="dxa"/>
            <w:vAlign w:val="center"/>
          </w:tcPr>
          <w:p>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覆土厚度</w:t>
            </w:r>
            <w:r>
              <w:rPr>
                <w:rFonts w:hint="eastAsia" w:ascii="Times New Roman" w:hAnsi="Times New Roman"/>
                <w:color w:val="auto"/>
                <w:sz w:val="21"/>
                <w:highlight w:val="none"/>
                <w:lang w:eastAsia="zh-CN"/>
              </w:rPr>
              <w:t>（</w:t>
            </w:r>
            <w:r>
              <w:rPr>
                <w:rFonts w:ascii="Times New Roman" w:hAnsi="Times New Roman"/>
                <w:color w:val="auto"/>
                <w:sz w:val="21"/>
                <w:highlight w:val="none"/>
              </w:rPr>
              <w:t>m)</w:t>
            </w:r>
          </w:p>
        </w:tc>
        <w:tc>
          <w:tcPr>
            <w:tcW w:w="2137" w:type="dxa"/>
            <w:vAlign w:val="center"/>
          </w:tcPr>
          <w:p>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覆土量</w:t>
            </w:r>
            <w:r>
              <w:rPr>
                <w:rFonts w:hint="eastAsia" w:ascii="Times New Roman" w:hAnsi="Times New Roman"/>
                <w:color w:val="auto"/>
                <w:sz w:val="21"/>
                <w:highlight w:val="none"/>
                <w:lang w:eastAsia="zh-CN"/>
              </w:rPr>
              <w:t>（</w:t>
            </w:r>
            <w:r>
              <w:rPr>
                <w:rFonts w:ascii="Times New Roman" w:hAnsi="Times New Roman"/>
                <w:color w:val="auto"/>
                <w:sz w:val="21"/>
                <w:highlight w:val="none"/>
              </w:rPr>
              <w:t>m</w:t>
            </w:r>
            <w:r>
              <w:rPr>
                <w:rFonts w:ascii="Times New Roman" w:hAnsi="Times New Roman"/>
                <w:color w:val="auto"/>
                <w:sz w:val="21"/>
                <w:highlight w:val="none"/>
                <w:vertAlign w:val="superscript"/>
              </w:rPr>
              <w:t>3</w:t>
            </w:r>
            <w:r>
              <w:rPr>
                <w:rFonts w:ascii="Times New Roman" w:hAnsi="Times New Roman"/>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8" w:type="dxa"/>
            <w:vAlign w:val="center"/>
          </w:tcPr>
          <w:p>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乔木林地</w:t>
            </w:r>
          </w:p>
        </w:tc>
        <w:tc>
          <w:tcPr>
            <w:tcW w:w="2142" w:type="dxa"/>
            <w:vAlign w:val="center"/>
          </w:tcPr>
          <w:p>
            <w:pPr>
              <w:pStyle w:val="14"/>
              <w:spacing w:line="240" w:lineRule="auto"/>
              <w:ind w:firstLine="0" w:firstLineChars="0"/>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1.98</w:t>
            </w:r>
          </w:p>
        </w:tc>
        <w:tc>
          <w:tcPr>
            <w:tcW w:w="2125" w:type="dxa"/>
            <w:vAlign w:val="center"/>
          </w:tcPr>
          <w:p>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0.3</w:t>
            </w:r>
          </w:p>
        </w:tc>
        <w:tc>
          <w:tcPr>
            <w:tcW w:w="2137" w:type="dxa"/>
            <w:vAlign w:val="center"/>
          </w:tcPr>
          <w:p>
            <w:pPr>
              <w:pStyle w:val="14"/>
              <w:spacing w:line="240" w:lineRule="auto"/>
              <w:ind w:firstLine="0" w:firstLineChars="0"/>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5940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8" w:type="dxa"/>
            <w:vAlign w:val="center"/>
          </w:tcPr>
          <w:p>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合计</w:t>
            </w:r>
          </w:p>
        </w:tc>
        <w:tc>
          <w:tcPr>
            <w:tcW w:w="4267" w:type="dxa"/>
            <w:gridSpan w:val="2"/>
            <w:vAlign w:val="center"/>
          </w:tcPr>
          <w:p>
            <w:pPr>
              <w:pStyle w:val="14"/>
              <w:spacing w:line="240" w:lineRule="auto"/>
              <w:ind w:firstLine="0" w:firstLineChars="0"/>
              <w:jc w:val="center"/>
              <w:rPr>
                <w:rFonts w:ascii="Times New Roman" w:hAnsi="Times New Roman"/>
                <w:color w:val="auto"/>
                <w:sz w:val="21"/>
                <w:highlight w:val="none"/>
              </w:rPr>
            </w:pPr>
          </w:p>
        </w:tc>
        <w:tc>
          <w:tcPr>
            <w:tcW w:w="2137" w:type="dxa"/>
            <w:vAlign w:val="center"/>
          </w:tcPr>
          <w:p>
            <w:pPr>
              <w:pStyle w:val="14"/>
              <w:spacing w:line="240" w:lineRule="auto"/>
              <w:ind w:firstLine="0" w:firstLineChars="0"/>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5940</w:t>
            </w:r>
          </w:p>
        </w:tc>
      </w:tr>
    </w:tbl>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2）供土量分析</w:t>
      </w:r>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矿山采场土壤厚度为0.</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通过估算，矿山拟损毁</w:t>
      </w:r>
      <w:r>
        <w:rPr>
          <w:rFonts w:hint="eastAsia" w:ascii="仿宋" w:hAnsi="仿宋" w:eastAsia="仿宋" w:cs="仿宋"/>
          <w:color w:val="auto"/>
          <w:sz w:val="28"/>
          <w:szCs w:val="28"/>
          <w:highlight w:val="none"/>
          <w:lang w:eastAsia="zh-CN"/>
        </w:rPr>
        <w:t>区域</w:t>
      </w:r>
      <w:r>
        <w:rPr>
          <w:rFonts w:hint="eastAsia" w:ascii="仿宋" w:hAnsi="仿宋" w:eastAsia="仿宋" w:cs="仿宋"/>
          <w:color w:val="auto"/>
          <w:sz w:val="28"/>
          <w:szCs w:val="28"/>
          <w:highlight w:val="none"/>
        </w:rPr>
        <w:t>可以进行表土剥离</w:t>
      </w:r>
      <w:r>
        <w:rPr>
          <w:rFonts w:hint="eastAsia" w:ascii="仿宋" w:hAnsi="仿宋" w:eastAsia="仿宋" w:cs="仿宋"/>
          <w:color w:val="auto"/>
          <w:sz w:val="28"/>
          <w:szCs w:val="28"/>
          <w:highlight w:val="none"/>
          <w:lang w:val="en-US" w:eastAsia="zh-CN"/>
        </w:rPr>
        <w:t>11670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，土壤质量满足复垦要求，剥离后保存复垦工作开展时可直接用于复垦。</w:t>
      </w:r>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剥离表土设计堆存于矿山较平整处，</w:t>
      </w:r>
      <w:r>
        <w:rPr>
          <w:rFonts w:hint="eastAsia" w:ascii="仿宋" w:hAnsi="仿宋" w:eastAsia="仿宋" w:cs="仿宋"/>
          <w:bCs/>
          <w:color w:val="auto"/>
          <w:sz w:val="28"/>
          <w:szCs w:val="28"/>
          <w:highlight w:val="none"/>
        </w:rPr>
        <w:t>为防止堆土场堆放过程中产生扬尘以及降雨对松散的堆积体表面造成的冲刷，对堆积体表面铺设薄膜覆盖措施进行防护。另外，为了保持土壤肥力，在表土堆积体表面播撒草籽进行绿化养护。</w:t>
      </w:r>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3）供需土平衡分析</w:t>
      </w:r>
    </w:p>
    <w:p>
      <w:pPr>
        <w:pStyle w:val="14"/>
        <w:spacing w:line="360" w:lineRule="auto"/>
        <w:ind w:firstLine="48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经统计分析项目需土量为</w:t>
      </w:r>
      <w:r>
        <w:rPr>
          <w:rFonts w:hint="eastAsia" w:ascii="仿宋" w:hAnsi="仿宋" w:eastAsia="仿宋" w:cs="仿宋"/>
          <w:bCs/>
          <w:color w:val="auto"/>
          <w:sz w:val="28"/>
          <w:szCs w:val="28"/>
          <w:highlight w:val="none"/>
          <w:lang w:val="en-US" w:eastAsia="zh-CN"/>
        </w:rPr>
        <w:t>5940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bCs/>
          <w:color w:val="auto"/>
          <w:sz w:val="28"/>
          <w:szCs w:val="28"/>
          <w:highlight w:val="none"/>
        </w:rPr>
        <w:t>，供土量为</w:t>
      </w:r>
      <w:r>
        <w:rPr>
          <w:rFonts w:hint="eastAsia" w:ascii="仿宋" w:hAnsi="仿宋" w:eastAsia="仿宋" w:cs="仿宋"/>
          <w:bCs/>
          <w:color w:val="auto"/>
          <w:sz w:val="28"/>
          <w:szCs w:val="28"/>
          <w:highlight w:val="none"/>
          <w:lang w:val="en-US" w:eastAsia="zh-CN"/>
        </w:rPr>
        <w:t>11670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bCs/>
          <w:color w:val="auto"/>
          <w:sz w:val="28"/>
          <w:szCs w:val="28"/>
          <w:highlight w:val="none"/>
        </w:rPr>
        <w:t>，供土量</w:t>
      </w:r>
      <w:r>
        <w:rPr>
          <w:rFonts w:hint="eastAsia" w:ascii="仿宋" w:hAnsi="仿宋" w:eastAsia="仿宋" w:cs="仿宋"/>
          <w:bCs/>
          <w:color w:val="auto"/>
          <w:sz w:val="28"/>
          <w:szCs w:val="28"/>
          <w:highlight w:val="none"/>
          <w:lang w:val="en-US" w:eastAsia="zh-CN"/>
        </w:rPr>
        <w:t>大</w:t>
      </w:r>
      <w:r>
        <w:rPr>
          <w:rFonts w:hint="eastAsia" w:ascii="仿宋" w:hAnsi="仿宋" w:eastAsia="仿宋" w:cs="仿宋"/>
          <w:bCs/>
          <w:color w:val="auto"/>
          <w:sz w:val="28"/>
          <w:szCs w:val="28"/>
          <w:highlight w:val="none"/>
        </w:rPr>
        <w:t>于表土覆土量。根据需土量与供土量分析，用于复垦的土源可以得到保障，满足复垦需求。</w:t>
      </w:r>
    </w:p>
    <w:p>
      <w:pPr>
        <w:pStyle w:val="5"/>
        <w:rPr>
          <w:rFonts w:ascii="Times New Roman" w:hAnsi="Times New Roman" w:eastAsia="宋体" w:cs="Times New Roman"/>
          <w:color w:val="auto"/>
          <w:sz w:val="28"/>
          <w:szCs w:val="28"/>
          <w:highlight w:val="none"/>
        </w:rPr>
      </w:pPr>
      <w:bookmarkStart w:id="124" w:name="_Toc7098"/>
      <w:r>
        <w:rPr>
          <w:rFonts w:ascii="Times New Roman" w:hAnsi="Times New Roman" w:eastAsia="宋体" w:cs="Times New Roman"/>
          <w:color w:val="auto"/>
          <w:sz w:val="28"/>
          <w:szCs w:val="28"/>
          <w:highlight w:val="none"/>
        </w:rPr>
        <w:t>（四）土地复垦质量要求</w:t>
      </w:r>
      <w:bookmarkEnd w:id="124"/>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土地复垦质量要求参照《土地复垦质量控制标准》（TD/T1036-2013）中表D.8西南山地丘陵区土地复垦质量控制标准，具体详见表4-10。</w:t>
      </w:r>
    </w:p>
    <w:p>
      <w:pPr>
        <w:pStyle w:val="14"/>
        <w:ind w:firstLine="0" w:firstLineChars="0"/>
        <w:jc w:val="center"/>
        <w:rPr>
          <w:rFonts w:ascii="Times New Roman" w:hAnsi="Times New Roman"/>
          <w:b/>
          <w:bCs/>
          <w:snapToGrid w:val="0"/>
          <w:color w:val="auto"/>
          <w:sz w:val="21"/>
          <w:highlight w:val="none"/>
        </w:rPr>
      </w:pPr>
      <w:r>
        <w:rPr>
          <w:rFonts w:ascii="Times New Roman" w:hAnsi="Times New Roman"/>
          <w:b/>
          <w:bCs/>
          <w:snapToGrid w:val="0"/>
          <w:color w:val="auto"/>
          <w:sz w:val="21"/>
          <w:highlight w:val="none"/>
        </w:rPr>
        <w:t>表4-</w:t>
      </w:r>
      <w:r>
        <w:rPr>
          <w:rFonts w:hint="eastAsia" w:ascii="Times New Roman" w:hAnsi="Times New Roman"/>
          <w:b/>
          <w:bCs/>
          <w:snapToGrid w:val="0"/>
          <w:color w:val="auto"/>
          <w:sz w:val="21"/>
          <w:highlight w:val="none"/>
        </w:rPr>
        <w:t>10</w:t>
      </w:r>
      <w:r>
        <w:rPr>
          <w:rFonts w:ascii="Times New Roman" w:hAnsi="Times New Roman"/>
          <w:b/>
          <w:bCs/>
          <w:snapToGrid w:val="0"/>
          <w:color w:val="auto"/>
          <w:sz w:val="21"/>
          <w:highlight w:val="none"/>
        </w:rPr>
        <w:t xml:space="preserve">   西南山地丘陵区土地复垦质量控制标准</w:t>
      </w:r>
    </w:p>
    <w:tbl>
      <w:tblPr>
        <w:tblStyle w:val="23"/>
        <w:tblW w:w="8806" w:type="dxa"/>
        <w:jc w:val="center"/>
        <w:tblLayout w:type="autofit"/>
        <w:tblCellMar>
          <w:top w:w="0" w:type="dxa"/>
          <w:left w:w="108" w:type="dxa"/>
          <w:bottom w:w="0" w:type="dxa"/>
          <w:right w:w="108" w:type="dxa"/>
        </w:tblCellMar>
      </w:tblPr>
      <w:tblGrid>
        <w:gridCol w:w="864"/>
        <w:gridCol w:w="1661"/>
        <w:gridCol w:w="2029"/>
        <w:gridCol w:w="2153"/>
        <w:gridCol w:w="2099"/>
      </w:tblGrid>
      <w:tr>
        <w:tblPrEx>
          <w:tblCellMar>
            <w:top w:w="0" w:type="dxa"/>
            <w:left w:w="108" w:type="dxa"/>
            <w:bottom w:w="0" w:type="dxa"/>
            <w:right w:w="108" w:type="dxa"/>
          </w:tblCellMar>
        </w:tblPrEx>
        <w:trPr>
          <w:trHeight w:val="314" w:hRule="atLeast"/>
          <w:tblHeader/>
          <w:jc w:val="center"/>
        </w:trPr>
        <w:tc>
          <w:tcPr>
            <w:tcW w:w="252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复垦方向</w:t>
            </w:r>
          </w:p>
        </w:tc>
        <w:tc>
          <w:tcPr>
            <w:tcW w:w="202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指标类型</w:t>
            </w: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基本指标</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控制标准</w:t>
            </w:r>
          </w:p>
        </w:tc>
      </w:tr>
      <w:tr>
        <w:tblPrEx>
          <w:tblCellMar>
            <w:top w:w="0" w:type="dxa"/>
            <w:left w:w="108" w:type="dxa"/>
            <w:bottom w:w="0" w:type="dxa"/>
            <w:right w:w="108" w:type="dxa"/>
          </w:tblCellMar>
        </w:tblPrEx>
        <w:trPr>
          <w:trHeight w:val="342" w:hRule="atLeast"/>
          <w:jc w:val="center"/>
        </w:trPr>
        <w:tc>
          <w:tcPr>
            <w:tcW w:w="864" w:type="dxa"/>
            <w:vMerge w:val="restart"/>
            <w:tcBorders>
              <w:left w:val="single" w:color="auto" w:sz="4" w:space="0"/>
              <w:right w:val="single" w:color="auto" w:sz="4" w:space="0"/>
            </w:tcBorders>
            <w:vAlign w:val="center"/>
          </w:tcPr>
          <w:p>
            <w:pPr>
              <w:widowControl/>
              <w:jc w:val="center"/>
              <w:rPr>
                <w:rFonts w:eastAsia="宋体"/>
                <w:color w:val="auto"/>
                <w:kern w:val="0"/>
                <w:highlight w:val="none"/>
              </w:rPr>
            </w:pPr>
            <w:r>
              <w:rPr>
                <w:rFonts w:hint="eastAsia" w:eastAsia="宋体"/>
                <w:color w:val="auto"/>
                <w:kern w:val="0"/>
                <w:highlight w:val="none"/>
              </w:rPr>
              <w:t>耕地</w:t>
            </w:r>
          </w:p>
        </w:tc>
        <w:tc>
          <w:tcPr>
            <w:tcW w:w="1661" w:type="dxa"/>
            <w:vMerge w:val="restart"/>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hint="eastAsia" w:eastAsia="宋体"/>
                <w:color w:val="auto"/>
                <w:kern w:val="0"/>
                <w:highlight w:val="none"/>
              </w:rPr>
              <w:t>旱地</w:t>
            </w:r>
          </w:p>
        </w:tc>
        <w:tc>
          <w:tcPr>
            <w:tcW w:w="2029" w:type="dxa"/>
            <w:vMerge w:val="restart"/>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地形</w:t>
            </w: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地面坡度/（°）</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≤15°</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平整度</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田面高差±3cm之内</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restart"/>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土壤质量</w:t>
            </w: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有效土层厚度/cm</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≥50</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土壤容重/（g/cm</w:t>
            </w:r>
            <w:r>
              <w:rPr>
                <w:rFonts w:eastAsia="宋体"/>
                <w:color w:val="auto"/>
                <w:kern w:val="0"/>
                <w:highlight w:val="none"/>
                <w:vertAlign w:val="superscript"/>
              </w:rPr>
              <w:t>3</w:t>
            </w:r>
            <w:r>
              <w:rPr>
                <w:rFonts w:eastAsia="宋体"/>
                <w:color w:val="auto"/>
                <w:kern w:val="0"/>
                <w:highlight w:val="none"/>
              </w:rPr>
              <w:t>）</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≤1.35</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土壤质地</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砂质壤土至壤质壤土</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砾石含量/%</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≤10</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pH值</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5.5-8.0</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有机质/%</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≥1.2</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restart"/>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配套设施</w:t>
            </w: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排水</w:t>
            </w:r>
          </w:p>
        </w:tc>
        <w:tc>
          <w:tcPr>
            <w:tcW w:w="2099" w:type="dxa"/>
            <w:vMerge w:val="restart"/>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达到当地各行业工程建设标准要求</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道路</w:t>
            </w:r>
          </w:p>
        </w:tc>
        <w:tc>
          <w:tcPr>
            <w:tcW w:w="209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林网</w:t>
            </w:r>
          </w:p>
        </w:tc>
        <w:tc>
          <w:tcPr>
            <w:tcW w:w="209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02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生产力水平</w:t>
            </w: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产量/（kg/hm</w:t>
            </w:r>
            <w:r>
              <w:rPr>
                <w:rFonts w:hint="eastAsia" w:eastAsia="宋体"/>
                <w:color w:val="auto"/>
                <w:kern w:val="0"/>
                <w:highlight w:val="none"/>
                <w:vertAlign w:val="superscript"/>
              </w:rPr>
              <w:t>2</w:t>
            </w:r>
            <w:r>
              <w:rPr>
                <w:rFonts w:eastAsia="宋体"/>
                <w:color w:val="auto"/>
                <w:kern w:val="0"/>
                <w:highlight w:val="none"/>
              </w:rPr>
              <w:t>）</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四年后达到周边地区同等土地利用类型水平</w:t>
            </w:r>
          </w:p>
        </w:tc>
      </w:tr>
      <w:tr>
        <w:tblPrEx>
          <w:tblCellMar>
            <w:top w:w="0" w:type="dxa"/>
            <w:left w:w="108" w:type="dxa"/>
            <w:bottom w:w="0" w:type="dxa"/>
            <w:right w:w="108" w:type="dxa"/>
          </w:tblCellMar>
        </w:tblPrEx>
        <w:trPr>
          <w:trHeight w:val="342" w:hRule="atLeast"/>
          <w:jc w:val="center"/>
        </w:trPr>
        <w:tc>
          <w:tcPr>
            <w:tcW w:w="86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p>
            <w:pPr>
              <w:widowControl/>
              <w:jc w:val="center"/>
              <w:rPr>
                <w:rFonts w:eastAsia="宋体"/>
                <w:color w:val="auto"/>
                <w:kern w:val="0"/>
                <w:highlight w:val="none"/>
              </w:rPr>
            </w:pPr>
            <w:r>
              <w:rPr>
                <w:rFonts w:eastAsia="宋体"/>
                <w:color w:val="auto"/>
                <w:kern w:val="0"/>
                <w:highlight w:val="none"/>
              </w:rPr>
              <w:t>林地</w:t>
            </w:r>
          </w:p>
        </w:tc>
        <w:tc>
          <w:tcPr>
            <w:tcW w:w="166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乔木林地</w:t>
            </w:r>
          </w:p>
        </w:tc>
        <w:tc>
          <w:tcPr>
            <w:tcW w:w="202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土壤质量</w:t>
            </w: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有效土层厚度/（cm）</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≥30</w:t>
            </w:r>
          </w:p>
        </w:tc>
      </w:tr>
      <w:tr>
        <w:tblPrEx>
          <w:tblCellMar>
            <w:top w:w="0" w:type="dxa"/>
            <w:left w:w="108" w:type="dxa"/>
            <w:bottom w:w="0" w:type="dxa"/>
            <w:right w:w="108" w:type="dxa"/>
          </w:tblCellMar>
        </w:tblPrEx>
        <w:trPr>
          <w:trHeight w:val="342" w:hRule="atLeast"/>
          <w:jc w:val="center"/>
        </w:trPr>
        <w:tc>
          <w:tcPr>
            <w:tcW w:w="8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土壤容重/（g/cm</w:t>
            </w:r>
            <w:r>
              <w:rPr>
                <w:rFonts w:eastAsia="宋体"/>
                <w:color w:val="auto"/>
                <w:kern w:val="0"/>
                <w:highlight w:val="none"/>
                <w:vertAlign w:val="superscript"/>
              </w:rPr>
              <w:t>3</w:t>
            </w:r>
            <w:r>
              <w:rPr>
                <w:rFonts w:eastAsia="宋体"/>
                <w:color w:val="auto"/>
                <w:kern w:val="0"/>
                <w:highlight w:val="none"/>
              </w:rPr>
              <w:t>）</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≤1.5</w:t>
            </w:r>
          </w:p>
        </w:tc>
      </w:tr>
      <w:tr>
        <w:tblPrEx>
          <w:tblCellMar>
            <w:top w:w="0" w:type="dxa"/>
            <w:left w:w="108" w:type="dxa"/>
            <w:bottom w:w="0" w:type="dxa"/>
            <w:right w:w="108" w:type="dxa"/>
          </w:tblCellMar>
        </w:tblPrEx>
        <w:trPr>
          <w:trHeight w:val="342" w:hRule="atLeast"/>
          <w:jc w:val="center"/>
        </w:trPr>
        <w:tc>
          <w:tcPr>
            <w:tcW w:w="8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土壤质地</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砂土至壤质粘土</w:t>
            </w:r>
          </w:p>
        </w:tc>
      </w:tr>
      <w:tr>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砾石含量/%</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≤50</w:t>
            </w:r>
          </w:p>
        </w:tc>
      </w:tr>
      <w:tr>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pH值</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5.5～8.0</w:t>
            </w:r>
          </w:p>
        </w:tc>
      </w:tr>
      <w:tr>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有机质/%</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≥1</w:t>
            </w:r>
          </w:p>
        </w:tc>
      </w:tr>
      <w:tr>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restart"/>
            <w:tcBorders>
              <w:top w:val="nil"/>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生产力水平</w:t>
            </w: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定植密度/（株/hm</w:t>
            </w:r>
            <w:r>
              <w:rPr>
                <w:rFonts w:eastAsia="宋体"/>
                <w:color w:val="auto"/>
                <w:kern w:val="0"/>
                <w:highlight w:val="none"/>
                <w:vertAlign w:val="superscript"/>
              </w:rPr>
              <w:t>2</w:t>
            </w:r>
            <w:r>
              <w:rPr>
                <w:rFonts w:eastAsia="宋体"/>
                <w:color w:val="auto"/>
                <w:kern w:val="0"/>
                <w:highlight w:val="none"/>
              </w:rPr>
              <w:t>）</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满足《造林作业设计规程》（LY/T 1607）要求</w:t>
            </w:r>
          </w:p>
        </w:tc>
      </w:tr>
      <w:tr>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郁闭度</w:t>
            </w:r>
          </w:p>
        </w:tc>
        <w:tc>
          <w:tcPr>
            <w:tcW w:w="2099" w:type="dxa"/>
            <w:tcBorders>
              <w:top w:val="nil"/>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≥0.30</w:t>
            </w:r>
          </w:p>
        </w:tc>
      </w:tr>
      <w:tr>
        <w:tblPrEx>
          <w:tblCellMar>
            <w:top w:w="0" w:type="dxa"/>
            <w:left w:w="108" w:type="dxa"/>
            <w:bottom w:w="0" w:type="dxa"/>
            <w:right w:w="108" w:type="dxa"/>
          </w:tblCellMar>
        </w:tblPrEx>
        <w:trPr>
          <w:trHeight w:val="342" w:hRule="atLeast"/>
          <w:jc w:val="center"/>
        </w:trPr>
        <w:tc>
          <w:tcPr>
            <w:tcW w:w="864" w:type="dxa"/>
            <w:vMerge w:val="restart"/>
            <w:tcBorders>
              <w:top w:val="single" w:color="auto" w:sz="4" w:space="0"/>
              <w:left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草地</w:t>
            </w:r>
          </w:p>
        </w:tc>
        <w:tc>
          <w:tcPr>
            <w:tcW w:w="1661" w:type="dxa"/>
            <w:vMerge w:val="restart"/>
            <w:tcBorders>
              <w:top w:val="single" w:color="auto" w:sz="4" w:space="0"/>
              <w:left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其他草地</w:t>
            </w:r>
          </w:p>
        </w:tc>
        <w:tc>
          <w:tcPr>
            <w:tcW w:w="202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土壤质量</w:t>
            </w: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有效土层厚度/cm</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≥10</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土壤容重/（g/cm</w:t>
            </w:r>
            <w:r>
              <w:rPr>
                <w:rFonts w:eastAsia="宋体"/>
                <w:color w:val="auto"/>
                <w:kern w:val="0"/>
                <w:highlight w:val="none"/>
                <w:vertAlign w:val="superscript"/>
              </w:rPr>
              <w:t>3</w:t>
            </w:r>
            <w:r>
              <w:rPr>
                <w:rFonts w:eastAsia="宋体"/>
                <w:color w:val="auto"/>
                <w:kern w:val="0"/>
                <w:highlight w:val="none"/>
              </w:rPr>
              <w:t>）</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≤1.45</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土壤质地</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砂质壤土至壤质粘土</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砾石含量/%</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≤50</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pH值</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5.5-8.0</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有机质/%</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≥1</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产量/（kg/hm</w:t>
            </w:r>
            <w:r>
              <w:rPr>
                <w:rFonts w:eastAsia="宋体"/>
                <w:color w:val="auto"/>
                <w:kern w:val="0"/>
                <w:highlight w:val="none"/>
                <w:vertAlign w:val="superscript"/>
              </w:rPr>
              <w:t>2</w:t>
            </w:r>
            <w:r>
              <w:rPr>
                <w:rFonts w:eastAsia="宋体"/>
                <w:color w:val="auto"/>
                <w:kern w:val="0"/>
                <w:highlight w:val="none"/>
              </w:rPr>
              <w:t>）</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四年后达到周边地区同等土地利用类型水平</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restart"/>
            <w:tcBorders>
              <w:top w:val="single" w:color="auto" w:sz="4" w:space="0"/>
              <w:left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配套设施</w:t>
            </w: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灌溉</w:t>
            </w:r>
          </w:p>
        </w:tc>
        <w:tc>
          <w:tcPr>
            <w:tcW w:w="2099" w:type="dxa"/>
            <w:vMerge w:val="restart"/>
            <w:tcBorders>
              <w:top w:val="single" w:color="auto" w:sz="4" w:space="0"/>
              <w:left w:val="nil"/>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四年后达到周边地区同等土地利用类型水平</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left w:val="single" w:color="auto" w:sz="4" w:space="0"/>
              <w:bottom w:val="single" w:color="auto" w:sz="4" w:space="0"/>
              <w:right w:val="single" w:color="auto" w:sz="4" w:space="0"/>
            </w:tcBorders>
            <w:vAlign w:val="center"/>
          </w:tcPr>
          <w:p>
            <w:pPr>
              <w:widowControl/>
              <w:jc w:val="center"/>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道路</w:t>
            </w:r>
          </w:p>
        </w:tc>
        <w:tc>
          <w:tcPr>
            <w:tcW w:w="2099" w:type="dxa"/>
            <w:vMerge w:val="continue"/>
            <w:tcBorders>
              <w:left w:val="nil"/>
              <w:bottom w:val="single" w:color="auto" w:sz="4" w:space="0"/>
              <w:right w:val="single" w:color="auto" w:sz="4" w:space="0"/>
            </w:tcBorders>
            <w:vAlign w:val="center"/>
          </w:tcPr>
          <w:p>
            <w:pPr>
              <w:widowControl/>
              <w:jc w:val="center"/>
              <w:rPr>
                <w:rFonts w:eastAsia="宋体"/>
                <w:color w:val="auto"/>
                <w:kern w:val="0"/>
                <w:highlight w:val="none"/>
              </w:rPr>
            </w:pP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restart"/>
            <w:tcBorders>
              <w:top w:val="single" w:color="auto" w:sz="4" w:space="0"/>
              <w:left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生产力水平</w:t>
            </w: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覆盖度/%</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≥40</w:t>
            </w:r>
          </w:p>
        </w:tc>
      </w:tr>
      <w:tr>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1661" w:type="dxa"/>
            <w:vMerge w:val="continue"/>
            <w:tcBorders>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029" w:type="dxa"/>
            <w:vMerge w:val="continue"/>
            <w:tcBorders>
              <w:left w:val="single" w:color="auto" w:sz="4" w:space="0"/>
              <w:bottom w:val="single" w:color="auto" w:sz="4" w:space="0"/>
              <w:right w:val="single" w:color="auto" w:sz="4" w:space="0"/>
            </w:tcBorders>
            <w:vAlign w:val="center"/>
          </w:tcPr>
          <w:p>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产量/（kg/hm</w:t>
            </w:r>
            <w:r>
              <w:rPr>
                <w:rFonts w:eastAsia="宋体"/>
                <w:color w:val="auto"/>
                <w:kern w:val="0"/>
                <w:highlight w:val="none"/>
                <w:vertAlign w:val="superscript"/>
              </w:rPr>
              <w:t>2</w:t>
            </w:r>
            <w:r>
              <w:rPr>
                <w:rFonts w:eastAsia="宋体"/>
                <w:color w:val="auto"/>
                <w:kern w:val="0"/>
                <w:highlight w:val="none"/>
              </w:rPr>
              <w:t>）</w:t>
            </w:r>
          </w:p>
        </w:tc>
        <w:tc>
          <w:tcPr>
            <w:tcW w:w="2099" w:type="dxa"/>
            <w:tcBorders>
              <w:top w:val="single" w:color="auto" w:sz="4" w:space="0"/>
              <w:left w:val="nil"/>
              <w:bottom w:val="single" w:color="auto" w:sz="4" w:space="0"/>
              <w:right w:val="single" w:color="auto" w:sz="4" w:space="0"/>
            </w:tcBorders>
            <w:vAlign w:val="center"/>
          </w:tcPr>
          <w:p>
            <w:pPr>
              <w:widowControl/>
              <w:jc w:val="center"/>
              <w:rPr>
                <w:rFonts w:eastAsia="宋体"/>
                <w:color w:val="auto"/>
                <w:kern w:val="0"/>
                <w:highlight w:val="none"/>
              </w:rPr>
            </w:pPr>
            <w:r>
              <w:rPr>
                <w:rFonts w:eastAsia="宋体"/>
                <w:color w:val="auto"/>
                <w:kern w:val="0"/>
                <w:highlight w:val="none"/>
              </w:rPr>
              <w:t>四年后达到周边地区同等土地利用类型水平</w:t>
            </w:r>
          </w:p>
        </w:tc>
      </w:tr>
    </w:tbl>
    <w:p>
      <w:pPr>
        <w:rPr>
          <w:rFonts w:ascii="Times New Roman" w:hAnsi="Times New Roman" w:eastAsia="宋体" w:cs="Times New Roman"/>
          <w:color w:val="auto"/>
          <w:highlight w:val="none"/>
        </w:rPr>
        <w:sectPr>
          <w:pgSz w:w="11906" w:h="16838"/>
          <w:pgMar w:top="1440" w:right="1800" w:bottom="1440" w:left="1800" w:header="851" w:footer="992" w:gutter="0"/>
          <w:cols w:space="425" w:num="1"/>
          <w:docGrid w:type="lines" w:linePitch="312" w:charSpace="0"/>
        </w:sectPr>
      </w:pPr>
    </w:p>
    <w:p>
      <w:pPr>
        <w:pStyle w:val="3"/>
        <w:spacing w:line="360" w:lineRule="auto"/>
        <w:jc w:val="center"/>
        <w:rPr>
          <w:rFonts w:ascii="Times New Roman" w:hAnsi="Times New Roman" w:eastAsia="宋体" w:cs="Times New Roman"/>
          <w:color w:val="auto"/>
          <w:sz w:val="32"/>
          <w:szCs w:val="32"/>
          <w:highlight w:val="none"/>
        </w:rPr>
      </w:pPr>
      <w:bookmarkStart w:id="125" w:name="_Toc1239"/>
      <w:r>
        <w:rPr>
          <w:rFonts w:ascii="Times New Roman" w:hAnsi="Times New Roman" w:eastAsia="宋体" w:cs="Times New Roman"/>
          <w:color w:val="auto"/>
          <w:sz w:val="32"/>
          <w:szCs w:val="32"/>
          <w:highlight w:val="none"/>
        </w:rPr>
        <w:t>第5章  矿山地质环境治理与土地复垦工程</w:t>
      </w:r>
      <w:bookmarkEnd w:id="125"/>
    </w:p>
    <w:p>
      <w:pPr>
        <w:pStyle w:val="4"/>
        <w:rPr>
          <w:rFonts w:ascii="Times New Roman" w:hAnsi="Times New Roman" w:eastAsia="宋体" w:cs="Times New Roman"/>
          <w:color w:val="auto"/>
          <w:sz w:val="30"/>
          <w:szCs w:val="30"/>
          <w:highlight w:val="none"/>
        </w:rPr>
      </w:pPr>
      <w:bookmarkStart w:id="126" w:name="_Toc8195"/>
      <w:r>
        <w:rPr>
          <w:rFonts w:ascii="Times New Roman" w:hAnsi="Times New Roman" w:eastAsia="宋体" w:cs="Times New Roman"/>
          <w:color w:val="auto"/>
          <w:sz w:val="30"/>
          <w:szCs w:val="30"/>
          <w:highlight w:val="none"/>
        </w:rPr>
        <w:t>一、矿山地质环境保护与土地复垦预防</w:t>
      </w:r>
      <w:bookmarkEnd w:id="126"/>
    </w:p>
    <w:p>
      <w:pPr>
        <w:pStyle w:val="5"/>
        <w:rPr>
          <w:rFonts w:ascii="Times New Roman" w:hAnsi="Times New Roman" w:eastAsia="宋体" w:cs="Times New Roman"/>
          <w:color w:val="auto"/>
          <w:sz w:val="28"/>
          <w:szCs w:val="28"/>
          <w:highlight w:val="none"/>
        </w:rPr>
      </w:pPr>
      <w:bookmarkStart w:id="127" w:name="_Toc5865"/>
      <w:r>
        <w:rPr>
          <w:rFonts w:ascii="Times New Roman" w:hAnsi="Times New Roman" w:eastAsia="宋体" w:cs="Times New Roman"/>
          <w:color w:val="auto"/>
          <w:sz w:val="28"/>
          <w:szCs w:val="28"/>
          <w:highlight w:val="none"/>
        </w:rPr>
        <w:t>（一）目标任务</w:t>
      </w:r>
      <w:bookmarkEnd w:id="127"/>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1、矿山地质环境保护预防目标任务</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治理目标是：在掌握矿山地质环境问题的分布状况与危害程度的基础上，建立相对完善的矿山地质环境治理的防治体系和监督管理体系，以期实现矿产资源开发与矿山地质环境保护的协调发展，提高矿产资源开发利用效率；采取切实可行的方法，避免和减少矿业活动对矿区地质环境的破坏，使矿区和周边的地质环境得到明显改善。</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治理方案规划年限内，以因矿业活动造成的地质灾害及对土地、植被资源破坏为重点，开展矿山地质环境治理工程，确保矿山安全生产，改善、恢复矿山地质环境。具体针对该矿矿山地质环境治理提出如下目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a）最大程度地减少矿山地质环境问题的发生，避免和减缓地质灾害造成的损失，有效遏制矿山生产对地形地貌景观的影响和破坏，保护矿区地质环境，实现矿产资源开发利用与地质环境保护协调发展，实现矿区经济可持续发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b）对采矿活动形成的高陡、弃渣边坡进行有效治理，避免和减缓由此可能引发的滑坡、弃渣泥石流及其伴生的地质灾害造成的损失；避免和减轻不必要的经济损失和人员伤亡；保障建设场地、道路以及人员安全。</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c）降低矿山开采活动对含水层破坏的影响。</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d）及时开展治理与土地复垦工程措施，避免和减缓矿山开发对地形地貌景观的影响，恢复周围植被。矿山闭坑后矿山地质环境与周边生态环境相协调，达到与区位条件相适应的环境功能。</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e）对损毁的土地，通过土地复垦措施，使其恢复原貌或适宜用途。使采矿活动对土地破坏最小，使被损毁的土地得到合理</w:t>
      </w:r>
      <w:r>
        <w:rPr>
          <w:rFonts w:hint="eastAsia" w:ascii="仿宋" w:hAnsi="仿宋" w:eastAsia="仿宋" w:cs="仿宋"/>
          <w:color w:val="auto"/>
          <w:sz w:val="28"/>
          <w:szCs w:val="28"/>
          <w:highlight w:val="none"/>
          <w:lang w:eastAsia="zh-CN"/>
        </w:rPr>
        <w:t>的</w:t>
      </w:r>
      <w:r>
        <w:rPr>
          <w:rFonts w:hint="eastAsia" w:ascii="仿宋" w:hAnsi="仿宋" w:eastAsia="仿宋" w:cs="仿宋"/>
          <w:color w:val="auto"/>
          <w:sz w:val="28"/>
          <w:szCs w:val="28"/>
          <w:highlight w:val="none"/>
        </w:rPr>
        <w:t>恢复和利用，提高土地利用效率。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根据矿山地质环境治理目标，结合本矿山实际情况，其地质环境治理的任务如下：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1）对露天采场周围及边坡中存在的危岩及时清理，加强边坡管理，减少或避免由于危岩及斜坡失稳造成人员和财产损失。</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2）加强废石综合利用，减少废石堆放量。按照相关技术要求对废石、废渣分层堆放，避免其发生崩塌、滑坡等地质灾害。</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3）优化开采方案、减少破坏范围。</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4）开展地质灾害预警监测工程，包括灾害隐患点的监测、采场边坡变形监测、水环境、水量的动态监测等内容。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5）生产过程中及时对损毁土地、植被进行修复。闭坑后，对所占用、破坏的土地进行复垦工作并恢复植被。</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2、土地复垦预防控制原则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针对露天矿山对地表生态损毁的特点，项目土地复垦及生态重建规划应遵循以下原则：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1）贯彻矿产资源开发与环境保护并重，坚持“预防为主，防治结合”和“在保护中开发，在开发中保护”的原则；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2）坚持“谁引发，谁治理；谁破坏，谁恢复”的原则，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3）“依靠科技进步，发展循环经济，建设绿色矿业”的原则；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4）坚持“安全第一，因地制宜，经济效益服从社会、环境效益”的原则； </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5）“统筹规划、突出重点、分段实施”的原则；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6）“技术可行、经济合理”的原则；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7）综合利用、经济合理，经济效益、社会效益、环境效益相得益彰；</w:t>
      </w:r>
    </w:p>
    <w:p>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8）实事求是、因地制宜，最大限度恢复生态环境。</w:t>
      </w:r>
    </w:p>
    <w:p>
      <w:pPr>
        <w:pStyle w:val="5"/>
        <w:rPr>
          <w:rFonts w:ascii="Times New Roman" w:hAnsi="Times New Roman" w:eastAsia="宋体" w:cs="Times New Roman"/>
          <w:color w:val="auto"/>
          <w:sz w:val="28"/>
          <w:szCs w:val="28"/>
          <w:highlight w:val="none"/>
        </w:rPr>
      </w:pPr>
      <w:bookmarkStart w:id="128" w:name="_Toc13609"/>
      <w:r>
        <w:rPr>
          <w:rFonts w:ascii="Times New Roman" w:hAnsi="Times New Roman" w:eastAsia="宋体" w:cs="Times New Roman"/>
          <w:color w:val="auto"/>
          <w:sz w:val="28"/>
          <w:szCs w:val="28"/>
          <w:highlight w:val="none"/>
        </w:rPr>
        <w:t>（二）主要技术措施</w:t>
      </w:r>
      <w:bookmarkEnd w:id="128"/>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针对不同恢复治理区的地质环境问题的形式、强度及其危害程度，</w:t>
      </w:r>
      <w:r>
        <w:rPr>
          <w:rFonts w:hint="eastAsia" w:ascii="仿宋" w:hAnsi="仿宋" w:eastAsia="仿宋" w:cs="仿宋"/>
          <w:color w:val="auto"/>
          <w:sz w:val="28"/>
          <w:szCs w:val="28"/>
          <w:highlight w:val="none"/>
          <w:lang w:eastAsia="zh-CN"/>
        </w:rPr>
        <w:t>按照轻重缓急</w:t>
      </w:r>
      <w:r>
        <w:rPr>
          <w:rFonts w:hint="eastAsia" w:ascii="仿宋" w:hAnsi="仿宋" w:eastAsia="仿宋" w:cs="仿宋"/>
          <w:color w:val="auto"/>
          <w:sz w:val="28"/>
          <w:szCs w:val="28"/>
          <w:highlight w:val="none"/>
        </w:rPr>
        <w:t>合理布设防治措施，建立工程措施、植物措施和复垦措施相结合的地质环境保护与恢复治理体系。通过措施布局，力求使矿山开采造成的地质环境问题得以集中和全面</w:t>
      </w:r>
      <w:r>
        <w:rPr>
          <w:rFonts w:hint="eastAsia" w:ascii="仿宋" w:hAnsi="仿宋" w:eastAsia="仿宋" w:cs="仿宋"/>
          <w:color w:val="auto"/>
          <w:sz w:val="28"/>
          <w:szCs w:val="28"/>
          <w:highlight w:val="none"/>
          <w:lang w:eastAsia="zh-CN"/>
        </w:rPr>
        <w:t>地</w:t>
      </w:r>
      <w:r>
        <w:rPr>
          <w:rFonts w:hint="eastAsia" w:ascii="仿宋" w:hAnsi="仿宋" w:eastAsia="仿宋" w:cs="仿宋"/>
          <w:color w:val="auto"/>
          <w:sz w:val="28"/>
          <w:szCs w:val="28"/>
          <w:highlight w:val="none"/>
        </w:rPr>
        <w:t>治理，在发挥工程措施控制性和速效性特点的同时，充分发挥植物措施和复垦措施的长效性和美化效果，有效防止地质环境问题，恢复和改善项目区的生态环境。</w:t>
      </w:r>
    </w:p>
    <w:p>
      <w:pPr>
        <w:pStyle w:val="14"/>
        <w:ind w:firstLine="48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1、地质环境保护预防措施</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1）矿山地质灾害预防措施</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根据矿山地质环境影响评价结果，矿山开采可能导致的地质灾害类型为滑坡、崩塌，针对可能产生的滑坡、崩塌主要采取以下预</w:t>
      </w:r>
      <w:r>
        <w:rPr>
          <w:rFonts w:hint="eastAsia" w:ascii="仿宋" w:hAnsi="仿宋" w:eastAsia="仿宋" w:cs="仿宋"/>
          <w:color w:val="auto"/>
          <w:sz w:val="28"/>
          <w:szCs w:val="28"/>
          <w:highlight w:val="none"/>
          <w:lang w:eastAsia="zh-CN"/>
        </w:rPr>
        <w:t>防</w:t>
      </w:r>
      <w:r>
        <w:rPr>
          <w:rFonts w:hint="eastAsia" w:ascii="仿宋" w:hAnsi="仿宋" w:eastAsia="仿宋" w:cs="仿宋"/>
          <w:color w:val="auto"/>
          <w:sz w:val="28"/>
          <w:szCs w:val="28"/>
          <w:highlight w:val="none"/>
        </w:rPr>
        <w:t>措施：对存在滑坡、崩塌隐患的区域采矿，应当对隐患地带进行清方、排险或者削坡等措施及时消除隐患。固体废弃物有序、合理堆放，设计稳定的边坡角。</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2）含水层保护措施</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矿山设计为露天开采页岩的</w:t>
      </w:r>
      <w:r>
        <w:rPr>
          <w:rFonts w:hint="eastAsia" w:ascii="仿宋" w:hAnsi="仿宋" w:eastAsia="仿宋" w:cs="仿宋"/>
          <w:color w:val="auto"/>
          <w:sz w:val="28"/>
          <w:szCs w:val="28"/>
          <w:highlight w:val="none"/>
          <w:lang w:val="en-US" w:eastAsia="zh-CN"/>
        </w:rPr>
        <w:t>小</w:t>
      </w:r>
      <w:r>
        <w:rPr>
          <w:rFonts w:hint="eastAsia" w:ascii="仿宋" w:hAnsi="仿宋" w:eastAsia="仿宋" w:cs="仿宋"/>
          <w:color w:val="auto"/>
          <w:sz w:val="28"/>
          <w:szCs w:val="28"/>
          <w:highlight w:val="none"/>
        </w:rPr>
        <w:t>型矿山，根据含水层结构及地下水赋存条件，结合采矿工程，本次未设计工程。</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3）地形地貌景观（地质遗迹、人文景观）保护措施</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取以下措施，避免或减少采矿活动对矿区地形地貌景观的破坏：优化开采方案尽量避免或少破坏耕地；合理堆放固体废弃物，选用合适的综合利用技术，加大综合利用量，减少对地形地貌的破坏；边开采边治理，及时恢复植被；采取围栏、警示牌、避让、加固等措施保护具有重大科学文化价值的地质遗迹和人文景观。</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4）土地资源环境污染预防措施</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区开采所需机械设备定期检修保养，避免机械设备漏油引起汽油、机油等废液污染土壤和水体；废液应委托专业机构进行回收与处理。同时对剥离的表土层进行收集后堆放在安全位置并散播草种，待复垦时回填利用。</w:t>
      </w:r>
    </w:p>
    <w:p>
      <w:pPr>
        <w:pStyle w:val="14"/>
        <w:ind w:firstLine="48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2、土地复垦预防控制措施</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按照“统一规划、源头控制、防复结合”的原则，按照项目特点、施工方式及工艺等，制定工程土地复垦的预防控制措施。</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预防控制措施主要包括以下几个方面：</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1）本工程取土采用矿区熟土，由于取土是对土地损毁最严重的方式，会完全改变原有土体的自然结构，因此，本工程为避免新增损毁土地，采用矿区熟土，可完全避免这种土地损毁方式，减少土地损毁面积。</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2）占地的选择。为减少工程损毁土地资源，工程应尽量选择未利用地或低产田地，避免占用良田、好田，将保护土地特别是耕地资源的理念切实纳入工程选线、选址中去，从源头上减少、避免土地资源的损毁。</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3）考虑合理优化工程施工计划及设施布局，如施工便道、施工生活营地尽量就近利用既有乡村道路或农村居民设施，以减少临时占地数量，最大程度地减缓对土地的损毁。</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由于矿山开采为生产破坏性行动，只有在闭矿期后才能进行土地复垦，但在施工期间工程也对各类场地采取了相应的工程及植物防护措施，减少及避免水土流失的发生，尤其是对原有土地的表土、耕植土要进行妥善的单独堆存，为以后的土地复垦提供可用的土源。</w:t>
      </w:r>
    </w:p>
    <w:p>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5）土地复垦方案的编制，应当根据经济合理的原则和自然条件以及土地损毁状态，因地制宜地确定复垦后的土地用途。土地复垦规划应当符合项目所在地土地利用总体规划，并与其他相关规划协调。</w:t>
      </w:r>
    </w:p>
    <w:p>
      <w:pPr>
        <w:pStyle w:val="14"/>
        <w:ind w:firstLine="48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6）本项目矿山地质环境保护与土地复垦方案应报相关部门审查，经审查同意后，与建设同步实施。土地复垦规划设计方案确定的任务纳入建设计划和投资概算。</w:t>
      </w:r>
    </w:p>
    <w:p>
      <w:pPr>
        <w:pStyle w:val="5"/>
        <w:spacing w:line="360" w:lineRule="auto"/>
        <w:rPr>
          <w:rFonts w:ascii="Times New Roman" w:hAnsi="Times New Roman" w:eastAsia="宋体" w:cs="Times New Roman"/>
          <w:bCs/>
          <w:color w:val="auto"/>
          <w:highlight w:val="none"/>
        </w:rPr>
      </w:pPr>
      <w:bookmarkStart w:id="129" w:name="_Toc31996"/>
      <w:r>
        <w:rPr>
          <w:rFonts w:ascii="Times New Roman" w:hAnsi="Times New Roman" w:eastAsia="宋体" w:cs="Times New Roman"/>
          <w:bCs/>
          <w:color w:val="auto"/>
          <w:highlight w:val="none"/>
        </w:rPr>
        <w:t>（三）主要工程量</w:t>
      </w:r>
      <w:bookmarkEnd w:id="129"/>
    </w:p>
    <w:p>
      <w:pPr>
        <w:pStyle w:val="14"/>
        <w:spacing w:line="360" w:lineRule="auto"/>
        <w:ind w:firstLine="480"/>
        <w:jc w:val="left"/>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项目区为露天开采项目，在今后的开采中，矿山需要将矿区范围内的表土资源进行剥离后统一存放，用于矿山开展土地复垦工作的覆土来源。经现场调查，根据矿山矿产资源开发利用方案和经现场调查，项目区可剥离表土区为预测开采区。方案设计剥离表土</w:t>
      </w:r>
      <w:r>
        <w:rPr>
          <w:rFonts w:hint="eastAsia" w:ascii="仿宋" w:hAnsi="仿宋" w:eastAsia="仿宋" w:cs="仿宋"/>
          <w:color w:val="auto"/>
          <w:sz w:val="28"/>
          <w:szCs w:val="28"/>
          <w:highlight w:val="none"/>
          <w:lang w:val="en-US" w:eastAsia="zh-CN"/>
        </w:rPr>
        <w:t>3.83万</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，剥离表土堆存于采场内堆场地质平缓处即可。剥离表土应加强管护，保持土壤肥力。</w:t>
      </w:r>
      <w:r>
        <w:rPr>
          <w:rFonts w:ascii="Times New Roman" w:hAnsi="Times New Roman" w:eastAsia="宋体" w:cs="Times New Roman"/>
          <w:color w:val="auto"/>
          <w:sz w:val="24"/>
          <w:szCs w:val="24"/>
          <w:highlight w:val="none"/>
        </w:rPr>
        <w:br w:type="page"/>
      </w:r>
    </w:p>
    <w:p>
      <w:pPr>
        <w:pStyle w:val="4"/>
        <w:rPr>
          <w:rFonts w:ascii="Times New Roman" w:hAnsi="Times New Roman" w:eastAsia="宋体" w:cs="Times New Roman"/>
          <w:color w:val="auto"/>
          <w:sz w:val="30"/>
          <w:szCs w:val="30"/>
          <w:highlight w:val="none"/>
        </w:rPr>
      </w:pPr>
      <w:bookmarkStart w:id="130" w:name="_Toc31609"/>
      <w:r>
        <w:rPr>
          <w:rFonts w:ascii="Times New Roman" w:hAnsi="Times New Roman" w:eastAsia="宋体" w:cs="Times New Roman"/>
          <w:color w:val="auto"/>
          <w:sz w:val="30"/>
          <w:szCs w:val="30"/>
          <w:highlight w:val="none"/>
        </w:rPr>
        <w:t>二、矿山地质灾害治理</w:t>
      </w:r>
      <w:bookmarkEnd w:id="130"/>
    </w:p>
    <w:p>
      <w:pPr>
        <w:pStyle w:val="5"/>
        <w:spacing w:line="360" w:lineRule="auto"/>
        <w:rPr>
          <w:rFonts w:ascii="Times New Roman" w:hAnsi="Times New Roman" w:eastAsia="宋体" w:cs="Times New Roman"/>
          <w:color w:val="auto"/>
          <w:sz w:val="28"/>
          <w:szCs w:val="28"/>
          <w:highlight w:val="none"/>
        </w:rPr>
      </w:pPr>
      <w:bookmarkStart w:id="131" w:name="_Toc1299"/>
      <w:r>
        <w:rPr>
          <w:rFonts w:ascii="Times New Roman" w:hAnsi="Times New Roman" w:eastAsia="宋体" w:cs="Times New Roman"/>
          <w:color w:val="auto"/>
          <w:sz w:val="28"/>
          <w:szCs w:val="28"/>
          <w:highlight w:val="none"/>
        </w:rPr>
        <w:t>（一）目标任务</w:t>
      </w:r>
      <w:bookmarkEnd w:id="131"/>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矿山地质灾害治理的目的是通过各种治理工程手段，综合治理因矿山开展引发和诱发的地质灾害，达到控制或消除矿山存在的地质灾害隐患，消除地质灾害对人员、设备的危害，使矿山生产建设恢复到安全状态。</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结合本矿山实际，矿山地质灾害治理的任务主要包括：</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1、针对不稳定边坡采取及时清理危岩、排除存在崩塌、垮塌的危岩体。逐步修正开采工作平台和开采时序，使开采工作按开发利用方案设计进行施工，避免因开采不当而引发或诱发新的地质灾害</w:t>
      </w:r>
      <w:r>
        <w:rPr>
          <w:rFonts w:hint="eastAsia" w:ascii="仿宋" w:hAnsi="仿宋" w:eastAsia="仿宋" w:cs="仿宋"/>
          <w:color w:val="auto"/>
          <w:sz w:val="28"/>
          <w:szCs w:val="28"/>
          <w:highlight w:val="none"/>
          <w:lang w:eastAsia="zh-CN"/>
        </w:rPr>
        <w:t>发生</w:t>
      </w:r>
      <w:r>
        <w:rPr>
          <w:rFonts w:hint="eastAsia" w:ascii="仿宋" w:hAnsi="仿宋" w:eastAsia="仿宋" w:cs="仿宋"/>
          <w:color w:val="auto"/>
          <w:sz w:val="28"/>
          <w:szCs w:val="28"/>
          <w:highlight w:val="none"/>
        </w:rPr>
        <w:t>。</w:t>
      </w:r>
    </w:p>
    <w:p>
      <w:pPr>
        <w:adjustRightInd w:val="0"/>
        <w:snapToGrid w:val="0"/>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2、加强废石综合利用的研究，减少废石堆放量，按照相关技术要求废石、废渣分层堆放，避免其发生崩塌、滑坡等地质灾害。</w:t>
      </w:r>
    </w:p>
    <w:p>
      <w:pPr>
        <w:pStyle w:val="5"/>
        <w:spacing w:line="360" w:lineRule="auto"/>
        <w:rPr>
          <w:rFonts w:ascii="Times New Roman" w:hAnsi="Times New Roman" w:eastAsia="宋体" w:cs="Times New Roman"/>
          <w:color w:val="auto"/>
          <w:sz w:val="28"/>
          <w:szCs w:val="28"/>
          <w:highlight w:val="none"/>
        </w:rPr>
      </w:pPr>
      <w:bookmarkStart w:id="132" w:name="_Toc1091"/>
      <w:r>
        <w:rPr>
          <w:rFonts w:ascii="Times New Roman" w:hAnsi="Times New Roman" w:eastAsia="宋体" w:cs="Times New Roman"/>
          <w:color w:val="auto"/>
          <w:sz w:val="28"/>
          <w:szCs w:val="28"/>
          <w:highlight w:val="none"/>
        </w:rPr>
        <w:t>（二）工程设计</w:t>
      </w:r>
      <w:bookmarkEnd w:id="132"/>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根据开发利用方案结合现场调查，矿山开采可能导致或诱发的地质灾害类型主要是：露天采场不稳定边坡可能形成的滑坡、崩塌，针对可能形成的地质灾害制定了以下三项治理工程。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经调查矿山范围内现无成规模的地质灾害发生，且通过地质灾害现状评估与预测分析，矿山在开采时，采动引起的地表移动变形较小，结合地质灾害现状评估与预测评估结果：矿山的开采形成高陡斜坡整体稳定性较好，开采区域不会出现严重塌陷、地裂缝、积水区。设置警示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开采过程中主要做好监测工作，如发现地质灾害问题再及时做处理。</w:t>
      </w:r>
    </w:p>
    <w:p>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相应地质灾害监测工程设计见本章第六节“矿山地质环境监测”。</w:t>
      </w:r>
    </w:p>
    <w:p>
      <w:pPr>
        <w:pStyle w:val="4"/>
        <w:numPr>
          <w:ilvl w:val="0"/>
          <w:numId w:val="4"/>
        </w:numPr>
        <w:rPr>
          <w:rFonts w:ascii="Times New Roman" w:hAnsi="Times New Roman" w:eastAsia="宋体" w:cs="Times New Roman"/>
          <w:color w:val="auto"/>
          <w:sz w:val="30"/>
          <w:szCs w:val="30"/>
          <w:highlight w:val="none"/>
        </w:rPr>
      </w:pPr>
      <w:bookmarkStart w:id="133" w:name="_Toc28973"/>
      <w:r>
        <w:rPr>
          <w:rFonts w:ascii="Times New Roman" w:hAnsi="Times New Roman" w:eastAsia="宋体" w:cs="Times New Roman"/>
          <w:color w:val="auto"/>
          <w:sz w:val="30"/>
          <w:szCs w:val="30"/>
          <w:highlight w:val="none"/>
        </w:rPr>
        <w:t>矿区土地复垦</w:t>
      </w:r>
      <w:bookmarkEnd w:id="133"/>
    </w:p>
    <w:p>
      <w:pPr>
        <w:pStyle w:val="5"/>
        <w:spacing w:line="360" w:lineRule="auto"/>
        <w:rPr>
          <w:rFonts w:ascii="Times New Roman" w:hAnsi="Times New Roman" w:eastAsia="宋体" w:cs="Times New Roman"/>
          <w:color w:val="auto"/>
          <w:sz w:val="28"/>
          <w:szCs w:val="28"/>
          <w:highlight w:val="none"/>
        </w:rPr>
      </w:pPr>
      <w:bookmarkStart w:id="134" w:name="_Toc28593"/>
      <w:r>
        <w:rPr>
          <w:rFonts w:ascii="Times New Roman" w:hAnsi="Times New Roman" w:eastAsia="宋体" w:cs="Times New Roman"/>
          <w:color w:val="auto"/>
          <w:sz w:val="28"/>
          <w:szCs w:val="28"/>
          <w:highlight w:val="none"/>
        </w:rPr>
        <w:t>（一）目标任务</w:t>
      </w:r>
      <w:bookmarkEnd w:id="134"/>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1、复垦责任范围面积：</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2、本方案复垦率：100%。</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依据土地复垦适宜性评价结果，本项目拟复垦土地面积</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，其中复垦为乔木林地面积</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、其他草地面积为</w:t>
      </w:r>
      <w:r>
        <w:rPr>
          <w:rFonts w:hint="eastAsia" w:ascii="仿宋" w:hAnsi="仿宋" w:eastAsia="仿宋" w:cs="仿宋"/>
          <w:color w:val="auto"/>
          <w:sz w:val="28"/>
          <w:szCs w:val="28"/>
          <w:highlight w:val="none"/>
          <w:lang w:val="en-US" w:eastAsia="zh-CN"/>
        </w:rPr>
        <w:t>1.91</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。其复垦前后土地利用结构见表5-2。</w:t>
      </w:r>
    </w:p>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表5-</w:t>
      </w:r>
      <w:r>
        <w:rPr>
          <w:rFonts w:hint="eastAsia" w:ascii="Times New Roman" w:hAnsi="Times New Roman" w:eastAsia="宋体" w:cs="Times New Roman"/>
          <w:b/>
          <w:color w:val="auto"/>
          <w:highlight w:val="none"/>
        </w:rPr>
        <w:t>2</w:t>
      </w:r>
      <w:r>
        <w:rPr>
          <w:rFonts w:ascii="Times New Roman" w:hAnsi="Times New Roman" w:eastAsia="宋体" w:cs="Times New Roman"/>
          <w:b/>
          <w:color w:val="auto"/>
          <w:highlight w:val="none"/>
        </w:rPr>
        <w:t xml:space="preserve">  复垦前后土地利用结构表</w:t>
      </w:r>
    </w:p>
    <w:p>
      <w:pPr>
        <w:rPr>
          <w:rFonts w:ascii="Times New Roman" w:hAnsi="Times New Roman" w:eastAsia="宋体" w:cs="Times New Roman"/>
          <w:b/>
          <w:color w:val="auto"/>
          <w:sz w:val="24"/>
          <w:highlight w:val="none"/>
        </w:rPr>
      </w:pPr>
    </w:p>
    <w:tbl>
      <w:tblPr>
        <w:tblStyle w:val="23"/>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89"/>
        <w:gridCol w:w="1225"/>
        <w:gridCol w:w="1360"/>
        <w:gridCol w:w="1090"/>
        <w:gridCol w:w="1225"/>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61" w:type="dxa"/>
            <w:vAlign w:val="center"/>
          </w:tcPr>
          <w:p>
            <w:pPr>
              <w:widowControl/>
              <w:jc w:val="center"/>
              <w:rPr>
                <w:rFonts w:eastAsia="宋体"/>
                <w:color w:val="auto"/>
                <w:highlight w:val="none"/>
              </w:rPr>
            </w:pPr>
            <w:r>
              <w:rPr>
                <w:rFonts w:hint="eastAsia" w:eastAsia="宋体"/>
                <w:color w:val="auto"/>
                <w:highlight w:val="none"/>
              </w:rPr>
              <w:t>地类编码</w:t>
            </w:r>
          </w:p>
        </w:tc>
        <w:tc>
          <w:tcPr>
            <w:tcW w:w="1489" w:type="dxa"/>
            <w:vAlign w:val="center"/>
          </w:tcPr>
          <w:p>
            <w:pPr>
              <w:widowControl/>
              <w:jc w:val="center"/>
              <w:rPr>
                <w:rFonts w:eastAsia="宋体"/>
                <w:color w:val="auto"/>
                <w:highlight w:val="none"/>
              </w:rPr>
            </w:pPr>
            <w:r>
              <w:rPr>
                <w:rFonts w:hint="eastAsia" w:eastAsia="宋体"/>
                <w:color w:val="auto"/>
                <w:highlight w:val="none"/>
              </w:rPr>
              <w:t>一级地类</w:t>
            </w:r>
          </w:p>
        </w:tc>
        <w:tc>
          <w:tcPr>
            <w:tcW w:w="1225" w:type="dxa"/>
            <w:vAlign w:val="center"/>
          </w:tcPr>
          <w:p>
            <w:pPr>
              <w:widowControl/>
              <w:jc w:val="center"/>
              <w:rPr>
                <w:rFonts w:eastAsia="宋体"/>
                <w:color w:val="auto"/>
                <w:highlight w:val="none"/>
              </w:rPr>
            </w:pPr>
            <w:r>
              <w:rPr>
                <w:rFonts w:hint="eastAsia" w:eastAsia="宋体"/>
                <w:color w:val="auto"/>
                <w:highlight w:val="none"/>
              </w:rPr>
              <w:t>地类编码</w:t>
            </w:r>
          </w:p>
        </w:tc>
        <w:tc>
          <w:tcPr>
            <w:tcW w:w="1360" w:type="dxa"/>
            <w:vAlign w:val="center"/>
          </w:tcPr>
          <w:p>
            <w:pPr>
              <w:widowControl/>
              <w:jc w:val="center"/>
              <w:rPr>
                <w:rFonts w:eastAsia="宋体"/>
                <w:color w:val="auto"/>
                <w:highlight w:val="none"/>
              </w:rPr>
            </w:pPr>
            <w:r>
              <w:rPr>
                <w:rFonts w:hint="eastAsia" w:eastAsia="宋体"/>
                <w:color w:val="auto"/>
                <w:highlight w:val="none"/>
              </w:rPr>
              <w:t>二级地类</w:t>
            </w:r>
          </w:p>
        </w:tc>
        <w:tc>
          <w:tcPr>
            <w:tcW w:w="1090" w:type="dxa"/>
            <w:vAlign w:val="center"/>
          </w:tcPr>
          <w:p>
            <w:pPr>
              <w:widowControl/>
              <w:jc w:val="center"/>
              <w:rPr>
                <w:rFonts w:eastAsia="宋体"/>
                <w:color w:val="auto"/>
                <w:highlight w:val="none"/>
              </w:rPr>
            </w:pPr>
            <w:r>
              <w:rPr>
                <w:rFonts w:hint="eastAsia" w:eastAsia="宋体"/>
                <w:color w:val="auto"/>
                <w:highlight w:val="none"/>
              </w:rPr>
              <w:t>复垦前</w:t>
            </w:r>
            <w:r>
              <w:rPr>
                <w:rFonts w:hint="eastAsia" w:eastAsia="宋体"/>
                <w:color w:val="auto"/>
                <w:highlight w:val="none"/>
                <w:lang w:eastAsia="zh-CN"/>
              </w:rPr>
              <w:t>（</w:t>
            </w:r>
            <w:r>
              <w:rPr>
                <w:rFonts w:hint="eastAsia" w:eastAsia="宋体"/>
                <w:color w:val="auto"/>
                <w:highlight w:val="none"/>
              </w:rPr>
              <w:t>hm</w:t>
            </w:r>
            <w:r>
              <w:rPr>
                <w:rFonts w:hint="eastAsia" w:eastAsia="宋体"/>
                <w:color w:val="auto"/>
                <w:highlight w:val="none"/>
                <w:vertAlign w:val="superscript"/>
              </w:rPr>
              <w:t>2</w:t>
            </w:r>
            <w:r>
              <w:rPr>
                <w:rFonts w:hint="eastAsia" w:eastAsia="宋体"/>
                <w:color w:val="auto"/>
                <w:highlight w:val="none"/>
              </w:rPr>
              <w:t>)</w:t>
            </w:r>
          </w:p>
        </w:tc>
        <w:tc>
          <w:tcPr>
            <w:tcW w:w="1225" w:type="dxa"/>
            <w:vAlign w:val="center"/>
          </w:tcPr>
          <w:p>
            <w:pPr>
              <w:widowControl/>
              <w:jc w:val="center"/>
              <w:rPr>
                <w:rFonts w:eastAsia="宋体"/>
                <w:color w:val="auto"/>
                <w:highlight w:val="none"/>
              </w:rPr>
            </w:pPr>
            <w:r>
              <w:rPr>
                <w:rFonts w:hint="eastAsia" w:eastAsia="宋体"/>
                <w:color w:val="auto"/>
                <w:highlight w:val="none"/>
              </w:rPr>
              <w:t>复垦后</w:t>
            </w:r>
            <w:r>
              <w:rPr>
                <w:rFonts w:hint="eastAsia" w:eastAsia="宋体"/>
                <w:color w:val="auto"/>
                <w:highlight w:val="none"/>
                <w:lang w:eastAsia="zh-CN"/>
              </w:rPr>
              <w:t>（</w:t>
            </w:r>
            <w:r>
              <w:rPr>
                <w:rFonts w:hint="eastAsia" w:eastAsia="宋体"/>
                <w:color w:val="auto"/>
                <w:highlight w:val="none"/>
              </w:rPr>
              <w:t>hm</w:t>
            </w:r>
            <w:r>
              <w:rPr>
                <w:rFonts w:hint="eastAsia" w:eastAsia="宋体"/>
                <w:color w:val="auto"/>
                <w:highlight w:val="none"/>
                <w:vertAlign w:val="superscript"/>
              </w:rPr>
              <w:t>2</w:t>
            </w:r>
            <w:r>
              <w:rPr>
                <w:rFonts w:hint="eastAsia" w:eastAsia="宋体"/>
                <w:color w:val="auto"/>
                <w:highlight w:val="none"/>
              </w:rPr>
              <w:t>)</w:t>
            </w:r>
          </w:p>
        </w:tc>
        <w:tc>
          <w:tcPr>
            <w:tcW w:w="1230" w:type="dxa"/>
            <w:vAlign w:val="center"/>
          </w:tcPr>
          <w:p>
            <w:pPr>
              <w:widowControl/>
              <w:jc w:val="center"/>
              <w:rPr>
                <w:rFonts w:eastAsia="宋体"/>
                <w:color w:val="auto"/>
                <w:highlight w:val="none"/>
              </w:rPr>
            </w:pPr>
            <w:r>
              <w:rPr>
                <w:rFonts w:hint="eastAsia" w:eastAsia="宋体"/>
                <w:color w:val="auto"/>
                <w:highlight w:val="none"/>
              </w:rPr>
              <w:t>增减</w:t>
            </w:r>
            <w:r>
              <w:rPr>
                <w:rFonts w:hint="eastAsia" w:eastAsia="宋体"/>
                <w:color w:val="auto"/>
                <w:highlight w:val="none"/>
                <w:lang w:eastAsia="zh-CN"/>
              </w:rPr>
              <w:t>（</w:t>
            </w:r>
            <w:r>
              <w:rPr>
                <w:rFonts w:hint="eastAsia" w:eastAsia="宋体"/>
                <w:color w:val="auto"/>
                <w:highlight w:val="none"/>
              </w:rPr>
              <w:t>hm</w:t>
            </w:r>
            <w:r>
              <w:rPr>
                <w:rFonts w:hint="eastAsia" w:eastAsia="宋体"/>
                <w:color w:val="auto"/>
                <w:highlight w:val="none"/>
                <w:vertAlign w:val="superscript"/>
              </w:rPr>
              <w:t>2</w:t>
            </w:r>
            <w:r>
              <w:rPr>
                <w:rFonts w:hint="eastAsia" w:eastAsia="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noWrap/>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03</w:t>
            </w:r>
          </w:p>
        </w:tc>
        <w:tc>
          <w:tcPr>
            <w:tcW w:w="1489" w:type="dxa"/>
            <w:noWrap/>
            <w:vAlign w:val="center"/>
          </w:tcPr>
          <w:p>
            <w:pPr>
              <w:widowControl/>
              <w:jc w:val="center"/>
              <w:textAlignment w:val="center"/>
              <w:rPr>
                <w:rFonts w:hint="eastAsia" w:eastAsia="宋体"/>
                <w:color w:val="auto"/>
                <w:highlight w:val="none"/>
                <w:lang w:eastAsia="zh-CN"/>
              </w:rPr>
            </w:pPr>
            <w:r>
              <w:rPr>
                <w:rFonts w:hint="eastAsia" w:ascii="宋体" w:hAnsi="宋体" w:eastAsia="宋体" w:cs="宋体"/>
                <w:color w:val="auto"/>
                <w:kern w:val="0"/>
                <w:highlight w:val="none"/>
                <w:lang w:val="en-US" w:eastAsia="zh-CN" w:bidi="ar"/>
              </w:rPr>
              <w:t>林地</w:t>
            </w:r>
          </w:p>
        </w:tc>
        <w:tc>
          <w:tcPr>
            <w:tcW w:w="1225"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0103</w:t>
            </w:r>
          </w:p>
        </w:tc>
        <w:tc>
          <w:tcPr>
            <w:tcW w:w="1360" w:type="dxa"/>
            <w:noWrap/>
            <w:vAlign w:val="center"/>
          </w:tcPr>
          <w:p>
            <w:pPr>
              <w:widowControl/>
              <w:jc w:val="center"/>
              <w:textAlignment w:val="center"/>
              <w:rPr>
                <w:rFonts w:hint="eastAsia" w:eastAsia="宋体"/>
                <w:color w:val="auto"/>
                <w:highlight w:val="none"/>
                <w:lang w:eastAsia="zh-CN"/>
              </w:rPr>
            </w:pPr>
            <w:r>
              <w:rPr>
                <w:rFonts w:hint="eastAsia" w:ascii="宋体" w:hAnsi="宋体" w:eastAsia="宋体" w:cs="宋体"/>
                <w:color w:val="auto"/>
                <w:kern w:val="0"/>
                <w:highlight w:val="none"/>
                <w:lang w:val="en-US" w:eastAsia="zh-CN" w:bidi="ar"/>
              </w:rPr>
              <w:t>乔木林地</w:t>
            </w:r>
          </w:p>
        </w:tc>
        <w:tc>
          <w:tcPr>
            <w:tcW w:w="1090" w:type="dxa"/>
            <w:noWrap/>
            <w:vAlign w:val="center"/>
          </w:tcPr>
          <w:p>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1.99</w:t>
            </w:r>
          </w:p>
        </w:tc>
        <w:tc>
          <w:tcPr>
            <w:tcW w:w="1225"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1.98</w:t>
            </w:r>
          </w:p>
        </w:tc>
        <w:tc>
          <w:tcPr>
            <w:tcW w:w="1230"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03</w:t>
            </w:r>
          </w:p>
        </w:tc>
        <w:tc>
          <w:tcPr>
            <w:tcW w:w="1489" w:type="dxa"/>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林地</w:t>
            </w:r>
          </w:p>
        </w:tc>
        <w:tc>
          <w:tcPr>
            <w:tcW w:w="1225"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0301</w:t>
            </w:r>
          </w:p>
        </w:tc>
        <w:tc>
          <w:tcPr>
            <w:tcW w:w="1360" w:type="dxa"/>
            <w:noWrap/>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val="en-US" w:eastAsia="zh-CN" w:bidi="ar"/>
              </w:rPr>
              <w:t>其他</w:t>
            </w:r>
            <w:r>
              <w:rPr>
                <w:rFonts w:hint="eastAsia" w:ascii="宋体" w:hAnsi="宋体" w:eastAsia="宋体" w:cs="宋体"/>
                <w:color w:val="auto"/>
                <w:kern w:val="0"/>
                <w:highlight w:val="none"/>
                <w:lang w:bidi="ar"/>
              </w:rPr>
              <w:t>林地</w:t>
            </w:r>
          </w:p>
        </w:tc>
        <w:tc>
          <w:tcPr>
            <w:tcW w:w="1090" w:type="dxa"/>
            <w:noWrap/>
            <w:vAlign w:val="center"/>
          </w:tcPr>
          <w:p>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1.7</w:t>
            </w:r>
          </w:p>
        </w:tc>
        <w:tc>
          <w:tcPr>
            <w:tcW w:w="1225" w:type="dxa"/>
            <w:vAlign w:val="center"/>
          </w:tcPr>
          <w:p>
            <w:pPr>
              <w:widowControl/>
              <w:jc w:val="center"/>
              <w:textAlignment w:val="center"/>
              <w:rPr>
                <w:rFonts w:hint="eastAsia" w:eastAsia="宋体"/>
                <w:color w:val="auto"/>
                <w:highlight w:val="none"/>
                <w:lang w:eastAsia="zh-CN"/>
              </w:rPr>
            </w:pPr>
            <w:r>
              <w:rPr>
                <w:rFonts w:hint="eastAsia" w:ascii="Times New Roman" w:hAnsi="Times New Roman" w:eastAsia="宋体" w:cs="Times New Roman"/>
                <w:color w:val="auto"/>
                <w:kern w:val="0"/>
                <w:highlight w:val="none"/>
                <w:lang w:val="en-US" w:eastAsia="zh-CN" w:bidi="ar"/>
              </w:rPr>
              <w:t>0</w:t>
            </w:r>
          </w:p>
        </w:tc>
        <w:tc>
          <w:tcPr>
            <w:tcW w:w="1230"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04</w:t>
            </w:r>
          </w:p>
        </w:tc>
        <w:tc>
          <w:tcPr>
            <w:tcW w:w="1489" w:type="dxa"/>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草地</w:t>
            </w:r>
          </w:p>
        </w:tc>
        <w:tc>
          <w:tcPr>
            <w:tcW w:w="1225"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0404</w:t>
            </w:r>
          </w:p>
        </w:tc>
        <w:tc>
          <w:tcPr>
            <w:tcW w:w="1360" w:type="dxa"/>
            <w:noWrap/>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其他草地</w:t>
            </w:r>
          </w:p>
        </w:tc>
        <w:tc>
          <w:tcPr>
            <w:tcW w:w="1090"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w:t>
            </w:r>
          </w:p>
        </w:tc>
        <w:tc>
          <w:tcPr>
            <w:tcW w:w="1225"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1.91</w:t>
            </w:r>
          </w:p>
        </w:tc>
        <w:tc>
          <w:tcPr>
            <w:tcW w:w="1230" w:type="dxa"/>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61"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06</w:t>
            </w:r>
          </w:p>
        </w:tc>
        <w:tc>
          <w:tcPr>
            <w:tcW w:w="1489" w:type="dxa"/>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工矿仓储用地</w:t>
            </w:r>
          </w:p>
        </w:tc>
        <w:tc>
          <w:tcPr>
            <w:tcW w:w="1225" w:type="dxa"/>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0602</w:t>
            </w:r>
          </w:p>
        </w:tc>
        <w:tc>
          <w:tcPr>
            <w:tcW w:w="1360" w:type="dxa"/>
            <w:noWrap/>
            <w:vAlign w:val="center"/>
          </w:tcPr>
          <w:p>
            <w:pPr>
              <w:widowControl/>
              <w:jc w:val="center"/>
              <w:textAlignment w:val="center"/>
              <w:rPr>
                <w:rFonts w:eastAsia="宋体"/>
                <w:color w:val="auto"/>
                <w:highlight w:val="none"/>
              </w:rPr>
            </w:pPr>
            <w:r>
              <w:rPr>
                <w:rFonts w:hint="eastAsia" w:ascii="宋体" w:hAnsi="宋体" w:eastAsia="宋体" w:cs="宋体"/>
                <w:color w:val="auto"/>
                <w:kern w:val="0"/>
                <w:highlight w:val="none"/>
                <w:lang w:bidi="ar"/>
              </w:rPr>
              <w:t>采矿用地</w:t>
            </w:r>
          </w:p>
        </w:tc>
        <w:tc>
          <w:tcPr>
            <w:tcW w:w="1090" w:type="dxa"/>
            <w:noWrap/>
            <w:vAlign w:val="center"/>
          </w:tcPr>
          <w:p>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0.2</w:t>
            </w:r>
          </w:p>
        </w:tc>
        <w:tc>
          <w:tcPr>
            <w:tcW w:w="1225" w:type="dxa"/>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lang w:bidi="ar"/>
              </w:rPr>
              <w:t>0</w:t>
            </w:r>
          </w:p>
        </w:tc>
        <w:tc>
          <w:tcPr>
            <w:tcW w:w="1230" w:type="dxa"/>
            <w:vAlign w:val="center"/>
          </w:tcPr>
          <w:p>
            <w:pPr>
              <w:widowControl/>
              <w:jc w:val="center"/>
              <w:textAlignment w:val="center"/>
              <w:rPr>
                <w:rFonts w:hint="default" w:eastAsia="宋体"/>
                <w:color w:val="auto"/>
                <w:highlight w:val="none"/>
                <w:lang w:val="en-US" w:eastAsia="zh-CN"/>
              </w:rPr>
            </w:pPr>
            <w:r>
              <w:rPr>
                <w:rFonts w:ascii="Times New Roman" w:hAnsi="Times New Roman" w:eastAsia="宋体" w:cs="Times New Roman"/>
                <w:color w:val="auto"/>
                <w:kern w:val="0"/>
                <w:highlight w:val="none"/>
                <w:lang w:bidi="ar"/>
              </w:rPr>
              <w:t>-</w:t>
            </w:r>
            <w:r>
              <w:rPr>
                <w:rFonts w:hint="eastAsia" w:ascii="Times New Roman" w:hAnsi="Times New Roman" w:eastAsia="宋体" w:cs="Times New Roman"/>
                <w:color w:val="auto"/>
                <w:kern w:val="0"/>
                <w:highlight w:val="none"/>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vAlign w:val="center"/>
          </w:tcPr>
          <w:p>
            <w:pPr>
              <w:widowControl/>
              <w:jc w:val="center"/>
              <w:rPr>
                <w:rFonts w:eastAsia="宋体"/>
                <w:color w:val="auto"/>
                <w:highlight w:val="none"/>
              </w:rPr>
            </w:pPr>
            <w:r>
              <w:rPr>
                <w:rFonts w:hint="eastAsia" w:eastAsia="宋体"/>
                <w:color w:val="auto"/>
                <w:highlight w:val="none"/>
              </w:rPr>
              <w:t>合计</w:t>
            </w:r>
          </w:p>
        </w:tc>
        <w:tc>
          <w:tcPr>
            <w:tcW w:w="1489" w:type="dxa"/>
            <w:vAlign w:val="center"/>
          </w:tcPr>
          <w:p>
            <w:pPr>
              <w:widowControl/>
              <w:jc w:val="center"/>
              <w:rPr>
                <w:rFonts w:eastAsia="宋体"/>
                <w:color w:val="auto"/>
                <w:highlight w:val="none"/>
              </w:rPr>
            </w:pPr>
            <w:r>
              <w:rPr>
                <w:rFonts w:hint="eastAsia" w:eastAsia="宋体"/>
                <w:color w:val="auto"/>
                <w:highlight w:val="none"/>
              </w:rPr>
              <w:t>　</w:t>
            </w:r>
          </w:p>
        </w:tc>
        <w:tc>
          <w:tcPr>
            <w:tcW w:w="1225" w:type="dxa"/>
            <w:vAlign w:val="center"/>
          </w:tcPr>
          <w:p>
            <w:pPr>
              <w:widowControl/>
              <w:jc w:val="center"/>
              <w:rPr>
                <w:rFonts w:eastAsia="宋体"/>
                <w:color w:val="auto"/>
                <w:highlight w:val="none"/>
              </w:rPr>
            </w:pPr>
            <w:r>
              <w:rPr>
                <w:rFonts w:hint="eastAsia" w:eastAsia="宋体"/>
                <w:color w:val="auto"/>
                <w:highlight w:val="none"/>
              </w:rPr>
              <w:t>　</w:t>
            </w:r>
          </w:p>
        </w:tc>
        <w:tc>
          <w:tcPr>
            <w:tcW w:w="1360" w:type="dxa"/>
            <w:vAlign w:val="center"/>
          </w:tcPr>
          <w:p>
            <w:pPr>
              <w:widowControl/>
              <w:jc w:val="center"/>
              <w:rPr>
                <w:rFonts w:eastAsia="宋体"/>
                <w:color w:val="auto"/>
                <w:highlight w:val="none"/>
              </w:rPr>
            </w:pPr>
            <w:r>
              <w:rPr>
                <w:rFonts w:hint="eastAsia" w:eastAsia="宋体"/>
                <w:color w:val="auto"/>
                <w:highlight w:val="none"/>
              </w:rPr>
              <w:t>　</w:t>
            </w:r>
          </w:p>
        </w:tc>
        <w:tc>
          <w:tcPr>
            <w:tcW w:w="1090" w:type="dxa"/>
            <w:vAlign w:val="center"/>
          </w:tcPr>
          <w:p>
            <w:pPr>
              <w:widowControl/>
              <w:jc w:val="center"/>
              <w:rPr>
                <w:rFonts w:hint="default" w:eastAsia="宋体"/>
                <w:color w:val="auto"/>
                <w:highlight w:val="none"/>
                <w:lang w:val="en-US" w:eastAsia="zh-CN"/>
              </w:rPr>
            </w:pPr>
            <w:r>
              <w:rPr>
                <w:rFonts w:hint="eastAsia" w:eastAsia="宋体"/>
                <w:color w:val="auto"/>
                <w:highlight w:val="none"/>
                <w:lang w:val="en-US" w:eastAsia="zh-CN"/>
              </w:rPr>
              <w:t>3.89</w:t>
            </w:r>
          </w:p>
        </w:tc>
        <w:tc>
          <w:tcPr>
            <w:tcW w:w="1225" w:type="dxa"/>
            <w:vAlign w:val="center"/>
          </w:tcPr>
          <w:p>
            <w:pPr>
              <w:widowControl/>
              <w:jc w:val="center"/>
              <w:rPr>
                <w:rFonts w:hint="default" w:eastAsia="宋体"/>
                <w:color w:val="auto"/>
                <w:highlight w:val="none"/>
                <w:lang w:val="en-US" w:eastAsia="zh-CN"/>
              </w:rPr>
            </w:pPr>
            <w:r>
              <w:rPr>
                <w:rFonts w:hint="eastAsia" w:eastAsia="宋体"/>
                <w:color w:val="auto"/>
                <w:highlight w:val="none"/>
                <w:lang w:val="en-US" w:eastAsia="zh-CN"/>
              </w:rPr>
              <w:t>3.89</w:t>
            </w:r>
          </w:p>
        </w:tc>
        <w:tc>
          <w:tcPr>
            <w:tcW w:w="1230" w:type="dxa"/>
            <w:vAlign w:val="center"/>
          </w:tcPr>
          <w:p>
            <w:pPr>
              <w:widowControl/>
              <w:jc w:val="center"/>
              <w:rPr>
                <w:rFonts w:eastAsia="宋体"/>
                <w:color w:val="auto"/>
                <w:highlight w:val="none"/>
              </w:rPr>
            </w:pPr>
            <w:r>
              <w:rPr>
                <w:rFonts w:hint="eastAsia" w:eastAsia="宋体"/>
                <w:color w:val="auto"/>
                <w:highlight w:val="none"/>
              </w:rPr>
              <w:t>0</w:t>
            </w:r>
          </w:p>
        </w:tc>
      </w:tr>
    </w:tbl>
    <w:p>
      <w:pPr>
        <w:pStyle w:val="2"/>
        <w:rPr>
          <w:color w:val="auto"/>
        </w:rPr>
      </w:pPr>
    </w:p>
    <w:p>
      <w:pPr>
        <w:pStyle w:val="5"/>
        <w:spacing w:line="360" w:lineRule="auto"/>
        <w:rPr>
          <w:rFonts w:ascii="Times New Roman" w:hAnsi="Times New Roman" w:eastAsia="宋体" w:cs="Times New Roman"/>
          <w:color w:val="auto"/>
          <w:sz w:val="28"/>
          <w:szCs w:val="28"/>
          <w:highlight w:val="none"/>
        </w:rPr>
      </w:pPr>
      <w:bookmarkStart w:id="135" w:name="_Toc22090"/>
      <w:r>
        <w:rPr>
          <w:rFonts w:ascii="Times New Roman" w:hAnsi="Times New Roman" w:eastAsia="宋体" w:cs="Times New Roman"/>
          <w:color w:val="auto"/>
          <w:sz w:val="28"/>
          <w:szCs w:val="28"/>
          <w:highlight w:val="none"/>
        </w:rPr>
        <w:t>（二）工程设计</w:t>
      </w:r>
      <w:bookmarkEnd w:id="135"/>
    </w:p>
    <w:p>
      <w:pPr>
        <w:pStyle w:val="58"/>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按照复垦适宜性评价结果，矿区土地复垦可分为</w:t>
      </w:r>
      <w:r>
        <w:rPr>
          <w:rFonts w:hint="eastAsia" w:ascii="仿宋" w:hAnsi="仿宋" w:eastAsia="仿宋" w:cs="仿宋"/>
          <w:color w:val="auto"/>
          <w:sz w:val="28"/>
          <w:szCs w:val="28"/>
          <w:highlight w:val="none"/>
          <w:lang w:val="en-US" w:eastAsia="zh-CN"/>
        </w:rPr>
        <w:t>两</w:t>
      </w:r>
      <w:r>
        <w:rPr>
          <w:rFonts w:hint="eastAsia" w:ascii="仿宋" w:hAnsi="仿宋" w:eastAsia="仿宋" w:cs="仿宋"/>
          <w:color w:val="auto"/>
          <w:sz w:val="28"/>
          <w:szCs w:val="28"/>
          <w:highlight w:val="none"/>
        </w:rPr>
        <w:t>大复垦单元，复垦后地类主要为乔木林地、其他草地。按照不同复垦单元分述如下：</w:t>
      </w:r>
    </w:p>
    <w:p>
      <w:pPr>
        <w:autoSpaceDE w:val="0"/>
        <w:autoSpaceDN w:val="0"/>
        <w:adjustRightInd w:val="0"/>
        <w:spacing w:line="360" w:lineRule="auto"/>
        <w:ind w:firstLine="481" w:firstLineChars="200"/>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1</w:t>
      </w:r>
      <w:r>
        <w:rPr>
          <w:rFonts w:ascii="Times New Roman" w:hAnsi="Times New Roman" w:eastAsia="宋体" w:cs="Times New Roman"/>
          <w:b/>
          <w:color w:val="auto"/>
          <w:sz w:val="24"/>
          <w:szCs w:val="24"/>
          <w:highlight w:val="none"/>
        </w:rPr>
        <w:t>）复垦</w:t>
      </w:r>
      <w:r>
        <w:rPr>
          <w:rFonts w:hint="eastAsia" w:ascii="Times New Roman" w:hAnsi="Times New Roman" w:eastAsia="宋体" w:cs="Times New Roman"/>
          <w:b/>
          <w:color w:val="auto"/>
          <w:sz w:val="24"/>
          <w:szCs w:val="24"/>
          <w:highlight w:val="none"/>
        </w:rPr>
        <w:t>乔木</w:t>
      </w:r>
      <w:r>
        <w:rPr>
          <w:rFonts w:ascii="Times New Roman" w:hAnsi="Times New Roman" w:eastAsia="宋体" w:cs="Times New Roman"/>
          <w:b/>
          <w:color w:val="auto"/>
          <w:sz w:val="24"/>
          <w:szCs w:val="24"/>
          <w:highlight w:val="none"/>
        </w:rPr>
        <w:t>林地单元（</w:t>
      </w:r>
      <w:r>
        <w:rPr>
          <w:rFonts w:hint="eastAsia" w:ascii="Times New Roman" w:hAnsi="Times New Roman" w:eastAsia="宋体" w:cs="Times New Roman"/>
          <w:b/>
          <w:color w:val="auto"/>
          <w:sz w:val="24"/>
          <w:szCs w:val="24"/>
          <w:highlight w:val="none"/>
        </w:rPr>
        <w:t>露天采场终采平台区</w:t>
      </w:r>
      <w:r>
        <w:rPr>
          <w:rFonts w:hint="eastAsia" w:ascii="Times New Roman" w:hAnsi="Times New Roman" w:eastAsia="宋体" w:cs="Times New Roman"/>
          <w:b/>
          <w:color w:val="auto"/>
          <w:sz w:val="24"/>
          <w:szCs w:val="24"/>
          <w:highlight w:val="none"/>
          <w:lang w:val="en-US" w:eastAsia="zh-CN"/>
        </w:rPr>
        <w:t>1.98</w:t>
      </w:r>
      <w:r>
        <w:rPr>
          <w:rFonts w:ascii="Times New Roman" w:hAnsi="Times New Roman" w:eastAsia="宋体" w:cs="Times New Roman"/>
          <w:b/>
          <w:color w:val="auto"/>
          <w:sz w:val="24"/>
          <w:szCs w:val="24"/>
          <w:highlight w:val="none"/>
        </w:rPr>
        <w:t>hm</w:t>
      </w:r>
      <w:r>
        <w:rPr>
          <w:rFonts w:ascii="Times New Roman" w:hAnsi="Times New Roman" w:eastAsia="宋体" w:cs="Times New Roman"/>
          <w:b/>
          <w:color w:val="auto"/>
          <w:sz w:val="24"/>
          <w:szCs w:val="24"/>
          <w:highlight w:val="none"/>
          <w:vertAlign w:val="superscript"/>
        </w:rPr>
        <w:t>2</w:t>
      </w:r>
      <w:r>
        <w:rPr>
          <w:rFonts w:ascii="Times New Roman" w:hAnsi="Times New Roman" w:eastAsia="宋体" w:cs="Times New Roman"/>
          <w:b/>
          <w:color w:val="auto"/>
          <w:sz w:val="24"/>
          <w:szCs w:val="24"/>
          <w:highlight w:val="none"/>
        </w:rPr>
        <w:t>）</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（1）表土剥离及养护工程</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矿山露天采场开采</w:t>
      </w:r>
      <w:r>
        <w:rPr>
          <w:rFonts w:hint="eastAsia" w:ascii="仿宋" w:hAnsi="仿宋" w:eastAsia="仿宋" w:cs="仿宋"/>
          <w:color w:val="auto"/>
          <w:sz w:val="28"/>
          <w:szCs w:val="28"/>
          <w:highlight w:val="none"/>
          <w:lang w:val="en-US" w:eastAsia="zh-CN"/>
        </w:rPr>
        <w:t>预计</w:t>
      </w:r>
      <w:r>
        <w:rPr>
          <w:rFonts w:hint="eastAsia" w:ascii="仿宋" w:hAnsi="仿宋" w:eastAsia="仿宋" w:cs="仿宋"/>
          <w:color w:val="auto"/>
          <w:sz w:val="28"/>
          <w:szCs w:val="28"/>
          <w:highlight w:val="none"/>
        </w:rPr>
        <w:t>可剥离区域占地类型为乔木林地，剥离厚度为</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cm，表土剥离面积为</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hm²，剥离量为</w:t>
      </w:r>
      <w:r>
        <w:rPr>
          <w:rFonts w:hint="eastAsia" w:ascii="仿宋" w:hAnsi="仿宋" w:eastAsia="仿宋" w:cs="仿宋"/>
          <w:color w:val="auto"/>
          <w:sz w:val="28"/>
          <w:szCs w:val="28"/>
          <w:highlight w:val="none"/>
          <w:lang w:val="en-US" w:eastAsia="zh-CN"/>
        </w:rPr>
        <w:t>5940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。剥离表土</w:t>
      </w:r>
      <w:r>
        <w:rPr>
          <w:rFonts w:hint="eastAsia" w:ascii="仿宋" w:hAnsi="仿宋" w:eastAsia="仿宋" w:cs="仿宋"/>
          <w:color w:val="auto"/>
          <w:sz w:val="28"/>
          <w:szCs w:val="28"/>
          <w:highlight w:val="none"/>
          <w:lang w:val="en-US" w:eastAsia="zh-CN"/>
        </w:rPr>
        <w:t>在拟设采矿权东部</w:t>
      </w:r>
      <w:r>
        <w:rPr>
          <w:rFonts w:hint="eastAsia" w:ascii="仿宋" w:hAnsi="仿宋" w:eastAsia="仿宋" w:cs="仿宋"/>
          <w:color w:val="auto"/>
          <w:sz w:val="28"/>
          <w:szCs w:val="28"/>
          <w:highlight w:val="none"/>
        </w:rPr>
        <w:t>平整处堆放。</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堆放过程中，表土堆放高度一般不超过3m，堆土边坡角不超过50°。此外，须压实土壤以防止降雨的入侵。要求在土堆上播种深根植物或铺上草皮，保持土堆最深处的氧气供给。堆放表土应由里向外进行，后退行驶并将表土倾倒于距入口最远的地方，禁止机械穿越已堆积的土壤。另外，还需要进行施肥，以促进植物在贫瘠亚层土或成土材料上的生长，并使用化学除草剂控制杂草。一旦堆成土堆，任何机械不得从上穿行，直到土壤复原为止。堆土时应边堆放边加固土堆边缘，修整土堆坡面，提高防渗防风能力，必要时采用土挡装满表土堆放于表土堆场周围，防止表土流失。表土堆放完成后，在土堆表面种植绿肥来培肥土壤，可适量施肥，注意防治病虫害。在土堆上坡面处开挖截流沟，在堆放场内做好截排水设施，防止雨水对堆土场下方的土壤造成水力侵蚀。为防止临时堆放过程中产生扬尘以及降雨对松散的堆积体表面造成的冲刷，对堆积体表面采取薄膜覆盖、选取撒播草籽绿化的防护措施。薄膜覆盖面积</w:t>
      </w:r>
      <w:r>
        <w:rPr>
          <w:rFonts w:hint="eastAsia" w:ascii="仿宋" w:hAnsi="仿宋" w:eastAsia="仿宋" w:cs="仿宋"/>
          <w:color w:val="auto"/>
          <w:sz w:val="28"/>
          <w:szCs w:val="28"/>
          <w:highlight w:val="none"/>
          <w:lang w:val="en-US" w:eastAsia="zh-CN"/>
        </w:rPr>
        <w:t>0.05</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三年</w:t>
      </w:r>
      <w:r>
        <w:rPr>
          <w:rFonts w:hint="eastAsia" w:ascii="仿宋" w:hAnsi="仿宋" w:eastAsia="仿宋" w:cs="仿宋"/>
          <w:color w:val="auto"/>
          <w:sz w:val="28"/>
          <w:szCs w:val="28"/>
          <w:highlight w:val="none"/>
        </w:rPr>
        <w:t>草籽绿化面积</w:t>
      </w:r>
      <w:r>
        <w:rPr>
          <w:rFonts w:hint="eastAsia" w:ascii="仿宋" w:hAnsi="仿宋" w:eastAsia="仿宋" w:cs="仿宋"/>
          <w:color w:val="auto"/>
          <w:sz w:val="28"/>
          <w:szCs w:val="28"/>
          <w:highlight w:val="none"/>
          <w:lang w:val="en-US" w:eastAsia="zh-CN"/>
        </w:rPr>
        <w:t>共计</w:t>
      </w:r>
      <w:r>
        <w:rPr>
          <w:rFonts w:hint="eastAsia" w:ascii="仿宋" w:hAnsi="仿宋" w:eastAsia="仿宋" w:cs="仿宋"/>
          <w:color w:val="auto"/>
          <w:sz w:val="28"/>
          <w:szCs w:val="28"/>
          <w:highlight w:val="none"/>
        </w:rPr>
        <w:t>0.</w:t>
      </w:r>
      <w:r>
        <w:rPr>
          <w:rFonts w:hint="eastAsia" w:ascii="仿宋" w:hAnsi="仿宋" w:eastAsia="仿宋" w:cs="仿宋"/>
          <w:color w:val="auto"/>
          <w:sz w:val="28"/>
          <w:szCs w:val="28"/>
          <w:highlight w:val="none"/>
          <w:lang w:val="en-US" w:eastAsia="zh-CN"/>
        </w:rPr>
        <w:t>91</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。矿山服务年限为</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年，故表土养护期按</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年计算。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（2）平整工程</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复垦单元需要对场地进行平整。具体做法是用机械和人工辅助相结</w:t>
      </w:r>
      <w:r>
        <w:rPr>
          <w:rFonts w:hint="eastAsia" w:ascii="仿宋" w:hAnsi="仿宋" w:eastAsia="仿宋" w:cs="仿宋"/>
          <w:color w:val="auto"/>
          <w:sz w:val="28"/>
          <w:szCs w:val="28"/>
          <w:highlight w:val="none"/>
          <w:lang w:eastAsia="zh-CN"/>
        </w:rPr>
        <w:t>合的</w:t>
      </w:r>
      <w:r>
        <w:rPr>
          <w:rFonts w:hint="eastAsia" w:ascii="仿宋" w:hAnsi="仿宋" w:eastAsia="仿宋" w:cs="仿宋"/>
          <w:color w:val="auto"/>
          <w:sz w:val="28"/>
          <w:szCs w:val="28"/>
          <w:highlight w:val="none"/>
        </w:rPr>
        <w:t>施工方法，对局部需要平整的地方，采取铲除高出部分，填平低洼部分，局部高差应小于0.1m。对局部土层回填较多的地方，进行适当碾压，以确保土层沉降后不形成土坑。土地平整厚度30cm，平整面积为</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（3）覆土工程</w:t>
      </w:r>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覆土工程按照复垦标准，覆土来源是矿区先期剥离堆存的土壤，从堆存处采用自卸汽车输至复垦区域。项目区复垦方向是乔木林地，面积</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。乔木林地复垦标准为覆土后有效土层厚度达30cm，在覆土的同时应注意预留出排灌沟渠的工作面，以便于地表水排出。最后进行人工精细平整。设计案覆土方量约为</w:t>
      </w:r>
      <w:r>
        <w:rPr>
          <w:rFonts w:hint="eastAsia" w:ascii="仿宋" w:hAnsi="仿宋" w:eastAsia="仿宋" w:cs="仿宋"/>
          <w:color w:val="auto"/>
          <w:sz w:val="28"/>
          <w:szCs w:val="28"/>
          <w:highlight w:val="none"/>
          <w:lang w:val="en-US" w:eastAsia="zh-CN"/>
        </w:rPr>
        <w:t>5940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（3）植被重建工程</w:t>
      </w:r>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复垦为乔木林地的区域，进行整平、覆土工程后，再进行穴状整地，</w:t>
      </w:r>
      <w:r>
        <w:rPr>
          <w:rFonts w:hint="eastAsia" w:ascii="仿宋" w:hAnsi="仿宋" w:eastAsia="仿宋" w:cs="仿宋"/>
          <w:color w:val="auto"/>
          <w:sz w:val="28"/>
          <w:szCs w:val="28"/>
          <w:highlight w:val="none"/>
          <w:lang w:val="en-US" w:eastAsia="zh-CN"/>
        </w:rPr>
        <w:t>椿树与柏木混种，混种比例为1：1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种植2年生树苗</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rPr>
        <w:t>整地方式：春、夏、秋季均可进行穴状整地，规格为长40cm，宽40cm，深40cm，株行距为2.0m×</w:t>
      </w:r>
      <w:r>
        <w:rPr>
          <w:rFonts w:hint="eastAsia" w:ascii="仿宋" w:hAnsi="仿宋" w:eastAsia="仿宋" w:cs="仿宋"/>
          <w:color w:val="auto"/>
          <w:sz w:val="28"/>
          <w:szCs w:val="28"/>
          <w:highlight w:val="none"/>
          <w:lang w:val="en-US" w:eastAsia="zh-CN"/>
        </w:rPr>
        <w:t>4.0</w:t>
      </w:r>
      <w:r>
        <w:rPr>
          <w:rFonts w:hint="eastAsia" w:ascii="仿宋" w:hAnsi="仿宋" w:eastAsia="仿宋" w:cs="仿宋"/>
          <w:color w:val="auto"/>
          <w:sz w:val="28"/>
          <w:szCs w:val="28"/>
          <w:highlight w:val="none"/>
        </w:rPr>
        <w:t>m，需要进行植树的面积和撒播草籽的面积为</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，累计需种植</w:t>
      </w:r>
      <w:r>
        <w:rPr>
          <w:rFonts w:hint="eastAsia" w:ascii="仿宋" w:hAnsi="仿宋" w:eastAsia="仿宋" w:cs="仿宋"/>
          <w:color w:val="auto"/>
          <w:sz w:val="28"/>
          <w:szCs w:val="28"/>
          <w:highlight w:val="none"/>
          <w:lang w:val="en-US" w:eastAsia="zh-CN"/>
        </w:rPr>
        <w:t>树木2476</w:t>
      </w:r>
      <w:r>
        <w:rPr>
          <w:rFonts w:hint="eastAsia" w:ascii="仿宋" w:hAnsi="仿宋" w:eastAsia="仿宋" w:cs="仿宋"/>
          <w:color w:val="auto"/>
          <w:sz w:val="28"/>
          <w:szCs w:val="28"/>
          <w:highlight w:val="none"/>
        </w:rPr>
        <w:t>株。</w:t>
      </w:r>
    </w:p>
    <w:p>
      <w:pPr>
        <w:pStyle w:val="14"/>
        <w:spacing w:line="360" w:lineRule="auto"/>
        <w:ind w:firstLine="567"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春季3-4月中旬人工植苗造林。人工植苗造林，每穴栽植1株，苗木直立穴中，分层覆土、踏实，埋土至地径以上2cm，栽后浇水。</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栽植完毕后，林间撒播狗牙根草籽，以保持水土，撒播密度按照</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0kg/hm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，本区撒播草籽面积为</w:t>
      </w:r>
      <w:r>
        <w:rPr>
          <w:rFonts w:hint="eastAsia" w:ascii="仿宋" w:hAnsi="仿宋" w:eastAsia="仿宋" w:cs="仿宋"/>
          <w:color w:val="auto"/>
          <w:sz w:val="28"/>
          <w:szCs w:val="28"/>
          <w:highlight w:val="none"/>
          <w:lang w:val="en-US" w:eastAsia="zh-CN"/>
        </w:rPr>
        <w:t>1.98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pPr>
        <w:autoSpaceDE w:val="0"/>
        <w:autoSpaceDN w:val="0"/>
        <w:adjustRightInd w:val="0"/>
        <w:spacing w:line="360" w:lineRule="auto"/>
        <w:ind w:firstLine="562" w:firstLineChars="200"/>
        <w:rPr>
          <w:rFonts w:hint="eastAsia" w:ascii="仿宋" w:hAnsi="仿宋" w:eastAsia="仿宋" w:cs="仿宋"/>
          <w:b/>
          <w:color w:val="auto"/>
          <w:kern w:val="0"/>
          <w:sz w:val="28"/>
          <w:szCs w:val="28"/>
          <w:highlight w:val="none"/>
        </w:rPr>
      </w:pP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t>）复垦草地复垦单元（露天采场终采边坡区面积</w:t>
      </w:r>
      <w:r>
        <w:rPr>
          <w:rFonts w:hint="eastAsia" w:ascii="仿宋" w:hAnsi="仿宋" w:eastAsia="仿宋" w:cs="仿宋"/>
          <w:b/>
          <w:color w:val="auto"/>
          <w:kern w:val="0"/>
          <w:sz w:val="28"/>
          <w:szCs w:val="28"/>
          <w:highlight w:val="none"/>
          <w:lang w:val="en-US" w:eastAsia="zh-CN"/>
        </w:rPr>
        <w:t>1.91</w:t>
      </w:r>
      <w:r>
        <w:rPr>
          <w:rFonts w:hint="eastAsia" w:ascii="仿宋" w:hAnsi="仿宋" w:eastAsia="仿宋" w:cs="仿宋"/>
          <w:b/>
          <w:color w:val="auto"/>
          <w:sz w:val="28"/>
          <w:szCs w:val="28"/>
          <w:highlight w:val="none"/>
        </w:rPr>
        <w:t>hm</w:t>
      </w:r>
      <w:r>
        <w:rPr>
          <w:rFonts w:hint="eastAsia" w:ascii="仿宋" w:hAnsi="仿宋" w:eastAsia="仿宋" w:cs="仿宋"/>
          <w:b/>
          <w:color w:val="auto"/>
          <w:sz w:val="28"/>
          <w:szCs w:val="28"/>
          <w:highlight w:val="none"/>
          <w:vertAlign w:val="superscript"/>
        </w:rPr>
        <w:t>2</w:t>
      </w:r>
      <w:r>
        <w:rPr>
          <w:rFonts w:hint="eastAsia" w:ascii="仿宋" w:hAnsi="仿宋" w:eastAsia="仿宋" w:cs="仿宋"/>
          <w:b/>
          <w:color w:val="auto"/>
          <w:sz w:val="28"/>
          <w:szCs w:val="28"/>
          <w:highlight w:val="none"/>
        </w:rPr>
        <w:t>）</w:t>
      </w:r>
    </w:p>
    <w:p>
      <w:pPr>
        <w:autoSpaceDE w:val="0"/>
        <w:autoSpaceDN w:val="0"/>
        <w:adjustRightInd w:val="0"/>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针对矿山</w:t>
      </w:r>
      <w:r>
        <w:rPr>
          <w:rFonts w:hint="eastAsia" w:ascii="仿宋" w:hAnsi="仿宋" w:eastAsia="仿宋" w:cs="仿宋"/>
          <w:color w:val="auto"/>
          <w:kern w:val="0"/>
          <w:sz w:val="28"/>
          <w:szCs w:val="28"/>
          <w:highlight w:val="none"/>
          <w:lang w:eastAsia="zh-CN"/>
        </w:rPr>
        <w:t>开采</w:t>
      </w:r>
      <w:r>
        <w:rPr>
          <w:rFonts w:hint="eastAsia" w:ascii="仿宋" w:hAnsi="仿宋" w:eastAsia="仿宋" w:cs="仿宋"/>
          <w:color w:val="auto"/>
          <w:kern w:val="0"/>
          <w:sz w:val="28"/>
          <w:szCs w:val="28"/>
          <w:highlight w:val="none"/>
        </w:rPr>
        <w:t>边坡区实际特点，本次设计的复垦工程措施有：</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（1）边坡修整</w:t>
      </w:r>
    </w:p>
    <w:p>
      <w:pPr>
        <w:tabs>
          <w:tab w:val="left" w:pos="3030"/>
        </w:tabs>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设计采用人工清理坡面松动浮石</w:t>
      </w:r>
      <w:r>
        <w:rPr>
          <w:rFonts w:hint="eastAsia" w:ascii="仿宋" w:hAnsi="仿宋" w:eastAsia="仿宋" w:cs="仿宋"/>
          <w:color w:val="auto"/>
          <w:sz w:val="28"/>
          <w:szCs w:val="28"/>
          <w:highlight w:val="none"/>
          <w:lang w:eastAsia="zh-CN"/>
        </w:rPr>
        <w:t>及其他</w:t>
      </w:r>
      <w:r>
        <w:rPr>
          <w:rFonts w:hint="eastAsia" w:ascii="仿宋" w:hAnsi="仿宋" w:eastAsia="仿宋" w:cs="仿宋"/>
          <w:color w:val="auto"/>
          <w:sz w:val="28"/>
          <w:szCs w:val="28"/>
          <w:highlight w:val="none"/>
        </w:rPr>
        <w:t>危险掉块区域，清理的土石方运至矿山采空区回填。</w:t>
      </w:r>
    </w:p>
    <w:p>
      <w:pPr>
        <w:autoSpaceDE w:val="0"/>
        <w:autoSpaceDN w:val="0"/>
        <w:adjustRightInd w:val="0"/>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）播撒草籽</w:t>
      </w:r>
    </w:p>
    <w:p>
      <w:pPr>
        <w:pStyle w:val="14"/>
        <w:spacing w:line="360" w:lineRule="auto"/>
        <w:ind w:firstLine="567" w:firstLineChars="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在终采边坡区坡面无法进行覆土，边坡为页岩，设计对该区域播撒草籽，撒播密度按照</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0kg/hm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，播撒面积为</w:t>
      </w:r>
      <w:r>
        <w:rPr>
          <w:rFonts w:hint="eastAsia" w:ascii="仿宋" w:hAnsi="仿宋" w:eastAsia="仿宋" w:cs="仿宋"/>
          <w:bCs/>
          <w:color w:val="auto"/>
          <w:kern w:val="0"/>
          <w:sz w:val="28"/>
          <w:szCs w:val="28"/>
          <w:highlight w:val="none"/>
          <w:lang w:val="en-US" w:eastAsia="zh-CN"/>
        </w:rPr>
        <w:t>1.91</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总计：152.8kg。</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）在边坡坡脚处种植葛藤</w:t>
      </w:r>
    </w:p>
    <w:p>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工程整地：块状整地，穴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规格：40cm×40cm×40cm，每穴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植苗1株。</w:t>
      </w:r>
    </w:p>
    <w:p>
      <w:pPr>
        <w:pStyle w:val="14"/>
        <w:spacing w:line="360" w:lineRule="auto"/>
        <w:ind w:firstLine="567" w:firstLineChars="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造林要求：为木质化枝条进行扦插种植，规格30cm/株，种植密度为1m。终采边坡需</w:t>
      </w:r>
      <w:r>
        <w:rPr>
          <w:rFonts w:hint="eastAsia" w:ascii="仿宋" w:hAnsi="仿宋" w:eastAsia="仿宋" w:cs="仿宋"/>
          <w:color w:val="auto"/>
          <w:sz w:val="28"/>
          <w:szCs w:val="28"/>
          <w:highlight w:val="none"/>
          <w:lang w:val="en-US" w:eastAsia="zh-CN"/>
        </w:rPr>
        <w:t>上下</w:t>
      </w:r>
      <w:r>
        <w:rPr>
          <w:rFonts w:hint="eastAsia" w:ascii="仿宋" w:hAnsi="仿宋" w:eastAsia="仿宋" w:cs="仿宋"/>
          <w:color w:val="auto"/>
          <w:sz w:val="28"/>
          <w:szCs w:val="28"/>
          <w:highlight w:val="none"/>
        </w:rPr>
        <w:t>种植葛藤，</w:t>
      </w:r>
      <w:r>
        <w:rPr>
          <w:rFonts w:hint="eastAsia" w:ascii="仿宋" w:hAnsi="仿宋" w:eastAsia="仿宋" w:cs="仿宋"/>
          <w:color w:val="auto"/>
          <w:sz w:val="28"/>
          <w:szCs w:val="28"/>
          <w:highlight w:val="none"/>
          <w:lang w:val="en-US" w:eastAsia="zh-CN"/>
        </w:rPr>
        <w:t>边坡</w:t>
      </w:r>
      <w:r>
        <w:rPr>
          <w:rFonts w:hint="eastAsia" w:ascii="仿宋" w:hAnsi="仿宋" w:eastAsia="仿宋" w:cs="仿宋"/>
          <w:color w:val="auto"/>
          <w:sz w:val="28"/>
          <w:szCs w:val="28"/>
          <w:highlight w:val="none"/>
        </w:rPr>
        <w:t>长度约</w:t>
      </w:r>
      <w:r>
        <w:rPr>
          <w:rFonts w:hint="eastAsia" w:ascii="仿宋" w:hAnsi="仿宋" w:eastAsia="仿宋" w:cs="仿宋"/>
          <w:color w:val="auto"/>
          <w:sz w:val="28"/>
          <w:szCs w:val="28"/>
          <w:lang w:val="en-US" w:eastAsia="zh-CN"/>
        </w:rPr>
        <w:t>2300</w:t>
      </w:r>
      <w:r>
        <w:rPr>
          <w:rFonts w:hint="eastAsia" w:ascii="仿宋" w:hAnsi="仿宋" w:eastAsia="仿宋" w:cs="仿宋"/>
          <w:color w:val="auto"/>
          <w:sz w:val="28"/>
          <w:szCs w:val="28"/>
          <w:highlight w:val="none"/>
        </w:rPr>
        <w:t>m，共需葛藤</w:t>
      </w:r>
      <w:r>
        <w:rPr>
          <w:rFonts w:hint="eastAsia" w:ascii="仿宋" w:hAnsi="仿宋" w:eastAsia="仿宋" w:cs="仿宋"/>
          <w:color w:val="auto"/>
          <w:sz w:val="28"/>
          <w:szCs w:val="28"/>
          <w:highlight w:val="none"/>
          <w:lang w:val="en-US" w:eastAsia="zh-CN"/>
        </w:rPr>
        <w:t>2300</w:t>
      </w:r>
      <w:r>
        <w:rPr>
          <w:rFonts w:hint="eastAsia" w:ascii="仿宋" w:hAnsi="仿宋" w:eastAsia="仿宋" w:cs="仿宋"/>
          <w:color w:val="auto"/>
          <w:sz w:val="28"/>
          <w:szCs w:val="28"/>
          <w:highlight w:val="none"/>
        </w:rPr>
        <w:t>株。边坡底部铺设土工格栅，高两米，埋入地下20cm</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共设计土工格栅2300m</w:t>
      </w:r>
      <w:r>
        <w:rPr>
          <w:rFonts w:hint="eastAsia" w:ascii="仿宋" w:hAnsi="仿宋" w:eastAsia="仿宋" w:cs="仿宋"/>
          <w:color w:val="auto"/>
          <w:sz w:val="28"/>
          <w:szCs w:val="28"/>
          <w:highlight w:val="none"/>
          <w:vertAlign w:val="superscript"/>
          <w:lang w:val="en-US" w:eastAsia="zh-CN"/>
        </w:rPr>
        <w:t>2</w:t>
      </w:r>
    </w:p>
    <w:p>
      <w:pPr>
        <w:pStyle w:val="14"/>
        <w:numPr>
          <w:ilvl w:val="0"/>
          <w:numId w:val="5"/>
        </w:numPr>
        <w:spacing w:line="360" w:lineRule="auto"/>
        <w:ind w:left="273" w:leftChars="0" w:firstLine="567" w:firstLineChars="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配套工程</w:t>
      </w:r>
    </w:p>
    <w:p>
      <w:pPr>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（1）喷灌工程</w:t>
      </w:r>
    </w:p>
    <w:p>
      <w:pPr>
        <w:ind w:firstLine="48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可利用矿山</w:t>
      </w:r>
      <w:r>
        <w:rPr>
          <w:rFonts w:hint="eastAsia" w:ascii="仿宋" w:hAnsi="仿宋" w:eastAsia="仿宋" w:cs="仿宋"/>
          <w:color w:val="auto"/>
          <w:sz w:val="28"/>
          <w:szCs w:val="28"/>
          <w:lang w:val="en-US" w:eastAsia="zh-CN"/>
        </w:rPr>
        <w:t>开发利用方案设计中已对矿山进行了排水沟设计，此处不再设计。</w:t>
      </w:r>
    </w:p>
    <w:p>
      <w:pPr>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（2）水工建筑物</w:t>
      </w:r>
    </w:p>
    <w:p>
      <w:pPr>
        <w:pStyle w:val="14"/>
        <w:numPr>
          <w:ilvl w:val="0"/>
          <w:numId w:val="0"/>
        </w:num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rPr>
        <w:t>可利用矿山设计生产系统的供水管路进行灌溉，此处不再设计</w:t>
      </w:r>
      <w:r>
        <w:rPr>
          <w:rFonts w:hint="eastAsia" w:ascii="仿宋" w:hAnsi="仿宋" w:eastAsia="仿宋" w:cs="仿宋"/>
          <w:color w:val="auto"/>
          <w:sz w:val="28"/>
          <w:szCs w:val="28"/>
          <w:highlight w:val="none"/>
          <w:lang w:val="en-US" w:eastAsia="zh-CN"/>
        </w:rPr>
        <w:t>。</w:t>
      </w:r>
    </w:p>
    <w:p>
      <w:pPr>
        <w:pStyle w:val="5"/>
        <w:rPr>
          <w:rFonts w:ascii="Times New Roman" w:hAnsi="Times New Roman" w:eastAsia="宋体" w:cs="Times New Roman"/>
          <w:color w:val="auto"/>
          <w:sz w:val="28"/>
          <w:szCs w:val="28"/>
          <w:highlight w:val="none"/>
        </w:rPr>
      </w:pPr>
      <w:bookmarkStart w:id="136" w:name="_Toc9792"/>
      <w:r>
        <w:rPr>
          <w:rFonts w:ascii="Times New Roman" w:hAnsi="Times New Roman" w:eastAsia="宋体" w:cs="Times New Roman"/>
          <w:color w:val="auto"/>
          <w:sz w:val="28"/>
          <w:szCs w:val="28"/>
          <w:highlight w:val="none"/>
        </w:rPr>
        <w:t>（三）技术措施</w:t>
      </w:r>
      <w:bookmarkEnd w:id="136"/>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是贯穿于采矿全过程的防、治结合，工程措施与生物措施相辅相成的土地退化防治与土地再利用工程。项目本着“统一规划、源头控制、防治结合”的原则，对矿山开采过程中可能产生的不利于复垦的危害因素采取适当的控制措施，进行提前预防，尽可能使土地资源破坏面积和破坏程度控制在最小范围和最低限度。</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1、工程技术措施</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复垦技术是指在工程复垦中，按照所在地区自然环境条件和复垦利用方向要求，对受影响的土地采取回填、堆砌、平整等各种手段，并结合一定的防洪防涝等措施进行处理。项目区土地复垦要采取的工程措施有拆除工程、平整工程、覆土工程、地力培肥、植被恢复工程等。本矿山复垦对象是露天采场（终采平台区）、露天采场（终采边坡区）。</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1）拆除工程</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业广场等区域的砖房、板房、生产线机械设备等需进行拆除，拆除容易，工程量较大。待矿山采矿活动结束后，应及时拆除板房、机械设备，清除建筑垃圾，覆盖表土。拆除流程按照农村建设用地复垦方案中的拆除工程设计。拆除工程主要包括场地内的砖房、板房、生产线机械设备和少量混凝土块体的拆除，</w:t>
      </w:r>
      <w:r>
        <w:rPr>
          <w:rFonts w:hint="eastAsia" w:ascii="仿宋" w:hAnsi="仿宋" w:eastAsia="仿宋" w:cs="仿宋"/>
          <w:color w:val="auto"/>
          <w:sz w:val="28"/>
          <w:szCs w:val="28"/>
          <w:highlight w:val="none"/>
          <w:lang w:val="en-US" w:eastAsia="zh-CN"/>
        </w:rPr>
        <w:t>因拆除建渣有回收价值，复垦施工时撤除的建筑垃圾，由矿山企业自行进行回收</w:t>
      </w:r>
      <w:r>
        <w:rPr>
          <w:rFonts w:hint="eastAsia" w:ascii="仿宋" w:hAnsi="仿宋" w:eastAsia="仿宋" w:cs="仿宋"/>
          <w:color w:val="auto"/>
          <w:sz w:val="28"/>
          <w:szCs w:val="28"/>
          <w:highlight w:val="none"/>
        </w:rPr>
        <w:t>。</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土地平整措施</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根据土地复垦标准，复垦为耕地的损坏土地平整后，地面坡度不超过5°；复垦林地的损坏土地平整后，区域平整度控制在±10cm。对局部土层回填较多的地方，进行适当碾压，以确保土层沉降后不形成土坑。</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3）表土剥覆工程</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①表土剥离：在土地复垦中对表土进行剥离是十分关键的一点。按照《土地复垦条例》，土地复垦义务人应当首先对拟损毁的</w:t>
      </w:r>
      <w:r>
        <w:rPr>
          <w:rFonts w:hint="eastAsia" w:ascii="仿宋" w:hAnsi="仿宋" w:eastAsia="仿宋" w:cs="仿宋"/>
          <w:color w:val="auto"/>
          <w:sz w:val="28"/>
          <w:szCs w:val="28"/>
          <w:highlight w:val="none"/>
          <w:lang w:val="en-US" w:eastAsia="zh-CN"/>
        </w:rPr>
        <w:t>旱地、</w:t>
      </w:r>
      <w:r>
        <w:rPr>
          <w:rFonts w:hint="eastAsia" w:ascii="仿宋" w:hAnsi="仿宋" w:eastAsia="仿宋" w:cs="仿宋"/>
          <w:color w:val="auto"/>
          <w:sz w:val="28"/>
          <w:szCs w:val="28"/>
          <w:highlight w:val="none"/>
        </w:rPr>
        <w:t>林地进行表土剥离，剥离的土壤用于被损毁的土地复垦。因此，在破坏土地前，须进行表土剥离工程，表土用于待复垦的覆土。经现场调查，矿山在进行开采活动期间，</w:t>
      </w:r>
      <w:r>
        <w:rPr>
          <w:rFonts w:hint="eastAsia" w:ascii="仿宋" w:hAnsi="仿宋" w:eastAsia="仿宋" w:cs="仿宋"/>
          <w:color w:val="auto"/>
          <w:sz w:val="28"/>
          <w:szCs w:val="28"/>
          <w:highlight w:val="none"/>
          <w:lang w:val="en-US" w:eastAsia="zh-CN"/>
        </w:rPr>
        <w:t>足够</w:t>
      </w:r>
      <w:r>
        <w:rPr>
          <w:rFonts w:hint="eastAsia" w:ascii="仿宋" w:hAnsi="仿宋" w:eastAsia="仿宋" w:cs="仿宋"/>
          <w:color w:val="auto"/>
          <w:sz w:val="28"/>
          <w:szCs w:val="28"/>
          <w:highlight w:val="none"/>
        </w:rPr>
        <w:t>满足矿山土地复垦工作，</w:t>
      </w:r>
      <w:r>
        <w:rPr>
          <w:rFonts w:hint="eastAsia" w:ascii="仿宋" w:hAnsi="仿宋" w:eastAsia="仿宋" w:cs="仿宋"/>
          <w:color w:val="auto"/>
          <w:sz w:val="28"/>
          <w:szCs w:val="28"/>
          <w:highlight w:val="none"/>
          <w:lang w:val="en-US" w:eastAsia="zh-CN"/>
        </w:rPr>
        <w:t>不</w:t>
      </w:r>
      <w:r>
        <w:rPr>
          <w:rFonts w:hint="eastAsia" w:ascii="仿宋" w:hAnsi="仿宋" w:eastAsia="仿宋" w:cs="仿宋"/>
          <w:color w:val="auto"/>
          <w:sz w:val="28"/>
          <w:szCs w:val="28"/>
          <w:highlight w:val="none"/>
        </w:rPr>
        <w:t>需进行外购表土。</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②表土堆放：由于矿山属于</w:t>
      </w:r>
      <w:r>
        <w:rPr>
          <w:rFonts w:hint="eastAsia" w:ascii="仿宋" w:hAnsi="仿宋" w:eastAsia="仿宋" w:cs="仿宋"/>
          <w:color w:val="auto"/>
          <w:sz w:val="28"/>
          <w:szCs w:val="28"/>
          <w:highlight w:val="none"/>
          <w:lang w:val="en-US" w:eastAsia="zh-CN"/>
        </w:rPr>
        <w:t>新建</w:t>
      </w:r>
      <w:r>
        <w:rPr>
          <w:rFonts w:hint="eastAsia" w:ascii="仿宋" w:hAnsi="仿宋" w:eastAsia="仿宋" w:cs="仿宋"/>
          <w:color w:val="auto"/>
          <w:sz w:val="28"/>
          <w:szCs w:val="28"/>
          <w:highlight w:val="none"/>
        </w:rPr>
        <w:t>矿山，根据</w:t>
      </w:r>
      <w:r>
        <w:rPr>
          <w:rFonts w:hint="eastAsia" w:ascii="仿宋" w:hAnsi="仿宋" w:eastAsia="仿宋" w:cs="仿宋"/>
          <w:color w:val="auto"/>
          <w:sz w:val="28"/>
          <w:szCs w:val="28"/>
          <w:highlight w:val="none"/>
          <w:lang w:val="en-US" w:eastAsia="zh-CN"/>
        </w:rPr>
        <w:t>勘查报告，</w:t>
      </w:r>
      <w:r>
        <w:rPr>
          <w:rFonts w:hint="eastAsia" w:ascii="仿宋" w:hAnsi="仿宋" w:eastAsia="仿宋" w:cs="仿宋"/>
          <w:color w:val="auto"/>
          <w:sz w:val="28"/>
          <w:szCs w:val="28"/>
          <w:highlight w:val="none"/>
        </w:rPr>
        <w:t>矿山服务年限为</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年，矿山开采过程中剥离表土需集中存放最长时间为</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年，并且剥离工作是动态变化的，故表土堆放于平台上单独管理，</w:t>
      </w:r>
      <w:r>
        <w:rPr>
          <w:rFonts w:hint="eastAsia" w:ascii="仿宋" w:hAnsi="仿宋" w:eastAsia="仿宋" w:cs="仿宋"/>
          <w:color w:val="auto"/>
          <w:sz w:val="28"/>
          <w:szCs w:val="28"/>
          <w:highlight w:val="none"/>
          <w:lang w:eastAsia="zh-CN"/>
        </w:rPr>
        <w:t>既能</w:t>
      </w:r>
      <w:r>
        <w:rPr>
          <w:rFonts w:hint="eastAsia" w:ascii="仿宋" w:hAnsi="仿宋" w:eastAsia="仿宋" w:cs="仿宋"/>
          <w:color w:val="auto"/>
          <w:sz w:val="28"/>
          <w:szCs w:val="28"/>
          <w:highlight w:val="none"/>
        </w:rPr>
        <w:t>保证足够的场地面积又能方便动态堆放。在堆放过程中，表土堆放高度一般不超过3m，堆土边坡角不超过50°。此外，须压实土壤以防止降雨的入侵。要求在土堆上播种深根植物或铺上草皮，保持土堆最深处的氧气供给。堆放表土应由里向外进行，后退行驶并将表土倾倒于距入口最远的地方，禁止机械穿越已堆积的土壤。另外，还需要进行施肥，以促进植物在贫瘠亚层土或成土材料上的生长，并使用化学除草剂控制杂草。一旦堆成土堆，任何机械不得从上穿行，直到土壤复原为止。堆土时应边堆放边加固土堆边缘，修整土堆坡面，提高防渗防风能力，必要时采用土挡装满表土堆放于表土堆场周围，防止表土流失。表土堆放完成后，在土堆表面种植绿肥来培肥土壤，可适量施肥，注意防治病虫害。在土堆上坡面处开挖截流沟，在堆放场内做好截排水设施，防止雨水对堆土场下方的土壤造成水力侵蚀。为防止临时堆放过程中产生扬尘以及降雨对松散的堆积体表面造成的冲刷，对堆积体表面采取薄膜覆盖、选取撒播草籽绿化的防护措施。</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③表土覆盖：剥离的表土最好直接覆盖在待复垦的场地上。覆土厚度应该根据复垦土地的利用方向确定。覆土后需对场地进行平整，平整时尽可能选择压力较小的机械设备。覆土范围为复垦责任范围区域，覆土厚度按照乔木林地30cm进行覆土，经计算需覆土方量为</w:t>
      </w:r>
      <w:r>
        <w:rPr>
          <w:rFonts w:hint="eastAsia" w:ascii="仿宋" w:hAnsi="仿宋" w:eastAsia="仿宋" w:cs="仿宋"/>
          <w:color w:val="auto"/>
          <w:sz w:val="28"/>
          <w:szCs w:val="28"/>
          <w:highlight w:val="none"/>
          <w:lang w:val="en-US" w:eastAsia="zh-CN"/>
        </w:rPr>
        <w:t>5940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土地培肥</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复垦单元土源总量满足复垦工程的需要，但表土资源理化性状不好，化学养分含量较低，因此需对复垦区的土壤进行培肥。项目采取以下土壤改良培肥措施：</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增施有机肥料，提高土壤肥力：有机质是土壤肥力的重要影响因素，切实提高土壤有机质含量对复垦后土地快速恢复地力有非常重要的意义。在改良土壤过程中，有机肥料和无机肥料配合施用，以有机肥料为主。有机肥中总养分（N+P2O5+K2O）（以干基计）/（%）≥30），总养分（氮+五氧化二磷+氧化钾）含量（以干基计）/（%）≥4.0，水分（游离水）含量/（%）≤20，酸碱度pH值5.5～8.0。本项目</w:t>
      </w:r>
      <w:r>
        <w:rPr>
          <w:rFonts w:hint="eastAsia" w:ascii="仿宋" w:hAnsi="仿宋" w:eastAsia="仿宋" w:cs="仿宋"/>
          <w:color w:val="auto"/>
          <w:sz w:val="28"/>
          <w:szCs w:val="28"/>
          <w:highlight w:val="none"/>
          <w:lang w:val="en-US" w:eastAsia="zh-CN"/>
        </w:rPr>
        <w:t>设计按</w:t>
      </w:r>
      <w:r>
        <w:rPr>
          <w:rFonts w:hint="eastAsia" w:ascii="仿宋" w:hAnsi="仿宋" w:eastAsia="仿宋" w:cs="仿宋"/>
          <w:color w:val="auto"/>
          <w:sz w:val="28"/>
          <w:szCs w:val="28"/>
          <w:highlight w:val="none"/>
        </w:rPr>
        <w:t>照</w:t>
      </w:r>
      <w:r>
        <w:rPr>
          <w:rFonts w:hint="eastAsia" w:ascii="仿宋" w:hAnsi="仿宋" w:eastAsia="仿宋" w:cs="仿宋"/>
          <w:color w:val="FF0000"/>
          <w:sz w:val="28"/>
          <w:szCs w:val="28"/>
          <w:highlight w:val="none"/>
          <w:lang w:val="en-US" w:eastAsia="zh-CN"/>
        </w:rPr>
        <w:t>15t</w:t>
      </w:r>
      <w:r>
        <w:rPr>
          <w:rFonts w:hint="eastAsia" w:ascii="仿宋" w:hAnsi="仿宋" w:eastAsia="仿宋" w:cs="仿宋"/>
          <w:color w:val="FF0000"/>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增施有机肥对土地进行培肥。</w:t>
      </w:r>
      <w:r>
        <w:rPr>
          <w:rFonts w:hint="eastAsia" w:ascii="仿宋" w:hAnsi="仿宋" w:eastAsia="仿宋" w:cs="仿宋"/>
          <w:bCs w:val="0"/>
          <w:color w:val="auto"/>
          <w:kern w:val="0"/>
          <w:sz w:val="28"/>
          <w:szCs w:val="28"/>
          <w:highlight w:val="none"/>
        </w:rPr>
        <w:t>复垦区域共需要施肥面积</w:t>
      </w:r>
      <w:r>
        <w:rPr>
          <w:rFonts w:hint="eastAsia" w:ascii="仿宋" w:hAnsi="仿宋" w:eastAsia="仿宋" w:cs="仿宋"/>
          <w:color w:val="auto"/>
          <w:kern w:val="0"/>
          <w:sz w:val="28"/>
          <w:szCs w:val="28"/>
          <w:highlight w:val="none"/>
          <w:lang w:val="en-US" w:eastAsia="zh-CN"/>
        </w:rPr>
        <w:t>3.89</w:t>
      </w:r>
      <w:r>
        <w:rPr>
          <w:rFonts w:hint="eastAsia" w:ascii="仿宋" w:hAnsi="仿宋" w:eastAsia="仿宋" w:cs="仿宋"/>
          <w:bCs w:val="0"/>
          <w:color w:val="auto"/>
          <w:kern w:val="0"/>
          <w:sz w:val="28"/>
          <w:szCs w:val="28"/>
          <w:highlight w:val="none"/>
        </w:rPr>
        <w:t>hm</w:t>
      </w:r>
      <w:r>
        <w:rPr>
          <w:rFonts w:hint="eastAsia" w:ascii="仿宋" w:hAnsi="仿宋" w:eastAsia="仿宋" w:cs="仿宋"/>
          <w:bCs w:val="0"/>
          <w:color w:val="auto"/>
          <w:kern w:val="0"/>
          <w:sz w:val="28"/>
          <w:szCs w:val="28"/>
          <w:highlight w:val="none"/>
          <w:vertAlign w:val="superscript"/>
        </w:rPr>
        <w:t>2</w:t>
      </w:r>
      <w:r>
        <w:rPr>
          <w:rFonts w:hint="eastAsia" w:ascii="仿宋" w:hAnsi="仿宋" w:eastAsia="仿宋" w:cs="仿宋"/>
          <w:bCs w:val="0"/>
          <w:color w:val="auto"/>
          <w:kern w:val="0"/>
          <w:sz w:val="28"/>
          <w:szCs w:val="28"/>
          <w:highlight w:val="none"/>
          <w:vertAlign w:val="superscript"/>
          <w:lang w:eastAsia="zh-CN"/>
        </w:rPr>
        <w:t>，</w:t>
      </w:r>
      <w:r>
        <w:rPr>
          <w:rFonts w:hint="eastAsia" w:ascii="仿宋" w:hAnsi="仿宋" w:eastAsia="仿宋" w:cs="仿宋"/>
          <w:bCs w:val="0"/>
          <w:color w:val="auto"/>
          <w:kern w:val="0"/>
          <w:sz w:val="28"/>
          <w:szCs w:val="28"/>
          <w:highlight w:val="none"/>
          <w:lang w:val="en-US" w:eastAsia="zh-CN"/>
        </w:rPr>
        <w:t>复合肥合计：7.78t，有机肥合计：0.98t</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4）植被重构工程</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在终采平台区等区域进行植被恢复。设计在边坡底部栽植藤蔓植物葛藤，边坡上散播草籽。项目区需要</w:t>
      </w:r>
      <w:r>
        <w:rPr>
          <w:rFonts w:hint="eastAsia" w:ascii="仿宋" w:hAnsi="仿宋" w:eastAsia="仿宋" w:cs="仿宋"/>
          <w:color w:val="auto"/>
          <w:sz w:val="28"/>
          <w:szCs w:val="28"/>
          <w:highlight w:val="none"/>
          <w:lang w:val="en-US" w:eastAsia="zh-CN"/>
        </w:rPr>
        <w:t>椿</w:t>
      </w:r>
      <w:r>
        <w:rPr>
          <w:rFonts w:hint="eastAsia" w:ascii="仿宋" w:hAnsi="仿宋" w:eastAsia="仿宋" w:cs="仿宋"/>
          <w:color w:val="auto"/>
          <w:sz w:val="28"/>
          <w:szCs w:val="28"/>
          <w:highlight w:val="none"/>
        </w:rPr>
        <w:t>树苗</w:t>
      </w:r>
      <w:r>
        <w:rPr>
          <w:rFonts w:hint="eastAsia" w:ascii="仿宋" w:hAnsi="仿宋" w:eastAsia="仿宋" w:cs="仿宋"/>
          <w:color w:val="auto"/>
          <w:sz w:val="28"/>
          <w:szCs w:val="28"/>
          <w:highlight w:val="none"/>
          <w:lang w:val="en-US" w:eastAsia="zh-CN"/>
        </w:rPr>
        <w:t>1238</w:t>
      </w:r>
      <w:r>
        <w:rPr>
          <w:rFonts w:hint="eastAsia" w:ascii="仿宋" w:hAnsi="仿宋" w:eastAsia="仿宋" w:cs="仿宋"/>
          <w:color w:val="auto"/>
          <w:sz w:val="28"/>
          <w:szCs w:val="28"/>
          <w:highlight w:val="none"/>
        </w:rPr>
        <w:t>株，</w:t>
      </w:r>
      <w:r>
        <w:rPr>
          <w:rFonts w:hint="eastAsia" w:ascii="仿宋" w:hAnsi="仿宋" w:eastAsia="仿宋" w:cs="仿宋"/>
          <w:color w:val="auto"/>
          <w:sz w:val="28"/>
          <w:szCs w:val="28"/>
          <w:highlight w:val="none"/>
          <w:lang w:val="en-US" w:eastAsia="zh-CN"/>
        </w:rPr>
        <w:t>杨</w:t>
      </w:r>
      <w:r>
        <w:rPr>
          <w:rFonts w:hint="eastAsia" w:ascii="仿宋" w:hAnsi="仿宋" w:eastAsia="仿宋" w:cs="仿宋"/>
          <w:color w:val="auto"/>
          <w:sz w:val="28"/>
          <w:szCs w:val="28"/>
          <w:highlight w:val="none"/>
        </w:rPr>
        <w:t>树苗</w:t>
      </w:r>
      <w:r>
        <w:rPr>
          <w:rFonts w:hint="eastAsia" w:ascii="仿宋" w:hAnsi="仿宋" w:eastAsia="仿宋" w:cs="仿宋"/>
          <w:color w:val="auto"/>
          <w:sz w:val="28"/>
          <w:szCs w:val="28"/>
          <w:highlight w:val="none"/>
          <w:lang w:val="en-US" w:eastAsia="zh-CN"/>
        </w:rPr>
        <w:t>1238</w:t>
      </w:r>
      <w:r>
        <w:rPr>
          <w:rFonts w:hint="eastAsia" w:ascii="仿宋" w:hAnsi="仿宋" w:eastAsia="仿宋" w:cs="仿宋"/>
          <w:color w:val="auto"/>
          <w:sz w:val="28"/>
          <w:szCs w:val="28"/>
          <w:highlight w:val="none"/>
        </w:rPr>
        <w:t>株</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播撒草籽面积</w:t>
      </w:r>
      <w:r>
        <w:rPr>
          <w:rFonts w:hint="eastAsia" w:ascii="仿宋" w:hAnsi="仿宋" w:eastAsia="仿宋" w:cs="仿宋"/>
          <w:color w:val="auto"/>
          <w:sz w:val="28"/>
          <w:szCs w:val="28"/>
          <w:highlight w:val="none"/>
          <w:lang w:val="en-US" w:eastAsia="zh-CN"/>
        </w:rPr>
        <w:t>1.91</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2、生物和化学措施</w:t>
      </w:r>
    </w:p>
    <w:p>
      <w:pPr>
        <w:autoSpaceDE w:val="0"/>
        <w:autoSpaceDN w:val="0"/>
        <w:adjustRightInd w:val="0"/>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本项目复垦主要方向为旱地、乔木林地、其他草地，故生物化学措施主要采用土地培肥、植物复垦法。</w:t>
      </w:r>
    </w:p>
    <w:p>
      <w:pPr>
        <w:pStyle w:val="5"/>
        <w:rPr>
          <w:rFonts w:ascii="Times New Roman" w:hAnsi="Times New Roman" w:eastAsia="宋体" w:cs="Times New Roman"/>
          <w:color w:val="auto"/>
          <w:sz w:val="28"/>
          <w:szCs w:val="28"/>
          <w:highlight w:val="none"/>
        </w:rPr>
      </w:pPr>
      <w:bookmarkStart w:id="137" w:name="_Toc27787"/>
      <w:r>
        <w:rPr>
          <w:rFonts w:ascii="Times New Roman" w:hAnsi="Times New Roman" w:eastAsia="宋体" w:cs="Times New Roman"/>
          <w:color w:val="auto"/>
          <w:sz w:val="28"/>
          <w:szCs w:val="28"/>
          <w:highlight w:val="none"/>
        </w:rPr>
        <w:t>（四）主要工程量</w:t>
      </w:r>
      <w:bookmarkEnd w:id="137"/>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根据复垦技术措施，主要计入土壤重构工程、植被恢复工程</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配套工程</w:t>
      </w:r>
      <w:r>
        <w:rPr>
          <w:rFonts w:hint="eastAsia" w:ascii="仿宋" w:hAnsi="仿宋" w:eastAsia="仿宋" w:cs="仿宋"/>
          <w:color w:val="auto"/>
          <w:sz w:val="28"/>
          <w:szCs w:val="28"/>
          <w:highlight w:val="none"/>
        </w:rPr>
        <w:t>以及监测管护工程。其中监测管护工程在本章第七节“矿区土地复垦监测和管护”中已进行工程安排，故此处不进行工程量设计。项目区土地复垦主要工程量见下表5-</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w:t>
      </w:r>
    </w:p>
    <w:p>
      <w:pPr>
        <w:spacing w:line="276" w:lineRule="auto"/>
        <w:jc w:val="center"/>
        <w:rPr>
          <w:rFonts w:eastAsia="宋体"/>
          <w:b/>
          <w:color w:val="auto"/>
          <w:sz w:val="24"/>
          <w:highlight w:val="none"/>
        </w:rPr>
      </w:pPr>
      <w:r>
        <w:rPr>
          <w:rFonts w:eastAsia="宋体"/>
          <w:b/>
          <w:color w:val="auto"/>
          <w:sz w:val="24"/>
          <w:highlight w:val="none"/>
        </w:rPr>
        <w:t>表5-</w:t>
      </w:r>
      <w:r>
        <w:rPr>
          <w:rFonts w:hint="eastAsia" w:eastAsia="宋体"/>
          <w:b/>
          <w:color w:val="auto"/>
          <w:sz w:val="24"/>
          <w:highlight w:val="none"/>
          <w:lang w:val="en-US" w:eastAsia="zh-CN"/>
        </w:rPr>
        <w:t>7</w:t>
      </w:r>
      <w:r>
        <w:rPr>
          <w:rFonts w:eastAsia="宋体"/>
          <w:b/>
          <w:color w:val="auto"/>
          <w:sz w:val="24"/>
          <w:highlight w:val="none"/>
        </w:rPr>
        <w:t xml:space="preserve">  项目区复垦工程统计表</w:t>
      </w:r>
    </w:p>
    <w:p>
      <w:pPr>
        <w:pStyle w:val="22"/>
        <w:ind w:firstLine="0" w:firstLineChars="0"/>
        <w:rPr>
          <w:rFonts w:ascii="Times New Roman" w:hAnsi="Times New Roman" w:eastAsia="宋体" w:cs="Times New Roman"/>
          <w:b/>
          <w:bCs/>
          <w:color w:val="auto"/>
          <w:kern w:val="0"/>
          <w:sz w:val="20"/>
          <w:szCs w:val="20"/>
          <w:highlight w:val="none"/>
        </w:rPr>
      </w:pPr>
    </w:p>
    <w:tbl>
      <w:tblPr>
        <w:tblStyle w:val="23"/>
        <w:tblW w:w="462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77"/>
        <w:gridCol w:w="3369"/>
        <w:gridCol w:w="1719"/>
        <w:gridCol w:w="17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eastAsia="宋体"/>
                <w:color w:val="auto"/>
                <w:kern w:val="0"/>
                <w:highlight w:val="none"/>
              </w:rPr>
              <w:t>序号</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工程名称</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单位</w:t>
            </w:r>
          </w:p>
        </w:tc>
        <w:tc>
          <w:tcPr>
            <w:tcW w:w="1089" w:type="pct"/>
            <w:vAlign w:val="center"/>
          </w:tcPr>
          <w:p>
            <w:pPr>
              <w:widowControl/>
              <w:jc w:val="center"/>
              <w:rPr>
                <w:rFonts w:eastAsia="宋体"/>
                <w:color w:val="auto"/>
                <w:kern w:val="0"/>
                <w:highlight w:val="none"/>
              </w:rPr>
            </w:pPr>
            <w:r>
              <w:rPr>
                <w:rFonts w:eastAsia="宋体"/>
                <w:color w:val="auto"/>
                <w:kern w:val="0"/>
                <w:highlight w:val="none"/>
              </w:rPr>
              <w:t>工作量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一</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土壤重构工程</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　</w:t>
            </w:r>
          </w:p>
        </w:tc>
        <w:tc>
          <w:tcPr>
            <w:tcW w:w="1089" w:type="pct"/>
            <w:vAlign w:val="center"/>
          </w:tcPr>
          <w:p>
            <w:pPr>
              <w:widowControl/>
              <w:jc w:val="center"/>
              <w:rPr>
                <w:rFonts w:eastAsia="宋体"/>
                <w:color w:val="auto"/>
                <w:kern w:val="0"/>
                <w:highlight w:val="none"/>
              </w:rPr>
            </w:pPr>
            <w:r>
              <w:rPr>
                <w:rFonts w:eastAsia="宋体"/>
                <w:color w:val="auto"/>
                <w:kern w:val="0"/>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1</w:t>
            </w:r>
          </w:p>
        </w:tc>
        <w:tc>
          <w:tcPr>
            <w:tcW w:w="2136" w:type="pct"/>
            <w:vAlign w:val="center"/>
          </w:tcPr>
          <w:p>
            <w:pPr>
              <w:widowControl/>
              <w:jc w:val="center"/>
              <w:rPr>
                <w:rFonts w:eastAsia="宋体"/>
                <w:color w:val="auto"/>
                <w:kern w:val="0"/>
                <w:highlight w:val="none"/>
              </w:rPr>
            </w:pPr>
            <w:r>
              <w:rPr>
                <w:rFonts w:hint="eastAsia" w:eastAsia="宋体"/>
                <w:color w:val="auto"/>
                <w:kern w:val="0"/>
                <w:highlight w:val="none"/>
              </w:rPr>
              <w:t>表土剥离</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3</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11670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2.1</w:t>
            </w:r>
          </w:p>
        </w:tc>
        <w:tc>
          <w:tcPr>
            <w:tcW w:w="2136" w:type="pct"/>
            <w:vAlign w:val="center"/>
          </w:tcPr>
          <w:p>
            <w:pPr>
              <w:widowControl/>
              <w:jc w:val="center"/>
              <w:rPr>
                <w:rFonts w:eastAsia="宋体"/>
                <w:color w:val="auto"/>
                <w:kern w:val="0"/>
                <w:highlight w:val="none"/>
              </w:rPr>
            </w:pPr>
            <w:r>
              <w:rPr>
                <w:rFonts w:hint="eastAsia" w:eastAsia="宋体"/>
                <w:color w:val="auto"/>
                <w:kern w:val="0"/>
                <w:highlight w:val="none"/>
              </w:rPr>
              <w:t>薄膜覆盖</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2.2</w:t>
            </w:r>
          </w:p>
        </w:tc>
        <w:tc>
          <w:tcPr>
            <w:tcW w:w="2136" w:type="pct"/>
            <w:vAlign w:val="center"/>
          </w:tcPr>
          <w:p>
            <w:pPr>
              <w:widowControl/>
              <w:jc w:val="center"/>
              <w:rPr>
                <w:rFonts w:eastAsia="宋体"/>
                <w:color w:val="auto"/>
                <w:kern w:val="0"/>
                <w:highlight w:val="none"/>
              </w:rPr>
            </w:pPr>
            <w:r>
              <w:rPr>
                <w:rFonts w:hint="eastAsia" w:eastAsia="宋体"/>
                <w:color w:val="auto"/>
                <w:kern w:val="0"/>
                <w:highlight w:val="none"/>
              </w:rPr>
              <w:t>草籽养护</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5</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土地平整</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6</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表土回填</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3</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5940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二</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植被恢复工程</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　</w:t>
            </w:r>
          </w:p>
        </w:tc>
        <w:tc>
          <w:tcPr>
            <w:tcW w:w="1089" w:type="pct"/>
            <w:vAlign w:val="center"/>
          </w:tcPr>
          <w:p>
            <w:pPr>
              <w:widowControl/>
              <w:jc w:val="center"/>
              <w:rPr>
                <w:rFonts w:eastAsia="宋体"/>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eastAsia="宋体"/>
                <w:color w:val="auto"/>
                <w:kern w:val="0"/>
                <w:highlight w:val="none"/>
              </w:rPr>
              <w:t>1</w:t>
            </w:r>
          </w:p>
        </w:tc>
        <w:tc>
          <w:tcPr>
            <w:tcW w:w="2136"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栽植椿树苗</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株</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1238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hint="eastAsia" w:eastAsia="宋体"/>
                <w:color w:val="auto"/>
                <w:kern w:val="0"/>
                <w:highlight w:val="none"/>
                <w:lang w:val="en-US" w:eastAsia="zh-CN"/>
              </w:rPr>
            </w:pPr>
            <w:r>
              <w:rPr>
                <w:rFonts w:hint="eastAsia" w:eastAsia="宋体"/>
                <w:color w:val="auto"/>
                <w:kern w:val="0"/>
                <w:highlight w:val="none"/>
                <w:lang w:val="en-US" w:eastAsia="zh-CN"/>
              </w:rPr>
              <w:t>2</w:t>
            </w:r>
          </w:p>
        </w:tc>
        <w:tc>
          <w:tcPr>
            <w:tcW w:w="2136" w:type="pct"/>
            <w:vAlign w:val="center"/>
          </w:tcPr>
          <w:p>
            <w:pPr>
              <w:widowControl/>
              <w:jc w:val="center"/>
              <w:rPr>
                <w:rFonts w:hint="default" w:eastAsia="宋体" w:asciiTheme="minorHAnsi" w:hAnsiTheme="minorHAnsi" w:cstheme="minorBidi"/>
                <w:color w:val="auto"/>
                <w:kern w:val="0"/>
                <w:sz w:val="21"/>
                <w:szCs w:val="21"/>
                <w:highlight w:val="none"/>
                <w:lang w:val="en-US" w:eastAsia="zh-CN" w:bidi="ar-SA"/>
              </w:rPr>
            </w:pPr>
            <w:r>
              <w:rPr>
                <w:rFonts w:hint="eastAsia" w:eastAsia="宋体"/>
                <w:color w:val="auto"/>
                <w:kern w:val="0"/>
                <w:highlight w:val="none"/>
                <w:lang w:val="en-US" w:eastAsia="zh-CN"/>
              </w:rPr>
              <w:t>栽植杨树苗</w:t>
            </w:r>
          </w:p>
        </w:tc>
        <w:tc>
          <w:tcPr>
            <w:tcW w:w="1090" w:type="pct"/>
            <w:vAlign w:val="center"/>
          </w:tcPr>
          <w:p>
            <w:pPr>
              <w:widowControl/>
              <w:jc w:val="center"/>
              <w:rPr>
                <w:rFonts w:eastAsia="宋体" w:asciiTheme="minorHAnsi" w:hAnsiTheme="minorHAnsi" w:cstheme="minorBidi"/>
                <w:color w:val="auto"/>
                <w:kern w:val="0"/>
                <w:sz w:val="21"/>
                <w:szCs w:val="21"/>
                <w:highlight w:val="none"/>
                <w:lang w:val="en-US" w:eastAsia="zh-CN" w:bidi="ar-SA"/>
              </w:rPr>
            </w:pPr>
            <w:r>
              <w:rPr>
                <w:rFonts w:eastAsia="宋体"/>
                <w:color w:val="auto"/>
                <w:kern w:val="0"/>
                <w:highlight w:val="none"/>
              </w:rPr>
              <w:t>株</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1238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83" w:type="pct"/>
            <w:vAlign w:val="center"/>
          </w:tcPr>
          <w:p>
            <w:pPr>
              <w:widowControl/>
              <w:jc w:val="center"/>
              <w:rPr>
                <w:rFonts w:hint="eastAsia" w:eastAsia="宋体"/>
                <w:color w:val="auto"/>
                <w:kern w:val="0"/>
                <w:highlight w:val="none"/>
                <w:lang w:eastAsia="zh-CN"/>
              </w:rPr>
            </w:pPr>
            <w:r>
              <w:rPr>
                <w:rFonts w:hint="eastAsia" w:eastAsia="宋体"/>
                <w:color w:val="auto"/>
                <w:kern w:val="0"/>
                <w:highlight w:val="none"/>
                <w:lang w:val="en-US" w:eastAsia="zh-CN"/>
              </w:rPr>
              <w:t>4</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栽种葛藤</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株</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2200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hint="eastAsia" w:eastAsia="宋体"/>
                <w:color w:val="auto"/>
                <w:kern w:val="0"/>
                <w:highlight w:val="none"/>
                <w:lang w:eastAsia="zh-CN"/>
              </w:rPr>
            </w:pPr>
            <w:r>
              <w:rPr>
                <w:rFonts w:hint="eastAsia" w:eastAsia="宋体"/>
                <w:color w:val="auto"/>
                <w:kern w:val="0"/>
                <w:highlight w:val="none"/>
                <w:lang w:val="en-US" w:eastAsia="zh-CN"/>
              </w:rPr>
              <w:t>5</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播撒草籽</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6</w:t>
            </w:r>
          </w:p>
        </w:tc>
        <w:tc>
          <w:tcPr>
            <w:tcW w:w="2136"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木工格栅辅助</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2200</w:t>
            </w:r>
          </w:p>
        </w:tc>
      </w:tr>
    </w:tbl>
    <w:p>
      <w:pPr>
        <w:rPr>
          <w:color w:val="auto"/>
        </w:rPr>
      </w:pPr>
    </w:p>
    <w:p>
      <w:pPr>
        <w:pStyle w:val="4"/>
        <w:rPr>
          <w:rFonts w:ascii="Times New Roman" w:hAnsi="Times New Roman" w:eastAsia="宋体" w:cs="Times New Roman"/>
          <w:color w:val="auto"/>
          <w:sz w:val="30"/>
          <w:szCs w:val="30"/>
          <w:highlight w:val="none"/>
        </w:rPr>
      </w:pPr>
      <w:bookmarkStart w:id="138" w:name="_Toc9195"/>
      <w:bookmarkStart w:id="139" w:name="_Toc29400"/>
      <w:bookmarkStart w:id="140" w:name="_Toc511576353"/>
      <w:r>
        <w:rPr>
          <w:rFonts w:ascii="Times New Roman" w:hAnsi="Times New Roman" w:eastAsia="宋体" w:cs="Times New Roman"/>
          <w:color w:val="auto"/>
          <w:sz w:val="30"/>
          <w:szCs w:val="30"/>
          <w:highlight w:val="none"/>
        </w:rPr>
        <w:t>四、含水层破坏修复</w:t>
      </w:r>
      <w:bookmarkEnd w:id="138"/>
      <w:bookmarkEnd w:id="139"/>
      <w:bookmarkEnd w:id="140"/>
    </w:p>
    <w:p>
      <w:pPr>
        <w:spacing w:line="360" w:lineRule="auto"/>
        <w:ind w:firstLine="560" w:firstLineChars="200"/>
        <w:rPr>
          <w:rFonts w:ascii="Times New Roman" w:hAnsi="Times New Roman" w:cs="Times New Roman"/>
          <w:color w:val="auto"/>
          <w:sz w:val="24"/>
          <w:highlight w:val="none"/>
        </w:rPr>
      </w:pPr>
      <w:r>
        <w:rPr>
          <w:rFonts w:hint="eastAsia" w:ascii="仿宋" w:hAnsi="仿宋" w:eastAsia="仿宋" w:cs="仿宋"/>
          <w:color w:val="auto"/>
          <w:sz w:val="28"/>
          <w:szCs w:val="28"/>
          <w:highlight w:val="none"/>
        </w:rPr>
        <w:t>矿山生产对含水层破坏较轻，现阶段无需进行破坏修复，故无工程量。</w:t>
      </w:r>
    </w:p>
    <w:p>
      <w:pPr>
        <w:pStyle w:val="4"/>
        <w:rPr>
          <w:rFonts w:ascii="Times New Roman" w:hAnsi="Times New Roman" w:eastAsia="宋体" w:cs="Times New Roman"/>
          <w:color w:val="auto"/>
          <w:sz w:val="30"/>
          <w:szCs w:val="30"/>
          <w:highlight w:val="none"/>
        </w:rPr>
      </w:pPr>
      <w:bookmarkStart w:id="141" w:name="_Toc8533"/>
      <w:bookmarkStart w:id="142" w:name="_Toc62071901"/>
      <w:bookmarkStart w:id="143" w:name="_Toc511576354"/>
      <w:r>
        <w:rPr>
          <w:rFonts w:ascii="Times New Roman" w:hAnsi="Times New Roman" w:eastAsia="宋体" w:cs="Times New Roman"/>
          <w:color w:val="auto"/>
          <w:sz w:val="30"/>
          <w:szCs w:val="30"/>
          <w:highlight w:val="none"/>
        </w:rPr>
        <w:t>五、水土环境污染修复</w:t>
      </w:r>
      <w:bookmarkEnd w:id="141"/>
      <w:bookmarkEnd w:id="142"/>
      <w:bookmarkEnd w:id="143"/>
    </w:p>
    <w:p>
      <w:pPr>
        <w:adjustRightInd w:val="0"/>
        <w:snapToGrid w:val="0"/>
        <w:spacing w:line="360" w:lineRule="auto"/>
        <w:ind w:firstLine="560" w:firstLineChars="200"/>
        <w:rPr>
          <w:rFonts w:hint="eastAsia" w:ascii="仿宋" w:hAnsi="仿宋" w:eastAsia="仿宋" w:cs="仿宋"/>
          <w:color w:val="auto"/>
          <w:sz w:val="28"/>
          <w:szCs w:val="28"/>
          <w:highlight w:val="none"/>
        </w:rPr>
      </w:pPr>
      <w:bookmarkStart w:id="144" w:name="_Toc62071902"/>
      <w:r>
        <w:rPr>
          <w:rFonts w:hint="eastAsia" w:ascii="仿宋" w:hAnsi="仿宋" w:eastAsia="仿宋" w:cs="仿宋"/>
          <w:color w:val="auto"/>
          <w:sz w:val="28"/>
          <w:szCs w:val="28"/>
          <w:highlight w:val="none"/>
        </w:rPr>
        <w:t>1、水环境污染修复工程</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生产过程中尾矿废渣少、无废水外排，且设计开采底板标高远高于该地区地下水最低侵蚀基准面高，露天采场排水条件好，矿石基本无有害成分，无放射性元素，对地下水造成污染的可能性极小。因此本方案不对水环境污染修复进行工程设计。</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2、土壤环境修复工程</w:t>
      </w:r>
    </w:p>
    <w:p>
      <w:pPr>
        <w:adjustRightInd w:val="0"/>
        <w:snapToGrid w:val="0"/>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矿石开采对地表土壤环境破坏较严重，但通过土地复垦的实施，被破坏的土地基本能恢复生产力，结合本方案中土地复垦的措施可知，本项目土地复垦的土壤为开采矿石时剥离表土及外购客土。因此本方案中未设计土环境修复工程。</w:t>
      </w:r>
    </w:p>
    <w:p>
      <w:pPr>
        <w:pStyle w:val="4"/>
        <w:rPr>
          <w:rFonts w:ascii="Times New Roman" w:hAnsi="Times New Roman" w:eastAsia="宋体" w:cs="Times New Roman"/>
          <w:color w:val="auto"/>
          <w:sz w:val="30"/>
          <w:szCs w:val="30"/>
          <w:highlight w:val="none"/>
        </w:rPr>
      </w:pPr>
      <w:bookmarkStart w:id="145" w:name="_Toc10976"/>
      <w:r>
        <w:rPr>
          <w:rFonts w:ascii="Times New Roman" w:hAnsi="Times New Roman" w:eastAsia="宋体" w:cs="Times New Roman"/>
          <w:color w:val="auto"/>
          <w:sz w:val="30"/>
          <w:szCs w:val="30"/>
          <w:highlight w:val="none"/>
        </w:rPr>
        <w:t>六、矿山地质环境监测</w:t>
      </w:r>
      <w:bookmarkEnd w:id="144"/>
      <w:bookmarkEnd w:id="145"/>
    </w:p>
    <w:p>
      <w:pPr>
        <w:pStyle w:val="5"/>
        <w:rPr>
          <w:rFonts w:ascii="Times New Roman" w:hAnsi="Times New Roman" w:eastAsia="宋体" w:cs="Times New Roman"/>
          <w:color w:val="auto"/>
          <w:sz w:val="28"/>
          <w:szCs w:val="28"/>
          <w:highlight w:val="none"/>
        </w:rPr>
      </w:pPr>
      <w:bookmarkStart w:id="146" w:name="_Toc937"/>
      <w:r>
        <w:rPr>
          <w:rFonts w:ascii="Times New Roman" w:hAnsi="Times New Roman" w:eastAsia="宋体" w:cs="Times New Roman"/>
          <w:color w:val="auto"/>
          <w:sz w:val="28"/>
          <w:szCs w:val="28"/>
          <w:highlight w:val="none"/>
        </w:rPr>
        <w:t>（一）目标任务</w:t>
      </w:r>
      <w:bookmarkEnd w:id="146"/>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1、监测目标</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（1）通过对本矿山地质环境监测，让业主及时掌握矿业活动引发矿区地质环境动态变化，发现问题及时采取相应防治措施；</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（2）通过对矿区地质环境问题、防治措施实施效果监测，为本矿山地质环境保护恢复治理工程竣工验收提供依据；</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（3）通过对矿区地质环境问题、防治措施实施效果监测，为国土部门监督管理提供依据。</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2、监测任务</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综合建设工程区地质灾害分布与矿山开采诱发地质灾害，地质环境破坏的可能性和特点，对本工程不同部位的地质灾害、水资源、地貌景观、土地资源进行监测，对治理措施效果进行监测，为国土部门监督管理提供依据。</w:t>
      </w:r>
    </w:p>
    <w:p>
      <w:pPr>
        <w:pStyle w:val="5"/>
        <w:rPr>
          <w:rFonts w:ascii="Times New Roman" w:hAnsi="Times New Roman" w:eastAsia="宋体" w:cs="Times New Roman"/>
          <w:color w:val="auto"/>
          <w:sz w:val="28"/>
          <w:szCs w:val="28"/>
          <w:highlight w:val="none"/>
        </w:rPr>
      </w:pPr>
      <w:bookmarkStart w:id="147" w:name="_Toc15299"/>
      <w:r>
        <w:rPr>
          <w:rFonts w:ascii="Times New Roman" w:hAnsi="Times New Roman" w:eastAsia="宋体" w:cs="Times New Roman"/>
          <w:color w:val="auto"/>
          <w:sz w:val="28"/>
          <w:szCs w:val="28"/>
          <w:highlight w:val="none"/>
        </w:rPr>
        <w:t>（二）监测设计</w:t>
      </w:r>
      <w:bookmarkEnd w:id="147"/>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1、地质灾害监测工程设计</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1）监测方法</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用人工观测方式进行，矿山安全员通过定期或不定期目视监测、记录地质灾害有无异常变化，了解地质灾害演变特征，特别是对采区的高陡边坡加强监测，及时对采场边坡及上方山体坡面是否存在崩塌、滑坡隐患、树木歪斜等微观变化，及时捕捉地质灾害前兆信息。检查中发现边坡面有不稳定的松散岩土隐患时，应及时组织专人采取防治措施，对人员、设备进行避让，待险情排除后方可恢复正常工作。</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2）监测频率</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汛期（每年6月～年9月）每月监测2次，非汛期（每年10～次年5月）每月监测1次，雨季尤其是持续降雨或大暴雨时每天或雨后一次加密巡视观测。总工作量为</w:t>
      </w:r>
      <w:r>
        <w:rPr>
          <w:rFonts w:hint="eastAsia" w:ascii="仿宋" w:hAnsi="仿宋" w:eastAsia="仿宋" w:cs="仿宋"/>
          <w:color w:val="auto"/>
          <w:sz w:val="28"/>
          <w:szCs w:val="28"/>
          <w:highlight w:val="none"/>
          <w:lang w:val="en-US" w:eastAsia="zh-CN"/>
        </w:rPr>
        <w:t>192</w:t>
      </w:r>
      <w:r>
        <w:rPr>
          <w:rFonts w:hint="eastAsia" w:ascii="仿宋" w:hAnsi="仿宋" w:eastAsia="仿宋" w:cs="仿宋"/>
          <w:color w:val="auto"/>
          <w:sz w:val="28"/>
          <w:szCs w:val="28"/>
          <w:highlight w:val="none"/>
        </w:rPr>
        <w:t>次。</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3）监测记录</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观测记录应列表记录，力求系统完整。观测中如遇降雨，应记录降雨的起止时间并估算其降雨强度（小、中、大、暴雨）。位于地表水体附近的监测点应同时观测记录地表水位的变化。随观测进程可绘制观测曲线，以时间为横坐标，以观测数据为纵坐标，绘出水位变化、裂缝变化等曲线，为分析判断提供基础。</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4）险情警报</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当有异常出现、判定确为险情时，应及时向险情警报系统上报。在未建立险情警报系统的地方，地方政府可根据本地的具体条件建立相应的组织，以利防灾抗灾工作的顺利开展。在观测过程中如发现异常骤然加剧，判定险情已到紧急时刻，应立即上报并果断采取应急措施。</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5）监测时间：</w:t>
      </w: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年。</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、地形地貌景观监测</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根据对矿体采动影响区域的地表植被进行监测。</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1）监测内容：监测植被非自然死亡、退化的情况。</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）监测方法：定期巡查，对破坏范围内的植被破坏情况、土壤破坏情况等进行调查。</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）监测频率：1次/月。</w:t>
      </w:r>
    </w:p>
    <w:p>
      <w:pPr>
        <w:adjustRightInd w:val="0"/>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）监测时间：</w:t>
      </w: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年。</w:t>
      </w:r>
    </w:p>
    <w:p>
      <w:pPr>
        <w:pStyle w:val="5"/>
        <w:rPr>
          <w:rFonts w:ascii="Times New Roman" w:hAnsi="Times New Roman" w:eastAsia="宋体" w:cs="Times New Roman"/>
          <w:color w:val="auto"/>
          <w:sz w:val="28"/>
          <w:szCs w:val="28"/>
          <w:highlight w:val="none"/>
        </w:rPr>
      </w:pPr>
      <w:bookmarkStart w:id="148" w:name="_Toc9223"/>
      <w:r>
        <w:rPr>
          <w:rFonts w:ascii="Times New Roman" w:hAnsi="Times New Roman" w:eastAsia="宋体" w:cs="Times New Roman"/>
          <w:color w:val="auto"/>
          <w:sz w:val="28"/>
          <w:szCs w:val="28"/>
          <w:highlight w:val="none"/>
        </w:rPr>
        <w:t>（三）技术措施</w:t>
      </w:r>
      <w:bookmarkEnd w:id="148"/>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1、建立矿山地质环境监测的专门机构（部门）或将监测工作委托专业监测机构完成，由专门机构或受委托方全面负责矿山地质环境监测的日常管理工作。</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2、建立矿山地质环境监测制度，做好监测和预警预报工作。</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3、每次巡查监测必须进行现场记录，对监测数据进行分析对比，出现异常情况立即报告矿山领导和相关部门，及时采取措施。</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4、建立监测资料档案，监测资料及时存档。</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5、定期组织专职监测人员学习相关监测专业技术知识，提高监测水平质量。</w:t>
      </w:r>
    </w:p>
    <w:p>
      <w:pPr>
        <w:pStyle w:val="5"/>
        <w:rPr>
          <w:rFonts w:ascii="Times New Roman" w:hAnsi="Times New Roman" w:eastAsia="宋体" w:cs="Times New Roman"/>
          <w:color w:val="auto"/>
          <w:sz w:val="28"/>
          <w:szCs w:val="28"/>
          <w:highlight w:val="none"/>
        </w:rPr>
      </w:pPr>
      <w:bookmarkStart w:id="149" w:name="_Toc29114"/>
      <w:r>
        <w:rPr>
          <w:rFonts w:ascii="Times New Roman" w:hAnsi="Times New Roman" w:eastAsia="宋体" w:cs="Times New Roman"/>
          <w:color w:val="auto"/>
          <w:sz w:val="28"/>
          <w:szCs w:val="28"/>
          <w:highlight w:val="none"/>
        </w:rPr>
        <w:t>（四）主要工程量</w:t>
      </w:r>
      <w:bookmarkEnd w:id="149"/>
    </w:p>
    <w:p>
      <w:pPr>
        <w:adjustRightInd w:val="0"/>
        <w:snapToGrid w:val="0"/>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根据地质环境监测工程设计和矿山服务年限及后期土地复垦实施及监护时限测算出本项目矿山地质环境监测主要工程量见表5-</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p>
    <w:p>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表5-</w:t>
      </w:r>
      <w:r>
        <w:rPr>
          <w:rFonts w:hint="eastAsia" w:ascii="Times New Roman" w:hAnsi="Times New Roman" w:eastAsia="宋体" w:cs="Times New Roman"/>
          <w:b/>
          <w:color w:val="auto"/>
          <w:highlight w:val="none"/>
          <w:lang w:val="en-US" w:eastAsia="zh-CN"/>
        </w:rPr>
        <w:t>8</w:t>
      </w:r>
      <w:r>
        <w:rPr>
          <w:rFonts w:ascii="Times New Roman" w:hAnsi="Times New Roman" w:eastAsia="宋体" w:cs="Times New Roman"/>
          <w:b/>
          <w:color w:val="auto"/>
          <w:highlight w:val="none"/>
        </w:rPr>
        <w:t xml:space="preserve">  矿山地质环境监测主要工作量表</w:t>
      </w:r>
    </w:p>
    <w:tbl>
      <w:tblPr>
        <w:tblStyle w:val="23"/>
        <w:tblW w:w="8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402"/>
        <w:gridCol w:w="184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84" w:type="dxa"/>
            <w:vAlign w:val="center"/>
          </w:tcPr>
          <w:p>
            <w:pPr>
              <w:adjustRightInd w:val="0"/>
              <w:snapToGrid w:val="0"/>
              <w:jc w:val="center"/>
              <w:rPr>
                <w:rFonts w:eastAsia="宋体"/>
                <w:color w:val="auto"/>
                <w:highlight w:val="none"/>
              </w:rPr>
            </w:pPr>
            <w:r>
              <w:rPr>
                <w:rFonts w:eastAsia="宋体"/>
                <w:color w:val="auto"/>
                <w:highlight w:val="none"/>
              </w:rPr>
              <w:t>编号</w:t>
            </w:r>
          </w:p>
        </w:tc>
        <w:tc>
          <w:tcPr>
            <w:tcW w:w="3402" w:type="dxa"/>
            <w:vAlign w:val="center"/>
          </w:tcPr>
          <w:p>
            <w:pPr>
              <w:adjustRightInd w:val="0"/>
              <w:snapToGrid w:val="0"/>
              <w:jc w:val="center"/>
              <w:rPr>
                <w:rFonts w:eastAsia="宋体"/>
                <w:color w:val="auto"/>
                <w:highlight w:val="none"/>
              </w:rPr>
            </w:pPr>
            <w:r>
              <w:rPr>
                <w:rFonts w:eastAsia="宋体"/>
                <w:color w:val="auto"/>
                <w:highlight w:val="none"/>
              </w:rPr>
              <w:t>工程名称</w:t>
            </w:r>
          </w:p>
        </w:tc>
        <w:tc>
          <w:tcPr>
            <w:tcW w:w="1843" w:type="dxa"/>
            <w:vAlign w:val="center"/>
          </w:tcPr>
          <w:p>
            <w:pPr>
              <w:adjustRightInd w:val="0"/>
              <w:snapToGrid w:val="0"/>
              <w:jc w:val="center"/>
              <w:rPr>
                <w:rFonts w:eastAsia="宋体"/>
                <w:color w:val="auto"/>
                <w:highlight w:val="none"/>
              </w:rPr>
            </w:pPr>
            <w:r>
              <w:rPr>
                <w:rFonts w:eastAsia="宋体"/>
                <w:color w:val="auto"/>
                <w:highlight w:val="none"/>
              </w:rPr>
              <w:t>频次</w:t>
            </w:r>
          </w:p>
        </w:tc>
        <w:tc>
          <w:tcPr>
            <w:tcW w:w="1842" w:type="dxa"/>
            <w:vAlign w:val="center"/>
          </w:tcPr>
          <w:p>
            <w:pPr>
              <w:adjustRightInd w:val="0"/>
              <w:snapToGrid w:val="0"/>
              <w:jc w:val="center"/>
              <w:rPr>
                <w:rFonts w:eastAsia="宋体"/>
                <w:color w:val="auto"/>
                <w:highlight w:val="none"/>
              </w:rPr>
            </w:pPr>
            <w:r>
              <w:rPr>
                <w:rFonts w:eastAsia="宋体"/>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4" w:type="dxa"/>
            <w:vAlign w:val="center"/>
          </w:tcPr>
          <w:p>
            <w:pPr>
              <w:adjustRightInd w:val="0"/>
              <w:snapToGrid w:val="0"/>
              <w:jc w:val="center"/>
              <w:rPr>
                <w:rFonts w:eastAsia="宋体"/>
                <w:color w:val="auto"/>
                <w:highlight w:val="none"/>
              </w:rPr>
            </w:pPr>
            <w:r>
              <w:rPr>
                <w:rFonts w:eastAsia="宋体"/>
                <w:color w:val="auto"/>
                <w:highlight w:val="none"/>
              </w:rPr>
              <w:t>1</w:t>
            </w:r>
          </w:p>
        </w:tc>
        <w:tc>
          <w:tcPr>
            <w:tcW w:w="3402" w:type="dxa"/>
            <w:vAlign w:val="center"/>
          </w:tcPr>
          <w:p>
            <w:pPr>
              <w:adjustRightInd w:val="0"/>
              <w:snapToGrid w:val="0"/>
              <w:jc w:val="center"/>
              <w:rPr>
                <w:rFonts w:eastAsia="宋体"/>
                <w:color w:val="auto"/>
                <w:highlight w:val="none"/>
              </w:rPr>
            </w:pPr>
            <w:r>
              <w:rPr>
                <w:rFonts w:eastAsia="宋体"/>
                <w:color w:val="auto"/>
                <w:highlight w:val="none"/>
              </w:rPr>
              <w:t>地灾监测</w:t>
            </w:r>
          </w:p>
        </w:tc>
        <w:tc>
          <w:tcPr>
            <w:tcW w:w="1843" w:type="dxa"/>
            <w:vAlign w:val="center"/>
          </w:tcPr>
          <w:p>
            <w:pPr>
              <w:adjustRightInd w:val="0"/>
              <w:snapToGrid w:val="0"/>
              <w:jc w:val="center"/>
              <w:rPr>
                <w:rFonts w:hint="eastAsia" w:eastAsia="宋体"/>
                <w:color w:val="auto"/>
                <w:highlight w:val="none"/>
                <w:lang w:eastAsia="zh-CN"/>
              </w:rPr>
            </w:pPr>
            <w:r>
              <w:rPr>
                <w:rFonts w:hint="eastAsia" w:eastAsia="宋体"/>
                <w:color w:val="auto"/>
                <w:highlight w:val="none"/>
                <w:lang w:val="en-US" w:eastAsia="zh-CN"/>
              </w:rPr>
              <w:t>2</w:t>
            </w:r>
            <w:r>
              <w:rPr>
                <w:rFonts w:eastAsia="宋体"/>
                <w:color w:val="auto"/>
                <w:highlight w:val="none"/>
              </w:rPr>
              <w:t>次/</w:t>
            </w:r>
            <w:r>
              <w:rPr>
                <w:rFonts w:hint="eastAsia" w:eastAsia="宋体"/>
                <w:color w:val="auto"/>
                <w:highlight w:val="none"/>
                <w:lang w:val="en-US" w:eastAsia="zh-CN"/>
              </w:rPr>
              <w:t>汛期（</w:t>
            </w:r>
            <w:r>
              <w:rPr>
                <w:rFonts w:hint="default" w:eastAsia="宋体"/>
                <w:color w:val="auto"/>
                <w:highlight w:val="none"/>
              </w:rPr>
              <w:t>每年6月</w:t>
            </w:r>
            <w:r>
              <w:rPr>
                <w:rFonts w:hint="eastAsia" w:eastAsia="宋体"/>
                <w:color w:val="auto"/>
                <w:highlight w:val="none"/>
                <w:lang w:eastAsia="zh-CN"/>
              </w:rPr>
              <w:t>～</w:t>
            </w:r>
            <w:r>
              <w:rPr>
                <w:rFonts w:hint="default" w:eastAsia="宋体"/>
                <w:color w:val="auto"/>
                <w:highlight w:val="none"/>
              </w:rPr>
              <w:t>9月</w:t>
            </w:r>
            <w:r>
              <w:rPr>
                <w:rFonts w:hint="eastAsia" w:eastAsia="宋体"/>
                <w:color w:val="auto"/>
                <w:highlight w:val="none"/>
                <w:lang w:eastAsia="zh-CN"/>
              </w:rPr>
              <w:t>）</w:t>
            </w:r>
          </w:p>
          <w:p>
            <w:pPr>
              <w:adjustRightInd w:val="0"/>
              <w:snapToGrid w:val="0"/>
              <w:jc w:val="center"/>
              <w:rPr>
                <w:rFonts w:hint="default" w:eastAsia="宋体"/>
                <w:color w:val="auto"/>
                <w:highlight w:val="none"/>
                <w:lang w:val="en-US" w:eastAsia="zh-CN"/>
              </w:rPr>
            </w:pPr>
            <w:r>
              <w:rPr>
                <w:rFonts w:hint="eastAsia" w:eastAsia="宋体"/>
                <w:color w:val="auto"/>
                <w:highlight w:val="none"/>
                <w:lang w:val="en-US" w:eastAsia="zh-CN"/>
              </w:rPr>
              <w:t>1</w:t>
            </w:r>
            <w:r>
              <w:rPr>
                <w:rFonts w:eastAsia="宋体"/>
                <w:color w:val="auto"/>
                <w:highlight w:val="none"/>
              </w:rPr>
              <w:t>次/</w:t>
            </w:r>
            <w:r>
              <w:rPr>
                <w:rFonts w:hint="eastAsia" w:eastAsia="宋体"/>
                <w:color w:val="auto"/>
                <w:highlight w:val="none"/>
                <w:lang w:val="en-US" w:eastAsia="zh-CN"/>
              </w:rPr>
              <w:t>非汛期</w:t>
            </w:r>
            <w:r>
              <w:rPr>
                <w:rFonts w:hint="default" w:eastAsia="宋体"/>
                <w:color w:val="auto"/>
                <w:highlight w:val="none"/>
              </w:rPr>
              <w:t>（每年10～次年5月）</w:t>
            </w:r>
          </w:p>
        </w:tc>
        <w:tc>
          <w:tcPr>
            <w:tcW w:w="1842" w:type="dxa"/>
            <w:vAlign w:val="center"/>
          </w:tcPr>
          <w:p>
            <w:pPr>
              <w:adjustRightInd w:val="0"/>
              <w:snapToGrid w:val="0"/>
              <w:jc w:val="center"/>
              <w:rPr>
                <w:rFonts w:hint="default" w:eastAsia="宋体"/>
                <w:color w:val="auto"/>
                <w:highlight w:val="none"/>
                <w:lang w:val="en-US" w:eastAsia="zh-CN"/>
              </w:rPr>
            </w:pPr>
            <w:r>
              <w:rPr>
                <w:rFonts w:hint="eastAsia" w:eastAsia="宋体"/>
                <w:color w:val="auto"/>
                <w:highlight w:val="none"/>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4" w:type="dxa"/>
            <w:vAlign w:val="center"/>
          </w:tcPr>
          <w:p>
            <w:pPr>
              <w:adjustRightInd w:val="0"/>
              <w:snapToGrid w:val="0"/>
              <w:jc w:val="center"/>
              <w:rPr>
                <w:rFonts w:hint="eastAsia" w:eastAsia="宋体"/>
                <w:color w:val="auto"/>
                <w:highlight w:val="none"/>
                <w:lang w:eastAsia="zh-CN"/>
              </w:rPr>
            </w:pPr>
            <w:r>
              <w:rPr>
                <w:rFonts w:hint="eastAsia" w:eastAsia="宋体"/>
                <w:color w:val="auto"/>
                <w:highlight w:val="none"/>
                <w:lang w:val="en-US" w:eastAsia="zh-CN"/>
              </w:rPr>
              <w:t>2</w:t>
            </w:r>
          </w:p>
        </w:tc>
        <w:tc>
          <w:tcPr>
            <w:tcW w:w="3402" w:type="dxa"/>
            <w:vAlign w:val="center"/>
          </w:tcPr>
          <w:p>
            <w:pPr>
              <w:adjustRightInd w:val="0"/>
              <w:snapToGrid w:val="0"/>
              <w:jc w:val="center"/>
              <w:rPr>
                <w:rFonts w:eastAsia="宋体"/>
                <w:color w:val="auto"/>
                <w:highlight w:val="none"/>
              </w:rPr>
            </w:pPr>
            <w:r>
              <w:rPr>
                <w:rFonts w:eastAsia="宋体"/>
                <w:color w:val="auto"/>
                <w:highlight w:val="none"/>
              </w:rPr>
              <w:t>地形地貌景观监测</w:t>
            </w:r>
          </w:p>
        </w:tc>
        <w:tc>
          <w:tcPr>
            <w:tcW w:w="1843" w:type="dxa"/>
            <w:vAlign w:val="center"/>
          </w:tcPr>
          <w:p>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1次/月</w:t>
            </w:r>
          </w:p>
        </w:tc>
        <w:tc>
          <w:tcPr>
            <w:tcW w:w="1842" w:type="dxa"/>
            <w:vAlign w:val="center"/>
          </w:tcPr>
          <w:p>
            <w:pPr>
              <w:adjustRightInd w:val="0"/>
              <w:snapToGrid w:val="0"/>
              <w:jc w:val="center"/>
              <w:rPr>
                <w:rFonts w:hint="default" w:eastAsia="宋体" w:asciiTheme="minorHAnsi" w:hAnsiTheme="minorHAnsi" w:cstheme="minorBidi"/>
                <w:color w:val="auto"/>
                <w:kern w:val="2"/>
                <w:sz w:val="21"/>
                <w:szCs w:val="21"/>
                <w:highlight w:val="none"/>
                <w:lang w:val="en-US" w:eastAsia="zh-CN" w:bidi="ar-SA"/>
              </w:rPr>
            </w:pPr>
            <w:r>
              <w:rPr>
                <w:rFonts w:hint="eastAsia" w:eastAsia="宋体"/>
                <w:color w:val="auto"/>
                <w:highlight w:val="none"/>
                <w:lang w:val="en-US" w:eastAsia="zh-CN"/>
              </w:rPr>
              <w:t>156</w:t>
            </w:r>
          </w:p>
        </w:tc>
      </w:tr>
    </w:tbl>
    <w:p>
      <w:pPr>
        <w:pStyle w:val="4"/>
        <w:rPr>
          <w:rFonts w:ascii="Times New Roman" w:hAnsi="Times New Roman" w:eastAsia="宋体" w:cs="Times New Roman"/>
          <w:color w:val="auto"/>
          <w:sz w:val="30"/>
          <w:szCs w:val="30"/>
          <w:highlight w:val="none"/>
        </w:rPr>
      </w:pPr>
      <w:bookmarkStart w:id="150" w:name="_Toc511576356"/>
      <w:bookmarkStart w:id="151" w:name="_Toc3219"/>
      <w:bookmarkStart w:id="152" w:name="_Toc22855"/>
      <w:r>
        <w:rPr>
          <w:rFonts w:ascii="Times New Roman" w:hAnsi="Times New Roman" w:eastAsia="宋体" w:cs="Times New Roman"/>
          <w:color w:val="auto"/>
          <w:sz w:val="30"/>
          <w:szCs w:val="30"/>
          <w:highlight w:val="none"/>
        </w:rPr>
        <w:t>七、矿区土地复垦监测和管护</w:t>
      </w:r>
      <w:bookmarkEnd w:id="150"/>
      <w:bookmarkEnd w:id="151"/>
      <w:bookmarkEnd w:id="152"/>
    </w:p>
    <w:p>
      <w:pPr>
        <w:pStyle w:val="5"/>
        <w:rPr>
          <w:rFonts w:ascii="Times New Roman" w:hAnsi="Times New Roman" w:eastAsia="宋体" w:cs="Times New Roman"/>
          <w:color w:val="auto"/>
          <w:sz w:val="28"/>
          <w:szCs w:val="28"/>
          <w:highlight w:val="none"/>
        </w:rPr>
      </w:pPr>
      <w:bookmarkStart w:id="153" w:name="_Toc10719"/>
      <w:r>
        <w:rPr>
          <w:rFonts w:ascii="Times New Roman" w:hAnsi="Times New Roman" w:eastAsia="宋体" w:cs="Times New Roman"/>
          <w:color w:val="auto"/>
          <w:sz w:val="28"/>
          <w:szCs w:val="28"/>
          <w:highlight w:val="none"/>
        </w:rPr>
        <w:t>（一）目标任务</w:t>
      </w:r>
      <w:bookmarkEnd w:id="153"/>
    </w:p>
    <w:p>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1、监测目标任务</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本方案监测以巡视监测为主，监测主要包括以下任务：</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1）原始地形信息。工程建设导致地形地貌发生变化，为了更好地与原始地形进行对比，需在开采前对原始地形进行监测。</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2）土地利用状况。要保留原始的土地利用状况信息，以便对后期的变化进行追踪对比研究，主要是土地利用数据。</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3）土壤信息。包括土壤类型，以及土壤的各种理化性质等信息。</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4）耕地权属信息。采集复垦区占用的耕地情况和地籍信息，为占补平衡提供依据。</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5）损毁监测。包括实际损毁的面积、地类、损毁类型和损毁程度等，监测挖损区域是否会有落石、垮塌现象出现。</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6）复垦效果进行监测。复垦后耕地情况、植被恢复情况及复垦配套设施监测。</w:t>
      </w:r>
    </w:p>
    <w:p>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2、管护目标任务</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工程是基础，管理是关键。土地复垦项目的工程设施应加强后期管护。项目通过验收后，农业部门要加强对新增耕地质量建设的服务与管理工作。</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矿山在实施复垦后，复垦后的工程设施由复垦义务人进行管护，明确管护该段设施的责任人，复垦义务人应落实具体人员负责定期对</w:t>
      </w:r>
      <w:r>
        <w:rPr>
          <w:rFonts w:hint="eastAsia" w:ascii="仿宋" w:hAnsi="仿宋" w:eastAsia="仿宋" w:cs="仿宋"/>
          <w:color w:val="auto"/>
          <w:sz w:val="28"/>
          <w:szCs w:val="28"/>
          <w:highlight w:val="none"/>
          <w:lang w:eastAsia="zh-CN"/>
        </w:rPr>
        <w:t>各处</w:t>
      </w:r>
      <w:r>
        <w:rPr>
          <w:rFonts w:hint="eastAsia" w:ascii="仿宋" w:hAnsi="仿宋" w:eastAsia="仿宋" w:cs="仿宋"/>
          <w:color w:val="auto"/>
          <w:sz w:val="28"/>
          <w:szCs w:val="28"/>
          <w:highlight w:val="none"/>
        </w:rPr>
        <w:t>的管护情况进行监测，遇管护不力、不当等情况应及时处理。要确保项目农田水利设施、林网、道路等基础设施完好，不断改善农业生产条件，提高耕地地力水平。</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植被管护针对乔木树苗种植后进行管护。管护的主要任务为做好管护工作和抚育工作，精细管理，保证栽种的成活率，死苗要及时补种。树木栽种后，及时浇水灌溉，特别是在幼苗的保苗期和干旱、高温季节多浇水，保证苗木不受损；新造幼林要封育，严禁放牧，并对病虫害及缺肥症状进行观察、记录，一旦发现，立即采取喷农药或施肥等相应措施。抚育管护：造林当年需用稻草等覆盖物遮护裸露地表，防止雨水对地表冲刷，影响苗木成活。9月除草培土1次，雨季补植；次年和第三年各除草培土1次；防火，防病虫害，防牲畜和</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en-US" w:eastAsia="zh-CN"/>
        </w:rPr>
        <w:t>为</w:t>
      </w:r>
      <w:r>
        <w:rPr>
          <w:rFonts w:hint="eastAsia" w:ascii="仿宋" w:hAnsi="仿宋" w:eastAsia="仿宋" w:cs="仿宋"/>
          <w:color w:val="auto"/>
          <w:sz w:val="28"/>
          <w:szCs w:val="28"/>
          <w:highlight w:val="none"/>
        </w:rPr>
        <w:t>损害。管护过程中，采取补植补造，保证造林的保存率和成活率在85%以上，验收时植被覆盖率达到70%以上。</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复垦区域，土壤质量往往较低，达不到优良耕地要求。因此对复垦土壤质量进行改良，在复垦后增加有机肥，以提高土壤肥力和土壤质量。</w:t>
      </w:r>
    </w:p>
    <w:p>
      <w:pPr>
        <w:pStyle w:val="5"/>
        <w:rPr>
          <w:rFonts w:ascii="Times New Roman" w:hAnsi="Times New Roman" w:eastAsia="宋体" w:cs="Times New Roman"/>
          <w:bCs/>
          <w:color w:val="auto"/>
          <w:sz w:val="28"/>
          <w:szCs w:val="28"/>
          <w:highlight w:val="none"/>
        </w:rPr>
      </w:pPr>
      <w:bookmarkStart w:id="154" w:name="_Toc23394"/>
      <w:r>
        <w:rPr>
          <w:rFonts w:ascii="Times New Roman" w:hAnsi="Times New Roman" w:eastAsia="宋体" w:cs="Times New Roman"/>
          <w:bCs/>
          <w:color w:val="auto"/>
          <w:sz w:val="28"/>
          <w:szCs w:val="28"/>
          <w:highlight w:val="none"/>
        </w:rPr>
        <w:t>（二）措施和内容</w:t>
      </w:r>
      <w:bookmarkEnd w:id="154"/>
    </w:p>
    <w:p>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1、监测工程措施</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1、监测措施设计</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本方案监测以巡视监测为主，监测按照6次/年，设计监测年限为</w:t>
      </w: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年。主要包括以下内容：</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1）原始地形信息。工程建设导致地形地貌发生变化，为了更好地与原始地形进行对比，需在开采同时对原始地形进行监测。</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2）土地利用状况。要保留原始的土地利用状况信息，以便对后期的变化进行追踪对比研究，主要是土地利用数据。</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3）土壤信息。包括土壤类型，以及土壤的各种理化性质等信息。</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4）耕地权属信息。采集复垦区占用的耕地情况和地籍信息，为占补平衡提供依据。</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5）损毁监测。包括实际损毁的面积、地类、损毁类型和损毁程度等，监测挖损区域是否会有落石、垮塌现象出现。</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6）复垦效果进行监测。复垦后植被恢复情况及复垦配套设施监测。</w:t>
      </w:r>
    </w:p>
    <w:p>
      <w:pPr>
        <w:adjustRightInd w:val="0"/>
        <w:snapToGrid w:val="0"/>
        <w:ind w:firstLine="210" w:firstLineChars="100"/>
        <w:jc w:val="center"/>
        <w:rPr>
          <w:rFonts w:eastAsia="宋体"/>
          <w:b/>
          <w:color w:val="auto"/>
          <w:highlight w:val="none"/>
        </w:rPr>
      </w:pPr>
      <w:r>
        <w:rPr>
          <w:rFonts w:eastAsia="宋体"/>
          <w:b/>
          <w:color w:val="auto"/>
          <w:highlight w:val="none"/>
        </w:rPr>
        <w:t>表5-</w:t>
      </w:r>
      <w:r>
        <w:rPr>
          <w:rFonts w:hint="eastAsia" w:eastAsia="宋体"/>
          <w:b/>
          <w:color w:val="auto"/>
          <w:highlight w:val="none"/>
          <w:lang w:val="en-US" w:eastAsia="zh-CN"/>
        </w:rPr>
        <w:t>9</w:t>
      </w:r>
      <w:r>
        <w:rPr>
          <w:rFonts w:eastAsia="宋体"/>
          <w:b/>
          <w:color w:val="auto"/>
          <w:highlight w:val="none"/>
        </w:rPr>
        <w:t xml:space="preserve">   土地复垦巡视监测工程量表</w:t>
      </w:r>
    </w:p>
    <w:tbl>
      <w:tblPr>
        <w:tblStyle w:val="23"/>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1276"/>
        <w:gridCol w:w="127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644" w:type="dxa"/>
            <w:vAlign w:val="center"/>
          </w:tcPr>
          <w:p>
            <w:pPr>
              <w:adjustRightInd w:val="0"/>
              <w:snapToGrid w:val="0"/>
              <w:jc w:val="center"/>
              <w:rPr>
                <w:rFonts w:eastAsia="宋体"/>
                <w:color w:val="auto"/>
                <w:highlight w:val="none"/>
              </w:rPr>
            </w:pPr>
            <w:r>
              <w:rPr>
                <w:rFonts w:eastAsia="宋体"/>
                <w:color w:val="auto"/>
                <w:highlight w:val="none"/>
              </w:rPr>
              <w:t>监测内容</w:t>
            </w:r>
          </w:p>
        </w:tc>
        <w:tc>
          <w:tcPr>
            <w:tcW w:w="1276" w:type="dxa"/>
            <w:vAlign w:val="center"/>
          </w:tcPr>
          <w:p>
            <w:pPr>
              <w:adjustRightInd w:val="0"/>
              <w:snapToGrid w:val="0"/>
              <w:jc w:val="center"/>
              <w:rPr>
                <w:rFonts w:eastAsia="宋体"/>
                <w:color w:val="auto"/>
                <w:highlight w:val="none"/>
              </w:rPr>
            </w:pPr>
            <w:r>
              <w:rPr>
                <w:rFonts w:eastAsia="宋体"/>
                <w:color w:val="auto"/>
                <w:highlight w:val="none"/>
              </w:rPr>
              <w:t>监测频率</w:t>
            </w:r>
          </w:p>
        </w:tc>
        <w:tc>
          <w:tcPr>
            <w:tcW w:w="1276" w:type="dxa"/>
            <w:vAlign w:val="center"/>
          </w:tcPr>
          <w:p>
            <w:pPr>
              <w:adjustRightInd w:val="0"/>
              <w:snapToGrid w:val="0"/>
              <w:jc w:val="center"/>
              <w:rPr>
                <w:rFonts w:eastAsia="宋体"/>
                <w:color w:val="auto"/>
                <w:highlight w:val="none"/>
              </w:rPr>
            </w:pPr>
            <w:r>
              <w:rPr>
                <w:rFonts w:eastAsia="宋体"/>
                <w:color w:val="auto"/>
                <w:highlight w:val="none"/>
              </w:rPr>
              <w:t>监测年限</w:t>
            </w:r>
          </w:p>
        </w:tc>
        <w:tc>
          <w:tcPr>
            <w:tcW w:w="1275" w:type="dxa"/>
            <w:vAlign w:val="center"/>
          </w:tcPr>
          <w:p>
            <w:pPr>
              <w:adjustRightInd w:val="0"/>
              <w:snapToGrid w:val="0"/>
              <w:jc w:val="center"/>
              <w:rPr>
                <w:rFonts w:eastAsia="宋体"/>
                <w:color w:val="auto"/>
                <w:highlight w:val="none"/>
              </w:rPr>
            </w:pPr>
            <w:r>
              <w:rPr>
                <w:rFonts w:eastAsia="宋体"/>
                <w:color w:val="auto"/>
                <w:highlight w:val="none"/>
              </w:rPr>
              <w:t>监测次数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644" w:type="dxa"/>
            <w:vAlign w:val="center"/>
          </w:tcPr>
          <w:p>
            <w:pPr>
              <w:adjustRightInd w:val="0"/>
              <w:snapToGrid w:val="0"/>
              <w:jc w:val="center"/>
              <w:rPr>
                <w:rFonts w:eastAsia="宋体"/>
                <w:color w:val="auto"/>
                <w:highlight w:val="none"/>
              </w:rPr>
            </w:pPr>
            <w:r>
              <w:rPr>
                <w:rFonts w:eastAsia="宋体"/>
                <w:color w:val="auto"/>
                <w:highlight w:val="none"/>
              </w:rPr>
              <w:t>原始地形信息、土地利用状况、土壤信息和耕地权属信息、土地损毁监测、复垦效果监测</w:t>
            </w:r>
          </w:p>
        </w:tc>
        <w:tc>
          <w:tcPr>
            <w:tcW w:w="1276" w:type="dxa"/>
            <w:vAlign w:val="center"/>
          </w:tcPr>
          <w:p>
            <w:pPr>
              <w:adjustRightInd w:val="0"/>
              <w:snapToGrid w:val="0"/>
              <w:jc w:val="center"/>
              <w:rPr>
                <w:rFonts w:eastAsia="宋体"/>
                <w:color w:val="auto"/>
                <w:highlight w:val="none"/>
              </w:rPr>
            </w:pPr>
            <w:r>
              <w:rPr>
                <w:rFonts w:eastAsia="宋体"/>
                <w:color w:val="auto"/>
                <w:highlight w:val="none"/>
              </w:rPr>
              <w:t>6次/年</w:t>
            </w:r>
          </w:p>
        </w:tc>
        <w:tc>
          <w:tcPr>
            <w:tcW w:w="1276" w:type="dxa"/>
            <w:vAlign w:val="center"/>
          </w:tcPr>
          <w:p>
            <w:pPr>
              <w:adjustRightInd w:val="0"/>
              <w:snapToGrid w:val="0"/>
              <w:jc w:val="center"/>
              <w:rPr>
                <w:rFonts w:eastAsia="宋体"/>
                <w:color w:val="auto"/>
                <w:highlight w:val="none"/>
              </w:rPr>
            </w:pPr>
            <w:r>
              <w:rPr>
                <w:rFonts w:hint="eastAsia" w:eastAsia="宋体"/>
                <w:color w:val="auto"/>
                <w:highlight w:val="none"/>
                <w:lang w:val="en-US" w:eastAsia="zh-CN"/>
              </w:rPr>
              <w:t>13</w:t>
            </w:r>
            <w:r>
              <w:rPr>
                <w:rFonts w:hint="eastAsia" w:eastAsia="宋体"/>
                <w:color w:val="auto"/>
                <w:highlight w:val="none"/>
              </w:rPr>
              <w:t>年</w:t>
            </w:r>
          </w:p>
        </w:tc>
        <w:tc>
          <w:tcPr>
            <w:tcW w:w="1275" w:type="dxa"/>
            <w:vAlign w:val="center"/>
          </w:tcPr>
          <w:p>
            <w:pPr>
              <w:adjustRightInd w:val="0"/>
              <w:snapToGrid w:val="0"/>
              <w:jc w:val="center"/>
              <w:rPr>
                <w:rFonts w:hint="default" w:eastAsia="宋体"/>
                <w:color w:val="auto"/>
                <w:highlight w:val="none"/>
                <w:lang w:val="en-US" w:eastAsia="zh-CN"/>
              </w:rPr>
            </w:pPr>
            <w:r>
              <w:rPr>
                <w:rFonts w:hint="eastAsia" w:eastAsia="宋体"/>
                <w:color w:val="auto"/>
                <w:highlight w:val="none"/>
                <w:lang w:val="en-US" w:eastAsia="zh-CN"/>
              </w:rPr>
              <w:t>78</w:t>
            </w:r>
          </w:p>
        </w:tc>
      </w:tr>
    </w:tbl>
    <w:p>
      <w:pPr>
        <w:adjustRightInd w:val="0"/>
        <w:snapToGrid w:val="0"/>
        <w:spacing w:line="360" w:lineRule="auto"/>
        <w:ind w:firstLine="480" w:firstLineChars="200"/>
        <w:rPr>
          <w:rFonts w:ascii="Times New Roman" w:hAnsi="Times New Roman" w:eastAsia="宋体" w:cs="Times New Roman"/>
          <w:color w:val="auto"/>
          <w:sz w:val="24"/>
          <w:highlight w:val="none"/>
        </w:rPr>
      </w:pPr>
    </w:p>
    <w:p>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2、管护工程措施</w:t>
      </w:r>
    </w:p>
    <w:p>
      <w:pPr>
        <w:pStyle w:val="54"/>
        <w:ind w:firstLine="560" w:firstLineChars="200"/>
        <w:rPr>
          <w:rFonts w:hint="eastAsia" w:ascii="仿宋" w:hAnsi="仿宋" w:eastAsia="仿宋" w:cs="仿宋"/>
          <w:color w:val="auto"/>
          <w:sz w:val="28"/>
          <w:szCs w:val="28"/>
          <w:highlight w:val="none"/>
        </w:rPr>
      </w:pPr>
      <w:r>
        <w:rPr>
          <w:rFonts w:hint="eastAsia" w:ascii="仿宋" w:hAnsi="仿宋" w:eastAsia="仿宋" w:cs="仿宋"/>
          <w:bCs w:val="0"/>
          <w:color w:val="auto"/>
          <w:sz w:val="28"/>
          <w:szCs w:val="28"/>
          <w:highlight w:val="none"/>
          <w:lang w:val="en-US" w:eastAsia="zh-CN"/>
        </w:rPr>
        <w:t>1</w:t>
      </w:r>
      <w:r>
        <w:rPr>
          <w:rFonts w:hint="eastAsia" w:ascii="仿宋" w:hAnsi="仿宋" w:eastAsia="仿宋" w:cs="仿宋"/>
          <w:bCs w:val="0"/>
          <w:color w:val="auto"/>
          <w:sz w:val="28"/>
          <w:szCs w:val="28"/>
          <w:highlight w:val="none"/>
        </w:rPr>
        <w:t>）工程管护：定期查看修筑工程是否有损坏，如排水</w:t>
      </w:r>
      <w:r>
        <w:rPr>
          <w:rFonts w:hint="eastAsia" w:ascii="仿宋" w:hAnsi="仿宋" w:eastAsia="仿宋" w:cs="仿宋"/>
          <w:bCs w:val="0"/>
          <w:color w:val="auto"/>
          <w:sz w:val="28"/>
          <w:szCs w:val="28"/>
          <w:highlight w:val="none"/>
          <w:lang w:val="en-US" w:eastAsia="zh-CN"/>
        </w:rPr>
        <w:t>沟</w:t>
      </w:r>
      <w:r>
        <w:rPr>
          <w:rFonts w:hint="eastAsia" w:ascii="仿宋" w:hAnsi="仿宋" w:eastAsia="仿宋" w:cs="仿宋"/>
          <w:bCs w:val="0"/>
          <w:color w:val="auto"/>
          <w:sz w:val="28"/>
          <w:szCs w:val="28"/>
          <w:highlight w:val="none"/>
        </w:rPr>
        <w:t>断裂，无法排水。发现修筑工程在使用过程中出现的不良问题，及时采取补救措施，使修筑的工程能够正常运转，发挥其功效。管护频率为4次/年，管护年限为3年。</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）植被管护</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对复垦为乔木林地、其他草地区域，复垦后主要为植被管护。植被管护针对</w:t>
      </w:r>
      <w:r>
        <w:rPr>
          <w:rFonts w:hint="eastAsia" w:ascii="仿宋" w:hAnsi="仿宋" w:eastAsia="仿宋" w:cs="仿宋"/>
          <w:color w:val="auto"/>
          <w:sz w:val="28"/>
          <w:szCs w:val="28"/>
          <w:highlight w:val="none"/>
          <w:lang w:eastAsia="zh-CN"/>
        </w:rPr>
        <w:t>树木</w:t>
      </w:r>
      <w:r>
        <w:rPr>
          <w:rFonts w:hint="eastAsia" w:ascii="仿宋" w:hAnsi="仿宋" w:eastAsia="仿宋" w:cs="仿宋"/>
          <w:color w:val="auto"/>
          <w:sz w:val="28"/>
          <w:szCs w:val="28"/>
          <w:highlight w:val="none"/>
        </w:rPr>
        <w:t>、葛藤树苗种植后进行管护。管护的主要任务为做好管护工作和抚育工作，精细管理，保证栽种的成活率，死苗要及时补种。树木栽种后，及时浇水灌溉，特别是在幼苗的保苗期和干旱、高温季节多浇水，保证苗木不受损；新造幼林要封育，严禁放牧，并对病虫害及缺肥症状进行观察、记录，一旦发现，立即采取喷农药或施肥等相应措施。管护频率为12次/年，管护年限为3年。</w:t>
      </w:r>
    </w:p>
    <w:p>
      <w:pPr>
        <w:adjustRightInd w:val="0"/>
        <w:snapToGrid w:val="0"/>
        <w:ind w:firstLine="210" w:firstLineChars="100"/>
        <w:jc w:val="center"/>
        <w:rPr>
          <w:rFonts w:eastAsia="宋体"/>
          <w:b/>
          <w:color w:val="auto"/>
          <w:highlight w:val="none"/>
        </w:rPr>
      </w:pPr>
      <w:r>
        <w:rPr>
          <w:rFonts w:eastAsia="宋体"/>
          <w:b/>
          <w:color w:val="auto"/>
          <w:highlight w:val="none"/>
        </w:rPr>
        <w:t>表5-</w:t>
      </w:r>
      <w:r>
        <w:rPr>
          <w:rFonts w:hint="eastAsia" w:eastAsia="宋体"/>
          <w:b/>
          <w:color w:val="auto"/>
          <w:highlight w:val="none"/>
          <w:lang w:val="en-US" w:eastAsia="zh-CN"/>
        </w:rPr>
        <w:t>10</w:t>
      </w:r>
      <w:r>
        <w:rPr>
          <w:rFonts w:eastAsia="宋体"/>
          <w:b/>
          <w:color w:val="auto"/>
          <w:highlight w:val="none"/>
        </w:rPr>
        <w:t xml:space="preserve">  土地复垦管护工程量表</w:t>
      </w:r>
    </w:p>
    <w:tbl>
      <w:tblPr>
        <w:tblStyle w:val="23"/>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92"/>
        <w:gridCol w:w="2112"/>
        <w:gridCol w:w="1393"/>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1" w:type="dxa"/>
            <w:vAlign w:val="center"/>
          </w:tcPr>
          <w:p>
            <w:pPr>
              <w:adjustRightInd w:val="0"/>
              <w:snapToGrid w:val="0"/>
              <w:jc w:val="center"/>
              <w:rPr>
                <w:rFonts w:eastAsia="宋体"/>
                <w:color w:val="auto"/>
                <w:highlight w:val="none"/>
              </w:rPr>
            </w:pPr>
            <w:r>
              <w:rPr>
                <w:rFonts w:eastAsia="宋体"/>
                <w:color w:val="auto"/>
                <w:highlight w:val="none"/>
              </w:rPr>
              <w:t>编号</w:t>
            </w:r>
          </w:p>
        </w:tc>
        <w:tc>
          <w:tcPr>
            <w:tcW w:w="1092" w:type="dxa"/>
            <w:vAlign w:val="center"/>
          </w:tcPr>
          <w:p>
            <w:pPr>
              <w:adjustRightInd w:val="0"/>
              <w:snapToGrid w:val="0"/>
              <w:jc w:val="center"/>
              <w:rPr>
                <w:rFonts w:eastAsia="宋体"/>
                <w:color w:val="auto"/>
                <w:highlight w:val="none"/>
              </w:rPr>
            </w:pPr>
            <w:r>
              <w:rPr>
                <w:rFonts w:eastAsia="宋体"/>
                <w:color w:val="auto"/>
                <w:highlight w:val="none"/>
              </w:rPr>
              <w:t>内容</w:t>
            </w:r>
          </w:p>
        </w:tc>
        <w:tc>
          <w:tcPr>
            <w:tcW w:w="2112" w:type="dxa"/>
            <w:vAlign w:val="center"/>
          </w:tcPr>
          <w:p>
            <w:pPr>
              <w:adjustRightInd w:val="0"/>
              <w:snapToGrid w:val="0"/>
              <w:jc w:val="center"/>
              <w:rPr>
                <w:rFonts w:eastAsia="宋体"/>
                <w:color w:val="auto"/>
                <w:highlight w:val="none"/>
              </w:rPr>
            </w:pPr>
            <w:r>
              <w:rPr>
                <w:rFonts w:eastAsia="宋体"/>
                <w:color w:val="auto"/>
                <w:highlight w:val="none"/>
              </w:rPr>
              <w:t>频率/标准</w:t>
            </w:r>
          </w:p>
        </w:tc>
        <w:tc>
          <w:tcPr>
            <w:tcW w:w="1393" w:type="dxa"/>
            <w:vAlign w:val="center"/>
          </w:tcPr>
          <w:p>
            <w:pPr>
              <w:adjustRightInd w:val="0"/>
              <w:snapToGrid w:val="0"/>
              <w:jc w:val="center"/>
              <w:rPr>
                <w:rFonts w:eastAsia="宋体"/>
                <w:color w:val="auto"/>
                <w:highlight w:val="none"/>
              </w:rPr>
            </w:pPr>
            <w:r>
              <w:rPr>
                <w:rFonts w:eastAsia="宋体"/>
                <w:color w:val="auto"/>
                <w:highlight w:val="none"/>
              </w:rPr>
              <w:t>年限/面积（hm</w:t>
            </w:r>
            <w:r>
              <w:rPr>
                <w:rFonts w:eastAsia="宋体"/>
                <w:color w:val="auto"/>
                <w:highlight w:val="none"/>
                <w:vertAlign w:val="superscript"/>
              </w:rPr>
              <w:t>2</w:t>
            </w:r>
            <w:r>
              <w:rPr>
                <w:rFonts w:eastAsia="宋体"/>
                <w:color w:val="auto"/>
                <w:highlight w:val="none"/>
              </w:rPr>
              <w:t>）</w:t>
            </w:r>
          </w:p>
        </w:tc>
        <w:tc>
          <w:tcPr>
            <w:tcW w:w="3086" w:type="dxa"/>
            <w:vAlign w:val="center"/>
          </w:tcPr>
          <w:p>
            <w:pPr>
              <w:adjustRightInd w:val="0"/>
              <w:snapToGrid w:val="0"/>
              <w:jc w:val="center"/>
              <w:rPr>
                <w:rFonts w:eastAsia="宋体"/>
                <w:color w:val="auto"/>
                <w:highlight w:val="none"/>
              </w:rPr>
            </w:pPr>
            <w:r>
              <w:rPr>
                <w:rFonts w:eastAsia="宋体"/>
                <w:color w:val="auto"/>
                <w:highlight w:val="none"/>
              </w:rPr>
              <w:t>监测次数（次）/培肥面积（hm</w:t>
            </w:r>
            <w:r>
              <w:rPr>
                <w:rFonts w:eastAsia="宋体"/>
                <w:color w:val="auto"/>
                <w:highlight w:val="none"/>
                <w:vertAlign w:val="superscript"/>
              </w:rPr>
              <w:t>2</w:t>
            </w:r>
            <w:r>
              <w:rPr>
                <w:rFonts w:eastAsia="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11" w:type="dxa"/>
            <w:vAlign w:val="center"/>
          </w:tcPr>
          <w:p>
            <w:pPr>
              <w:adjustRightInd w:val="0"/>
              <w:snapToGrid w:val="0"/>
              <w:jc w:val="center"/>
              <w:rPr>
                <w:rFonts w:eastAsia="宋体"/>
                <w:color w:val="auto"/>
                <w:highlight w:val="none"/>
              </w:rPr>
            </w:pPr>
            <w:r>
              <w:rPr>
                <w:rFonts w:eastAsia="宋体"/>
                <w:color w:val="auto"/>
                <w:highlight w:val="none"/>
              </w:rPr>
              <w:t>1</w:t>
            </w:r>
          </w:p>
        </w:tc>
        <w:tc>
          <w:tcPr>
            <w:tcW w:w="1092" w:type="dxa"/>
            <w:vAlign w:val="center"/>
          </w:tcPr>
          <w:p>
            <w:pPr>
              <w:adjustRightInd w:val="0"/>
              <w:snapToGrid w:val="0"/>
              <w:jc w:val="center"/>
              <w:rPr>
                <w:rFonts w:hint="default" w:eastAsia="宋体"/>
                <w:color w:val="auto"/>
                <w:highlight w:val="none"/>
                <w:lang w:val="en-US" w:eastAsia="zh-CN"/>
              </w:rPr>
            </w:pPr>
            <w:r>
              <w:rPr>
                <w:rFonts w:hint="eastAsia" w:eastAsia="宋体"/>
                <w:color w:val="auto"/>
                <w:highlight w:val="none"/>
                <w:lang w:val="en-US" w:eastAsia="zh-CN"/>
              </w:rPr>
              <w:t>工程管护</w:t>
            </w:r>
          </w:p>
        </w:tc>
        <w:tc>
          <w:tcPr>
            <w:tcW w:w="2112" w:type="dxa"/>
            <w:vAlign w:val="center"/>
          </w:tcPr>
          <w:p>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hint="eastAsia" w:eastAsia="宋体"/>
                <w:color w:val="auto"/>
                <w:highlight w:val="none"/>
                <w:lang w:val="en-US" w:eastAsia="zh-CN"/>
              </w:rPr>
              <w:t>4</w:t>
            </w:r>
            <w:r>
              <w:rPr>
                <w:rFonts w:eastAsia="宋体"/>
                <w:color w:val="auto"/>
                <w:highlight w:val="none"/>
              </w:rPr>
              <w:t>次/年</w:t>
            </w:r>
          </w:p>
        </w:tc>
        <w:tc>
          <w:tcPr>
            <w:tcW w:w="1393" w:type="dxa"/>
            <w:vAlign w:val="center"/>
          </w:tcPr>
          <w:p>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3</w:t>
            </w:r>
          </w:p>
        </w:tc>
        <w:tc>
          <w:tcPr>
            <w:tcW w:w="3086" w:type="dxa"/>
            <w:vAlign w:val="center"/>
          </w:tcPr>
          <w:p>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hint="eastAsia" w:eastAsia="宋体"/>
                <w:color w:val="auto"/>
                <w:highlight w:val="none"/>
                <w:lang w:val="en-US" w:eastAsia="zh-CN"/>
              </w:rPr>
              <w:t>12</w:t>
            </w:r>
            <w:r>
              <w:rPr>
                <w:rFonts w:eastAsia="宋体"/>
                <w:color w:val="auto"/>
                <w:highlight w:val="none"/>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11" w:type="dxa"/>
            <w:vAlign w:val="center"/>
          </w:tcPr>
          <w:p>
            <w:pPr>
              <w:adjustRightInd w:val="0"/>
              <w:snapToGrid w:val="0"/>
              <w:jc w:val="center"/>
              <w:rPr>
                <w:rFonts w:eastAsia="宋体"/>
                <w:color w:val="auto"/>
                <w:highlight w:val="none"/>
              </w:rPr>
            </w:pPr>
            <w:r>
              <w:rPr>
                <w:rFonts w:hint="eastAsia" w:eastAsia="宋体"/>
                <w:color w:val="auto"/>
                <w:highlight w:val="none"/>
              </w:rPr>
              <w:t>2</w:t>
            </w:r>
          </w:p>
        </w:tc>
        <w:tc>
          <w:tcPr>
            <w:tcW w:w="1092" w:type="dxa"/>
            <w:vAlign w:val="center"/>
          </w:tcPr>
          <w:p>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植被管护</w:t>
            </w:r>
          </w:p>
        </w:tc>
        <w:tc>
          <w:tcPr>
            <w:tcW w:w="2112" w:type="dxa"/>
            <w:vAlign w:val="center"/>
          </w:tcPr>
          <w:p>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12次/年</w:t>
            </w:r>
          </w:p>
        </w:tc>
        <w:tc>
          <w:tcPr>
            <w:tcW w:w="1393" w:type="dxa"/>
            <w:vAlign w:val="center"/>
          </w:tcPr>
          <w:p>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3</w:t>
            </w:r>
          </w:p>
        </w:tc>
        <w:tc>
          <w:tcPr>
            <w:tcW w:w="3086" w:type="dxa"/>
            <w:vAlign w:val="center"/>
          </w:tcPr>
          <w:p>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36次</w:t>
            </w:r>
          </w:p>
        </w:tc>
      </w:tr>
    </w:tbl>
    <w:p>
      <w:pPr>
        <w:pStyle w:val="2"/>
        <w:rPr>
          <w:color w:val="auto"/>
        </w:rPr>
      </w:pPr>
    </w:p>
    <w:p>
      <w:pPr>
        <w:pStyle w:val="14"/>
        <w:spacing w:line="360" w:lineRule="auto"/>
        <w:ind w:firstLine="0" w:firstLineChars="0"/>
        <w:rPr>
          <w:rFonts w:ascii="Times New Roman" w:hAnsi="Times New Roman" w:eastAsia="宋体" w:cs="Times New Roman"/>
          <w:color w:val="auto"/>
          <w:highlight w:val="none"/>
        </w:rPr>
      </w:pPr>
    </w:p>
    <w:p>
      <w:pPr>
        <w:rPr>
          <w:rFonts w:ascii="Times New Roman" w:hAnsi="Times New Roman" w:eastAsia="宋体" w:cs="Times New Roman"/>
          <w:color w:val="auto"/>
          <w:highlight w:val="none"/>
        </w:rPr>
        <w:sectPr>
          <w:pgSz w:w="11906" w:h="16838"/>
          <w:pgMar w:top="1440" w:right="1800" w:bottom="1440" w:left="1800" w:header="851" w:footer="992" w:gutter="0"/>
          <w:cols w:space="425" w:num="1"/>
          <w:docGrid w:type="lines" w:linePitch="312" w:charSpace="0"/>
        </w:sectPr>
      </w:pPr>
    </w:p>
    <w:p>
      <w:pPr>
        <w:pStyle w:val="3"/>
        <w:spacing w:line="360" w:lineRule="auto"/>
        <w:jc w:val="center"/>
        <w:rPr>
          <w:rFonts w:ascii="Times New Roman" w:hAnsi="Times New Roman" w:eastAsia="宋体" w:cs="Times New Roman"/>
          <w:color w:val="auto"/>
          <w:sz w:val="32"/>
          <w:szCs w:val="32"/>
          <w:highlight w:val="none"/>
        </w:rPr>
      </w:pPr>
      <w:bookmarkStart w:id="155" w:name="_Toc29136"/>
      <w:r>
        <w:rPr>
          <w:rFonts w:ascii="Times New Roman" w:hAnsi="Times New Roman" w:eastAsia="宋体" w:cs="Times New Roman"/>
          <w:color w:val="auto"/>
          <w:sz w:val="32"/>
          <w:szCs w:val="32"/>
          <w:highlight w:val="none"/>
        </w:rPr>
        <w:t>第6章  矿山地质环境治理与土地复垦工作部署</w:t>
      </w:r>
      <w:bookmarkEnd w:id="155"/>
    </w:p>
    <w:p>
      <w:pPr>
        <w:pStyle w:val="4"/>
        <w:rPr>
          <w:rFonts w:ascii="Times New Roman" w:hAnsi="Times New Roman" w:eastAsia="宋体" w:cs="Times New Roman"/>
          <w:color w:val="auto"/>
          <w:sz w:val="30"/>
          <w:szCs w:val="30"/>
          <w:highlight w:val="none"/>
        </w:rPr>
      </w:pPr>
      <w:bookmarkStart w:id="156" w:name="_Toc511576358"/>
      <w:bookmarkStart w:id="157" w:name="_Toc62071905"/>
      <w:bookmarkStart w:id="158" w:name="_Toc6159"/>
      <w:r>
        <w:rPr>
          <w:rFonts w:ascii="Times New Roman" w:hAnsi="Times New Roman" w:eastAsia="宋体" w:cs="Times New Roman"/>
          <w:color w:val="auto"/>
          <w:sz w:val="30"/>
          <w:szCs w:val="30"/>
          <w:highlight w:val="none"/>
        </w:rPr>
        <w:t>一、总体工作部署</w:t>
      </w:r>
      <w:bookmarkEnd w:id="156"/>
      <w:bookmarkEnd w:id="157"/>
      <w:bookmarkEnd w:id="158"/>
    </w:p>
    <w:p>
      <w:pPr>
        <w:snapToGrid w:val="0"/>
        <w:spacing w:line="360" w:lineRule="auto"/>
        <w:ind w:firstLine="560" w:firstLineChars="200"/>
        <w:rPr>
          <w:rStyle w:val="60"/>
          <w:rFonts w:hint="eastAsia" w:ascii="仿宋" w:hAnsi="仿宋" w:eastAsia="仿宋" w:cs="仿宋"/>
          <w:color w:val="auto"/>
          <w:sz w:val="28"/>
          <w:szCs w:val="28"/>
          <w:highlight w:val="none"/>
        </w:rPr>
      </w:pPr>
      <w:bookmarkStart w:id="159" w:name="_Toc511576359"/>
      <w:r>
        <w:rPr>
          <w:rStyle w:val="60"/>
          <w:rFonts w:hint="eastAsia" w:ascii="仿宋" w:hAnsi="仿宋" w:eastAsia="仿宋" w:cs="仿宋"/>
          <w:color w:val="auto"/>
          <w:sz w:val="28"/>
          <w:szCs w:val="28"/>
          <w:highlight w:val="none"/>
        </w:rPr>
        <w:t>矿山地质环境保护与土地复垦工作，既要统筹兼顾全面部署，又要结合实际、突出重点，采取科学、经济、合理的方法，分轻重缓急逐步完成。时间上，矿山地质环境保护及恢复治理与土地复垦应尽量同矿山生产建设同步进行；在空间布局上，根据矿山地质环境问题类型的不同，采取不同的措施进行治理。</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该矿山为新建矿山，根据《大英县浅垭子砖瓦用页岩矿勘查报告》</w:t>
      </w:r>
      <w:r>
        <w:rPr>
          <w:rFonts w:hint="eastAsia" w:ascii="仿宋" w:hAnsi="仿宋" w:eastAsia="仿宋" w:cs="仿宋"/>
          <w:color w:val="auto"/>
          <w:sz w:val="28"/>
          <w:szCs w:val="28"/>
          <w:highlight w:val="none"/>
        </w:rPr>
        <w:t>矿山服务年限为</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年。本方案设计矿山闭坑后的恢复治理和土地复垦施工期1年，后续工程监测与管护期3年，确定本方案服务年限</w:t>
      </w: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自矿山投产开始计算。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由于生产项目建设过程中各项指标易于变化，因此随着生产的进行，本项目因其生产建设规模、用地规模及地点、采用的生产工艺等容易发生变化而使现有方案无法指导后期复垦，矿权人应重新编制方案，其实施计划也将一同调整。如果生产规模、生产工艺等变化不大，但由于方案服务年限较长，土地损毁面积、位置等往往会与最初编制</w:t>
      </w:r>
      <w:r>
        <w:rPr>
          <w:rFonts w:hint="eastAsia" w:ascii="仿宋" w:hAnsi="仿宋" w:eastAsia="仿宋" w:cs="仿宋"/>
          <w:color w:val="auto"/>
          <w:sz w:val="28"/>
          <w:szCs w:val="28"/>
          <w:highlight w:val="none"/>
          <w:lang w:eastAsia="zh-CN"/>
        </w:rPr>
        <w:t>的方</w:t>
      </w:r>
      <w:r>
        <w:rPr>
          <w:rFonts w:hint="eastAsia" w:ascii="仿宋" w:hAnsi="仿宋" w:eastAsia="仿宋" w:cs="仿宋"/>
          <w:color w:val="auto"/>
          <w:sz w:val="28"/>
          <w:szCs w:val="28"/>
          <w:highlight w:val="none"/>
        </w:rPr>
        <w:t>案存在一定差异，矿权人应及时调整方案实施计划。</w:t>
      </w:r>
    </w:p>
    <w:p>
      <w:pPr>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次工作根据矿山生产对土地资源破坏的预测评估结果，在技术可行、经济合理的条件下，针对土地损毁的具体情况，分别采取土地平整、土地翻耕等工程治理措施对评估区土地进行恢复治理；布设监测工程，及时掌握评估区内地质灾害等情况。</w:t>
      </w:r>
    </w:p>
    <w:p>
      <w:pPr>
        <w:pStyle w:val="4"/>
        <w:rPr>
          <w:rFonts w:ascii="Times New Roman" w:hAnsi="Times New Roman" w:eastAsia="宋体" w:cs="Times New Roman"/>
          <w:color w:val="auto"/>
          <w:sz w:val="30"/>
          <w:szCs w:val="30"/>
          <w:highlight w:val="none"/>
        </w:rPr>
      </w:pPr>
      <w:bookmarkStart w:id="160" w:name="_Toc62071906"/>
      <w:bookmarkStart w:id="161" w:name="_Toc26987"/>
      <w:r>
        <w:rPr>
          <w:rFonts w:ascii="Times New Roman" w:hAnsi="Times New Roman" w:eastAsia="宋体" w:cs="Times New Roman"/>
          <w:color w:val="auto"/>
          <w:sz w:val="30"/>
          <w:szCs w:val="30"/>
          <w:highlight w:val="none"/>
        </w:rPr>
        <w:t>二</w:t>
      </w:r>
      <w:r>
        <w:rPr>
          <w:rFonts w:hint="eastAsia" w:ascii="Times New Roman" w:hAnsi="Times New Roman" w:eastAsia="宋体" w:cs="Times New Roman"/>
          <w:color w:val="auto"/>
          <w:sz w:val="30"/>
          <w:szCs w:val="30"/>
          <w:highlight w:val="none"/>
          <w:lang w:eastAsia="zh-CN"/>
        </w:rPr>
        <w:t>、本</w:t>
      </w:r>
      <w:r>
        <w:rPr>
          <w:rFonts w:ascii="Times New Roman" w:hAnsi="Times New Roman" w:eastAsia="宋体" w:cs="Times New Roman"/>
          <w:color w:val="auto"/>
          <w:sz w:val="30"/>
          <w:szCs w:val="30"/>
          <w:highlight w:val="none"/>
        </w:rPr>
        <w:t>阶段实施计划</w:t>
      </w:r>
      <w:bookmarkEnd w:id="159"/>
      <w:bookmarkEnd w:id="160"/>
      <w:bookmarkEnd w:id="161"/>
    </w:p>
    <w:p>
      <w:pPr>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根据土地复垦方案编制规程，结合矿山实际情况，对矿山地质环境恢复治理进行分期部署，本方案的编制服务年限为</w:t>
      </w: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年。为确保矿区及周边区域居民生活、生产安全，并尽快恢复治理其生态环境，按照规划先行的原则，结合本区土地规划，编制适合本矿山的地质环境保护与恢复治理计划。根据矿山“开发利用方案</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安全设施设计”矿山开发顺序、矿山地质环境问题类型，按照轻重缓急、分阶段实施的原则，对矿山地质环境治理恢复工作进行部署。</w:t>
      </w:r>
    </w:p>
    <w:p>
      <w:pPr>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第一阶段：</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年（生产期）：主要解决矿山地质环境现存问题，针对采矿活动的影响，对矿山开发过程中做好矿山地质环境保护；崩塌、滑坡、地面塌陷及地裂缝等灾害隐患防治工作，做好日常监测</w:t>
      </w:r>
      <w:r>
        <w:rPr>
          <w:rFonts w:hint="eastAsia" w:ascii="仿宋" w:hAnsi="仿宋" w:eastAsia="仿宋" w:cs="仿宋"/>
          <w:color w:val="auto"/>
          <w:sz w:val="28"/>
          <w:szCs w:val="28"/>
          <w:highlight w:val="none"/>
          <w:lang w:eastAsia="zh-CN"/>
        </w:rPr>
        <w:t>警示</w:t>
      </w:r>
      <w:r>
        <w:rPr>
          <w:rFonts w:hint="eastAsia" w:ascii="仿宋" w:hAnsi="仿宋" w:eastAsia="仿宋" w:cs="仿宋"/>
          <w:color w:val="auto"/>
          <w:sz w:val="28"/>
          <w:szCs w:val="28"/>
          <w:highlight w:val="none"/>
        </w:rPr>
        <w:t>工作；局部进行生态环境恢复，对损毁未利用的土地进行治理。矿山开采工程实行边开采、边恢复，该阶段主要对已开采台阶进行清理、临时裸露区域遮盖、植被恢复工作。</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第二阶段：</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年（施工期），复垦施工期（1年），矿山采矿结束后1年内，全面实施矿山恢复治理的工作，针对矿山开采情况，</w:t>
      </w:r>
      <w:r>
        <w:rPr>
          <w:rFonts w:hint="eastAsia" w:ascii="仿宋" w:hAnsi="仿宋" w:eastAsia="仿宋" w:cs="仿宋"/>
          <w:color w:val="auto"/>
          <w:sz w:val="28"/>
          <w:szCs w:val="28"/>
          <w:highlight w:val="none"/>
          <w:lang w:eastAsia="zh-CN"/>
        </w:rPr>
        <w:t>全面</w:t>
      </w:r>
      <w:r>
        <w:rPr>
          <w:rFonts w:hint="eastAsia" w:ascii="仿宋" w:hAnsi="仿宋" w:eastAsia="仿宋" w:cs="仿宋"/>
          <w:color w:val="auto"/>
          <w:sz w:val="28"/>
          <w:szCs w:val="28"/>
          <w:highlight w:val="none"/>
        </w:rPr>
        <w:t>制定适合矿山的恢复治理实施方案；全面完成矿山恢复治理和土地复垦工程的实施，完成对植被恢复及土地复垦的监测、边坡稳定性监测等，对矿山开采所产生的边坡及环境问题，进行全部、彻底</w:t>
      </w:r>
      <w:r>
        <w:rPr>
          <w:rFonts w:hint="eastAsia" w:ascii="仿宋" w:hAnsi="仿宋" w:eastAsia="仿宋" w:cs="仿宋"/>
          <w:color w:val="auto"/>
          <w:sz w:val="28"/>
          <w:szCs w:val="28"/>
          <w:highlight w:val="none"/>
          <w:lang w:eastAsia="zh-CN"/>
        </w:rPr>
        <w:t>的</w:t>
      </w:r>
      <w:r>
        <w:rPr>
          <w:rFonts w:hint="eastAsia" w:ascii="仿宋" w:hAnsi="仿宋" w:eastAsia="仿宋" w:cs="仿宋"/>
          <w:color w:val="auto"/>
          <w:sz w:val="28"/>
          <w:szCs w:val="28"/>
          <w:highlight w:val="none"/>
        </w:rPr>
        <w:t>治理和绿化，使整个矿区生态环境得到明显改善和重建。</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rPr>
        <w:t>阶段：</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年（管护期），矿山地质环境保护与复垦工程结束后3年内，对已复垦</w:t>
      </w:r>
      <w:r>
        <w:rPr>
          <w:rFonts w:hint="eastAsia" w:ascii="仿宋" w:hAnsi="仿宋" w:eastAsia="仿宋" w:cs="仿宋"/>
          <w:color w:val="auto"/>
          <w:sz w:val="28"/>
          <w:szCs w:val="28"/>
          <w:highlight w:val="none"/>
          <w:lang w:val="en-US" w:eastAsia="zh-CN"/>
        </w:rPr>
        <w:t>耕地区域进行土地培肥，复垦</w:t>
      </w:r>
      <w:r>
        <w:rPr>
          <w:rFonts w:hint="eastAsia" w:ascii="仿宋" w:hAnsi="仿宋" w:eastAsia="仿宋" w:cs="仿宋"/>
          <w:color w:val="auto"/>
          <w:sz w:val="28"/>
          <w:szCs w:val="28"/>
          <w:highlight w:val="none"/>
        </w:rPr>
        <w:t>林地、草地区域进行管护补种，对项目区工程进行管护，并对采区边坡、复垦工程区进行监测。详情见表6-1。</w:t>
      </w:r>
    </w:p>
    <w:p>
      <w:pPr>
        <w:jc w:val="center"/>
        <w:rPr>
          <w:rFonts w:eastAsia="新宋体"/>
          <w:b/>
          <w:color w:val="auto"/>
          <w:highlight w:val="none"/>
        </w:rPr>
      </w:pPr>
      <w:r>
        <w:rPr>
          <w:rFonts w:eastAsia="新宋体"/>
          <w:b/>
          <w:color w:val="auto"/>
          <w:highlight w:val="none"/>
        </w:rPr>
        <w:t>表6-1    矿山各阶段（年度）恢复治理工程量汇总表</w:t>
      </w:r>
    </w:p>
    <w:tbl>
      <w:tblPr>
        <w:tblStyle w:val="23"/>
        <w:tblW w:w="4997" w:type="pct"/>
        <w:jc w:val="center"/>
        <w:tblLayout w:type="autofit"/>
        <w:tblCellMar>
          <w:top w:w="0" w:type="dxa"/>
          <w:left w:w="108" w:type="dxa"/>
          <w:bottom w:w="0" w:type="dxa"/>
          <w:right w:w="108" w:type="dxa"/>
        </w:tblCellMar>
      </w:tblPr>
      <w:tblGrid>
        <w:gridCol w:w="1088"/>
        <w:gridCol w:w="1665"/>
        <w:gridCol w:w="5764"/>
      </w:tblGrid>
      <w:tr>
        <w:tblPrEx>
          <w:tblCellMar>
            <w:top w:w="0" w:type="dxa"/>
            <w:left w:w="108" w:type="dxa"/>
            <w:bottom w:w="0" w:type="dxa"/>
            <w:right w:w="108" w:type="dxa"/>
          </w:tblCellMar>
        </w:tblPrEx>
        <w:trPr>
          <w:trHeight w:val="319" w:hRule="atLeast"/>
          <w:jc w:val="center"/>
        </w:trPr>
        <w:tc>
          <w:tcPr>
            <w:tcW w:w="1616"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时间</w:t>
            </w:r>
          </w:p>
        </w:tc>
        <w:tc>
          <w:tcPr>
            <w:tcW w:w="3383"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工作计划</w:t>
            </w:r>
          </w:p>
        </w:tc>
      </w:tr>
      <w:tr>
        <w:tblPrEx>
          <w:tblCellMar>
            <w:top w:w="0" w:type="dxa"/>
            <w:left w:w="108" w:type="dxa"/>
            <w:bottom w:w="0" w:type="dxa"/>
            <w:right w:w="108" w:type="dxa"/>
          </w:tblCellMar>
        </w:tblPrEx>
        <w:trPr>
          <w:trHeight w:val="289" w:hRule="atLeast"/>
          <w:jc w:val="center"/>
        </w:trPr>
        <w:tc>
          <w:tcPr>
            <w:tcW w:w="63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阶段</w:t>
            </w:r>
          </w:p>
        </w:tc>
        <w:tc>
          <w:tcPr>
            <w:tcW w:w="97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年</w:t>
            </w:r>
          </w:p>
        </w:tc>
        <w:tc>
          <w:tcPr>
            <w:tcW w:w="3383"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auto"/>
                <w:highlight w:val="none"/>
              </w:rPr>
            </w:pPr>
          </w:p>
        </w:tc>
      </w:tr>
      <w:tr>
        <w:tblPrEx>
          <w:tblCellMar>
            <w:top w:w="0" w:type="dxa"/>
            <w:left w:w="108" w:type="dxa"/>
            <w:bottom w:w="0" w:type="dxa"/>
            <w:right w:w="108" w:type="dxa"/>
          </w:tblCellMar>
        </w:tblPrEx>
        <w:trPr>
          <w:trHeight w:val="1249" w:hRule="atLeast"/>
          <w:jc w:val="center"/>
        </w:trPr>
        <w:tc>
          <w:tcPr>
            <w:tcW w:w="639"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 xml:space="preserve">第一阶段生产期 </w:t>
            </w:r>
            <w:r>
              <w:rPr>
                <w:rFonts w:hint="eastAsia" w:eastAsia="宋体"/>
                <w:color w:val="auto"/>
                <w:kern w:val="0"/>
                <w:highlight w:val="none"/>
                <w:lang w:eastAsia="zh-CN" w:bidi="ar"/>
              </w:rPr>
              <w:t>（</w:t>
            </w:r>
            <w:r>
              <w:rPr>
                <w:rFonts w:hint="eastAsia" w:eastAsia="宋体"/>
                <w:color w:val="auto"/>
                <w:kern w:val="0"/>
                <w:highlight w:val="none"/>
                <w:lang w:bidi="ar"/>
              </w:rPr>
              <w:t>3.2</w:t>
            </w:r>
            <w:r>
              <w:rPr>
                <w:rFonts w:eastAsia="宋体"/>
                <w:color w:val="auto"/>
                <w:kern w:val="0"/>
                <w:highlight w:val="none"/>
                <w:lang w:bidi="ar"/>
              </w:rPr>
              <w:t>年</w:t>
            </w:r>
            <w:r>
              <w:rPr>
                <w:rFonts w:hint="eastAsia" w:eastAsia="宋体"/>
                <w:color w:val="auto"/>
                <w:kern w:val="0"/>
                <w:highlight w:val="none"/>
                <w:lang w:eastAsia="zh-CN" w:bidi="ar"/>
              </w:rPr>
              <w:t>）</w:t>
            </w:r>
          </w:p>
        </w:tc>
        <w:tc>
          <w:tcPr>
            <w:tcW w:w="976"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kern w:val="0"/>
                <w:highlight w:val="none"/>
                <w:lang w:bidi="ar"/>
              </w:rPr>
            </w:pPr>
            <w:r>
              <w:rPr>
                <w:rFonts w:eastAsia="宋体"/>
                <w:color w:val="auto"/>
                <w:kern w:val="0"/>
                <w:highlight w:val="none"/>
                <w:lang w:bidi="ar"/>
              </w:rPr>
              <w:t>生产期</w:t>
            </w:r>
          </w:p>
          <w:p>
            <w:pPr>
              <w:widowControl/>
              <w:jc w:val="center"/>
              <w:textAlignment w:val="center"/>
              <w:rPr>
                <w:rFonts w:hint="default" w:eastAsia="宋体"/>
                <w:color w:val="auto"/>
                <w:highlight w:val="none"/>
                <w:lang w:val="en-US" w:eastAsia="zh-CN"/>
              </w:rPr>
            </w:pPr>
            <w:r>
              <w:rPr>
                <w:rFonts w:eastAsia="宋体"/>
                <w:color w:val="auto"/>
                <w:kern w:val="0"/>
                <w:highlight w:val="none"/>
                <w:lang w:bidi="ar"/>
              </w:rPr>
              <w:t>（</w:t>
            </w:r>
            <w:r>
              <w:rPr>
                <w:rFonts w:hint="eastAsia" w:eastAsia="宋体"/>
                <w:color w:val="auto"/>
                <w:kern w:val="0"/>
                <w:highlight w:val="none"/>
                <w:lang w:val="en-US" w:eastAsia="zh-CN" w:bidi="ar"/>
              </w:rPr>
              <w:t>9</w:t>
            </w:r>
            <w:r>
              <w:rPr>
                <w:rFonts w:eastAsia="宋体"/>
                <w:color w:val="auto"/>
                <w:kern w:val="0"/>
                <w:highlight w:val="none"/>
                <w:lang w:bidi="ar"/>
              </w:rPr>
              <w:t>）</w:t>
            </w:r>
          </w:p>
        </w:tc>
        <w:tc>
          <w:tcPr>
            <w:tcW w:w="3383"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eastAsia="宋体"/>
                <w:color w:val="auto"/>
                <w:highlight w:val="none"/>
              </w:rPr>
            </w:pPr>
            <w:r>
              <w:rPr>
                <w:rFonts w:eastAsia="宋体"/>
                <w:color w:val="auto"/>
                <w:kern w:val="0"/>
                <w:highlight w:val="none"/>
                <w:lang w:bidi="ar"/>
              </w:rPr>
              <w:t>①地质环境保护工程：对开采完毕的台阶进行边坡修整，修整面积</w:t>
            </w:r>
            <w:r>
              <w:rPr>
                <w:rFonts w:hint="eastAsia" w:eastAsia="宋体"/>
                <w:color w:val="auto"/>
                <w:kern w:val="0"/>
                <w:highlight w:val="none"/>
                <w:lang w:val="en-US" w:eastAsia="zh-CN" w:bidi="ar"/>
              </w:rPr>
              <w:t>3.98</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设置安全警示牌</w:t>
            </w:r>
            <w:r>
              <w:rPr>
                <w:rFonts w:hint="eastAsia" w:eastAsia="宋体"/>
                <w:color w:val="auto"/>
                <w:kern w:val="0"/>
                <w:highlight w:val="none"/>
                <w:lang w:bidi="ar"/>
              </w:rPr>
              <w:t>10</w:t>
            </w:r>
            <w:r>
              <w:rPr>
                <w:rFonts w:eastAsia="宋体"/>
                <w:color w:val="auto"/>
                <w:kern w:val="0"/>
                <w:highlight w:val="none"/>
                <w:lang w:bidi="ar"/>
              </w:rPr>
              <w:t>张</w:t>
            </w:r>
            <w:r>
              <w:rPr>
                <w:rFonts w:hint="eastAsia" w:eastAsia="宋体"/>
                <w:color w:val="auto"/>
                <w:kern w:val="0"/>
                <w:highlight w:val="none"/>
                <w:lang w:bidi="ar"/>
              </w:rPr>
              <w:t>。</w:t>
            </w:r>
            <w:r>
              <w:rPr>
                <w:rFonts w:eastAsia="宋体"/>
                <w:color w:val="auto"/>
                <w:kern w:val="0"/>
                <w:highlight w:val="none"/>
                <w:lang w:bidi="ar"/>
              </w:rPr>
              <w:t>巡视监测</w:t>
            </w:r>
            <w:r>
              <w:rPr>
                <w:rFonts w:hint="eastAsia" w:eastAsia="宋体"/>
                <w:color w:val="auto"/>
                <w:kern w:val="0"/>
                <w:highlight w:val="none"/>
                <w:lang w:val="en-US" w:eastAsia="zh-CN" w:bidi="ar"/>
              </w:rPr>
              <w:t>108</w:t>
            </w:r>
            <w:r>
              <w:rPr>
                <w:rFonts w:eastAsia="宋体"/>
                <w:color w:val="auto"/>
                <w:kern w:val="0"/>
                <w:highlight w:val="none"/>
                <w:lang w:bidi="ar"/>
              </w:rPr>
              <w:t>点.次，地灾简易监测</w:t>
            </w:r>
            <w:r>
              <w:rPr>
                <w:rFonts w:hint="eastAsia" w:eastAsia="宋体"/>
                <w:color w:val="auto"/>
                <w:kern w:val="0"/>
                <w:highlight w:val="none"/>
                <w:lang w:val="en-US" w:eastAsia="zh-CN" w:bidi="ar"/>
              </w:rPr>
              <w:t>192</w:t>
            </w:r>
            <w:r>
              <w:rPr>
                <w:rFonts w:eastAsia="宋体"/>
                <w:color w:val="auto"/>
                <w:kern w:val="0"/>
                <w:highlight w:val="none"/>
                <w:lang w:bidi="ar"/>
              </w:rPr>
              <w:t>点.次。</w:t>
            </w:r>
          </w:p>
        </w:tc>
      </w:tr>
      <w:tr>
        <w:trPr>
          <w:trHeight w:val="1207" w:hRule="atLeast"/>
          <w:jc w:val="center"/>
        </w:trPr>
        <w:tc>
          <w:tcPr>
            <w:tcW w:w="639"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eastAsia="宋体"/>
                <w:color w:val="auto"/>
                <w:highlight w:val="none"/>
              </w:rPr>
            </w:pPr>
          </w:p>
        </w:tc>
        <w:tc>
          <w:tcPr>
            <w:tcW w:w="976"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eastAsia="宋体"/>
                <w:color w:val="auto"/>
                <w:highlight w:val="none"/>
              </w:rPr>
            </w:pPr>
          </w:p>
        </w:tc>
        <w:tc>
          <w:tcPr>
            <w:tcW w:w="3383" w:type="pct"/>
            <w:tcBorders>
              <w:top w:val="single" w:color="000000" w:sz="4" w:space="0"/>
              <w:left w:val="single" w:color="000000" w:sz="4" w:space="0"/>
              <w:bottom w:val="single" w:color="auto" w:sz="4" w:space="0"/>
              <w:right w:val="single" w:color="000000" w:sz="4" w:space="0"/>
            </w:tcBorders>
            <w:vAlign w:val="center"/>
          </w:tcPr>
          <w:p>
            <w:pPr>
              <w:widowControl/>
              <w:textAlignment w:val="center"/>
              <w:rPr>
                <w:rFonts w:eastAsia="宋体"/>
                <w:color w:val="auto"/>
                <w:highlight w:val="none"/>
              </w:rPr>
            </w:pPr>
            <w:r>
              <w:rPr>
                <w:rFonts w:eastAsia="宋体"/>
                <w:color w:val="auto"/>
                <w:kern w:val="0"/>
                <w:highlight w:val="none"/>
                <w:lang w:bidi="ar"/>
              </w:rPr>
              <w:t>②土地复垦工程：</w:t>
            </w:r>
            <w:r>
              <w:rPr>
                <w:rFonts w:hint="eastAsia" w:eastAsia="宋体"/>
                <w:color w:val="auto"/>
                <w:kern w:val="0"/>
                <w:highlight w:val="none"/>
                <w:lang w:val="en-US" w:eastAsia="zh-CN" w:bidi="ar"/>
              </w:rPr>
              <w:t>在矿山开采过程中，应对矿山开采边坡及时进行矿山修复工作，坚持边开采，边修复的原则</w:t>
            </w:r>
            <w:r>
              <w:rPr>
                <w:rFonts w:hint="eastAsia" w:eastAsia="宋体"/>
                <w:color w:val="auto"/>
                <w:kern w:val="0"/>
                <w:highlight w:val="none"/>
                <w:lang w:bidi="ar"/>
              </w:rPr>
              <w:t>。</w:t>
            </w:r>
            <w:r>
              <w:rPr>
                <w:rFonts w:eastAsia="宋体"/>
                <w:color w:val="auto"/>
                <w:kern w:val="0"/>
                <w:highlight w:val="none"/>
                <w:lang w:bidi="ar"/>
              </w:rPr>
              <w:t>土地损毁情况及复垦效果监测</w:t>
            </w:r>
            <w:r>
              <w:rPr>
                <w:rFonts w:hint="eastAsia" w:eastAsia="宋体"/>
                <w:color w:val="auto"/>
                <w:kern w:val="0"/>
                <w:highlight w:val="none"/>
                <w:lang w:val="en-US" w:eastAsia="zh-CN" w:bidi="ar"/>
              </w:rPr>
              <w:t>36</w:t>
            </w:r>
            <w:r>
              <w:rPr>
                <w:rFonts w:eastAsia="宋体"/>
                <w:color w:val="auto"/>
                <w:kern w:val="0"/>
                <w:highlight w:val="none"/>
                <w:lang w:bidi="ar"/>
              </w:rPr>
              <w:t>点.次。</w:t>
            </w:r>
          </w:p>
        </w:tc>
      </w:tr>
      <w:tr>
        <w:tblPrEx>
          <w:tblCellMar>
            <w:top w:w="0" w:type="dxa"/>
            <w:left w:w="108" w:type="dxa"/>
            <w:bottom w:w="0" w:type="dxa"/>
            <w:right w:w="108" w:type="dxa"/>
          </w:tblCellMar>
        </w:tblPrEx>
        <w:trPr>
          <w:trHeight w:val="1849" w:hRule="atLeast"/>
          <w:jc w:val="center"/>
        </w:trPr>
        <w:tc>
          <w:tcPr>
            <w:tcW w:w="639" w:type="pct"/>
            <w:vMerge w:val="restart"/>
            <w:tcBorders>
              <w:top w:val="single" w:color="auto" w:sz="4" w:space="0"/>
              <w:left w:val="single" w:color="auto" w:sz="4" w:space="0"/>
              <w:right w:val="single" w:color="auto" w:sz="4" w:space="0"/>
            </w:tcBorders>
            <w:vAlign w:val="center"/>
          </w:tcPr>
          <w:p>
            <w:pPr>
              <w:jc w:val="center"/>
              <w:rPr>
                <w:rFonts w:hint="eastAsia" w:eastAsia="宋体"/>
                <w:color w:val="auto"/>
                <w:kern w:val="0"/>
                <w:highlight w:val="none"/>
                <w:lang w:bidi="ar"/>
              </w:rPr>
            </w:pPr>
            <w:r>
              <w:rPr>
                <w:rFonts w:eastAsia="宋体"/>
                <w:color w:val="auto"/>
                <w:kern w:val="0"/>
                <w:highlight w:val="none"/>
                <w:lang w:bidi="ar"/>
              </w:rPr>
              <w:t>第</w:t>
            </w:r>
            <w:r>
              <w:rPr>
                <w:rFonts w:hint="eastAsia" w:eastAsia="宋体"/>
                <w:color w:val="auto"/>
                <w:kern w:val="0"/>
                <w:highlight w:val="none"/>
                <w:lang w:bidi="ar"/>
              </w:rPr>
              <w:t>二</w:t>
            </w:r>
            <w:r>
              <w:rPr>
                <w:rFonts w:eastAsia="宋体"/>
                <w:color w:val="auto"/>
                <w:kern w:val="0"/>
                <w:highlight w:val="none"/>
                <w:lang w:bidi="ar"/>
              </w:rPr>
              <w:t>阶段</w:t>
            </w:r>
            <w:r>
              <w:rPr>
                <w:rFonts w:hint="eastAsia" w:eastAsia="宋体"/>
                <w:color w:val="auto"/>
                <w:kern w:val="0"/>
                <w:highlight w:val="none"/>
                <w:lang w:bidi="ar"/>
              </w:rPr>
              <w:t>施工期</w:t>
            </w:r>
          </w:p>
          <w:p>
            <w:pPr>
              <w:jc w:val="center"/>
              <w:rPr>
                <w:rFonts w:eastAsia="宋体"/>
                <w:color w:val="auto"/>
                <w:kern w:val="0"/>
                <w:highlight w:val="none"/>
                <w:lang w:bidi="ar"/>
              </w:rPr>
            </w:pPr>
            <w:r>
              <w:rPr>
                <w:rFonts w:hint="eastAsia" w:eastAsia="宋体"/>
                <w:color w:val="auto"/>
                <w:kern w:val="0"/>
                <w:highlight w:val="none"/>
                <w:lang w:eastAsia="zh-CN" w:bidi="ar"/>
              </w:rPr>
              <w:t>（</w:t>
            </w:r>
            <w:r>
              <w:rPr>
                <w:rFonts w:hint="eastAsia" w:eastAsia="宋体"/>
                <w:color w:val="auto"/>
                <w:kern w:val="0"/>
                <w:highlight w:val="none"/>
                <w:lang w:val="en-US" w:eastAsia="zh-CN" w:bidi="ar"/>
              </w:rPr>
              <w:t>1</w:t>
            </w:r>
            <w:r>
              <w:rPr>
                <w:rFonts w:eastAsia="宋体"/>
                <w:color w:val="auto"/>
                <w:kern w:val="0"/>
                <w:highlight w:val="none"/>
                <w:lang w:bidi="ar"/>
              </w:rPr>
              <w:t>年</w:t>
            </w:r>
            <w:r>
              <w:rPr>
                <w:rFonts w:hint="eastAsia" w:eastAsia="宋体"/>
                <w:color w:val="auto"/>
                <w:kern w:val="0"/>
                <w:highlight w:val="none"/>
                <w:lang w:eastAsia="zh-CN" w:bidi="ar"/>
              </w:rPr>
              <w:t>）</w:t>
            </w:r>
          </w:p>
        </w:tc>
        <w:tc>
          <w:tcPr>
            <w:tcW w:w="976"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eastAsia="宋体"/>
                <w:color w:val="auto"/>
                <w:highlight w:val="none"/>
                <w:lang w:val="en-US" w:eastAsia="zh-CN"/>
              </w:rPr>
            </w:pPr>
            <w:r>
              <w:rPr>
                <w:rFonts w:eastAsia="宋体"/>
                <w:color w:val="auto"/>
                <w:kern w:val="0"/>
                <w:highlight w:val="none"/>
                <w:lang w:bidi="ar"/>
              </w:rPr>
              <w:t>（施工期</w:t>
            </w:r>
            <w:r>
              <w:rPr>
                <w:rFonts w:hint="eastAsia" w:eastAsia="宋体"/>
                <w:color w:val="auto"/>
                <w:kern w:val="0"/>
                <w:highlight w:val="none"/>
                <w:lang w:bidi="ar"/>
              </w:rPr>
              <w:t>1年</w:t>
            </w:r>
            <w:r>
              <w:rPr>
                <w:rFonts w:eastAsia="宋体"/>
                <w:color w:val="auto"/>
                <w:kern w:val="0"/>
                <w:highlight w:val="none"/>
                <w:lang w:bidi="ar"/>
              </w:rPr>
              <w:t>）</w:t>
            </w:r>
          </w:p>
        </w:tc>
        <w:tc>
          <w:tcPr>
            <w:tcW w:w="3383"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eastAsia="宋体"/>
                <w:color w:val="auto"/>
                <w:highlight w:val="none"/>
              </w:rPr>
            </w:pPr>
            <w:r>
              <w:rPr>
                <w:rFonts w:eastAsia="宋体"/>
                <w:color w:val="auto"/>
                <w:kern w:val="0"/>
                <w:highlight w:val="none"/>
                <w:lang w:bidi="ar"/>
              </w:rPr>
              <w:t>土地复垦工程：平整场地，覆表土、植被恢复</w:t>
            </w:r>
            <w:r>
              <w:rPr>
                <w:rFonts w:hint="eastAsia" w:eastAsia="宋体"/>
                <w:color w:val="auto"/>
                <w:kern w:val="0"/>
                <w:highlight w:val="none"/>
                <w:lang w:eastAsia="zh-CN" w:bidi="ar"/>
              </w:rPr>
              <w:t>、</w:t>
            </w:r>
            <w:r>
              <w:rPr>
                <w:rFonts w:hint="eastAsia" w:eastAsia="宋体"/>
                <w:color w:val="auto"/>
                <w:kern w:val="0"/>
                <w:highlight w:val="none"/>
                <w:lang w:val="en-US" w:eastAsia="zh-CN" w:bidi="ar"/>
              </w:rPr>
              <w:t>配套工程</w:t>
            </w:r>
            <w:r>
              <w:rPr>
                <w:rFonts w:eastAsia="宋体"/>
                <w:color w:val="auto"/>
                <w:kern w:val="0"/>
                <w:highlight w:val="none"/>
                <w:lang w:bidi="ar"/>
              </w:rPr>
              <w:t>等措施；恢复</w:t>
            </w:r>
            <w:r>
              <w:rPr>
                <w:rFonts w:hint="eastAsia" w:eastAsia="宋体"/>
                <w:color w:val="auto"/>
                <w:kern w:val="0"/>
                <w:highlight w:val="none"/>
                <w:lang w:bidi="ar"/>
              </w:rPr>
              <w:t>乔木林地面积</w:t>
            </w:r>
            <w:r>
              <w:rPr>
                <w:rFonts w:hint="eastAsia" w:eastAsia="宋体"/>
                <w:color w:val="auto"/>
                <w:kern w:val="0"/>
                <w:highlight w:val="none"/>
                <w:lang w:val="en-US" w:eastAsia="zh-CN" w:bidi="ar"/>
              </w:rPr>
              <w:t>1.98</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、草地面积</w:t>
            </w:r>
            <w:r>
              <w:rPr>
                <w:rFonts w:hint="eastAsia" w:eastAsia="宋体"/>
                <w:color w:val="auto"/>
                <w:kern w:val="0"/>
                <w:highlight w:val="none"/>
                <w:lang w:val="en-US" w:eastAsia="zh-CN" w:bidi="ar"/>
              </w:rPr>
              <w:t>1.91</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土壤培肥</w:t>
            </w:r>
            <w:r>
              <w:rPr>
                <w:rFonts w:hint="eastAsia" w:eastAsia="宋体"/>
                <w:color w:val="auto"/>
                <w:kern w:val="0"/>
                <w:highlight w:val="none"/>
                <w:lang w:val="en-US" w:eastAsia="zh-CN" w:bidi="ar"/>
              </w:rPr>
              <w:t>5.73</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、栽种</w:t>
            </w:r>
            <w:r>
              <w:rPr>
                <w:rFonts w:hint="eastAsia" w:eastAsia="宋体"/>
                <w:color w:val="auto"/>
                <w:kern w:val="0"/>
                <w:highlight w:val="none"/>
                <w:lang w:val="en-US" w:eastAsia="zh-CN" w:bidi="ar"/>
              </w:rPr>
              <w:t>树木2476</w:t>
            </w:r>
            <w:r>
              <w:rPr>
                <w:rFonts w:hint="eastAsia" w:eastAsia="宋体"/>
                <w:color w:val="auto"/>
                <w:kern w:val="0"/>
                <w:highlight w:val="none"/>
                <w:lang w:bidi="ar"/>
              </w:rPr>
              <w:t>株</w:t>
            </w:r>
            <w:r>
              <w:rPr>
                <w:rFonts w:hint="eastAsia" w:eastAsia="宋体"/>
                <w:color w:val="auto"/>
                <w:kern w:val="0"/>
                <w:highlight w:val="none"/>
                <w:lang w:val="en-US" w:eastAsia="zh-CN" w:bidi="ar"/>
              </w:rPr>
              <w:t>，</w:t>
            </w:r>
            <w:r>
              <w:rPr>
                <w:rFonts w:hint="eastAsia" w:eastAsia="宋体"/>
                <w:color w:val="auto"/>
                <w:kern w:val="0"/>
                <w:highlight w:val="none"/>
                <w:lang w:bidi="ar"/>
              </w:rPr>
              <w:t>播撒草籽</w:t>
            </w:r>
            <w:r>
              <w:rPr>
                <w:rFonts w:hint="eastAsia" w:eastAsia="宋体"/>
                <w:color w:val="auto"/>
                <w:kern w:val="0"/>
                <w:highlight w:val="none"/>
                <w:lang w:val="en-US" w:eastAsia="zh-CN" w:bidi="ar"/>
              </w:rPr>
              <w:t>1.91</w:t>
            </w:r>
            <w:r>
              <w:rPr>
                <w:rFonts w:eastAsia="宋体"/>
                <w:color w:val="auto"/>
                <w:kern w:val="0"/>
                <w:highlight w:val="none"/>
                <w:lang w:bidi="ar"/>
              </w:rPr>
              <w:t>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土地损毁情况及复垦效果监测</w:t>
            </w:r>
            <w:r>
              <w:rPr>
                <w:rFonts w:hint="eastAsia" w:eastAsia="宋体"/>
                <w:color w:val="auto"/>
                <w:kern w:val="0"/>
                <w:highlight w:val="none"/>
                <w:lang w:val="en-US" w:eastAsia="zh-CN" w:bidi="ar"/>
              </w:rPr>
              <w:t>72</w:t>
            </w:r>
            <w:r>
              <w:rPr>
                <w:rFonts w:eastAsia="宋体"/>
                <w:color w:val="auto"/>
                <w:kern w:val="0"/>
                <w:highlight w:val="none"/>
                <w:lang w:bidi="ar"/>
              </w:rPr>
              <w:t>点.次。</w:t>
            </w:r>
          </w:p>
        </w:tc>
      </w:tr>
      <w:tr>
        <w:tblPrEx>
          <w:tblCellMar>
            <w:top w:w="0" w:type="dxa"/>
            <w:left w:w="108" w:type="dxa"/>
            <w:bottom w:w="0" w:type="dxa"/>
            <w:right w:w="108" w:type="dxa"/>
          </w:tblCellMar>
        </w:tblPrEx>
        <w:trPr>
          <w:trHeight w:val="90" w:hRule="atLeast"/>
          <w:jc w:val="center"/>
        </w:trPr>
        <w:tc>
          <w:tcPr>
            <w:tcW w:w="639" w:type="pct"/>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eastAsia="宋体"/>
                <w:color w:val="auto"/>
                <w:kern w:val="0"/>
                <w:highlight w:val="none"/>
                <w:lang w:bidi="ar"/>
              </w:rPr>
            </w:pPr>
            <w:r>
              <w:rPr>
                <w:rFonts w:eastAsia="宋体"/>
                <w:color w:val="auto"/>
                <w:kern w:val="0"/>
                <w:highlight w:val="none"/>
                <w:lang w:bidi="ar"/>
              </w:rPr>
              <w:t>第</w:t>
            </w:r>
            <w:r>
              <w:rPr>
                <w:rFonts w:hint="eastAsia" w:eastAsia="宋体"/>
                <w:color w:val="auto"/>
                <w:kern w:val="0"/>
                <w:highlight w:val="none"/>
                <w:lang w:val="en-US" w:eastAsia="zh-CN" w:bidi="ar"/>
              </w:rPr>
              <w:t>三</w:t>
            </w:r>
            <w:r>
              <w:rPr>
                <w:rFonts w:eastAsia="宋体"/>
                <w:color w:val="auto"/>
                <w:kern w:val="0"/>
                <w:highlight w:val="none"/>
                <w:lang w:bidi="ar"/>
              </w:rPr>
              <w:t>阶段</w:t>
            </w:r>
            <w:r>
              <w:rPr>
                <w:rFonts w:hint="eastAsia" w:eastAsia="宋体"/>
                <w:color w:val="auto"/>
                <w:kern w:val="0"/>
                <w:highlight w:val="none"/>
                <w:lang w:bidi="ar"/>
              </w:rPr>
              <w:t>管护期</w:t>
            </w:r>
          </w:p>
          <w:p>
            <w:pPr>
              <w:widowControl/>
              <w:jc w:val="center"/>
              <w:textAlignment w:val="center"/>
              <w:rPr>
                <w:rFonts w:eastAsia="宋体"/>
                <w:color w:val="auto"/>
                <w:highlight w:val="none"/>
              </w:rPr>
            </w:pPr>
            <w:r>
              <w:rPr>
                <w:rFonts w:hint="eastAsia" w:eastAsia="宋体"/>
                <w:color w:val="auto"/>
                <w:kern w:val="0"/>
                <w:highlight w:val="none"/>
                <w:lang w:eastAsia="zh-CN" w:bidi="ar"/>
              </w:rPr>
              <w:t>（</w:t>
            </w:r>
            <w:r>
              <w:rPr>
                <w:rFonts w:hint="eastAsia" w:eastAsia="宋体"/>
                <w:color w:val="auto"/>
                <w:kern w:val="0"/>
                <w:highlight w:val="none"/>
                <w:lang w:val="en-US" w:eastAsia="zh-CN" w:bidi="ar"/>
              </w:rPr>
              <w:t>3</w:t>
            </w:r>
            <w:r>
              <w:rPr>
                <w:rFonts w:eastAsia="宋体"/>
                <w:color w:val="auto"/>
                <w:kern w:val="0"/>
                <w:highlight w:val="none"/>
                <w:lang w:bidi="ar"/>
              </w:rPr>
              <w:t>年</w:t>
            </w:r>
            <w:r>
              <w:rPr>
                <w:rFonts w:hint="eastAsia" w:eastAsia="宋体"/>
                <w:color w:val="auto"/>
                <w:kern w:val="0"/>
                <w:highlight w:val="none"/>
                <w:lang w:eastAsia="zh-CN" w:bidi="ar"/>
              </w:rPr>
              <w:t>）</w:t>
            </w:r>
          </w:p>
        </w:tc>
        <w:tc>
          <w:tcPr>
            <w:tcW w:w="976"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eastAsia="宋体"/>
                <w:color w:val="auto"/>
                <w:highlight w:val="none"/>
                <w:lang w:val="en-US" w:eastAsia="zh-CN"/>
              </w:rPr>
            </w:pPr>
            <w:r>
              <w:rPr>
                <w:rFonts w:eastAsia="宋体"/>
                <w:color w:val="auto"/>
                <w:kern w:val="0"/>
                <w:highlight w:val="none"/>
                <w:lang w:bidi="ar"/>
              </w:rPr>
              <w:t>（</w:t>
            </w:r>
            <w:r>
              <w:rPr>
                <w:rFonts w:hint="eastAsia" w:eastAsia="宋体"/>
                <w:color w:val="auto"/>
                <w:kern w:val="0"/>
                <w:highlight w:val="none"/>
                <w:lang w:bidi="ar"/>
              </w:rPr>
              <w:t>管护期3年</w:t>
            </w:r>
            <w:r>
              <w:rPr>
                <w:rFonts w:eastAsia="宋体"/>
                <w:color w:val="auto"/>
                <w:kern w:val="0"/>
                <w:highlight w:val="none"/>
                <w:lang w:bidi="ar"/>
              </w:rPr>
              <w:t>）</w:t>
            </w:r>
          </w:p>
        </w:tc>
        <w:tc>
          <w:tcPr>
            <w:tcW w:w="3383" w:type="pc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eastAsia="宋体"/>
                <w:color w:val="auto"/>
                <w:highlight w:val="none"/>
              </w:rPr>
            </w:pPr>
            <w:r>
              <w:rPr>
                <w:rFonts w:eastAsia="宋体"/>
                <w:color w:val="auto"/>
                <w:kern w:val="0"/>
                <w:highlight w:val="none"/>
                <w:lang w:bidi="ar"/>
              </w:rPr>
              <w:t>①地质环境保护工程：巡视监测</w:t>
            </w:r>
            <w:r>
              <w:rPr>
                <w:rFonts w:hint="eastAsia" w:eastAsia="宋体"/>
                <w:color w:val="auto"/>
                <w:kern w:val="0"/>
                <w:highlight w:val="none"/>
                <w:lang w:val="en-US" w:eastAsia="zh-CN" w:bidi="ar"/>
              </w:rPr>
              <w:t>36</w:t>
            </w:r>
            <w:r>
              <w:rPr>
                <w:rFonts w:eastAsia="宋体"/>
                <w:color w:val="auto"/>
                <w:kern w:val="0"/>
                <w:highlight w:val="none"/>
                <w:lang w:bidi="ar"/>
              </w:rPr>
              <w:t>点.次，地灾简易监测</w:t>
            </w:r>
            <w:r>
              <w:rPr>
                <w:rFonts w:hint="eastAsia" w:eastAsia="宋体"/>
                <w:color w:val="auto"/>
                <w:kern w:val="0"/>
                <w:highlight w:val="none"/>
                <w:lang w:val="en-US" w:eastAsia="zh-CN" w:bidi="ar"/>
              </w:rPr>
              <w:t>48</w:t>
            </w:r>
            <w:r>
              <w:rPr>
                <w:rFonts w:eastAsia="宋体"/>
                <w:color w:val="auto"/>
                <w:kern w:val="0"/>
                <w:highlight w:val="none"/>
                <w:lang w:bidi="ar"/>
              </w:rPr>
              <w:t>点.次</w:t>
            </w:r>
            <w:r>
              <w:rPr>
                <w:rFonts w:hint="eastAsia" w:eastAsia="宋体"/>
                <w:color w:val="auto"/>
                <w:kern w:val="0"/>
                <w:highlight w:val="none"/>
                <w:lang w:bidi="ar"/>
              </w:rPr>
              <w:t>。</w:t>
            </w:r>
          </w:p>
        </w:tc>
      </w:tr>
      <w:tr>
        <w:tblPrEx>
          <w:tblCellMar>
            <w:top w:w="0" w:type="dxa"/>
            <w:left w:w="108" w:type="dxa"/>
            <w:bottom w:w="0" w:type="dxa"/>
            <w:right w:w="108" w:type="dxa"/>
          </w:tblCellMar>
        </w:tblPrEx>
        <w:trPr>
          <w:trHeight w:val="591" w:hRule="atLeast"/>
          <w:jc w:val="center"/>
        </w:trPr>
        <w:tc>
          <w:tcPr>
            <w:tcW w:w="639" w:type="pct"/>
            <w:vMerge w:val="continue"/>
            <w:tcBorders>
              <w:left w:val="single" w:color="auto" w:sz="4" w:space="0"/>
              <w:bottom w:val="single" w:color="auto" w:sz="4" w:space="0"/>
              <w:right w:val="single" w:color="auto" w:sz="4" w:space="0"/>
            </w:tcBorders>
            <w:vAlign w:val="center"/>
          </w:tcPr>
          <w:p>
            <w:pPr>
              <w:jc w:val="center"/>
              <w:rPr>
                <w:rFonts w:eastAsia="宋体"/>
                <w:color w:val="auto"/>
                <w:highlight w:val="none"/>
              </w:rPr>
            </w:pPr>
          </w:p>
        </w:tc>
        <w:tc>
          <w:tcPr>
            <w:tcW w:w="97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宋体"/>
                <w:color w:val="auto"/>
                <w:highlight w:val="none"/>
              </w:rPr>
            </w:pPr>
          </w:p>
        </w:tc>
        <w:tc>
          <w:tcPr>
            <w:tcW w:w="3383" w:type="pc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eastAsia="宋体"/>
                <w:color w:val="auto"/>
                <w:highlight w:val="none"/>
              </w:rPr>
            </w:pPr>
            <w:r>
              <w:rPr>
                <w:rFonts w:eastAsia="宋体"/>
                <w:color w:val="auto"/>
                <w:kern w:val="0"/>
                <w:highlight w:val="none"/>
                <w:lang w:bidi="ar"/>
              </w:rPr>
              <w:t>②土地复垦工程：</w:t>
            </w:r>
            <w:r>
              <w:rPr>
                <w:rFonts w:hint="eastAsia" w:eastAsia="宋体"/>
                <w:color w:val="auto"/>
                <w:kern w:val="0"/>
                <w:highlight w:val="none"/>
                <w:lang w:val="en-US" w:eastAsia="zh-CN" w:bidi="ar"/>
              </w:rPr>
              <w:t>工程管护12次，</w:t>
            </w:r>
            <w:r>
              <w:rPr>
                <w:rFonts w:eastAsia="宋体"/>
                <w:color w:val="auto"/>
                <w:kern w:val="0"/>
                <w:highlight w:val="none"/>
                <w:lang w:bidi="ar"/>
              </w:rPr>
              <w:t>植被管护</w:t>
            </w:r>
            <w:r>
              <w:rPr>
                <w:rFonts w:hint="eastAsia" w:eastAsia="宋体"/>
                <w:color w:val="auto"/>
                <w:kern w:val="0"/>
                <w:highlight w:val="none"/>
                <w:lang w:bidi="ar"/>
              </w:rPr>
              <w:t>36</w:t>
            </w:r>
            <w:r>
              <w:rPr>
                <w:rFonts w:eastAsia="宋体"/>
                <w:color w:val="auto"/>
                <w:kern w:val="0"/>
                <w:highlight w:val="none"/>
                <w:lang w:bidi="ar"/>
              </w:rPr>
              <w:t>次，土壤培肥</w:t>
            </w:r>
            <w:r>
              <w:rPr>
                <w:rFonts w:hint="eastAsia" w:eastAsia="宋体"/>
                <w:color w:val="auto"/>
                <w:kern w:val="0"/>
                <w:highlight w:val="none"/>
                <w:lang w:val="en-US" w:eastAsia="zh-CN" w:bidi="ar"/>
              </w:rPr>
              <w:t>5.73</w:t>
            </w:r>
            <w:r>
              <w:rPr>
                <w:rFonts w:eastAsia="宋体"/>
                <w:color w:val="auto"/>
                <w:kern w:val="0"/>
                <w:highlight w:val="none"/>
                <w:lang w:bidi="ar"/>
              </w:rPr>
              <w:t>hm</w:t>
            </w:r>
            <w:r>
              <w:rPr>
                <w:rFonts w:eastAsia="宋体"/>
                <w:color w:val="auto"/>
                <w:kern w:val="0"/>
                <w:highlight w:val="none"/>
                <w:vertAlign w:val="superscript"/>
                <w:lang w:bidi="ar"/>
              </w:rPr>
              <w:t>2</w:t>
            </w:r>
            <w:r>
              <w:rPr>
                <w:rFonts w:eastAsia="宋体"/>
                <w:color w:val="auto"/>
                <w:kern w:val="0"/>
                <w:highlight w:val="none"/>
                <w:lang w:bidi="ar"/>
              </w:rPr>
              <w:t>。土地损毁情况及复垦效果监测</w:t>
            </w:r>
            <w:r>
              <w:rPr>
                <w:rFonts w:hint="eastAsia" w:eastAsia="宋体"/>
                <w:color w:val="auto"/>
                <w:kern w:val="0"/>
                <w:highlight w:val="none"/>
                <w:lang w:bidi="ar"/>
              </w:rPr>
              <w:t>18</w:t>
            </w:r>
            <w:r>
              <w:rPr>
                <w:rFonts w:eastAsia="宋体"/>
                <w:color w:val="auto"/>
                <w:kern w:val="0"/>
                <w:highlight w:val="none"/>
                <w:lang w:bidi="ar"/>
              </w:rPr>
              <w:t>点.次。</w:t>
            </w:r>
          </w:p>
        </w:tc>
      </w:tr>
    </w:tbl>
    <w:p>
      <w:pPr>
        <w:pStyle w:val="14"/>
        <w:spacing w:line="360" w:lineRule="auto"/>
        <w:ind w:firstLine="600"/>
        <w:jc w:val="left"/>
        <w:rPr>
          <w:rFonts w:ascii="Times New Roman" w:hAnsi="Times New Roman" w:eastAsia="宋体" w:cs="Times New Roman"/>
          <w:bCs/>
          <w:color w:val="auto"/>
          <w:sz w:val="30"/>
          <w:szCs w:val="30"/>
          <w:highlight w:val="none"/>
        </w:rPr>
      </w:pPr>
    </w:p>
    <w:p>
      <w:pPr>
        <w:rPr>
          <w:rFonts w:ascii="Times New Roman" w:hAnsi="Times New Roman" w:eastAsia="宋体" w:cs="Times New Roman"/>
          <w:bCs/>
          <w:color w:val="auto"/>
          <w:sz w:val="30"/>
          <w:szCs w:val="30"/>
          <w:highlight w:val="none"/>
        </w:rPr>
        <w:sectPr>
          <w:pgSz w:w="11906" w:h="16838"/>
          <w:pgMar w:top="1440" w:right="1800" w:bottom="1440" w:left="1800" w:header="851" w:footer="992" w:gutter="0"/>
          <w:cols w:space="425" w:num="1"/>
          <w:docGrid w:type="lines" w:linePitch="312" w:charSpace="0"/>
        </w:sectPr>
      </w:pPr>
    </w:p>
    <w:p>
      <w:pPr>
        <w:pStyle w:val="3"/>
        <w:numPr>
          <w:ilvl w:val="0"/>
          <w:numId w:val="6"/>
        </w:numPr>
        <w:spacing w:line="360" w:lineRule="auto"/>
        <w:jc w:val="center"/>
        <w:rPr>
          <w:rFonts w:ascii="Times New Roman" w:hAnsi="Times New Roman" w:eastAsia="宋体" w:cs="Times New Roman"/>
          <w:color w:val="auto"/>
          <w:sz w:val="32"/>
          <w:szCs w:val="32"/>
          <w:highlight w:val="none"/>
        </w:rPr>
      </w:pPr>
      <w:r>
        <w:rPr>
          <w:rFonts w:ascii="Times New Roman" w:hAnsi="Times New Roman" w:eastAsia="宋体" w:cs="Times New Roman"/>
          <w:color w:val="auto"/>
          <w:sz w:val="32"/>
          <w:szCs w:val="32"/>
          <w:highlight w:val="none"/>
        </w:rPr>
        <w:t xml:space="preserve"> </w:t>
      </w:r>
      <w:bookmarkStart w:id="162" w:name="_Toc26371"/>
      <w:r>
        <w:rPr>
          <w:rFonts w:ascii="Times New Roman" w:hAnsi="Times New Roman" w:eastAsia="宋体" w:cs="Times New Roman"/>
          <w:color w:val="auto"/>
          <w:sz w:val="32"/>
          <w:szCs w:val="32"/>
          <w:highlight w:val="none"/>
        </w:rPr>
        <w:t>经费估算与进度安排</w:t>
      </w:r>
      <w:bookmarkEnd w:id="162"/>
    </w:p>
    <w:p>
      <w:pPr>
        <w:pStyle w:val="4"/>
        <w:spacing w:before="120" w:after="120"/>
        <w:rPr>
          <w:rFonts w:ascii="Times New Roman" w:hAnsi="Times New Roman" w:eastAsia="宋体" w:cs="Times New Roman"/>
          <w:color w:val="auto"/>
          <w:highlight w:val="none"/>
        </w:rPr>
      </w:pPr>
      <w:bookmarkStart w:id="163" w:name="_Toc18385"/>
      <w:bookmarkStart w:id="164" w:name="_Toc511576362"/>
      <w:bookmarkStart w:id="165" w:name="_Toc8040"/>
      <w:r>
        <w:rPr>
          <w:rFonts w:ascii="Times New Roman" w:hAnsi="Times New Roman" w:eastAsia="宋体" w:cs="Times New Roman"/>
          <w:color w:val="auto"/>
          <w:highlight w:val="none"/>
        </w:rPr>
        <w:t>一、经费估算依据</w:t>
      </w:r>
      <w:bookmarkEnd w:id="163"/>
      <w:bookmarkEnd w:id="164"/>
      <w:bookmarkEnd w:id="165"/>
    </w:p>
    <w:p>
      <w:pPr>
        <w:spacing w:line="360" w:lineRule="auto"/>
        <w:ind w:firstLine="560" w:firstLineChars="200"/>
        <w:rPr>
          <w:rFonts w:ascii="Times New Roman" w:hAnsi="Times New Roman" w:cs="Times New Roman"/>
          <w:color w:val="auto"/>
          <w:highlight w:val="none"/>
        </w:rPr>
      </w:pPr>
      <w:r>
        <w:rPr>
          <w:rFonts w:hint="eastAsia" w:ascii="仿宋" w:hAnsi="仿宋" w:eastAsia="仿宋" w:cs="仿宋"/>
          <w:color w:val="auto"/>
          <w:sz w:val="28"/>
          <w:szCs w:val="28"/>
          <w:highlight w:val="none"/>
        </w:rPr>
        <w:t>本项目估算为初步设计阶段，估算依据国家、省（市）颁布的有关</w:t>
      </w:r>
      <w:r>
        <w:rPr>
          <w:rFonts w:hint="eastAsia" w:ascii="仿宋" w:hAnsi="仿宋" w:eastAsia="仿宋" w:cs="仿宋"/>
          <w:color w:val="auto"/>
          <w:sz w:val="28"/>
          <w:szCs w:val="28"/>
          <w:highlight w:val="none"/>
          <w:lang w:eastAsia="zh-CN"/>
        </w:rPr>
        <w:t>法律法规</w:t>
      </w:r>
      <w:r>
        <w:rPr>
          <w:rFonts w:hint="eastAsia" w:ascii="仿宋" w:hAnsi="仿宋" w:eastAsia="仿宋" w:cs="仿宋"/>
          <w:color w:val="auto"/>
          <w:sz w:val="28"/>
          <w:szCs w:val="28"/>
          <w:highlight w:val="none"/>
        </w:rPr>
        <w:t>、制度和规程在对各单项工程工程量进行统计的基础上，结合现场的实际条件，按相应的定额、取费标准和人工、机械</w:t>
      </w:r>
      <w:r>
        <w:rPr>
          <w:rFonts w:hint="eastAsia" w:ascii="仿宋" w:hAnsi="仿宋" w:eastAsia="仿宋" w:cs="仿宋"/>
          <w:color w:val="auto"/>
          <w:kern w:val="0"/>
          <w:sz w:val="28"/>
          <w:szCs w:val="28"/>
          <w:highlight w:val="none"/>
        </w:rPr>
        <w:t>、材料价格进行编制。</w:t>
      </w:r>
    </w:p>
    <w:p>
      <w:pPr>
        <w:pStyle w:val="5"/>
        <w:rPr>
          <w:rFonts w:ascii="Times New Roman" w:hAnsi="Times New Roman" w:eastAsia="宋体" w:cs="Times New Roman"/>
          <w:bCs/>
          <w:color w:val="auto"/>
          <w:sz w:val="28"/>
          <w:szCs w:val="28"/>
          <w:highlight w:val="none"/>
        </w:rPr>
      </w:pPr>
      <w:bookmarkStart w:id="166" w:name="_Toc508375938"/>
      <w:bookmarkStart w:id="167" w:name="_Toc4130"/>
      <w:bookmarkStart w:id="168" w:name="_Toc19800"/>
      <w:r>
        <w:rPr>
          <w:rFonts w:ascii="Times New Roman" w:hAnsi="Times New Roman" w:eastAsia="宋体" w:cs="Times New Roman"/>
          <w:bCs/>
          <w:color w:val="auto"/>
          <w:sz w:val="28"/>
          <w:szCs w:val="28"/>
          <w:highlight w:val="none"/>
        </w:rPr>
        <w:t>（一）矿山地质环境恢复治理经费</w:t>
      </w:r>
      <w:bookmarkEnd w:id="166"/>
      <w:r>
        <w:rPr>
          <w:rFonts w:ascii="Times New Roman" w:hAnsi="Times New Roman" w:eastAsia="宋体" w:cs="Times New Roman"/>
          <w:bCs/>
          <w:color w:val="auto"/>
          <w:sz w:val="28"/>
          <w:szCs w:val="28"/>
          <w:highlight w:val="none"/>
        </w:rPr>
        <w:t>估算依据</w:t>
      </w:r>
      <w:bookmarkEnd w:id="167"/>
      <w:bookmarkEnd w:id="168"/>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1、编制依据</w:t>
      </w:r>
    </w:p>
    <w:p>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（1）《关于印发〈四川省地质灾害综合防治体系建设项目和资金管理办法〉的通知》（川国土资〔2014〕80 号）</w:t>
      </w:r>
    </w:p>
    <w:p>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（2）四川省财政厅四川省自然资源厅《四川省地质灾害治理工程概（预）算标准（修订）》（川自然资发〔2018〕9号）；</w:t>
      </w:r>
    </w:p>
    <w:p>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（3）《四川省人民政府关于调整全省最低工资标准的通知》（川府发〔2018〕19号）；</w:t>
      </w:r>
    </w:p>
    <w:p>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（4）《营业税改增值税后〈四川省地质灾害治理工程）工程概（预）算标准〉调整办法》（川国土资发〔2017〕63 号）</w:t>
      </w:r>
    </w:p>
    <w:p>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（5）《财政部、税务总局关于调整增值税税率的通知》（财税〔2018〕32号）；</w:t>
      </w:r>
    </w:p>
    <w:p>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（6）财政部税务总局海关总署《关于深化增值税改革有关政策的公告》（财政部税务总局海关总署公告2019年第39号）（2019.3.20）；</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（7）《四川工程造价信息网》（2023年</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月遂宁市及</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信息价），人工单价、部分材料价格通过当地市场调查获得。</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2、费用构成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工程治理以定额基价为取费基础计算工程费用。估算费用由工程施工费用、独立费用和基本预备费组成。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（1）工程施工费用</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工程、植物措施单价主要按照《四川省地质灾害治理工程概（预）算标准》（修订）计算，工程费由直接费、间接费、企业利润、价差和税金组成。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①直接工程费：由直接费、其他直接费和现场经费组成。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其中直接费包括人工费、材料费和机械使用费，按定额计算。矿区位于遂宁市</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属于一般地区，人工费最低工资标准按1650元/月进行测算，即人工费按工长16.27元/工时、高级工14.99元/工时、中级工12.43元/工时、初级工9.11元/工时计。地质环境治理机械使用费=定额机械使用量（台时）×施工机械台时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其他直接费（包括冬雨季施工增加费、夜间施工增加费、其他费用）；</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②间接费：直接工程费×间接费费率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间接费包括企业管理费、规费。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③企业利润：（直接工程费+间接费）×7%。</w:t>
      </w:r>
    </w:p>
    <w:p>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④税金：（直接工程费+间接费+企业利润）×9%。</w:t>
      </w:r>
    </w:p>
    <w:p>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表7-1  矿山地质环境保护与治理费率统计表</w:t>
      </w:r>
    </w:p>
    <w:tbl>
      <w:tblPr>
        <w:tblStyle w:val="23"/>
        <w:tblW w:w="50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141"/>
        <w:gridCol w:w="1542"/>
        <w:gridCol w:w="969"/>
        <w:gridCol w:w="1226"/>
        <w:gridCol w:w="841"/>
        <w:gridCol w:w="841"/>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工程类别</w:t>
            </w:r>
          </w:p>
        </w:tc>
        <w:tc>
          <w:tcPr>
            <w:tcW w:w="65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临时设施费（％）</w:t>
            </w:r>
          </w:p>
        </w:tc>
        <w:tc>
          <w:tcPr>
            <w:tcW w:w="88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安全文明生产措施费（％）</w:t>
            </w:r>
          </w:p>
        </w:tc>
        <w:tc>
          <w:tcPr>
            <w:tcW w:w="55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其他费（％）</w:t>
            </w:r>
          </w:p>
        </w:tc>
        <w:tc>
          <w:tcPr>
            <w:tcW w:w="705"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企业管理费（％）</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规费（％）</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利率（％）</w:t>
            </w:r>
          </w:p>
        </w:tc>
        <w:tc>
          <w:tcPr>
            <w:tcW w:w="44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土方工程</w:t>
            </w:r>
          </w:p>
        </w:tc>
        <w:tc>
          <w:tcPr>
            <w:tcW w:w="65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4.2</w:t>
            </w:r>
          </w:p>
        </w:tc>
        <w:tc>
          <w:tcPr>
            <w:tcW w:w="887" w:type="pct"/>
            <w:noWrap/>
            <w:vAlign w:val="center"/>
          </w:tcPr>
          <w:p>
            <w:pPr>
              <w:widowControl/>
              <w:jc w:val="center"/>
              <w:rPr>
                <w:rFonts w:hint="default" w:ascii="Times New Roman" w:hAnsi="Times New Roman" w:eastAsia="宋体" w:cs="Times New Roman"/>
                <w:color w:val="auto"/>
                <w:kern w:val="0"/>
                <w:highlight w:val="none"/>
                <w:lang w:val="en-US" w:eastAsia="zh-CN"/>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7.8</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2.7</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石方工程</w:t>
            </w:r>
          </w:p>
        </w:tc>
        <w:tc>
          <w:tcPr>
            <w:tcW w:w="65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4.2</w:t>
            </w:r>
          </w:p>
        </w:tc>
        <w:tc>
          <w:tcPr>
            <w:tcW w:w="88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7.8</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2.7</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砌体工程</w:t>
            </w:r>
          </w:p>
        </w:tc>
        <w:tc>
          <w:tcPr>
            <w:tcW w:w="65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3.0</w:t>
            </w:r>
          </w:p>
        </w:tc>
        <w:tc>
          <w:tcPr>
            <w:tcW w:w="88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7.6</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2.6</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7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混凝土工程</w:t>
            </w:r>
          </w:p>
        </w:tc>
        <w:tc>
          <w:tcPr>
            <w:tcW w:w="65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4.0</w:t>
            </w:r>
          </w:p>
        </w:tc>
        <w:tc>
          <w:tcPr>
            <w:tcW w:w="88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7.5</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2.6</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lang w:eastAsia="zh-CN"/>
              </w:rPr>
              <w:t>模板</w:t>
            </w:r>
            <w:r>
              <w:rPr>
                <w:rFonts w:ascii="Times New Roman" w:hAnsi="Times New Roman" w:eastAsia="宋体" w:cs="Times New Roman"/>
                <w:color w:val="auto"/>
                <w:kern w:val="0"/>
                <w:highlight w:val="none"/>
              </w:rPr>
              <w:t>工程</w:t>
            </w:r>
          </w:p>
        </w:tc>
        <w:tc>
          <w:tcPr>
            <w:tcW w:w="65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4.2</w:t>
            </w:r>
          </w:p>
        </w:tc>
        <w:tc>
          <w:tcPr>
            <w:tcW w:w="88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8.4</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2.8</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绿化工程</w:t>
            </w:r>
          </w:p>
        </w:tc>
        <w:tc>
          <w:tcPr>
            <w:tcW w:w="65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3.0</w:t>
            </w:r>
          </w:p>
        </w:tc>
        <w:tc>
          <w:tcPr>
            <w:tcW w:w="88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8.4</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2.6</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其他</w:t>
            </w:r>
          </w:p>
        </w:tc>
        <w:tc>
          <w:tcPr>
            <w:tcW w:w="65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3.0</w:t>
            </w:r>
          </w:p>
        </w:tc>
        <w:tc>
          <w:tcPr>
            <w:tcW w:w="88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8.4</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2.6</w:t>
            </w:r>
          </w:p>
        </w:tc>
        <w:tc>
          <w:tcPr>
            <w:tcW w:w="484"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bl>
    <w:p>
      <w:pPr>
        <w:pStyle w:val="2"/>
        <w:rPr>
          <w:color w:val="auto"/>
        </w:rPr>
      </w:pP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（2）临时设施费：包括按照规定拨付给施工企业的临时设施包干费，以及企业自行施工发生的临时设施实际支出。</w:t>
      </w:r>
    </w:p>
    <w:p>
      <w:pPr>
        <w:spacing w:line="360" w:lineRule="auto"/>
        <w:ind w:firstLine="560" w:firstLineChars="200"/>
        <w:rPr>
          <w:rFonts w:hint="eastAsia" w:ascii="仿宋" w:hAnsi="仿宋" w:eastAsia="仿宋" w:cs="仿宋"/>
          <w:color w:val="auto"/>
          <w:sz w:val="28"/>
          <w:szCs w:val="28"/>
          <w:highlight w:val="none"/>
        </w:rPr>
      </w:pPr>
      <w:bookmarkStart w:id="169" w:name="_Hlk79140247"/>
      <w:r>
        <w:rPr>
          <w:rFonts w:hint="eastAsia" w:ascii="仿宋" w:hAnsi="仿宋" w:eastAsia="仿宋" w:cs="仿宋"/>
          <w:color w:val="auto"/>
          <w:sz w:val="28"/>
          <w:szCs w:val="28"/>
          <w:highlight w:val="none"/>
        </w:rPr>
        <w:t>（3）独立费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独立费由建设管理费、科研勘察设计费、建设及施工场地征用费、环境保护及水土保持费</w:t>
      </w:r>
      <w:r>
        <w:rPr>
          <w:rFonts w:hint="eastAsia" w:ascii="仿宋" w:hAnsi="仿宋" w:eastAsia="仿宋" w:cs="仿宋"/>
          <w:color w:val="auto"/>
          <w:sz w:val="28"/>
          <w:szCs w:val="28"/>
          <w:highlight w:val="none"/>
          <w:lang w:eastAsia="zh-CN"/>
        </w:rPr>
        <w:t>和其他</w:t>
      </w:r>
      <w:r>
        <w:rPr>
          <w:rFonts w:hint="eastAsia" w:ascii="仿宋" w:hAnsi="仿宋" w:eastAsia="仿宋" w:cs="仿宋"/>
          <w:color w:val="auto"/>
          <w:sz w:val="28"/>
          <w:szCs w:val="28"/>
          <w:highlight w:val="none"/>
        </w:rPr>
        <w:t>构成。考虑到业主为私有企业，不计取除工程管理经常费中的项目招标费、项目审计费，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①建设管理费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包括：项目建设管理费、造价咨询费、工程建设监理费等。</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（a）项目建设管理费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项目建设管理费包括建设单位管理费、工程验收费勘查、可行性研究、初步设计、施工图审查费。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以建安费作为计费基数，采用差额定律累进法计算。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（b）造价咨询费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以建安费作为计费基数，采用差额定律累进法计算。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（c）工程建设监理费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以建安费作为计费基数，采用差额定律累进法计算。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②科研</w:t>
      </w:r>
      <w:r>
        <w:rPr>
          <w:rFonts w:hint="eastAsia" w:ascii="仿宋" w:hAnsi="仿宋" w:eastAsia="仿宋" w:cs="仿宋"/>
          <w:color w:val="auto"/>
          <w:sz w:val="28"/>
          <w:szCs w:val="28"/>
          <w:highlight w:val="none"/>
          <w:lang w:eastAsia="zh-CN"/>
        </w:rPr>
        <w:t>勘察</w:t>
      </w:r>
      <w:r>
        <w:rPr>
          <w:rFonts w:hint="eastAsia" w:ascii="仿宋" w:hAnsi="仿宋" w:eastAsia="仿宋" w:cs="仿宋"/>
          <w:color w:val="auto"/>
          <w:sz w:val="28"/>
          <w:szCs w:val="28"/>
          <w:highlight w:val="none"/>
        </w:rPr>
        <w:t>设计费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科研勘查设计费包括工程科学研究试验费和工程勘查设计费，以建安费作为计费基数，采用差额定律累进法计算。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③建设及施工场地征用费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项目区在土地复垦责任范围内，不涉及施工场地征地费。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④环境保护及水土保持费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环境保护及水土保持费=建安费合计×环境保护及水土保持费率，环境保护及水土保持费率取1%。</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⑤其他费用</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其他费用包括工程保险费和工程质量检测费。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工程保险费=建安费合计×工程保险费费率，工程保险费费率取0.45%。</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工程质量检测费=建安费合计×工程质量检测费费率，工程质量检测费费率取0.08%。</w:t>
      </w:r>
    </w:p>
    <w:p>
      <w:pPr>
        <w:spacing w:line="360" w:lineRule="auto"/>
        <w:ind w:firstLine="560" w:firstLineChars="200"/>
        <w:rPr>
          <w:rFonts w:hint="eastAsia" w:ascii="仿宋" w:hAnsi="仿宋" w:eastAsia="仿宋" w:cs="仿宋"/>
          <w:color w:val="auto"/>
          <w:sz w:val="28"/>
          <w:szCs w:val="28"/>
          <w:highlight w:val="none"/>
        </w:rPr>
      </w:pPr>
      <w:bookmarkStart w:id="170" w:name="_Toc508375939"/>
      <w:bookmarkStart w:id="171" w:name="_Toc12210"/>
      <w:r>
        <w:rPr>
          <w:rFonts w:hint="eastAsia" w:ascii="仿宋" w:hAnsi="仿宋" w:eastAsia="仿宋" w:cs="仿宋"/>
          <w:color w:val="auto"/>
          <w:sz w:val="28"/>
          <w:szCs w:val="28"/>
          <w:highlight w:val="none"/>
        </w:rPr>
        <w:t>（4）预备费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基本预备费按</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%计取。</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（5）价差预备费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价差</w:t>
      </w:r>
      <w:r>
        <w:rPr>
          <w:rFonts w:hint="eastAsia" w:ascii="仿宋" w:hAnsi="仿宋" w:eastAsia="仿宋" w:cs="仿宋"/>
          <w:color w:val="auto"/>
          <w:sz w:val="28"/>
          <w:szCs w:val="28"/>
          <w:highlight w:val="none"/>
        </w:rPr>
        <w:t>预备费按</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%计取。</w:t>
      </w:r>
    </w:p>
    <w:bookmarkEnd w:id="169"/>
    <w:p>
      <w:pPr>
        <w:pStyle w:val="5"/>
        <w:rPr>
          <w:rFonts w:ascii="Times New Roman" w:hAnsi="Times New Roman" w:eastAsia="宋体" w:cs="Times New Roman"/>
          <w:color w:val="auto"/>
          <w:szCs w:val="28"/>
          <w:highlight w:val="none"/>
        </w:rPr>
      </w:pPr>
      <w:bookmarkStart w:id="172" w:name="_Toc10212"/>
      <w:r>
        <w:rPr>
          <w:rFonts w:ascii="Times New Roman" w:hAnsi="Times New Roman" w:eastAsia="宋体" w:cs="Times New Roman"/>
          <w:color w:val="auto"/>
          <w:szCs w:val="28"/>
          <w:highlight w:val="none"/>
        </w:rPr>
        <w:t>（二）土地复垦费用</w:t>
      </w:r>
      <w:bookmarkEnd w:id="170"/>
      <w:r>
        <w:rPr>
          <w:rFonts w:ascii="Times New Roman" w:hAnsi="Times New Roman" w:eastAsia="宋体" w:cs="Times New Roman"/>
          <w:color w:val="auto"/>
          <w:szCs w:val="28"/>
          <w:highlight w:val="none"/>
        </w:rPr>
        <w:t>估算依据</w:t>
      </w:r>
      <w:bookmarkEnd w:id="171"/>
      <w:bookmarkEnd w:id="172"/>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1、编制依据</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（1）《土地开发整理项目资金管理暂行办法》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国土资发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2000</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282号</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（2）《土地开发整理项目规划设计规范》（TD/T1012-2016）；</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（3）《土地开发整理项目预算编制暂行办法》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财</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2001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41号</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（4）《水土保持工程概算定额》（水总[2003]67号）；</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（5）四川省财政厅、国土资源厅关于印发《四川省土地开发整理预算定额标准》的通知（川[2012]139号）；</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（6）《土地开发整理项目预算编制规定》（四川省财政厅、四川省国土资源厅，2012）；</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（7）四川省国土资源厅、财政厅关于营业税改增值税四川省土地开发整理项目预算定额计价规则调整办法通知（川国土资发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2017</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42号）；</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（8）《财政部、税务总局关于调整增值税税率的通知》财税〔2018〕32 号</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（9）《四川造价信息网》（2023年</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月遂宁市及</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周边信息价），人工单价、部分材料价格通过当地市场调查获得。</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2、费用构成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开发整理项目预算编制暂行规定》，项目预算由工程施工费、设备费、其他费用（包括前期工作费、工程监理费、拆迁补偿费、竣工验收费、业主管理费）和不可预见费组成，在计算中，以元为单位，取小数点后两位计到分，汇总后取整数计到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（1）工程施工费</w:t>
      </w:r>
    </w:p>
    <w:p>
      <w:pPr>
        <w:spacing w:line="360" w:lineRule="auto"/>
        <w:ind w:firstLine="560" w:firstLineChars="200"/>
        <w:rPr>
          <w:rFonts w:hint="eastAsia" w:ascii="仿宋" w:hAnsi="仿宋" w:eastAsia="仿宋" w:cs="仿宋"/>
          <w:color w:val="auto"/>
          <w:sz w:val="28"/>
          <w:szCs w:val="28"/>
          <w:highlight w:val="none"/>
        </w:rPr>
      </w:pPr>
      <w:bookmarkStart w:id="173" w:name="_Toc525808085"/>
      <w:bookmarkStart w:id="174" w:name="_Toc101494918"/>
      <w:bookmarkStart w:id="175" w:name="_Toc525646829"/>
      <w:bookmarkStart w:id="176" w:name="_Toc525807845"/>
      <w:bookmarkStart w:id="177" w:name="_Toc525806769"/>
      <w:bookmarkStart w:id="178" w:name="_Toc525647093"/>
      <w:bookmarkStart w:id="179" w:name="_Toc525807743"/>
      <w:bookmarkStart w:id="180" w:name="_Toc525647168"/>
      <w:bookmarkStart w:id="181" w:name="_Toc525645687"/>
      <w:r>
        <w:rPr>
          <w:rFonts w:hint="eastAsia" w:ascii="仿宋" w:hAnsi="仿宋" w:eastAsia="仿宋" w:cs="仿宋"/>
          <w:color w:val="auto"/>
          <w:sz w:val="28"/>
          <w:szCs w:val="28"/>
          <w:highlight w:val="none"/>
        </w:rPr>
        <w:t>工程施工费由直接费、间接费、利润和税金组成。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1）直接费</w:t>
      </w:r>
    </w:p>
    <w:p>
      <w:pPr>
        <w:spacing w:line="360" w:lineRule="auto"/>
        <w:ind w:firstLine="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直接费由直接工程费和措施费组成。</w:t>
      </w:r>
    </w:p>
    <w:p>
      <w:pPr>
        <w:spacing w:line="360" w:lineRule="auto"/>
        <w:ind w:firstLine="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①直接工程费</w:t>
      </w:r>
    </w:p>
    <w:p>
      <w:pPr>
        <w:spacing w:line="360" w:lineRule="auto"/>
        <w:ind w:firstLine="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直接工程费由人工费、材料费、施工机械使用费组成。</w:t>
      </w:r>
    </w:p>
    <w:p>
      <w:pPr>
        <w:spacing w:line="360" w:lineRule="auto"/>
        <w:ind w:firstLine="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人工预算单价计算表见下表7-2。</w:t>
      </w:r>
    </w:p>
    <w:p>
      <w:pPr>
        <w:pStyle w:val="22"/>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表7-2   人工工资计算表</w:t>
      </w:r>
    </w:p>
    <w:tbl>
      <w:tblPr>
        <w:tblStyle w:val="23"/>
        <w:tblW w:w="5000" w:type="pct"/>
        <w:jc w:val="center"/>
        <w:tblLayout w:type="autofit"/>
        <w:tblCellMar>
          <w:top w:w="0" w:type="dxa"/>
          <w:left w:w="108" w:type="dxa"/>
          <w:bottom w:w="0" w:type="dxa"/>
          <w:right w:w="108" w:type="dxa"/>
        </w:tblCellMar>
      </w:tblPr>
      <w:tblGrid>
        <w:gridCol w:w="1776"/>
        <w:gridCol w:w="1677"/>
        <w:gridCol w:w="2475"/>
        <w:gridCol w:w="1077"/>
        <w:gridCol w:w="1517"/>
      </w:tblGrid>
      <w:tr>
        <w:tblPrEx>
          <w:tblCellMar>
            <w:top w:w="0" w:type="dxa"/>
            <w:left w:w="108" w:type="dxa"/>
            <w:bottom w:w="0" w:type="dxa"/>
            <w:right w:w="108" w:type="dxa"/>
          </w:tblCellMar>
        </w:tblPrEx>
        <w:trPr>
          <w:trHeight w:val="285" w:hRule="atLeast"/>
          <w:jc w:val="center"/>
        </w:trPr>
        <w:tc>
          <w:tcPr>
            <w:tcW w:w="1042"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984"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公式</w:t>
            </w:r>
          </w:p>
        </w:tc>
        <w:tc>
          <w:tcPr>
            <w:tcW w:w="890"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工程类别</w:t>
            </w:r>
          </w:p>
        </w:tc>
      </w:tr>
      <w:tr>
        <w:tblPrEx>
          <w:tblCellMar>
            <w:top w:w="0" w:type="dxa"/>
            <w:left w:w="108" w:type="dxa"/>
            <w:bottom w:w="0" w:type="dxa"/>
            <w:right w:w="108" w:type="dxa"/>
          </w:tblCellMar>
        </w:tblPrEx>
        <w:trPr>
          <w:trHeight w:val="285" w:hRule="atLeast"/>
          <w:jc w:val="center"/>
        </w:trPr>
        <w:tc>
          <w:tcPr>
            <w:tcW w:w="1042"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984"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基本工资</w:t>
            </w: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550×12÷（250-10）＝27.50</w:t>
            </w:r>
          </w:p>
        </w:tc>
        <w:tc>
          <w:tcPr>
            <w:tcW w:w="890"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甲类</w:t>
            </w:r>
          </w:p>
        </w:tc>
      </w:tr>
      <w:tr>
        <w:tblPrEx>
          <w:tblCellMar>
            <w:top w:w="0" w:type="dxa"/>
            <w:left w:w="108" w:type="dxa"/>
            <w:bottom w:w="0" w:type="dxa"/>
            <w:right w:w="108" w:type="dxa"/>
          </w:tblCellMar>
        </w:tblPrEx>
        <w:trPr>
          <w:trHeight w:val="285" w:hRule="atLeast"/>
          <w:jc w:val="center"/>
        </w:trPr>
        <w:tc>
          <w:tcPr>
            <w:tcW w:w="1042"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p>
        </w:tc>
        <w:tc>
          <w:tcPr>
            <w:tcW w:w="984"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480×12÷（250-10）＝24.0</w:t>
            </w:r>
          </w:p>
        </w:tc>
        <w:tc>
          <w:tcPr>
            <w:tcW w:w="890"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乙类</w:t>
            </w:r>
          </w:p>
        </w:tc>
      </w:tr>
      <w:tr>
        <w:tblPrEx>
          <w:tblCellMar>
            <w:top w:w="0" w:type="dxa"/>
            <w:left w:w="108" w:type="dxa"/>
            <w:bottom w:w="0" w:type="dxa"/>
            <w:right w:w="108" w:type="dxa"/>
          </w:tblCellMar>
        </w:tblPrEx>
        <w:trPr>
          <w:trHeight w:val="285" w:hRule="atLeast"/>
          <w:jc w:val="center"/>
        </w:trPr>
        <w:tc>
          <w:tcPr>
            <w:tcW w:w="1042"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984"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辅助工资</w:t>
            </w: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5.06+0.80+0.85+0.85=6.71</w:t>
            </w:r>
          </w:p>
        </w:tc>
        <w:tc>
          <w:tcPr>
            <w:tcW w:w="890"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甲类</w:t>
            </w:r>
          </w:p>
        </w:tc>
      </w:tr>
      <w:tr>
        <w:tblPrEx>
          <w:tblCellMar>
            <w:top w:w="0" w:type="dxa"/>
            <w:left w:w="108" w:type="dxa"/>
            <w:bottom w:w="0" w:type="dxa"/>
            <w:right w:w="108" w:type="dxa"/>
          </w:tblCellMar>
        </w:tblPrEx>
        <w:trPr>
          <w:trHeight w:val="285" w:hRule="atLeast"/>
          <w:jc w:val="center"/>
        </w:trPr>
        <w:tc>
          <w:tcPr>
            <w:tcW w:w="1042"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p>
        </w:tc>
        <w:tc>
          <w:tcPr>
            <w:tcW w:w="984"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2.89+0.4+0.32=3.61</w:t>
            </w:r>
          </w:p>
        </w:tc>
        <w:tc>
          <w:tcPr>
            <w:tcW w:w="890"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乙类</w:t>
            </w:r>
          </w:p>
        </w:tc>
      </w:tr>
      <w:tr>
        <w:tblPrEx>
          <w:tblCellMar>
            <w:top w:w="0" w:type="dxa"/>
            <w:left w:w="108" w:type="dxa"/>
            <w:bottom w:w="0" w:type="dxa"/>
            <w:right w:w="108" w:type="dxa"/>
          </w:tblCellMar>
        </w:tblPrEx>
        <w:trPr>
          <w:trHeight w:val="285" w:hRule="atLeast"/>
          <w:jc w:val="center"/>
        </w:trPr>
        <w:tc>
          <w:tcPr>
            <w:tcW w:w="1042"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984"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工资附加费</w:t>
            </w: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16.52</w:t>
            </w:r>
          </w:p>
        </w:tc>
        <w:tc>
          <w:tcPr>
            <w:tcW w:w="890"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甲类</w:t>
            </w:r>
          </w:p>
        </w:tc>
      </w:tr>
      <w:tr>
        <w:tblPrEx>
          <w:tblCellMar>
            <w:top w:w="0" w:type="dxa"/>
            <w:left w:w="108" w:type="dxa"/>
            <w:bottom w:w="0" w:type="dxa"/>
            <w:right w:w="108" w:type="dxa"/>
          </w:tblCellMar>
        </w:tblPrEx>
        <w:trPr>
          <w:trHeight w:val="285" w:hRule="atLeast"/>
          <w:jc w:val="center"/>
        </w:trPr>
        <w:tc>
          <w:tcPr>
            <w:tcW w:w="1042"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p>
        </w:tc>
        <w:tc>
          <w:tcPr>
            <w:tcW w:w="984"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13.09</w:t>
            </w:r>
          </w:p>
        </w:tc>
        <w:tc>
          <w:tcPr>
            <w:tcW w:w="890"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乙类</w:t>
            </w:r>
          </w:p>
        </w:tc>
      </w:tr>
      <w:tr>
        <w:tblPrEx>
          <w:tblCellMar>
            <w:top w:w="0" w:type="dxa"/>
            <w:left w:w="108" w:type="dxa"/>
            <w:bottom w:w="0" w:type="dxa"/>
            <w:right w:w="108" w:type="dxa"/>
          </w:tblCellMar>
        </w:tblPrEx>
        <w:trPr>
          <w:trHeight w:val="122"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人工费单价</w:t>
            </w:r>
          </w:p>
        </w:tc>
      </w:tr>
      <w:tr>
        <w:tblPrEx>
          <w:tblCellMar>
            <w:top w:w="0" w:type="dxa"/>
            <w:left w:w="108" w:type="dxa"/>
            <w:bottom w:w="0" w:type="dxa"/>
            <w:right w:w="108" w:type="dxa"/>
          </w:tblCellMar>
        </w:tblPrEx>
        <w:trPr>
          <w:trHeight w:val="285" w:hRule="atLeast"/>
          <w:jc w:val="center"/>
        </w:trPr>
        <w:tc>
          <w:tcPr>
            <w:tcW w:w="3478" w:type="pct"/>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甲类</w:t>
            </w:r>
          </w:p>
        </w:tc>
        <w:tc>
          <w:tcPr>
            <w:tcW w:w="1522"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50.73元</w:t>
            </w:r>
          </w:p>
        </w:tc>
      </w:tr>
      <w:tr>
        <w:tblPrEx>
          <w:tblCellMar>
            <w:top w:w="0" w:type="dxa"/>
            <w:left w:w="108" w:type="dxa"/>
            <w:bottom w:w="0" w:type="dxa"/>
            <w:right w:w="108" w:type="dxa"/>
          </w:tblCellMar>
        </w:tblPrEx>
        <w:trPr>
          <w:trHeight w:val="230" w:hRule="atLeast"/>
          <w:jc w:val="center"/>
        </w:trPr>
        <w:tc>
          <w:tcPr>
            <w:tcW w:w="3478" w:type="pct"/>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乙类</w:t>
            </w:r>
          </w:p>
        </w:tc>
        <w:tc>
          <w:tcPr>
            <w:tcW w:w="1522"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40.70元</w:t>
            </w:r>
          </w:p>
        </w:tc>
      </w:tr>
    </w:tbl>
    <w:p>
      <w:pPr>
        <w:ind w:firstLine="480" w:firstLineChars="200"/>
        <w:rPr>
          <w:rFonts w:ascii="Times New Roman" w:hAnsi="Times New Roman" w:cs="Times New Roman"/>
          <w:color w:val="auto"/>
          <w:sz w:val="24"/>
          <w:highlight w:val="none"/>
        </w:rPr>
      </w:pP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工费中人工单价按《土地开发整理项目预算编制暂行规定》中有关规定，人工费按技术等级分甲等工和乙等工计取，包括基本工资、辅助工资和工资附加费，经计算分别为甲等工50.73元/工日，乙等工40.70元/工日。</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在材料费定额的计算中，材料消耗量参照《预算定额》，材料价格参考项目区实际价格。</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在施工机械使用费定额的计算中，台班费分别依据《土地开发整理项目施工机械台班费定额》。</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②措施费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措施费=直接工程费（或人工费）×措施费率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措施费包括临时设施费、冬雨季施工增加费、夜间施工增加费、施工辅助费、安全文明施工增加费和特殊地区施工增加费。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冬雨季施工增加费的计算方法是根据不同地区，按直接工程费的百分率计算，费率为0.9％。</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夜间施工增加费仅指混凝土工程、农用井工程中需连续作业工程部分，按直接工程费的百分率计算，其中安装工程为0.5％，建筑工程为0.2％。</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施工辅助按直接工程费的百分率计算，其中安装工程为1％，建筑工程为0.7％。</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安全文明施工增加费按直接工程费的百分率计算，其中安装工程为0.5%，建筑工程为0.3%。</w:t>
      </w:r>
    </w:p>
    <w:p>
      <w:pPr>
        <w:spacing w:line="360" w:lineRule="auto"/>
        <w:ind w:firstLine="560" w:firstLineChars="200"/>
        <w:rPr>
          <w:rFonts w:ascii="Times New Roman" w:hAnsi="Times New Roman" w:eastAsia="黑体" w:cs="Times New Roman"/>
          <w:color w:val="auto"/>
          <w:highlight w:val="none"/>
        </w:rPr>
      </w:pPr>
      <w:r>
        <w:rPr>
          <w:rFonts w:hint="eastAsia" w:ascii="仿宋" w:hAnsi="仿宋" w:eastAsia="仿宋" w:cs="仿宋"/>
          <w:color w:val="auto"/>
          <w:sz w:val="28"/>
          <w:szCs w:val="28"/>
          <w:highlight w:val="none"/>
        </w:rPr>
        <w:t>根据不同工程性质，临时设施费费率下表。</w:t>
      </w:r>
    </w:p>
    <w:p>
      <w:pPr>
        <w:pStyle w:val="22"/>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表7-3  临时设施费费率表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853"/>
        <w:gridCol w:w="2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工程类别</w:t>
            </w:r>
          </w:p>
        </w:tc>
        <w:tc>
          <w:tcPr>
            <w:tcW w:w="1674"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计算基础</w:t>
            </w:r>
          </w:p>
        </w:tc>
        <w:tc>
          <w:tcPr>
            <w:tcW w:w="1670"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临时设施费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土方工程</w:t>
            </w:r>
          </w:p>
        </w:tc>
        <w:tc>
          <w:tcPr>
            <w:tcW w:w="1674"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石方工程</w:t>
            </w:r>
          </w:p>
        </w:tc>
        <w:tc>
          <w:tcPr>
            <w:tcW w:w="1674"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砌体工程</w:t>
            </w:r>
          </w:p>
        </w:tc>
        <w:tc>
          <w:tcPr>
            <w:tcW w:w="1674"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混凝土工程</w:t>
            </w:r>
          </w:p>
        </w:tc>
        <w:tc>
          <w:tcPr>
            <w:tcW w:w="1674"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农用井工程</w:t>
            </w:r>
          </w:p>
        </w:tc>
        <w:tc>
          <w:tcPr>
            <w:tcW w:w="1674"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其他工程</w:t>
            </w:r>
          </w:p>
        </w:tc>
        <w:tc>
          <w:tcPr>
            <w:tcW w:w="1674"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56"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安装工程</w:t>
            </w:r>
          </w:p>
        </w:tc>
        <w:tc>
          <w:tcPr>
            <w:tcW w:w="1674"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5.2%</w:t>
            </w:r>
          </w:p>
        </w:tc>
      </w:tr>
    </w:tbl>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2）间接费。根据工程性质不同间接费费率见下表</w:t>
      </w:r>
    </w:p>
    <w:p>
      <w:pPr>
        <w:pStyle w:val="22"/>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表7-4  间接费费率表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3"/>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工程类别</w:t>
            </w:r>
          </w:p>
        </w:tc>
        <w:tc>
          <w:tcPr>
            <w:tcW w:w="1668"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计算基础</w:t>
            </w:r>
          </w:p>
        </w:tc>
        <w:tc>
          <w:tcPr>
            <w:tcW w:w="1665"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间接费（％）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土方工程</w:t>
            </w:r>
          </w:p>
        </w:tc>
        <w:tc>
          <w:tcPr>
            <w:tcW w:w="1668"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石方工程</w:t>
            </w:r>
          </w:p>
        </w:tc>
        <w:tc>
          <w:tcPr>
            <w:tcW w:w="1668"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砌体工程</w:t>
            </w:r>
          </w:p>
        </w:tc>
        <w:tc>
          <w:tcPr>
            <w:tcW w:w="1668"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混凝土工程</w:t>
            </w:r>
          </w:p>
        </w:tc>
        <w:tc>
          <w:tcPr>
            <w:tcW w:w="1668"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农用井工程</w:t>
            </w:r>
          </w:p>
        </w:tc>
        <w:tc>
          <w:tcPr>
            <w:tcW w:w="1668"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其他工程</w:t>
            </w:r>
          </w:p>
        </w:tc>
        <w:tc>
          <w:tcPr>
            <w:tcW w:w="1668"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667"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安装工程</w:t>
            </w:r>
          </w:p>
        </w:tc>
        <w:tc>
          <w:tcPr>
            <w:tcW w:w="1668"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人工费</w:t>
            </w:r>
          </w:p>
        </w:tc>
        <w:tc>
          <w:tcPr>
            <w:tcW w:w="1665" w:type="pct"/>
            <w:noWrap/>
            <w:vAlign w:val="center"/>
          </w:tcPr>
          <w:p>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65</w:t>
            </w:r>
          </w:p>
        </w:tc>
      </w:tr>
    </w:tbl>
    <w:p>
      <w:pPr>
        <w:ind w:firstLine="560" w:firstLineChars="200"/>
        <w:rPr>
          <w:rFonts w:hint="eastAsia" w:ascii="仿宋" w:hAnsi="仿宋" w:eastAsia="仿宋" w:cs="仿宋"/>
          <w:color w:val="auto"/>
          <w:sz w:val="28"/>
          <w:szCs w:val="28"/>
          <w:highlight w:val="none"/>
        </w:rPr>
      </w:pP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3）利润</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依据《土地开发整理项目预算编制暂行规定》，费率取3％，计算基础为直接费和间接费之和。</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4）税金</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依据《土地开发整理项目预算编制暂行规定》，建设项目在市区或县城镇以外的，税金费率取9％，计算基础为直接费、间接费及利润之和。</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（2）设备购置费</w:t>
      </w:r>
      <w:bookmarkEnd w:id="173"/>
      <w:bookmarkEnd w:id="174"/>
      <w:bookmarkEnd w:id="175"/>
      <w:bookmarkEnd w:id="176"/>
      <w:bookmarkEnd w:id="177"/>
      <w:bookmarkEnd w:id="178"/>
      <w:bookmarkEnd w:id="179"/>
      <w:bookmarkEnd w:id="180"/>
      <w:bookmarkEnd w:id="181"/>
    </w:p>
    <w:p>
      <w:pPr>
        <w:spacing w:line="360" w:lineRule="auto"/>
        <w:ind w:firstLine="560" w:firstLineChars="200"/>
        <w:rPr>
          <w:rFonts w:hint="eastAsia" w:ascii="仿宋" w:hAnsi="仿宋" w:eastAsia="仿宋" w:cs="仿宋"/>
          <w:color w:val="auto"/>
          <w:sz w:val="28"/>
          <w:szCs w:val="28"/>
          <w:highlight w:val="none"/>
        </w:rPr>
      </w:pPr>
      <w:bookmarkStart w:id="182" w:name="_Toc525646831"/>
      <w:bookmarkStart w:id="183" w:name="_Toc525808086"/>
      <w:bookmarkStart w:id="184" w:name="_Toc525806770"/>
      <w:bookmarkStart w:id="185" w:name="_Toc525647095"/>
      <w:bookmarkStart w:id="186" w:name="_Toc101494919"/>
      <w:bookmarkStart w:id="187" w:name="_Toc525645689"/>
      <w:bookmarkStart w:id="188" w:name="_Toc525807745"/>
      <w:bookmarkStart w:id="189" w:name="_Toc525807847"/>
      <w:bookmarkStart w:id="190" w:name="_Toc525647170"/>
      <w:r>
        <w:rPr>
          <w:rFonts w:hint="eastAsia" w:ascii="仿宋" w:hAnsi="仿宋" w:eastAsia="仿宋" w:cs="仿宋"/>
          <w:color w:val="auto"/>
          <w:sz w:val="28"/>
          <w:szCs w:val="28"/>
          <w:highlight w:val="none"/>
        </w:rPr>
        <w:t>指土地复垦整理项目施工过程中需采购设备所发生的费用。</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（3）其他费用</w:t>
      </w:r>
      <w:bookmarkEnd w:id="182"/>
      <w:bookmarkEnd w:id="183"/>
      <w:bookmarkEnd w:id="184"/>
      <w:bookmarkEnd w:id="185"/>
      <w:bookmarkEnd w:id="186"/>
      <w:bookmarkEnd w:id="187"/>
      <w:bookmarkEnd w:id="188"/>
      <w:bookmarkEnd w:id="189"/>
      <w:bookmarkEnd w:id="190"/>
    </w:p>
    <w:p>
      <w:pPr>
        <w:spacing w:line="360" w:lineRule="auto"/>
        <w:ind w:firstLine="560" w:firstLineChars="200"/>
        <w:rPr>
          <w:rFonts w:hint="eastAsia" w:ascii="仿宋" w:hAnsi="仿宋" w:eastAsia="仿宋" w:cs="仿宋"/>
          <w:color w:val="auto"/>
          <w:sz w:val="28"/>
          <w:szCs w:val="28"/>
          <w:highlight w:val="none"/>
        </w:rPr>
      </w:pPr>
      <w:bookmarkStart w:id="191" w:name="_Toc525646834"/>
      <w:bookmarkStart w:id="192" w:name="_Toc101494920"/>
      <w:bookmarkStart w:id="193" w:name="_Toc525807748"/>
      <w:bookmarkStart w:id="194" w:name="_Toc525806771"/>
      <w:bookmarkStart w:id="195" w:name="_Toc525647098"/>
      <w:bookmarkStart w:id="196" w:name="_Toc525645692"/>
      <w:bookmarkStart w:id="197" w:name="_Toc525807850"/>
      <w:bookmarkStart w:id="198" w:name="_Toc525647173"/>
      <w:bookmarkStart w:id="199" w:name="_Toc525808087"/>
      <w:r>
        <w:rPr>
          <w:rFonts w:hint="eastAsia" w:ascii="仿宋" w:hAnsi="仿宋" w:eastAsia="仿宋" w:cs="仿宋"/>
          <w:color w:val="auto"/>
          <w:sz w:val="28"/>
          <w:szCs w:val="28"/>
          <w:highlight w:val="none"/>
        </w:rPr>
        <w:t>其他费用由前期工作费、工程监理费、竣工验收费和业主管理费构成。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a</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前期工作费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前期工作费包括：土地清查费、项目可行性研究费、项目勘测费、项目设计与预算编制费、项目招标费等。土地清查费率为0.50％，项目可行性研究费以工程施工费与设备购置费之和为计费基数，采用分档定额计费方式计算，各区间按内插法确定，项目勘查费率为1.5％，项目设计与预算编制费以工程施工费与设备购置费之和为计费基数，采用分档定额计费方式计算，各区间按内插法确定，项目招标费以工程施工费与设备购置费之和为计费基数，采用差额定率计费方式计算，各区间按内插法确定。</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b</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工程监理费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工程监理费以工程施工费与设备购置费之和为计费基数，采用分档定额计费方式计算，各区间按内插法确定。</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c</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竣工验收费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竣工验收费包括项目工程复核费、工程验收费、项目决算编制与审计费、整理后土地重估与登记费、标识设定费等。竣工验收费各项费用均采用以工程施工费与设备购置费之和为计费基数，采用差额定率计费方式计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d</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业主管理费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业主管理费按工程施工费、设备购置费、前期工作费、工程监理费、拆迁补偿费和竣工验收费为计费基数，采用差额定率计费方式计算。</w:t>
      </w:r>
    </w:p>
    <w:bookmarkEnd w:id="191"/>
    <w:bookmarkEnd w:id="192"/>
    <w:bookmarkEnd w:id="193"/>
    <w:bookmarkEnd w:id="194"/>
    <w:bookmarkEnd w:id="195"/>
    <w:bookmarkEnd w:id="196"/>
    <w:bookmarkEnd w:id="197"/>
    <w:bookmarkEnd w:id="198"/>
    <w:bookmarkEnd w:id="199"/>
    <w:p>
      <w:pPr>
        <w:pStyle w:val="62"/>
        <w:numPr>
          <w:ilvl w:val="0"/>
          <w:numId w:val="0"/>
        </w:numPr>
        <w:spacing w:line="360" w:lineRule="auto"/>
        <w:ind w:firstLine="840" w:firstLineChars="300"/>
        <w:rPr>
          <w:rFonts w:hint="eastAsia" w:ascii="仿宋" w:hAnsi="仿宋" w:eastAsia="仿宋" w:cs="仿宋"/>
          <w:color w:val="auto"/>
          <w:sz w:val="28"/>
          <w:szCs w:val="28"/>
          <w:highlight w:val="none"/>
        </w:rPr>
      </w:pPr>
      <w:bookmarkStart w:id="200" w:name="_Toc8962"/>
      <w:r>
        <w:rPr>
          <w:rFonts w:hint="eastAsia" w:ascii="仿宋" w:hAnsi="仿宋" w:eastAsia="仿宋" w:cs="仿宋"/>
          <w:color w:val="auto"/>
          <w:sz w:val="28"/>
          <w:szCs w:val="28"/>
          <w:highlight w:val="none"/>
        </w:rPr>
        <w:t>4）监测与管护费</w:t>
      </w:r>
      <w:bookmarkStart w:id="201" w:name="_Toc342245619"/>
    </w:p>
    <w:p>
      <w:pPr>
        <w:pStyle w:val="62"/>
        <w:numPr>
          <w:ilvl w:val="0"/>
          <w:numId w:val="0"/>
        </w:numPr>
        <w:spacing w:line="360" w:lineRule="auto"/>
        <w:ind w:firstLine="840"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根据监测与管护工程量和人工费、材料费价格计算。</w:t>
      </w:r>
    </w:p>
    <w:bookmarkEnd w:id="201"/>
    <w:p>
      <w:pPr>
        <w:pStyle w:val="62"/>
        <w:numPr>
          <w:ilvl w:val="0"/>
          <w:numId w:val="0"/>
        </w:numPr>
        <w:spacing w:line="360" w:lineRule="auto"/>
        <w:ind w:firstLine="840"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5）预见费</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eastAsia="zh-CN"/>
        </w:rPr>
        <w:t>基本预备费</w:t>
      </w:r>
      <w:r>
        <w:rPr>
          <w:rFonts w:hint="eastAsia" w:ascii="仿宋" w:hAnsi="仿宋" w:eastAsia="仿宋" w:cs="仿宋"/>
          <w:color w:val="auto"/>
          <w:sz w:val="28"/>
          <w:szCs w:val="28"/>
          <w:highlight w:val="none"/>
        </w:rPr>
        <w:t>指在施工过程中因自然灾害、设计变更及不可预计因素的变化而增加的费用。按照工程施工费、设备费和其他费用三项之和的</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.0%计取。</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（2）涨价预备费</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按照物价系数</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%计算价差预备费。</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（3）风险金</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本项目不计取。</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注：矿山产品为页岩砖，本次预算材料页岩砖为企业自行提供，不重复计算预算费用。因矿山到附近乡镇的距离小于10km，本次未计算运距费用。</w:t>
      </w:r>
    </w:p>
    <w:bookmarkEnd w:id="200"/>
    <w:p>
      <w:pPr>
        <w:pStyle w:val="4"/>
        <w:numPr>
          <w:ilvl w:val="0"/>
          <w:numId w:val="7"/>
        </w:numPr>
        <w:spacing w:before="120" w:after="120"/>
        <w:rPr>
          <w:rFonts w:ascii="Times New Roman" w:hAnsi="Times New Roman" w:eastAsia="宋体" w:cs="Times New Roman"/>
          <w:color w:val="auto"/>
          <w:highlight w:val="none"/>
        </w:rPr>
      </w:pPr>
      <w:bookmarkStart w:id="202" w:name="_Toc15290"/>
      <w:bookmarkStart w:id="203" w:name="_Toc4397"/>
      <w:r>
        <w:rPr>
          <w:rFonts w:ascii="Times New Roman" w:hAnsi="Times New Roman" w:eastAsia="宋体" w:cs="Times New Roman"/>
          <w:color w:val="auto"/>
          <w:highlight w:val="none"/>
        </w:rPr>
        <w:t>矿山地质环境治理工程经费估算</w:t>
      </w:r>
      <w:bookmarkEnd w:id="202"/>
      <w:bookmarkEnd w:id="203"/>
    </w:p>
    <w:p>
      <w:pPr>
        <w:pStyle w:val="5"/>
        <w:rPr>
          <w:rFonts w:ascii="Times New Roman" w:hAnsi="Times New Roman" w:eastAsia="宋体" w:cs="Times New Roman"/>
          <w:color w:val="auto"/>
          <w:szCs w:val="28"/>
          <w:highlight w:val="none"/>
        </w:rPr>
      </w:pPr>
      <w:bookmarkStart w:id="204" w:name="_Toc25623"/>
      <w:bookmarkStart w:id="205" w:name="_Toc29313"/>
      <w:r>
        <w:rPr>
          <w:rFonts w:ascii="Times New Roman" w:hAnsi="Times New Roman" w:eastAsia="宋体" w:cs="Times New Roman"/>
          <w:color w:val="auto"/>
          <w:szCs w:val="28"/>
          <w:highlight w:val="none"/>
        </w:rPr>
        <w:t>（一）总工程量与投资估算</w:t>
      </w:r>
      <w:bookmarkEnd w:id="204"/>
      <w:bookmarkEnd w:id="205"/>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1、矿山地质环境治理总工程量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大英县浅垭子村砖瓦用页岩矿</w:t>
      </w:r>
      <w:r>
        <w:rPr>
          <w:rFonts w:hint="eastAsia" w:ascii="仿宋" w:hAnsi="仿宋" w:eastAsia="仿宋" w:cs="仿宋"/>
          <w:color w:val="auto"/>
          <w:sz w:val="28"/>
          <w:szCs w:val="28"/>
          <w:highlight w:val="none"/>
        </w:rPr>
        <w:t>矿山地质环境治理工程设计的工程量，详见下表7-5。</w:t>
      </w:r>
    </w:p>
    <w:p>
      <w:pPr>
        <w:spacing w:line="360" w:lineRule="auto"/>
        <w:jc w:val="center"/>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表7-</w:t>
      </w:r>
      <w:r>
        <w:rPr>
          <w:rFonts w:hint="eastAsia" w:ascii="Times New Roman" w:hAnsi="Times New Roman" w:eastAsia="宋体" w:cs="Times New Roman"/>
          <w:b/>
          <w:color w:val="auto"/>
          <w:sz w:val="24"/>
          <w:szCs w:val="24"/>
          <w:highlight w:val="none"/>
        </w:rPr>
        <w:t>5</w:t>
      </w:r>
      <w:r>
        <w:rPr>
          <w:rFonts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highlight w:val="none"/>
        </w:rPr>
        <w:t>矿山地质环境治理工程工作量表</w:t>
      </w:r>
    </w:p>
    <w:tbl>
      <w:tblPr>
        <w:tblStyle w:val="23"/>
        <w:tblW w:w="5210" w:type="pct"/>
        <w:tblInd w:w="0" w:type="dxa"/>
        <w:tblLayout w:type="autofit"/>
        <w:tblCellMar>
          <w:top w:w="0" w:type="dxa"/>
          <w:left w:w="108" w:type="dxa"/>
          <w:bottom w:w="0" w:type="dxa"/>
          <w:right w:w="108" w:type="dxa"/>
        </w:tblCellMar>
      </w:tblPr>
      <w:tblGrid>
        <w:gridCol w:w="754"/>
        <w:gridCol w:w="1942"/>
        <w:gridCol w:w="1887"/>
        <w:gridCol w:w="1310"/>
        <w:gridCol w:w="1310"/>
        <w:gridCol w:w="1677"/>
      </w:tblGrid>
      <w:tr>
        <w:tblPrEx>
          <w:tblCellMar>
            <w:top w:w="0" w:type="dxa"/>
            <w:left w:w="108" w:type="dxa"/>
            <w:bottom w:w="0" w:type="dxa"/>
            <w:right w:w="108" w:type="dxa"/>
          </w:tblCellMar>
        </w:tblPrEx>
        <w:trPr>
          <w:trHeight w:val="318" w:hRule="atLeast"/>
        </w:trPr>
        <w:tc>
          <w:tcPr>
            <w:tcW w:w="425"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序号</w:t>
            </w:r>
          </w:p>
        </w:tc>
        <w:tc>
          <w:tcPr>
            <w:tcW w:w="2155"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工程名称/</w:t>
            </w:r>
            <w:r>
              <w:rPr>
                <w:rStyle w:val="34"/>
                <w:color w:val="auto"/>
                <w:sz w:val="21"/>
                <w:szCs w:val="21"/>
                <w:highlight w:val="none"/>
              </w:rPr>
              <w:t>方法</w:t>
            </w:r>
          </w:p>
        </w:tc>
        <w:tc>
          <w:tcPr>
            <w:tcW w:w="73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单位</w:t>
            </w:r>
          </w:p>
        </w:tc>
        <w:tc>
          <w:tcPr>
            <w:tcW w:w="73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工作量</w:t>
            </w:r>
          </w:p>
        </w:tc>
        <w:tc>
          <w:tcPr>
            <w:tcW w:w="944"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备注</w:t>
            </w:r>
          </w:p>
        </w:tc>
      </w:tr>
      <w:tr>
        <w:tblPrEx>
          <w:tblCellMar>
            <w:top w:w="0" w:type="dxa"/>
            <w:left w:w="108" w:type="dxa"/>
            <w:bottom w:w="0" w:type="dxa"/>
            <w:right w:w="108" w:type="dxa"/>
          </w:tblCellMar>
        </w:tblPrEx>
        <w:trPr>
          <w:trHeight w:val="642" w:hRule="atLeast"/>
        </w:trPr>
        <w:tc>
          <w:tcPr>
            <w:tcW w:w="425" w:type="pc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1</w:t>
            </w:r>
          </w:p>
        </w:tc>
        <w:tc>
          <w:tcPr>
            <w:tcW w:w="1093" w:type="pc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矿山地质环境保护与土地复垦预防</w:t>
            </w:r>
          </w:p>
        </w:tc>
        <w:tc>
          <w:tcPr>
            <w:tcW w:w="1061" w:type="pc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警示牌</w:t>
            </w:r>
          </w:p>
        </w:tc>
        <w:tc>
          <w:tcPr>
            <w:tcW w:w="737" w:type="pc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张</w:t>
            </w:r>
          </w:p>
        </w:tc>
        <w:tc>
          <w:tcPr>
            <w:tcW w:w="73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highlight w:val="none"/>
              </w:rPr>
              <w:t>10</w:t>
            </w:r>
          </w:p>
        </w:tc>
        <w:tc>
          <w:tcPr>
            <w:tcW w:w="944"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为矿权所有人日常监测，</w:t>
            </w:r>
            <w:r>
              <w:rPr>
                <w:rFonts w:ascii="Times New Roman" w:hAnsi="Times New Roman" w:eastAsia="宋体" w:cs="Times New Roman"/>
                <w:color w:val="auto"/>
                <w:kern w:val="0"/>
                <w:highlight w:val="none"/>
              </w:rPr>
              <w:t>工程量</w:t>
            </w:r>
            <w:r>
              <w:rPr>
                <w:rFonts w:hint="eastAsia" w:ascii="Times New Roman" w:hAnsi="Times New Roman" w:eastAsia="宋体" w:cs="Times New Roman"/>
                <w:color w:val="auto"/>
                <w:kern w:val="0"/>
                <w:highlight w:val="none"/>
                <w:lang w:val="en-US" w:eastAsia="zh-CN"/>
              </w:rPr>
              <w:t>不</w:t>
            </w:r>
            <w:r>
              <w:rPr>
                <w:rFonts w:ascii="Times New Roman" w:hAnsi="Times New Roman" w:eastAsia="宋体" w:cs="Times New Roman"/>
                <w:color w:val="auto"/>
                <w:kern w:val="0"/>
                <w:highlight w:val="none"/>
              </w:rPr>
              <w:t>计入地质环境恢复工程</w:t>
            </w:r>
            <w:r>
              <w:rPr>
                <w:rFonts w:hint="eastAsia" w:ascii="Times New Roman" w:hAnsi="Times New Roman" w:eastAsia="宋体" w:cs="Times New Roman"/>
                <w:color w:val="auto"/>
                <w:kern w:val="0"/>
                <w:highlight w:val="none"/>
                <w:lang w:val="en-US" w:eastAsia="zh-CN"/>
              </w:rPr>
              <w:t>总预算中。</w:t>
            </w:r>
          </w:p>
        </w:tc>
      </w:tr>
      <w:tr>
        <w:tblPrEx>
          <w:tblCellMar>
            <w:top w:w="0" w:type="dxa"/>
            <w:left w:w="108" w:type="dxa"/>
            <w:bottom w:w="0" w:type="dxa"/>
            <w:right w:w="108" w:type="dxa"/>
          </w:tblCellMar>
        </w:tblPrEx>
        <w:trPr>
          <w:trHeight w:val="340" w:hRule="atLeast"/>
        </w:trPr>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2</w:t>
            </w:r>
          </w:p>
        </w:tc>
        <w:tc>
          <w:tcPr>
            <w:tcW w:w="109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地质灾害监测</w:t>
            </w:r>
          </w:p>
        </w:tc>
        <w:tc>
          <w:tcPr>
            <w:tcW w:w="106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auto"/>
                <w:highlight w:val="none"/>
              </w:rPr>
            </w:pPr>
            <w:r>
              <w:rPr>
                <w:rFonts w:eastAsia="宋体"/>
                <w:color w:val="auto"/>
                <w:kern w:val="0"/>
                <w:highlight w:val="none"/>
                <w:lang w:bidi="ar"/>
              </w:rPr>
              <w:t>简易监测</w:t>
            </w:r>
          </w:p>
        </w:tc>
        <w:tc>
          <w:tcPr>
            <w:tcW w:w="737" w:type="pct"/>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auto"/>
                <w:kern w:val="0"/>
                <w:highlight w:val="none"/>
              </w:rPr>
            </w:pPr>
            <w:r>
              <w:rPr>
                <w:rFonts w:eastAsia="宋体"/>
                <w:color w:val="auto"/>
                <w:kern w:val="0"/>
                <w:highlight w:val="none"/>
                <w:lang w:bidi="ar"/>
              </w:rPr>
              <w:t>次</w:t>
            </w:r>
          </w:p>
        </w:tc>
        <w:tc>
          <w:tcPr>
            <w:tcW w:w="73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highlight w:val="none"/>
                <w:lang w:val="en-US" w:eastAsia="zh-CN"/>
              </w:rPr>
              <w:t>208</w:t>
            </w:r>
          </w:p>
        </w:tc>
        <w:tc>
          <w:tcPr>
            <w:tcW w:w="94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color w:val="auto"/>
                <w:highlight w:val="none"/>
              </w:rPr>
            </w:pPr>
          </w:p>
        </w:tc>
      </w:tr>
      <w:tr>
        <w:tblPrEx>
          <w:tblCellMar>
            <w:top w:w="0" w:type="dxa"/>
            <w:left w:w="108" w:type="dxa"/>
            <w:bottom w:w="0" w:type="dxa"/>
            <w:right w:w="108" w:type="dxa"/>
          </w:tblCellMar>
        </w:tblPrEx>
        <w:trPr>
          <w:trHeight w:val="90" w:hRule="atLeast"/>
        </w:trPr>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3</w:t>
            </w:r>
          </w:p>
        </w:tc>
        <w:tc>
          <w:tcPr>
            <w:tcW w:w="109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地形地貌景观监测</w:t>
            </w:r>
          </w:p>
        </w:tc>
        <w:tc>
          <w:tcPr>
            <w:tcW w:w="106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rPr>
              <w:t>巡视监测</w:t>
            </w:r>
          </w:p>
        </w:tc>
        <w:tc>
          <w:tcPr>
            <w:tcW w:w="737" w:type="pct"/>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rPr>
              <w:t>次</w:t>
            </w:r>
          </w:p>
        </w:tc>
        <w:tc>
          <w:tcPr>
            <w:tcW w:w="73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rPr>
              <w:t>156</w:t>
            </w:r>
          </w:p>
        </w:tc>
        <w:tc>
          <w:tcPr>
            <w:tcW w:w="94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color w:val="auto"/>
                <w:highlight w:val="none"/>
              </w:rPr>
            </w:pPr>
          </w:p>
        </w:tc>
      </w:tr>
    </w:tbl>
    <w:p>
      <w:pPr>
        <w:pStyle w:val="22"/>
        <w:ind w:firstLine="0" w:firstLineChars="0"/>
        <w:rPr>
          <w:rFonts w:ascii="Times New Roman" w:hAnsi="Times New Roman" w:eastAsia="宋体" w:cs="Times New Roman"/>
          <w:b/>
          <w:bCs/>
          <w:color w:val="auto"/>
          <w:sz w:val="21"/>
          <w:highlight w:val="none"/>
        </w:rPr>
      </w:pPr>
    </w:p>
    <w:p>
      <w:pPr>
        <w:pStyle w:val="4"/>
        <w:spacing w:before="120" w:after="120"/>
        <w:rPr>
          <w:rFonts w:ascii="Times New Roman" w:hAnsi="Times New Roman" w:eastAsia="宋体" w:cs="Times New Roman"/>
          <w:color w:val="auto"/>
          <w:highlight w:val="none"/>
        </w:rPr>
      </w:pPr>
      <w:bookmarkStart w:id="206" w:name="_Toc5907"/>
      <w:bookmarkStart w:id="207" w:name="_Toc8150"/>
      <w:r>
        <w:rPr>
          <w:rFonts w:hint="eastAsia" w:ascii="Times New Roman" w:hAnsi="Times New Roman" w:eastAsia="宋体" w:cs="Times New Roman"/>
          <w:color w:val="auto"/>
          <w:highlight w:val="none"/>
          <w:lang w:val="en-US" w:eastAsia="zh-CN"/>
        </w:rPr>
        <w:t>二</w:t>
      </w:r>
      <w:r>
        <w:rPr>
          <w:rFonts w:ascii="Times New Roman" w:hAnsi="Times New Roman" w:eastAsia="宋体" w:cs="Times New Roman"/>
          <w:color w:val="auto"/>
          <w:highlight w:val="none"/>
        </w:rPr>
        <w:t>、土地复垦工程经费估算</w:t>
      </w:r>
      <w:bookmarkEnd w:id="206"/>
      <w:bookmarkEnd w:id="207"/>
    </w:p>
    <w:p>
      <w:pPr>
        <w:pStyle w:val="5"/>
        <w:rPr>
          <w:rFonts w:ascii="Times New Roman" w:hAnsi="Times New Roman" w:eastAsia="宋体" w:cs="Times New Roman"/>
          <w:color w:val="auto"/>
          <w:sz w:val="28"/>
          <w:szCs w:val="28"/>
          <w:highlight w:val="none"/>
        </w:rPr>
      </w:pPr>
      <w:bookmarkStart w:id="208" w:name="_Toc45523307"/>
      <w:bookmarkStart w:id="209" w:name="_Toc42430560"/>
      <w:bookmarkStart w:id="210" w:name="_Toc27841"/>
      <w:r>
        <w:rPr>
          <w:rFonts w:ascii="Times New Roman" w:hAnsi="Times New Roman" w:eastAsia="宋体" w:cs="Times New Roman"/>
          <w:color w:val="auto"/>
          <w:sz w:val="28"/>
          <w:szCs w:val="28"/>
          <w:highlight w:val="none"/>
        </w:rPr>
        <w:t>（一）总工程量与投资估算</w:t>
      </w:r>
      <w:bookmarkEnd w:id="208"/>
      <w:bookmarkEnd w:id="209"/>
      <w:bookmarkEnd w:id="210"/>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1、矿区土地复垦总工程量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矿山复垦责任范围面积为</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，土地复垦率为100%。主要涉及土壤重构工程、植被恢复工程、监测与管护工程等工程措施。详见表7-8。</w:t>
      </w:r>
    </w:p>
    <w:p>
      <w:pPr>
        <w:snapToGrid w:val="0"/>
        <w:ind w:firstLine="210" w:firstLineChars="10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w:t>
      </w:r>
      <w:r>
        <w:rPr>
          <w:rFonts w:hint="eastAsia" w:ascii="Times New Roman" w:hAnsi="Times New Roman" w:eastAsia="宋体" w:cs="Times New Roman"/>
          <w:b/>
          <w:bCs/>
          <w:color w:val="auto"/>
          <w:highlight w:val="none"/>
        </w:rPr>
        <w:t>8</w:t>
      </w:r>
      <w:r>
        <w:rPr>
          <w:rFonts w:ascii="Times New Roman" w:hAnsi="Times New Roman" w:eastAsia="宋体" w:cs="Times New Roman"/>
          <w:b/>
          <w:bCs/>
          <w:color w:val="auto"/>
          <w:highlight w:val="none"/>
        </w:rPr>
        <w:t xml:space="preserve">   矿区土地复垦工程量汇总表</w:t>
      </w:r>
    </w:p>
    <w:tbl>
      <w:tblPr>
        <w:tblStyle w:val="23"/>
        <w:tblW w:w="462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77"/>
        <w:gridCol w:w="3369"/>
        <w:gridCol w:w="1719"/>
        <w:gridCol w:w="17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eastAsia="宋体"/>
                <w:color w:val="auto"/>
                <w:kern w:val="0"/>
                <w:highlight w:val="none"/>
              </w:rPr>
              <w:t>序号</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工程名称</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单位</w:t>
            </w:r>
          </w:p>
        </w:tc>
        <w:tc>
          <w:tcPr>
            <w:tcW w:w="1089" w:type="pct"/>
            <w:vAlign w:val="center"/>
          </w:tcPr>
          <w:p>
            <w:pPr>
              <w:widowControl/>
              <w:jc w:val="center"/>
              <w:rPr>
                <w:rFonts w:eastAsia="宋体"/>
                <w:color w:val="auto"/>
                <w:kern w:val="0"/>
                <w:highlight w:val="none"/>
              </w:rPr>
            </w:pPr>
            <w:r>
              <w:rPr>
                <w:rFonts w:eastAsia="宋体"/>
                <w:color w:val="auto"/>
                <w:kern w:val="0"/>
                <w:highlight w:val="none"/>
              </w:rPr>
              <w:t>工作量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一</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土壤重构工程</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　</w:t>
            </w:r>
          </w:p>
        </w:tc>
        <w:tc>
          <w:tcPr>
            <w:tcW w:w="1089" w:type="pct"/>
            <w:vAlign w:val="center"/>
          </w:tcPr>
          <w:p>
            <w:pPr>
              <w:widowControl/>
              <w:jc w:val="center"/>
              <w:rPr>
                <w:rFonts w:eastAsia="宋体"/>
                <w:color w:val="auto"/>
                <w:kern w:val="0"/>
                <w:highlight w:val="none"/>
              </w:rPr>
            </w:pPr>
            <w:r>
              <w:rPr>
                <w:rFonts w:eastAsia="宋体"/>
                <w:color w:val="auto"/>
                <w:kern w:val="0"/>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1</w:t>
            </w:r>
          </w:p>
        </w:tc>
        <w:tc>
          <w:tcPr>
            <w:tcW w:w="2136" w:type="pct"/>
            <w:vAlign w:val="center"/>
          </w:tcPr>
          <w:p>
            <w:pPr>
              <w:widowControl/>
              <w:jc w:val="center"/>
              <w:rPr>
                <w:rFonts w:eastAsia="宋体"/>
                <w:color w:val="auto"/>
                <w:kern w:val="0"/>
                <w:highlight w:val="none"/>
              </w:rPr>
            </w:pPr>
            <w:r>
              <w:rPr>
                <w:rFonts w:hint="eastAsia" w:eastAsia="宋体"/>
                <w:color w:val="auto"/>
                <w:kern w:val="0"/>
                <w:highlight w:val="none"/>
              </w:rPr>
              <w:t>表土剥离</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3</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11670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2.1</w:t>
            </w:r>
          </w:p>
        </w:tc>
        <w:tc>
          <w:tcPr>
            <w:tcW w:w="2136" w:type="pct"/>
            <w:vAlign w:val="center"/>
          </w:tcPr>
          <w:p>
            <w:pPr>
              <w:widowControl/>
              <w:jc w:val="center"/>
              <w:rPr>
                <w:rFonts w:eastAsia="宋体"/>
                <w:color w:val="auto"/>
                <w:kern w:val="0"/>
                <w:highlight w:val="none"/>
              </w:rPr>
            </w:pPr>
            <w:r>
              <w:rPr>
                <w:rFonts w:hint="eastAsia" w:eastAsia="宋体"/>
                <w:color w:val="auto"/>
                <w:kern w:val="0"/>
                <w:highlight w:val="none"/>
              </w:rPr>
              <w:t>薄膜覆盖</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2.2</w:t>
            </w:r>
          </w:p>
        </w:tc>
        <w:tc>
          <w:tcPr>
            <w:tcW w:w="2136" w:type="pct"/>
            <w:vAlign w:val="center"/>
          </w:tcPr>
          <w:p>
            <w:pPr>
              <w:widowControl/>
              <w:jc w:val="center"/>
              <w:rPr>
                <w:rFonts w:eastAsia="宋体"/>
                <w:color w:val="auto"/>
                <w:kern w:val="0"/>
                <w:highlight w:val="none"/>
              </w:rPr>
            </w:pPr>
            <w:r>
              <w:rPr>
                <w:rFonts w:hint="eastAsia" w:eastAsia="宋体"/>
                <w:color w:val="auto"/>
                <w:kern w:val="0"/>
                <w:highlight w:val="none"/>
              </w:rPr>
              <w:t>草籽养护</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5</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土地平整</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6</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表土回填</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3</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5940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hint="eastAsia" w:eastAsia="宋体"/>
                <w:color w:val="auto"/>
                <w:kern w:val="0"/>
                <w:highlight w:val="none"/>
              </w:rPr>
              <w:t>二</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植被恢复工程</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　</w:t>
            </w:r>
          </w:p>
        </w:tc>
        <w:tc>
          <w:tcPr>
            <w:tcW w:w="1089" w:type="pct"/>
            <w:vAlign w:val="center"/>
          </w:tcPr>
          <w:p>
            <w:pPr>
              <w:widowControl/>
              <w:jc w:val="center"/>
              <w:rPr>
                <w:rFonts w:eastAsia="宋体"/>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eastAsia="宋体"/>
                <w:color w:val="auto"/>
                <w:kern w:val="0"/>
                <w:highlight w:val="none"/>
              </w:rPr>
            </w:pPr>
            <w:r>
              <w:rPr>
                <w:rFonts w:eastAsia="宋体"/>
                <w:color w:val="auto"/>
                <w:kern w:val="0"/>
                <w:highlight w:val="none"/>
              </w:rPr>
              <w:t>1</w:t>
            </w:r>
          </w:p>
        </w:tc>
        <w:tc>
          <w:tcPr>
            <w:tcW w:w="2136"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栽植椿树苗</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株</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1238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hint="eastAsia" w:eastAsia="宋体"/>
                <w:color w:val="auto"/>
                <w:kern w:val="0"/>
                <w:highlight w:val="none"/>
                <w:lang w:val="en-US" w:eastAsia="zh-CN"/>
              </w:rPr>
            </w:pPr>
            <w:r>
              <w:rPr>
                <w:rFonts w:hint="eastAsia" w:eastAsia="宋体"/>
                <w:color w:val="auto"/>
                <w:kern w:val="0"/>
                <w:highlight w:val="none"/>
                <w:lang w:val="en-US" w:eastAsia="zh-CN"/>
              </w:rPr>
              <w:t>2</w:t>
            </w:r>
          </w:p>
        </w:tc>
        <w:tc>
          <w:tcPr>
            <w:tcW w:w="2136" w:type="pct"/>
            <w:vAlign w:val="center"/>
          </w:tcPr>
          <w:p>
            <w:pPr>
              <w:widowControl/>
              <w:jc w:val="center"/>
              <w:rPr>
                <w:rFonts w:hint="default" w:eastAsia="宋体" w:asciiTheme="minorHAnsi" w:hAnsiTheme="minorHAnsi" w:cstheme="minorBidi"/>
                <w:color w:val="auto"/>
                <w:kern w:val="0"/>
                <w:sz w:val="21"/>
                <w:szCs w:val="21"/>
                <w:highlight w:val="none"/>
                <w:lang w:val="en-US" w:eastAsia="zh-CN" w:bidi="ar-SA"/>
              </w:rPr>
            </w:pPr>
            <w:r>
              <w:rPr>
                <w:rFonts w:hint="eastAsia" w:eastAsia="宋体"/>
                <w:color w:val="auto"/>
                <w:kern w:val="0"/>
                <w:highlight w:val="none"/>
                <w:lang w:val="en-US" w:eastAsia="zh-CN"/>
              </w:rPr>
              <w:t>栽植杨树苗</w:t>
            </w:r>
          </w:p>
        </w:tc>
        <w:tc>
          <w:tcPr>
            <w:tcW w:w="1090" w:type="pct"/>
            <w:vAlign w:val="center"/>
          </w:tcPr>
          <w:p>
            <w:pPr>
              <w:widowControl/>
              <w:jc w:val="center"/>
              <w:rPr>
                <w:rFonts w:eastAsia="宋体" w:asciiTheme="minorHAnsi" w:hAnsiTheme="minorHAnsi" w:cstheme="minorBidi"/>
                <w:color w:val="auto"/>
                <w:kern w:val="0"/>
                <w:sz w:val="21"/>
                <w:szCs w:val="21"/>
                <w:highlight w:val="none"/>
                <w:lang w:val="en-US" w:eastAsia="zh-CN" w:bidi="ar-SA"/>
              </w:rPr>
            </w:pPr>
            <w:r>
              <w:rPr>
                <w:rFonts w:eastAsia="宋体"/>
                <w:color w:val="auto"/>
                <w:kern w:val="0"/>
                <w:highlight w:val="none"/>
              </w:rPr>
              <w:t>株</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1238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83" w:type="pct"/>
            <w:vAlign w:val="center"/>
          </w:tcPr>
          <w:p>
            <w:pPr>
              <w:widowControl/>
              <w:jc w:val="center"/>
              <w:rPr>
                <w:rFonts w:hint="eastAsia" w:eastAsia="宋体"/>
                <w:color w:val="auto"/>
                <w:kern w:val="0"/>
                <w:highlight w:val="none"/>
                <w:lang w:eastAsia="zh-CN"/>
              </w:rPr>
            </w:pPr>
            <w:r>
              <w:rPr>
                <w:rFonts w:hint="eastAsia" w:eastAsia="宋体"/>
                <w:color w:val="auto"/>
                <w:kern w:val="0"/>
                <w:highlight w:val="none"/>
                <w:lang w:val="en-US" w:eastAsia="zh-CN"/>
              </w:rPr>
              <w:t>4</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栽种葛藤</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株</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2200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hint="eastAsia" w:eastAsia="宋体"/>
                <w:color w:val="auto"/>
                <w:kern w:val="0"/>
                <w:highlight w:val="none"/>
                <w:lang w:eastAsia="zh-CN"/>
              </w:rPr>
            </w:pPr>
            <w:r>
              <w:rPr>
                <w:rFonts w:hint="eastAsia" w:eastAsia="宋体"/>
                <w:color w:val="auto"/>
                <w:kern w:val="0"/>
                <w:highlight w:val="none"/>
                <w:lang w:val="en-US" w:eastAsia="zh-CN"/>
              </w:rPr>
              <w:t>5</w:t>
            </w:r>
          </w:p>
        </w:tc>
        <w:tc>
          <w:tcPr>
            <w:tcW w:w="2136" w:type="pct"/>
            <w:vAlign w:val="center"/>
          </w:tcPr>
          <w:p>
            <w:pPr>
              <w:widowControl/>
              <w:jc w:val="center"/>
              <w:rPr>
                <w:rFonts w:eastAsia="宋体"/>
                <w:color w:val="auto"/>
                <w:kern w:val="0"/>
                <w:highlight w:val="none"/>
              </w:rPr>
            </w:pPr>
            <w:r>
              <w:rPr>
                <w:rFonts w:eastAsia="宋体"/>
                <w:color w:val="auto"/>
                <w:kern w:val="0"/>
                <w:highlight w:val="none"/>
              </w:rPr>
              <w:t>播撒草籽</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6</w:t>
            </w:r>
          </w:p>
        </w:tc>
        <w:tc>
          <w:tcPr>
            <w:tcW w:w="2136"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木工格栅辅助</w:t>
            </w:r>
          </w:p>
        </w:tc>
        <w:tc>
          <w:tcPr>
            <w:tcW w:w="1090" w:type="pct"/>
            <w:vAlign w:val="center"/>
          </w:tcPr>
          <w:p>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2</w:t>
            </w:r>
          </w:p>
        </w:tc>
        <w:tc>
          <w:tcPr>
            <w:tcW w:w="1089" w:type="pct"/>
            <w:vAlign w:val="center"/>
          </w:tcPr>
          <w:p>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2200</w:t>
            </w:r>
          </w:p>
        </w:tc>
      </w:tr>
    </w:tbl>
    <w:p>
      <w:pPr>
        <w:pStyle w:val="2"/>
        <w:ind w:left="0" w:leftChars="0" w:firstLine="0" w:firstLineChars="0"/>
        <w:rPr>
          <w:color w:val="auto"/>
        </w:rPr>
      </w:pP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2、土地复垦投资估算</w:t>
      </w:r>
    </w:p>
    <w:p>
      <w:pPr>
        <w:spacing w:line="360" w:lineRule="auto"/>
        <w:ind w:firstLine="560" w:firstLineChars="200"/>
        <w:rPr>
          <w:rFonts w:hint="eastAsia" w:ascii="仿宋" w:hAnsi="仿宋" w:eastAsia="仿宋" w:cs="仿宋"/>
          <w:color w:val="auto"/>
          <w:sz w:val="28"/>
          <w:szCs w:val="28"/>
          <w:highlight w:val="none"/>
        </w:rPr>
      </w:pPr>
      <w:bookmarkStart w:id="211" w:name="_Hlk101704211"/>
      <w:bookmarkStart w:id="212" w:name="_Hlk77606333"/>
      <w:r>
        <w:rPr>
          <w:rFonts w:hint="eastAsia" w:ascii="仿宋" w:hAnsi="仿宋" w:eastAsia="仿宋" w:cs="仿宋"/>
          <w:color w:val="auto"/>
          <w:sz w:val="28"/>
          <w:szCs w:val="28"/>
          <w:highlight w:val="none"/>
        </w:rPr>
        <w:t>本</w:t>
      </w:r>
      <w:bookmarkStart w:id="213" w:name="_Hlk71991879"/>
      <w:bookmarkStart w:id="214" w:name="_Hlk88140994"/>
      <w:r>
        <w:rPr>
          <w:rFonts w:hint="eastAsia" w:ascii="仿宋" w:hAnsi="仿宋" w:eastAsia="仿宋" w:cs="仿宋"/>
          <w:color w:val="auto"/>
          <w:sz w:val="28"/>
          <w:szCs w:val="28"/>
          <w:highlight w:val="none"/>
        </w:rPr>
        <w:t>项目土地复垦估算动态总投资为</w:t>
      </w:r>
      <w:r>
        <w:rPr>
          <w:rFonts w:hint="eastAsia" w:ascii="仿宋" w:hAnsi="仿宋" w:eastAsia="仿宋" w:cs="仿宋"/>
          <w:color w:val="auto"/>
          <w:sz w:val="28"/>
          <w:szCs w:val="28"/>
          <w:highlight w:val="none"/>
          <w:lang w:val="en-US" w:eastAsia="zh-CN"/>
        </w:rPr>
        <w:t>43.01</w:t>
      </w:r>
      <w:r>
        <w:rPr>
          <w:rFonts w:hint="eastAsia" w:ascii="仿宋" w:hAnsi="仿宋" w:eastAsia="仿宋" w:cs="仿宋"/>
          <w:color w:val="auto"/>
          <w:sz w:val="28"/>
          <w:szCs w:val="28"/>
          <w:highlight w:val="none"/>
        </w:rPr>
        <w:t>万元，静态投资</w:t>
      </w:r>
      <w:r>
        <w:rPr>
          <w:rFonts w:hint="eastAsia" w:ascii="仿宋" w:hAnsi="仿宋" w:eastAsia="仿宋" w:cs="仿宋"/>
          <w:color w:val="auto"/>
          <w:sz w:val="28"/>
          <w:szCs w:val="28"/>
          <w:highlight w:val="none"/>
          <w:lang w:val="en-US" w:eastAsia="zh-CN"/>
        </w:rPr>
        <w:t>40.69</w:t>
      </w:r>
      <w:r>
        <w:rPr>
          <w:rFonts w:hint="eastAsia" w:ascii="仿宋" w:hAnsi="仿宋" w:eastAsia="仿宋" w:cs="仿宋"/>
          <w:color w:val="auto"/>
          <w:sz w:val="28"/>
          <w:szCs w:val="28"/>
          <w:highlight w:val="none"/>
        </w:rPr>
        <w:t>万元。其中，工程施工费</w:t>
      </w:r>
      <w:r>
        <w:rPr>
          <w:rFonts w:hint="eastAsia" w:ascii="仿宋" w:hAnsi="仿宋" w:eastAsia="仿宋" w:cs="仿宋"/>
          <w:color w:val="auto"/>
          <w:sz w:val="28"/>
          <w:szCs w:val="28"/>
          <w:highlight w:val="none"/>
          <w:lang w:val="en-US" w:eastAsia="zh-CN"/>
        </w:rPr>
        <w:t>18.68</w:t>
      </w:r>
      <w:r>
        <w:rPr>
          <w:rFonts w:hint="eastAsia" w:ascii="仿宋" w:hAnsi="仿宋" w:eastAsia="仿宋" w:cs="仿宋"/>
          <w:color w:val="auto"/>
          <w:sz w:val="28"/>
          <w:szCs w:val="28"/>
          <w:highlight w:val="none"/>
        </w:rPr>
        <w:t>万元，其他费用</w:t>
      </w:r>
      <w:r>
        <w:rPr>
          <w:rFonts w:hint="eastAsia" w:ascii="仿宋" w:hAnsi="仿宋" w:eastAsia="仿宋" w:cs="仿宋"/>
          <w:color w:val="auto"/>
          <w:sz w:val="28"/>
          <w:szCs w:val="28"/>
          <w:highlight w:val="none"/>
          <w:lang w:val="en-US" w:eastAsia="zh-CN"/>
        </w:rPr>
        <w:t>2.34</w:t>
      </w:r>
      <w:r>
        <w:rPr>
          <w:rFonts w:hint="eastAsia" w:ascii="仿宋" w:hAnsi="仿宋" w:eastAsia="仿宋" w:cs="仿宋"/>
          <w:color w:val="auto"/>
          <w:sz w:val="28"/>
          <w:szCs w:val="28"/>
          <w:highlight w:val="none"/>
        </w:rPr>
        <w:t>万元，监测与管护费</w:t>
      </w:r>
      <w:r>
        <w:rPr>
          <w:rFonts w:hint="eastAsia" w:ascii="仿宋" w:hAnsi="仿宋" w:eastAsia="仿宋" w:cs="仿宋"/>
          <w:color w:val="auto"/>
          <w:sz w:val="28"/>
          <w:szCs w:val="28"/>
          <w:highlight w:val="none"/>
          <w:lang w:val="en-US" w:eastAsia="zh-CN"/>
        </w:rPr>
        <w:t>18.48</w:t>
      </w:r>
      <w:r>
        <w:rPr>
          <w:rFonts w:hint="eastAsia" w:ascii="仿宋" w:hAnsi="仿宋" w:eastAsia="仿宋" w:cs="仿宋"/>
          <w:color w:val="auto"/>
          <w:sz w:val="28"/>
          <w:szCs w:val="28"/>
          <w:highlight w:val="none"/>
        </w:rPr>
        <w:t>万元</w:t>
      </w:r>
      <w:bookmarkEnd w:id="211"/>
      <w:bookmarkEnd w:id="213"/>
      <w:r>
        <w:rPr>
          <w:rFonts w:hint="eastAsia" w:ascii="仿宋" w:hAnsi="仿宋" w:eastAsia="仿宋" w:cs="仿宋"/>
          <w:color w:val="auto"/>
          <w:sz w:val="28"/>
          <w:szCs w:val="28"/>
          <w:highlight w:val="none"/>
        </w:rPr>
        <w:t>，预备费</w:t>
      </w:r>
      <w:r>
        <w:rPr>
          <w:rFonts w:hint="eastAsia" w:ascii="仿宋" w:hAnsi="仿宋" w:eastAsia="仿宋" w:cs="仿宋"/>
          <w:color w:val="auto"/>
          <w:sz w:val="28"/>
          <w:szCs w:val="28"/>
          <w:highlight w:val="none"/>
          <w:lang w:val="en-US" w:eastAsia="zh-CN"/>
        </w:rPr>
        <w:t>3.51</w:t>
      </w:r>
      <w:r>
        <w:rPr>
          <w:rFonts w:hint="eastAsia" w:ascii="仿宋" w:hAnsi="仿宋" w:eastAsia="仿宋" w:cs="仿宋"/>
          <w:color w:val="auto"/>
          <w:sz w:val="28"/>
          <w:szCs w:val="28"/>
          <w:highlight w:val="none"/>
        </w:rPr>
        <w:t>万元（基本预备费</w:t>
      </w:r>
      <w:r>
        <w:rPr>
          <w:rFonts w:hint="eastAsia" w:ascii="仿宋" w:hAnsi="仿宋" w:eastAsia="仿宋" w:cs="仿宋"/>
          <w:color w:val="auto"/>
          <w:sz w:val="28"/>
          <w:szCs w:val="28"/>
          <w:highlight w:val="none"/>
          <w:lang w:val="en-US" w:eastAsia="zh-CN"/>
        </w:rPr>
        <w:t>1.19</w:t>
      </w:r>
      <w:r>
        <w:rPr>
          <w:rFonts w:hint="eastAsia" w:ascii="仿宋" w:hAnsi="仿宋" w:eastAsia="仿宋" w:cs="仿宋"/>
          <w:color w:val="auto"/>
          <w:sz w:val="28"/>
          <w:szCs w:val="28"/>
          <w:highlight w:val="none"/>
        </w:rPr>
        <w:t>万元，价差预备费</w:t>
      </w:r>
      <w:r>
        <w:rPr>
          <w:rFonts w:hint="eastAsia" w:ascii="仿宋" w:hAnsi="仿宋" w:eastAsia="仿宋" w:cs="仿宋"/>
          <w:color w:val="auto"/>
          <w:sz w:val="28"/>
          <w:szCs w:val="28"/>
          <w:highlight w:val="none"/>
          <w:lang w:val="en-US" w:eastAsia="zh-CN"/>
        </w:rPr>
        <w:t>2.32万</w:t>
      </w:r>
      <w:r>
        <w:rPr>
          <w:rFonts w:hint="eastAsia" w:ascii="仿宋" w:hAnsi="仿宋" w:eastAsia="仿宋" w:cs="仿宋"/>
          <w:color w:val="auto"/>
          <w:sz w:val="28"/>
          <w:szCs w:val="28"/>
          <w:highlight w:val="none"/>
        </w:rPr>
        <w:t>元）。全部由土地复垦义务人负责筹措</w:t>
      </w:r>
      <w:bookmarkEnd w:id="212"/>
      <w:bookmarkEnd w:id="214"/>
      <w:r>
        <w:rPr>
          <w:rFonts w:hint="eastAsia" w:ascii="仿宋" w:hAnsi="仿宋" w:eastAsia="仿宋" w:cs="仿宋"/>
          <w:color w:val="auto"/>
          <w:sz w:val="28"/>
          <w:szCs w:val="28"/>
          <w:highlight w:val="none"/>
        </w:rPr>
        <w:t>。见表7-9。</w:t>
      </w:r>
    </w:p>
    <w:p>
      <w:pPr>
        <w:ind w:firstLine="421" w:firstLineChars="20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w:t>
      </w:r>
      <w:r>
        <w:rPr>
          <w:rFonts w:hint="eastAsia" w:ascii="Times New Roman" w:hAnsi="Times New Roman" w:eastAsia="宋体" w:cs="Times New Roman"/>
          <w:b/>
          <w:bCs/>
          <w:color w:val="auto"/>
          <w:highlight w:val="none"/>
        </w:rPr>
        <w:t>9</w:t>
      </w:r>
      <w:r>
        <w:rPr>
          <w:rFonts w:ascii="Times New Roman" w:hAnsi="Times New Roman" w:eastAsia="宋体" w:cs="Times New Roman"/>
          <w:b/>
          <w:bCs/>
          <w:color w:val="auto"/>
          <w:highlight w:val="none"/>
        </w:rPr>
        <w:t xml:space="preserve">   土地复垦投资估算表</w:t>
      </w:r>
    </w:p>
    <w:tbl>
      <w:tblPr>
        <w:tblStyle w:val="23"/>
        <w:tblW w:w="892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4043"/>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200"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4045" w:type="dxa"/>
            <w:tcBorders>
              <w:top w:val="single" w:color="000000" w:sz="8"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工程或费用名称</w:t>
            </w:r>
          </w:p>
        </w:tc>
        <w:tc>
          <w:tcPr>
            <w:tcW w:w="3687" w:type="dxa"/>
            <w:tcBorders>
              <w:top w:val="single" w:color="000000" w:sz="8"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费用／万元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工程施工费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土壤重构工程</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植被恢复工程</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其他费用</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前期工作费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工程监理费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竣工验收费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业主管理费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监测与管护费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监测与管护工程</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监测与管护费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预备费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基本预备费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价差预备费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风险金</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静态总投资</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动态总投资</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43.01</w:t>
            </w:r>
          </w:p>
        </w:tc>
      </w:tr>
    </w:tbl>
    <w:p>
      <w:pPr>
        <w:pStyle w:val="22"/>
        <w:ind w:firstLine="0" w:firstLineChars="0"/>
        <w:rPr>
          <w:rFonts w:ascii="Times New Roman" w:hAnsi="Times New Roman" w:eastAsia="宋体" w:cs="Times New Roman"/>
          <w:b/>
          <w:bCs/>
          <w:color w:val="auto"/>
          <w:sz w:val="21"/>
          <w:highlight w:val="none"/>
        </w:rPr>
      </w:pPr>
    </w:p>
    <w:p>
      <w:pPr>
        <w:pStyle w:val="5"/>
        <w:ind w:firstLine="321" w:firstLineChars="100"/>
        <w:rPr>
          <w:rFonts w:ascii="Times New Roman" w:hAnsi="Times New Roman" w:eastAsia="宋体" w:cs="Times New Roman"/>
          <w:color w:val="auto"/>
          <w:highlight w:val="none"/>
        </w:rPr>
      </w:pPr>
      <w:bookmarkStart w:id="215" w:name="_Toc27000"/>
      <w:bookmarkStart w:id="216" w:name="_Toc45523309"/>
      <w:r>
        <w:rPr>
          <w:rFonts w:ascii="Times New Roman" w:hAnsi="Times New Roman" w:eastAsia="宋体" w:cs="Times New Roman"/>
          <w:color w:val="auto"/>
          <w:highlight w:val="none"/>
        </w:rPr>
        <w:t>（二）单项工程量与投资估算</w:t>
      </w:r>
      <w:bookmarkEnd w:id="215"/>
    </w:p>
    <w:p>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矿山土地复垦工程施工投资约</w:t>
      </w:r>
      <w:r>
        <w:rPr>
          <w:rFonts w:hint="eastAsia" w:ascii="仿宋" w:hAnsi="仿宋" w:eastAsia="仿宋" w:cs="仿宋"/>
          <w:color w:val="auto"/>
          <w:sz w:val="28"/>
          <w:szCs w:val="28"/>
          <w:highlight w:val="none"/>
          <w:lang w:val="en-US" w:eastAsia="zh-CN"/>
        </w:rPr>
        <w:t>18.68</w:t>
      </w:r>
      <w:r>
        <w:rPr>
          <w:rFonts w:hint="eastAsia" w:ascii="仿宋" w:hAnsi="仿宋" w:eastAsia="仿宋" w:cs="仿宋"/>
          <w:color w:val="auto"/>
          <w:sz w:val="28"/>
          <w:szCs w:val="28"/>
          <w:highlight w:val="none"/>
        </w:rPr>
        <w:t>万元，土地复垦工程量与工程投资估算见表7-10。</w:t>
      </w:r>
    </w:p>
    <w:p>
      <w:pPr>
        <w:snapToGrid w:val="0"/>
        <w:spacing w:line="360" w:lineRule="auto"/>
        <w:ind w:firstLine="42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表7-1</w:t>
      </w:r>
      <w:r>
        <w:rPr>
          <w:rFonts w:hint="eastAsia" w:ascii="Times New Roman" w:hAnsi="Times New Roman" w:eastAsia="宋体" w:cs="Times New Roman"/>
          <w:b/>
          <w:bCs/>
          <w:color w:val="auto"/>
          <w:highlight w:val="none"/>
        </w:rPr>
        <w:t>0</w:t>
      </w:r>
      <w:r>
        <w:rPr>
          <w:rFonts w:ascii="Times New Roman" w:hAnsi="Times New Roman" w:eastAsia="宋体" w:cs="Times New Roman"/>
          <w:b/>
          <w:bCs/>
          <w:color w:val="auto"/>
          <w:highlight w:val="none"/>
        </w:rPr>
        <w:t xml:space="preserve">   工程投资估算表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5"/>
        <w:gridCol w:w="2681"/>
        <w:gridCol w:w="868"/>
        <w:gridCol w:w="1408"/>
        <w:gridCol w:w="1287"/>
        <w:gridCol w:w="1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1035"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681" w:type="dxa"/>
            <w:tcBorders>
              <w:top w:val="single" w:color="000000" w:sz="8"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工程或费用名称</w:t>
            </w:r>
          </w:p>
        </w:tc>
        <w:tc>
          <w:tcPr>
            <w:tcW w:w="868" w:type="dxa"/>
            <w:tcBorders>
              <w:top w:val="single" w:color="000000" w:sz="8"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 xml:space="preserve">计量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单位</w:t>
            </w:r>
          </w:p>
        </w:tc>
        <w:tc>
          <w:tcPr>
            <w:tcW w:w="1408" w:type="dxa"/>
            <w:tcBorders>
              <w:top w:val="single" w:color="000000" w:sz="8"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c>
          <w:tcPr>
            <w:tcW w:w="1287" w:type="dxa"/>
            <w:tcBorders>
              <w:top w:val="single" w:color="000000" w:sz="8"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 xml:space="preserve">综合单价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元</w:t>
            </w:r>
          </w:p>
        </w:tc>
        <w:tc>
          <w:tcPr>
            <w:tcW w:w="1240" w:type="dxa"/>
            <w:tcBorders>
              <w:top w:val="single" w:color="000000" w:sz="8"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 xml:space="preserve">合计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土壤重构工程</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auto"/>
                <w:sz w:val="18"/>
                <w:szCs w:val="18"/>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auto"/>
                <w:sz w:val="18"/>
                <w:szCs w:val="18"/>
                <w:u w:val="none"/>
              </w:rPr>
            </w:pP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表土剥离</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100m3</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116.7</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178.74</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表土养护</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auto"/>
                <w:sz w:val="18"/>
                <w:szCs w:val="18"/>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auto"/>
                <w:sz w:val="18"/>
                <w:szCs w:val="18"/>
                <w:u w:val="none"/>
              </w:rPr>
            </w:pP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薄膜覆盖</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100m2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574.63</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草籽养护</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hm2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2278.98</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土地平整</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100m3</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279.96</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5.54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表土回填</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100m3</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59.4</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749.72</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地力培肥</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hm2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auto"/>
                <w:sz w:val="18"/>
                <w:szCs w:val="18"/>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2440.84</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植被恢复工程</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auto"/>
                <w:sz w:val="18"/>
                <w:szCs w:val="18"/>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auto"/>
                <w:sz w:val="18"/>
                <w:szCs w:val="18"/>
                <w:u w:val="none"/>
              </w:rPr>
            </w:pP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栽植椿树苗</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100株</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12.38</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243.04</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栽植杨树苗</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100株</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12.38</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377.16</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栽种葛藤苗</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100株</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597.27</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播撒草籽</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hm2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2278.98</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土木格栅辅助</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100m2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352.27</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07" w:type="pct"/>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合计</w:t>
            </w: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p>
        </w:tc>
        <w:tc>
          <w:tcPr>
            <w:tcW w:w="7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p>
        </w:tc>
        <w:tc>
          <w:tcPr>
            <w:tcW w:w="727" w:type="pct"/>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right"/>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18.68</w:t>
            </w:r>
          </w:p>
        </w:tc>
      </w:tr>
    </w:tbl>
    <w:p>
      <w:pPr>
        <w:pStyle w:val="22"/>
        <w:ind w:firstLine="0" w:firstLineChars="0"/>
        <w:rPr>
          <w:rFonts w:ascii="Times New Roman" w:hAnsi="Times New Roman" w:eastAsia="宋体" w:cs="Times New Roman"/>
          <w:b/>
          <w:bCs/>
          <w:color w:val="auto"/>
          <w:sz w:val="21"/>
          <w:highlight w:val="none"/>
        </w:rPr>
      </w:pPr>
    </w:p>
    <w:p>
      <w:pPr>
        <w:pStyle w:val="4"/>
        <w:spacing w:before="120" w:after="120"/>
        <w:rPr>
          <w:rFonts w:ascii="Times New Roman" w:hAnsi="Times New Roman" w:eastAsia="宋体" w:cs="Times New Roman"/>
          <w:color w:val="auto"/>
          <w:highlight w:val="none"/>
        </w:rPr>
      </w:pPr>
      <w:bookmarkStart w:id="217" w:name="_Toc29666"/>
      <w:bookmarkStart w:id="218" w:name="_Toc23839"/>
      <w:r>
        <w:rPr>
          <w:rFonts w:ascii="Times New Roman" w:hAnsi="Times New Roman" w:eastAsia="宋体" w:cs="Times New Roman"/>
          <w:color w:val="auto"/>
          <w:highlight w:val="none"/>
        </w:rPr>
        <w:t>四、总费用汇总与年度安排</w:t>
      </w:r>
      <w:bookmarkEnd w:id="216"/>
      <w:bookmarkEnd w:id="217"/>
      <w:bookmarkEnd w:id="218"/>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1、总费用构成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本项目总费用由矿山地质环境治理费用和土地复垦费用两部分组成。矿山地质环境治理费用包括：矿山地质环境监测费用组成；土地复垦费用包括矿区土地复垦费用和矿区土地复垦监测和管护费用两部分组成。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2、总费用汇总</w:t>
      </w:r>
    </w:p>
    <w:p>
      <w:pPr>
        <w:pStyle w:val="22"/>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本项目矿山环境治理工程和土地复垦工程动态总投资</w:t>
      </w:r>
      <w:r>
        <w:rPr>
          <w:rFonts w:hint="eastAsia" w:ascii="仿宋" w:hAnsi="仿宋" w:eastAsia="仿宋" w:cs="仿宋"/>
          <w:color w:val="auto"/>
          <w:sz w:val="28"/>
          <w:szCs w:val="28"/>
          <w:highlight w:val="none"/>
          <w:lang w:val="en-US" w:eastAsia="zh-CN"/>
        </w:rPr>
        <w:t>43.01</w:t>
      </w:r>
      <w:r>
        <w:rPr>
          <w:rFonts w:hint="eastAsia" w:ascii="仿宋" w:hAnsi="仿宋" w:eastAsia="仿宋" w:cs="仿宋"/>
          <w:color w:val="auto"/>
          <w:sz w:val="28"/>
          <w:szCs w:val="28"/>
          <w:highlight w:val="none"/>
        </w:rPr>
        <w:t>万元，静态总投资</w:t>
      </w:r>
      <w:r>
        <w:rPr>
          <w:rFonts w:hint="eastAsia" w:ascii="仿宋" w:hAnsi="仿宋" w:eastAsia="仿宋" w:cs="仿宋"/>
          <w:color w:val="auto"/>
          <w:sz w:val="28"/>
          <w:szCs w:val="28"/>
          <w:highlight w:val="none"/>
          <w:lang w:val="en-US" w:eastAsia="zh-CN"/>
        </w:rPr>
        <w:t>40.69</w:t>
      </w:r>
      <w:r>
        <w:rPr>
          <w:rFonts w:hint="eastAsia" w:ascii="仿宋" w:hAnsi="仿宋" w:eastAsia="仿宋" w:cs="仿宋"/>
          <w:color w:val="auto"/>
          <w:sz w:val="28"/>
          <w:szCs w:val="28"/>
          <w:highlight w:val="none"/>
        </w:rPr>
        <w:t>万元。项目区复垦责任面积为</w:t>
      </w:r>
      <w:r>
        <w:rPr>
          <w:rFonts w:hint="eastAsia" w:ascii="仿宋" w:hAnsi="仿宋" w:eastAsia="仿宋" w:cs="仿宋"/>
          <w:color w:val="auto"/>
          <w:sz w:val="28"/>
          <w:szCs w:val="28"/>
          <w:highlight w:val="none"/>
          <w:lang w:val="en-US" w:eastAsia="zh-CN"/>
        </w:rPr>
        <w:t>38900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，单位面积投资为</w:t>
      </w:r>
      <w:r>
        <w:rPr>
          <w:rFonts w:hint="eastAsia" w:ascii="仿宋" w:hAnsi="仿宋" w:eastAsia="仿宋" w:cs="仿宋"/>
          <w:color w:val="auto"/>
          <w:sz w:val="28"/>
          <w:szCs w:val="28"/>
          <w:highlight w:val="none"/>
          <w:lang w:val="en-US" w:eastAsia="zh-CN"/>
        </w:rPr>
        <w:t>11.06</w:t>
      </w:r>
      <w:r>
        <w:rPr>
          <w:rFonts w:hint="eastAsia" w:ascii="仿宋" w:hAnsi="仿宋" w:eastAsia="仿宋" w:cs="仿宋"/>
          <w:color w:val="auto"/>
          <w:sz w:val="28"/>
          <w:szCs w:val="28"/>
          <w:highlight w:val="none"/>
        </w:rPr>
        <w:t>元/m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，见表7-11。</w:t>
      </w:r>
    </w:p>
    <w:p>
      <w:pPr>
        <w:spacing w:line="360" w:lineRule="auto"/>
        <w:ind w:firstLine="560" w:firstLineChars="200"/>
        <w:rPr>
          <w:rFonts w:hint="eastAsia" w:ascii="仿宋" w:hAnsi="仿宋" w:eastAsia="仿宋" w:cs="仿宋"/>
          <w:color w:val="auto"/>
          <w:sz w:val="28"/>
          <w:szCs w:val="28"/>
          <w:highlight w:val="none"/>
        </w:rPr>
      </w:pPr>
      <w:bookmarkStart w:id="219" w:name="_Toc45523310"/>
      <w:bookmarkStart w:id="220" w:name="_Toc42430563"/>
      <w:r>
        <w:rPr>
          <w:rFonts w:hint="eastAsia" w:ascii="仿宋" w:hAnsi="仿宋" w:eastAsia="仿宋" w:cs="仿宋"/>
          <w:color w:val="auto"/>
          <w:sz w:val="28"/>
          <w:szCs w:val="28"/>
          <w:highlight w:val="none"/>
        </w:rPr>
        <w:t>3、近期年度经费安排</w:t>
      </w:r>
      <w:bookmarkEnd w:id="219"/>
      <w:bookmarkEnd w:id="220"/>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根据本项目矿山地质环境保护与土地复垦服务年限和阶段安排，该期主要进行矿山全面恢复期、监测管护期，具体工程见表7-12。</w:t>
      </w:r>
    </w:p>
    <w:p>
      <w:pPr>
        <w:snapToGrid w:val="0"/>
        <w:ind w:firstLine="42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表7-1</w:t>
      </w:r>
      <w:r>
        <w:rPr>
          <w:rFonts w:hint="eastAsia" w:ascii="Times New Roman" w:hAnsi="Times New Roman" w:eastAsia="宋体" w:cs="Times New Roman"/>
          <w:b/>
          <w:bCs/>
          <w:color w:val="auto"/>
          <w:highlight w:val="none"/>
        </w:rPr>
        <w:t>2</w:t>
      </w:r>
      <w:r>
        <w:rPr>
          <w:rFonts w:ascii="Times New Roman" w:hAnsi="Times New Roman" w:eastAsia="宋体" w:cs="Times New Roman"/>
          <w:b/>
          <w:bCs/>
          <w:color w:val="auto"/>
          <w:highlight w:val="none"/>
        </w:rPr>
        <w:t xml:space="preserve">   近年度工作计划安排表</w:t>
      </w:r>
    </w:p>
    <w:tbl>
      <w:tblPr>
        <w:tblStyle w:val="23"/>
        <w:tblW w:w="4998" w:type="pct"/>
        <w:jc w:val="center"/>
        <w:tblLayout w:type="autofit"/>
        <w:tblCellMar>
          <w:top w:w="0" w:type="dxa"/>
          <w:left w:w="108" w:type="dxa"/>
          <w:bottom w:w="0" w:type="dxa"/>
          <w:right w:w="108" w:type="dxa"/>
        </w:tblCellMar>
      </w:tblPr>
      <w:tblGrid>
        <w:gridCol w:w="760"/>
        <w:gridCol w:w="957"/>
        <w:gridCol w:w="5642"/>
        <w:gridCol w:w="1160"/>
      </w:tblGrid>
      <w:tr>
        <w:tblPrEx>
          <w:tblCellMar>
            <w:top w:w="0" w:type="dxa"/>
            <w:left w:w="108" w:type="dxa"/>
            <w:bottom w:w="0" w:type="dxa"/>
            <w:right w:w="108" w:type="dxa"/>
          </w:tblCellMar>
        </w:tblPrEx>
        <w:trPr>
          <w:trHeight w:val="319" w:hRule="atLeast"/>
          <w:jc w:val="center"/>
        </w:trPr>
        <w:tc>
          <w:tcPr>
            <w:tcW w:w="963"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时间</w:t>
            </w:r>
          </w:p>
        </w:tc>
        <w:tc>
          <w:tcPr>
            <w:tcW w:w="3333"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工作计划</w:t>
            </w:r>
          </w:p>
        </w:tc>
        <w:tc>
          <w:tcPr>
            <w:tcW w:w="70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eastAsia="宋体"/>
                <w:color w:val="auto"/>
                <w:kern w:val="0"/>
                <w:highlight w:val="none"/>
                <w:lang w:val="en-US" w:eastAsia="zh-CN" w:bidi="ar"/>
              </w:rPr>
            </w:pPr>
            <w:r>
              <w:rPr>
                <w:rFonts w:hint="eastAsia" w:eastAsia="宋体"/>
                <w:color w:val="auto"/>
                <w:kern w:val="0"/>
                <w:highlight w:val="none"/>
                <w:lang w:val="en-US" w:eastAsia="zh-CN" w:bidi="ar"/>
              </w:rPr>
              <w:t>费用</w:t>
            </w:r>
          </w:p>
        </w:tc>
      </w:tr>
      <w:tr>
        <w:tblPrEx>
          <w:tblCellMar>
            <w:top w:w="0" w:type="dxa"/>
            <w:left w:w="108" w:type="dxa"/>
            <w:bottom w:w="0" w:type="dxa"/>
            <w:right w:w="108" w:type="dxa"/>
          </w:tblCellMar>
        </w:tblPrEx>
        <w:trPr>
          <w:trHeight w:val="289" w:hRule="atLeast"/>
          <w:jc w:val="center"/>
        </w:trPr>
        <w:tc>
          <w:tcPr>
            <w:tcW w:w="37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阶段</w:t>
            </w:r>
          </w:p>
        </w:tc>
        <w:tc>
          <w:tcPr>
            <w:tcW w:w="5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年</w:t>
            </w:r>
          </w:p>
        </w:tc>
        <w:tc>
          <w:tcPr>
            <w:tcW w:w="3333"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auto"/>
                <w:highlight w:val="none"/>
              </w:rPr>
            </w:pPr>
          </w:p>
        </w:tc>
        <w:tc>
          <w:tcPr>
            <w:tcW w:w="703"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highlight w:val="none"/>
                <w:lang w:val="en-US" w:eastAsia="zh-CN"/>
              </w:rPr>
            </w:pPr>
            <w:r>
              <w:rPr>
                <w:rFonts w:hint="eastAsia" w:eastAsia="宋体"/>
                <w:color w:val="auto"/>
                <w:highlight w:val="none"/>
                <w:lang w:val="en-US" w:eastAsia="zh-CN"/>
              </w:rPr>
              <w:t>万元</w:t>
            </w:r>
          </w:p>
        </w:tc>
      </w:tr>
      <w:tr>
        <w:tblPrEx>
          <w:tblCellMar>
            <w:top w:w="0" w:type="dxa"/>
            <w:left w:w="108" w:type="dxa"/>
            <w:bottom w:w="0" w:type="dxa"/>
            <w:right w:w="108" w:type="dxa"/>
          </w:tblCellMar>
        </w:tblPrEx>
        <w:trPr>
          <w:trHeight w:val="1249" w:hRule="atLeast"/>
          <w:jc w:val="center"/>
        </w:trPr>
        <w:tc>
          <w:tcPr>
            <w:tcW w:w="379"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highlight w:val="none"/>
              </w:rPr>
            </w:pPr>
            <w:r>
              <w:rPr>
                <w:rFonts w:eastAsia="宋体"/>
                <w:color w:val="auto"/>
                <w:kern w:val="0"/>
                <w:highlight w:val="none"/>
                <w:lang w:bidi="ar"/>
              </w:rPr>
              <w:t xml:space="preserve">第一阶段生产期 </w:t>
            </w:r>
            <w:r>
              <w:rPr>
                <w:rFonts w:hint="eastAsia" w:eastAsia="宋体"/>
                <w:color w:val="auto"/>
                <w:kern w:val="0"/>
                <w:highlight w:val="none"/>
                <w:lang w:eastAsia="zh-CN" w:bidi="ar"/>
              </w:rPr>
              <w:t>（</w:t>
            </w:r>
            <w:r>
              <w:rPr>
                <w:rFonts w:hint="eastAsia" w:eastAsia="宋体"/>
                <w:color w:val="auto"/>
                <w:kern w:val="0"/>
                <w:highlight w:val="none"/>
                <w:lang w:bidi="ar"/>
              </w:rPr>
              <w:t>3.2</w:t>
            </w:r>
            <w:r>
              <w:rPr>
                <w:rFonts w:eastAsia="宋体"/>
                <w:color w:val="auto"/>
                <w:kern w:val="0"/>
                <w:highlight w:val="none"/>
                <w:lang w:bidi="ar"/>
              </w:rPr>
              <w:t>年</w:t>
            </w:r>
            <w:r>
              <w:rPr>
                <w:rFonts w:hint="eastAsia" w:eastAsia="宋体"/>
                <w:color w:val="auto"/>
                <w:kern w:val="0"/>
                <w:highlight w:val="none"/>
                <w:lang w:eastAsia="zh-CN" w:bidi="ar"/>
              </w:rPr>
              <w:t>）</w:t>
            </w:r>
          </w:p>
        </w:tc>
        <w:tc>
          <w:tcPr>
            <w:tcW w:w="583"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auto"/>
                <w:kern w:val="0"/>
                <w:highlight w:val="none"/>
                <w:lang w:bidi="ar"/>
              </w:rPr>
            </w:pPr>
            <w:r>
              <w:rPr>
                <w:rFonts w:eastAsia="宋体"/>
                <w:color w:val="auto"/>
                <w:kern w:val="0"/>
                <w:highlight w:val="none"/>
                <w:lang w:bidi="ar"/>
              </w:rPr>
              <w:t>生产期</w:t>
            </w:r>
          </w:p>
          <w:p>
            <w:pPr>
              <w:widowControl/>
              <w:jc w:val="center"/>
              <w:textAlignment w:val="center"/>
              <w:rPr>
                <w:rFonts w:hint="default" w:eastAsia="宋体"/>
                <w:color w:val="auto"/>
                <w:highlight w:val="none"/>
                <w:lang w:val="en-US" w:eastAsia="zh-CN"/>
              </w:rPr>
            </w:pPr>
            <w:r>
              <w:rPr>
                <w:rFonts w:eastAsia="宋体"/>
                <w:color w:val="auto"/>
                <w:kern w:val="0"/>
                <w:highlight w:val="none"/>
                <w:lang w:bidi="ar"/>
              </w:rPr>
              <w:t>（</w:t>
            </w:r>
            <w:r>
              <w:rPr>
                <w:rFonts w:hint="eastAsia" w:eastAsia="宋体"/>
                <w:color w:val="auto"/>
                <w:kern w:val="0"/>
                <w:highlight w:val="none"/>
                <w:lang w:val="en-US" w:eastAsia="zh-CN" w:bidi="ar"/>
              </w:rPr>
              <w:t>9</w:t>
            </w:r>
            <w:r>
              <w:rPr>
                <w:rFonts w:eastAsia="宋体"/>
                <w:color w:val="auto"/>
                <w:kern w:val="0"/>
                <w:highlight w:val="none"/>
                <w:lang w:bidi="ar"/>
              </w:rPr>
              <w:t>）</w:t>
            </w:r>
          </w:p>
        </w:tc>
        <w:tc>
          <w:tcPr>
            <w:tcW w:w="3333"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eastAsia="宋体"/>
                <w:color w:val="auto"/>
                <w:highlight w:val="none"/>
              </w:rPr>
            </w:pPr>
            <w:r>
              <w:rPr>
                <w:rFonts w:eastAsia="宋体"/>
                <w:color w:val="auto"/>
                <w:kern w:val="0"/>
                <w:highlight w:val="none"/>
                <w:lang w:bidi="ar"/>
              </w:rPr>
              <w:t>①地质环境保护工程：对开采完毕的台阶进行边坡修整，修整面积</w:t>
            </w:r>
            <w:r>
              <w:rPr>
                <w:rFonts w:hint="eastAsia" w:eastAsia="宋体"/>
                <w:color w:val="auto"/>
                <w:kern w:val="0"/>
                <w:highlight w:val="none"/>
                <w:lang w:val="en-US" w:eastAsia="zh-CN" w:bidi="ar"/>
              </w:rPr>
              <w:t>3.98</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设置安全警示牌</w:t>
            </w:r>
            <w:r>
              <w:rPr>
                <w:rFonts w:hint="eastAsia" w:eastAsia="宋体"/>
                <w:color w:val="auto"/>
                <w:kern w:val="0"/>
                <w:highlight w:val="none"/>
                <w:lang w:bidi="ar"/>
              </w:rPr>
              <w:t>10</w:t>
            </w:r>
            <w:r>
              <w:rPr>
                <w:rFonts w:eastAsia="宋体"/>
                <w:color w:val="auto"/>
                <w:kern w:val="0"/>
                <w:highlight w:val="none"/>
                <w:lang w:bidi="ar"/>
              </w:rPr>
              <w:t>张</w:t>
            </w:r>
            <w:r>
              <w:rPr>
                <w:rFonts w:hint="eastAsia" w:eastAsia="宋体"/>
                <w:color w:val="auto"/>
                <w:kern w:val="0"/>
                <w:highlight w:val="none"/>
                <w:lang w:bidi="ar"/>
              </w:rPr>
              <w:t>。</w:t>
            </w:r>
            <w:r>
              <w:rPr>
                <w:rFonts w:eastAsia="宋体"/>
                <w:color w:val="auto"/>
                <w:kern w:val="0"/>
                <w:highlight w:val="none"/>
                <w:lang w:bidi="ar"/>
              </w:rPr>
              <w:t>巡视监测</w:t>
            </w:r>
            <w:r>
              <w:rPr>
                <w:rFonts w:hint="eastAsia" w:eastAsia="宋体"/>
                <w:color w:val="auto"/>
                <w:kern w:val="0"/>
                <w:highlight w:val="none"/>
                <w:lang w:val="en-US" w:eastAsia="zh-CN" w:bidi="ar"/>
              </w:rPr>
              <w:t>108</w:t>
            </w:r>
            <w:r>
              <w:rPr>
                <w:rFonts w:eastAsia="宋体"/>
                <w:color w:val="auto"/>
                <w:kern w:val="0"/>
                <w:highlight w:val="none"/>
                <w:lang w:bidi="ar"/>
              </w:rPr>
              <w:t>点.次，地灾简易监测</w:t>
            </w:r>
            <w:r>
              <w:rPr>
                <w:rFonts w:hint="eastAsia" w:eastAsia="宋体"/>
                <w:color w:val="auto"/>
                <w:kern w:val="0"/>
                <w:highlight w:val="none"/>
                <w:lang w:val="en-US" w:eastAsia="zh-CN" w:bidi="ar"/>
              </w:rPr>
              <w:t>192</w:t>
            </w:r>
            <w:r>
              <w:rPr>
                <w:rFonts w:eastAsia="宋体"/>
                <w:color w:val="auto"/>
                <w:kern w:val="0"/>
                <w:highlight w:val="none"/>
                <w:lang w:bidi="ar"/>
              </w:rPr>
              <w:t>点.次。</w:t>
            </w:r>
          </w:p>
        </w:tc>
        <w:tc>
          <w:tcPr>
            <w:tcW w:w="703"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default" w:eastAsia="宋体"/>
                <w:color w:val="auto"/>
                <w:kern w:val="0"/>
                <w:highlight w:val="none"/>
                <w:lang w:val="en-US" w:eastAsia="zh-CN" w:bidi="ar"/>
              </w:rPr>
            </w:pPr>
            <w:r>
              <w:rPr>
                <w:rFonts w:hint="eastAsia" w:eastAsia="宋体"/>
                <w:color w:val="auto"/>
                <w:kern w:val="0"/>
                <w:highlight w:val="none"/>
                <w:lang w:val="en-US" w:eastAsia="zh-CN" w:bidi="ar"/>
              </w:rPr>
              <w:t>3</w:t>
            </w:r>
          </w:p>
        </w:tc>
      </w:tr>
      <w:tr>
        <w:tblPrEx>
          <w:tblCellMar>
            <w:top w:w="0" w:type="dxa"/>
            <w:left w:w="108" w:type="dxa"/>
            <w:bottom w:w="0" w:type="dxa"/>
            <w:right w:w="108" w:type="dxa"/>
          </w:tblCellMar>
        </w:tblPrEx>
        <w:trPr>
          <w:trHeight w:val="1207" w:hRule="atLeast"/>
          <w:jc w:val="center"/>
        </w:trPr>
        <w:tc>
          <w:tcPr>
            <w:tcW w:w="379"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eastAsia="宋体"/>
                <w:color w:val="auto"/>
                <w:highlight w:val="none"/>
              </w:rPr>
            </w:pPr>
          </w:p>
        </w:tc>
        <w:tc>
          <w:tcPr>
            <w:tcW w:w="583"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eastAsia="宋体"/>
                <w:color w:val="auto"/>
                <w:highlight w:val="none"/>
              </w:rPr>
            </w:pPr>
          </w:p>
        </w:tc>
        <w:tc>
          <w:tcPr>
            <w:tcW w:w="3333" w:type="pct"/>
            <w:tcBorders>
              <w:top w:val="single" w:color="000000" w:sz="4" w:space="0"/>
              <w:left w:val="single" w:color="000000" w:sz="4" w:space="0"/>
              <w:bottom w:val="single" w:color="auto" w:sz="4" w:space="0"/>
              <w:right w:val="single" w:color="000000" w:sz="4" w:space="0"/>
            </w:tcBorders>
            <w:vAlign w:val="center"/>
          </w:tcPr>
          <w:p>
            <w:pPr>
              <w:widowControl/>
              <w:textAlignment w:val="center"/>
              <w:rPr>
                <w:rFonts w:eastAsia="宋体"/>
                <w:color w:val="auto"/>
                <w:highlight w:val="none"/>
              </w:rPr>
            </w:pPr>
            <w:r>
              <w:rPr>
                <w:rFonts w:eastAsia="宋体"/>
                <w:color w:val="auto"/>
                <w:kern w:val="0"/>
                <w:highlight w:val="none"/>
                <w:lang w:bidi="ar"/>
              </w:rPr>
              <w:t>②土地复垦工程：</w:t>
            </w:r>
            <w:r>
              <w:rPr>
                <w:rFonts w:hint="eastAsia" w:eastAsia="宋体"/>
                <w:color w:val="auto"/>
                <w:kern w:val="0"/>
                <w:highlight w:val="none"/>
                <w:lang w:val="en-US" w:eastAsia="zh-CN" w:bidi="ar"/>
              </w:rPr>
              <w:t>在矿山开采过程中，应对矿山开采边坡及时进行矿山修复工作，坚持边开采，边修复的原则</w:t>
            </w:r>
            <w:r>
              <w:rPr>
                <w:rFonts w:hint="eastAsia" w:eastAsia="宋体"/>
                <w:color w:val="auto"/>
                <w:kern w:val="0"/>
                <w:highlight w:val="none"/>
                <w:lang w:bidi="ar"/>
              </w:rPr>
              <w:t>。</w:t>
            </w:r>
            <w:r>
              <w:rPr>
                <w:rFonts w:eastAsia="宋体"/>
                <w:color w:val="auto"/>
                <w:kern w:val="0"/>
                <w:highlight w:val="none"/>
                <w:lang w:bidi="ar"/>
              </w:rPr>
              <w:t>土地损毁情况及复垦效果监测</w:t>
            </w:r>
            <w:r>
              <w:rPr>
                <w:rFonts w:hint="eastAsia" w:eastAsia="宋体"/>
                <w:color w:val="auto"/>
                <w:kern w:val="0"/>
                <w:highlight w:val="none"/>
                <w:lang w:val="en-US" w:eastAsia="zh-CN" w:bidi="ar"/>
              </w:rPr>
              <w:t>36</w:t>
            </w:r>
            <w:r>
              <w:rPr>
                <w:rFonts w:eastAsia="宋体"/>
                <w:color w:val="auto"/>
                <w:kern w:val="0"/>
                <w:highlight w:val="none"/>
                <w:lang w:bidi="ar"/>
              </w:rPr>
              <w:t>点.次。</w:t>
            </w:r>
          </w:p>
        </w:tc>
        <w:tc>
          <w:tcPr>
            <w:tcW w:w="703" w:type="pct"/>
            <w:tcBorders>
              <w:top w:val="single" w:color="000000" w:sz="4" w:space="0"/>
              <w:left w:val="single" w:color="000000" w:sz="4" w:space="0"/>
              <w:bottom w:val="single" w:color="auto" w:sz="4" w:space="0"/>
              <w:right w:val="single" w:color="000000" w:sz="4" w:space="0"/>
            </w:tcBorders>
            <w:vAlign w:val="center"/>
          </w:tcPr>
          <w:p>
            <w:pPr>
              <w:widowControl/>
              <w:textAlignment w:val="center"/>
              <w:rPr>
                <w:rFonts w:hint="default" w:eastAsia="宋体"/>
                <w:color w:val="auto"/>
                <w:kern w:val="0"/>
                <w:highlight w:val="none"/>
                <w:lang w:val="en-US" w:eastAsia="zh-CN" w:bidi="ar"/>
              </w:rPr>
            </w:pPr>
            <w:r>
              <w:rPr>
                <w:rFonts w:hint="eastAsia" w:eastAsia="宋体"/>
                <w:color w:val="auto"/>
                <w:kern w:val="0"/>
                <w:highlight w:val="none"/>
                <w:lang w:val="en-US" w:eastAsia="zh-CN" w:bidi="ar"/>
              </w:rPr>
              <w:t>3.2</w:t>
            </w:r>
          </w:p>
        </w:tc>
      </w:tr>
      <w:tr>
        <w:tblPrEx>
          <w:tblCellMar>
            <w:top w:w="0" w:type="dxa"/>
            <w:left w:w="108" w:type="dxa"/>
            <w:bottom w:w="0" w:type="dxa"/>
            <w:right w:w="108" w:type="dxa"/>
          </w:tblCellMar>
        </w:tblPrEx>
        <w:trPr>
          <w:trHeight w:val="1849" w:hRule="atLeast"/>
          <w:jc w:val="center"/>
        </w:trPr>
        <w:tc>
          <w:tcPr>
            <w:tcW w:w="379" w:type="pct"/>
            <w:tcBorders>
              <w:top w:val="single" w:color="auto" w:sz="4" w:space="0"/>
              <w:left w:val="single" w:color="auto" w:sz="4" w:space="0"/>
              <w:right w:val="single" w:color="auto" w:sz="4" w:space="0"/>
            </w:tcBorders>
            <w:vAlign w:val="center"/>
          </w:tcPr>
          <w:p>
            <w:pPr>
              <w:jc w:val="center"/>
              <w:rPr>
                <w:rFonts w:hint="eastAsia" w:eastAsia="宋体"/>
                <w:color w:val="auto"/>
                <w:kern w:val="0"/>
                <w:highlight w:val="none"/>
                <w:lang w:bidi="ar"/>
              </w:rPr>
            </w:pPr>
            <w:r>
              <w:rPr>
                <w:rFonts w:eastAsia="宋体"/>
                <w:color w:val="auto"/>
                <w:kern w:val="0"/>
                <w:highlight w:val="none"/>
                <w:lang w:bidi="ar"/>
              </w:rPr>
              <w:t>第</w:t>
            </w:r>
            <w:r>
              <w:rPr>
                <w:rFonts w:hint="eastAsia" w:eastAsia="宋体"/>
                <w:color w:val="auto"/>
                <w:kern w:val="0"/>
                <w:highlight w:val="none"/>
                <w:lang w:bidi="ar"/>
              </w:rPr>
              <w:t>二</w:t>
            </w:r>
            <w:r>
              <w:rPr>
                <w:rFonts w:eastAsia="宋体"/>
                <w:color w:val="auto"/>
                <w:kern w:val="0"/>
                <w:highlight w:val="none"/>
                <w:lang w:bidi="ar"/>
              </w:rPr>
              <w:t>阶段</w:t>
            </w:r>
            <w:r>
              <w:rPr>
                <w:rFonts w:hint="eastAsia" w:eastAsia="宋体"/>
                <w:color w:val="auto"/>
                <w:kern w:val="0"/>
                <w:highlight w:val="none"/>
                <w:lang w:bidi="ar"/>
              </w:rPr>
              <w:t>施工期</w:t>
            </w:r>
          </w:p>
          <w:p>
            <w:pPr>
              <w:jc w:val="center"/>
              <w:rPr>
                <w:rFonts w:eastAsia="宋体"/>
                <w:color w:val="auto"/>
                <w:kern w:val="0"/>
                <w:highlight w:val="none"/>
                <w:lang w:bidi="ar"/>
              </w:rPr>
            </w:pPr>
            <w:r>
              <w:rPr>
                <w:rFonts w:hint="eastAsia" w:eastAsia="宋体"/>
                <w:color w:val="auto"/>
                <w:kern w:val="0"/>
                <w:highlight w:val="none"/>
                <w:lang w:eastAsia="zh-CN" w:bidi="ar"/>
              </w:rPr>
              <w:t>（</w:t>
            </w:r>
            <w:r>
              <w:rPr>
                <w:rFonts w:hint="eastAsia" w:eastAsia="宋体"/>
                <w:color w:val="auto"/>
                <w:kern w:val="0"/>
                <w:highlight w:val="none"/>
                <w:lang w:val="en-US" w:eastAsia="zh-CN" w:bidi="ar"/>
              </w:rPr>
              <w:t>1</w:t>
            </w:r>
            <w:r>
              <w:rPr>
                <w:rFonts w:eastAsia="宋体"/>
                <w:color w:val="auto"/>
                <w:kern w:val="0"/>
                <w:highlight w:val="none"/>
                <w:lang w:bidi="ar"/>
              </w:rPr>
              <w:t>年</w:t>
            </w:r>
            <w:r>
              <w:rPr>
                <w:rFonts w:hint="eastAsia" w:eastAsia="宋体"/>
                <w:color w:val="auto"/>
                <w:kern w:val="0"/>
                <w:highlight w:val="none"/>
                <w:lang w:eastAsia="zh-CN" w:bidi="ar"/>
              </w:rPr>
              <w:t>）</w:t>
            </w:r>
          </w:p>
        </w:tc>
        <w:tc>
          <w:tcPr>
            <w:tcW w:w="5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eastAsia="宋体"/>
                <w:color w:val="auto"/>
                <w:highlight w:val="none"/>
                <w:lang w:val="en-US" w:eastAsia="zh-CN"/>
              </w:rPr>
            </w:pPr>
            <w:r>
              <w:rPr>
                <w:rFonts w:eastAsia="宋体"/>
                <w:color w:val="auto"/>
                <w:kern w:val="0"/>
                <w:highlight w:val="none"/>
                <w:lang w:bidi="ar"/>
              </w:rPr>
              <w:t>（施工期</w:t>
            </w:r>
            <w:r>
              <w:rPr>
                <w:rFonts w:hint="eastAsia" w:eastAsia="宋体"/>
                <w:color w:val="auto"/>
                <w:kern w:val="0"/>
                <w:highlight w:val="none"/>
                <w:lang w:bidi="ar"/>
              </w:rPr>
              <w:t>1年</w:t>
            </w:r>
            <w:r>
              <w:rPr>
                <w:rFonts w:eastAsia="宋体"/>
                <w:color w:val="auto"/>
                <w:kern w:val="0"/>
                <w:highlight w:val="none"/>
                <w:lang w:bidi="ar"/>
              </w:rPr>
              <w:t>）</w:t>
            </w:r>
          </w:p>
        </w:tc>
        <w:tc>
          <w:tcPr>
            <w:tcW w:w="3333"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eastAsia="宋体"/>
                <w:color w:val="auto"/>
                <w:highlight w:val="none"/>
              </w:rPr>
            </w:pPr>
            <w:r>
              <w:rPr>
                <w:rFonts w:eastAsia="宋体"/>
                <w:color w:val="auto"/>
                <w:kern w:val="0"/>
                <w:highlight w:val="none"/>
                <w:lang w:bidi="ar"/>
              </w:rPr>
              <w:t>土地复垦工程：平整场地，覆表土、植被恢复</w:t>
            </w:r>
            <w:r>
              <w:rPr>
                <w:rFonts w:hint="eastAsia" w:eastAsia="宋体"/>
                <w:color w:val="auto"/>
                <w:kern w:val="0"/>
                <w:highlight w:val="none"/>
                <w:lang w:eastAsia="zh-CN" w:bidi="ar"/>
              </w:rPr>
              <w:t>、</w:t>
            </w:r>
            <w:r>
              <w:rPr>
                <w:rFonts w:hint="eastAsia" w:eastAsia="宋体"/>
                <w:color w:val="auto"/>
                <w:kern w:val="0"/>
                <w:highlight w:val="none"/>
                <w:lang w:val="en-US" w:eastAsia="zh-CN" w:bidi="ar"/>
              </w:rPr>
              <w:t>配套工程</w:t>
            </w:r>
            <w:r>
              <w:rPr>
                <w:rFonts w:eastAsia="宋体"/>
                <w:color w:val="auto"/>
                <w:kern w:val="0"/>
                <w:highlight w:val="none"/>
                <w:lang w:bidi="ar"/>
              </w:rPr>
              <w:t>等措施；恢复</w:t>
            </w:r>
            <w:r>
              <w:rPr>
                <w:rFonts w:hint="eastAsia" w:eastAsia="宋体"/>
                <w:color w:val="auto"/>
                <w:kern w:val="0"/>
                <w:highlight w:val="none"/>
                <w:lang w:bidi="ar"/>
              </w:rPr>
              <w:t>乔木林地面积</w:t>
            </w:r>
            <w:r>
              <w:rPr>
                <w:rFonts w:hint="eastAsia" w:eastAsia="宋体"/>
                <w:color w:val="auto"/>
                <w:kern w:val="0"/>
                <w:highlight w:val="none"/>
                <w:lang w:val="en-US" w:eastAsia="zh-CN" w:bidi="ar"/>
              </w:rPr>
              <w:t>1.98</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、草地面积</w:t>
            </w:r>
            <w:r>
              <w:rPr>
                <w:rFonts w:hint="eastAsia" w:eastAsia="宋体"/>
                <w:color w:val="auto"/>
                <w:kern w:val="0"/>
                <w:highlight w:val="none"/>
                <w:lang w:val="en-US" w:eastAsia="zh-CN" w:bidi="ar"/>
              </w:rPr>
              <w:t>1.91</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土壤培肥</w:t>
            </w:r>
            <w:r>
              <w:rPr>
                <w:rFonts w:hint="eastAsia" w:eastAsia="宋体"/>
                <w:color w:val="auto"/>
                <w:kern w:val="0"/>
                <w:highlight w:val="none"/>
                <w:lang w:val="en-US" w:eastAsia="zh-CN" w:bidi="ar"/>
              </w:rPr>
              <w:t>5.73</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、栽种</w:t>
            </w:r>
            <w:r>
              <w:rPr>
                <w:rFonts w:hint="eastAsia" w:eastAsia="宋体"/>
                <w:color w:val="auto"/>
                <w:kern w:val="0"/>
                <w:highlight w:val="none"/>
                <w:lang w:val="en-US" w:eastAsia="zh-CN" w:bidi="ar"/>
              </w:rPr>
              <w:t>树木2476</w:t>
            </w:r>
            <w:r>
              <w:rPr>
                <w:rFonts w:hint="eastAsia" w:eastAsia="宋体"/>
                <w:color w:val="auto"/>
                <w:kern w:val="0"/>
                <w:highlight w:val="none"/>
                <w:lang w:bidi="ar"/>
              </w:rPr>
              <w:t>株</w:t>
            </w:r>
            <w:r>
              <w:rPr>
                <w:rFonts w:hint="eastAsia" w:eastAsia="宋体"/>
                <w:color w:val="auto"/>
                <w:kern w:val="0"/>
                <w:highlight w:val="none"/>
                <w:lang w:val="en-US" w:eastAsia="zh-CN" w:bidi="ar"/>
              </w:rPr>
              <w:t>，</w:t>
            </w:r>
            <w:r>
              <w:rPr>
                <w:rFonts w:hint="eastAsia" w:eastAsia="宋体"/>
                <w:color w:val="auto"/>
                <w:kern w:val="0"/>
                <w:highlight w:val="none"/>
                <w:lang w:bidi="ar"/>
              </w:rPr>
              <w:t>播撒草籽</w:t>
            </w:r>
            <w:r>
              <w:rPr>
                <w:rFonts w:hint="eastAsia" w:eastAsia="宋体"/>
                <w:color w:val="auto"/>
                <w:kern w:val="0"/>
                <w:highlight w:val="none"/>
                <w:lang w:val="en-US" w:eastAsia="zh-CN" w:bidi="ar"/>
              </w:rPr>
              <w:t>1.91</w:t>
            </w:r>
            <w:r>
              <w:rPr>
                <w:rFonts w:eastAsia="宋体"/>
                <w:color w:val="auto"/>
                <w:kern w:val="0"/>
                <w:highlight w:val="none"/>
                <w:lang w:bidi="ar"/>
              </w:rPr>
              <w:t>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土地损毁情况及复垦效果监测</w:t>
            </w:r>
            <w:r>
              <w:rPr>
                <w:rFonts w:hint="eastAsia" w:eastAsia="宋体"/>
                <w:color w:val="auto"/>
                <w:kern w:val="0"/>
                <w:highlight w:val="none"/>
                <w:lang w:val="en-US" w:eastAsia="zh-CN" w:bidi="ar"/>
              </w:rPr>
              <w:t>72</w:t>
            </w:r>
            <w:r>
              <w:rPr>
                <w:rFonts w:eastAsia="宋体"/>
                <w:color w:val="auto"/>
                <w:kern w:val="0"/>
                <w:highlight w:val="none"/>
                <w:lang w:bidi="ar"/>
              </w:rPr>
              <w:t>点.次。</w:t>
            </w:r>
          </w:p>
        </w:tc>
        <w:tc>
          <w:tcPr>
            <w:tcW w:w="703"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hint="default" w:eastAsia="宋体"/>
                <w:color w:val="auto"/>
                <w:kern w:val="0"/>
                <w:highlight w:val="none"/>
                <w:lang w:val="en-US" w:eastAsia="zh-CN" w:bidi="ar"/>
              </w:rPr>
            </w:pPr>
            <w:r>
              <w:rPr>
                <w:rFonts w:hint="eastAsia" w:eastAsia="宋体"/>
                <w:color w:val="auto"/>
                <w:kern w:val="0"/>
                <w:highlight w:val="none"/>
                <w:lang w:val="en-US" w:eastAsia="zh-CN" w:bidi="ar"/>
              </w:rPr>
              <w:t>18.68</w:t>
            </w:r>
          </w:p>
        </w:tc>
      </w:tr>
      <w:tr>
        <w:tblPrEx>
          <w:tblCellMar>
            <w:top w:w="0" w:type="dxa"/>
            <w:left w:w="108" w:type="dxa"/>
            <w:bottom w:w="0" w:type="dxa"/>
            <w:right w:w="108" w:type="dxa"/>
          </w:tblCellMar>
        </w:tblPrEx>
        <w:trPr>
          <w:trHeight w:val="90" w:hRule="atLeast"/>
          <w:jc w:val="center"/>
        </w:trPr>
        <w:tc>
          <w:tcPr>
            <w:tcW w:w="379" w:type="pct"/>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eastAsia="宋体"/>
                <w:color w:val="auto"/>
                <w:kern w:val="0"/>
                <w:highlight w:val="none"/>
                <w:lang w:bidi="ar"/>
              </w:rPr>
            </w:pPr>
            <w:r>
              <w:rPr>
                <w:rFonts w:eastAsia="宋体"/>
                <w:color w:val="auto"/>
                <w:kern w:val="0"/>
                <w:highlight w:val="none"/>
                <w:lang w:bidi="ar"/>
              </w:rPr>
              <w:t>第</w:t>
            </w:r>
            <w:r>
              <w:rPr>
                <w:rFonts w:hint="eastAsia" w:eastAsia="宋体"/>
                <w:color w:val="auto"/>
                <w:kern w:val="0"/>
                <w:highlight w:val="none"/>
                <w:lang w:val="en-US" w:eastAsia="zh-CN" w:bidi="ar"/>
              </w:rPr>
              <w:t>三</w:t>
            </w:r>
            <w:r>
              <w:rPr>
                <w:rFonts w:eastAsia="宋体"/>
                <w:color w:val="auto"/>
                <w:kern w:val="0"/>
                <w:highlight w:val="none"/>
                <w:lang w:bidi="ar"/>
              </w:rPr>
              <w:t>阶段</w:t>
            </w:r>
            <w:r>
              <w:rPr>
                <w:rFonts w:hint="eastAsia" w:eastAsia="宋体"/>
                <w:color w:val="auto"/>
                <w:kern w:val="0"/>
                <w:highlight w:val="none"/>
                <w:lang w:bidi="ar"/>
              </w:rPr>
              <w:t>管护期</w:t>
            </w:r>
          </w:p>
          <w:p>
            <w:pPr>
              <w:widowControl/>
              <w:jc w:val="center"/>
              <w:textAlignment w:val="center"/>
              <w:rPr>
                <w:rFonts w:eastAsia="宋体"/>
                <w:color w:val="auto"/>
                <w:highlight w:val="none"/>
              </w:rPr>
            </w:pPr>
            <w:r>
              <w:rPr>
                <w:rFonts w:hint="eastAsia" w:eastAsia="宋体"/>
                <w:color w:val="auto"/>
                <w:kern w:val="0"/>
                <w:highlight w:val="none"/>
                <w:lang w:eastAsia="zh-CN" w:bidi="ar"/>
              </w:rPr>
              <w:t>（</w:t>
            </w:r>
            <w:r>
              <w:rPr>
                <w:rFonts w:hint="eastAsia" w:eastAsia="宋体"/>
                <w:color w:val="auto"/>
                <w:kern w:val="0"/>
                <w:highlight w:val="none"/>
                <w:lang w:val="en-US" w:eastAsia="zh-CN" w:bidi="ar"/>
              </w:rPr>
              <w:t>3</w:t>
            </w:r>
            <w:r>
              <w:rPr>
                <w:rFonts w:eastAsia="宋体"/>
                <w:color w:val="auto"/>
                <w:kern w:val="0"/>
                <w:highlight w:val="none"/>
                <w:lang w:bidi="ar"/>
              </w:rPr>
              <w:t>年</w:t>
            </w:r>
            <w:r>
              <w:rPr>
                <w:rFonts w:hint="eastAsia" w:eastAsia="宋体"/>
                <w:color w:val="auto"/>
                <w:kern w:val="0"/>
                <w:highlight w:val="none"/>
                <w:lang w:eastAsia="zh-CN" w:bidi="ar"/>
              </w:rPr>
              <w:t>）</w:t>
            </w:r>
          </w:p>
        </w:tc>
        <w:tc>
          <w:tcPr>
            <w:tcW w:w="583"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eastAsia="宋体"/>
                <w:color w:val="auto"/>
                <w:highlight w:val="none"/>
                <w:lang w:val="en-US" w:eastAsia="zh-CN"/>
              </w:rPr>
            </w:pPr>
            <w:r>
              <w:rPr>
                <w:rFonts w:eastAsia="宋体"/>
                <w:color w:val="auto"/>
                <w:kern w:val="0"/>
                <w:highlight w:val="none"/>
                <w:lang w:bidi="ar"/>
              </w:rPr>
              <w:t>（</w:t>
            </w:r>
            <w:r>
              <w:rPr>
                <w:rFonts w:hint="eastAsia" w:eastAsia="宋体"/>
                <w:color w:val="auto"/>
                <w:kern w:val="0"/>
                <w:highlight w:val="none"/>
                <w:lang w:bidi="ar"/>
              </w:rPr>
              <w:t>管护期3年</w:t>
            </w:r>
            <w:r>
              <w:rPr>
                <w:rFonts w:eastAsia="宋体"/>
                <w:color w:val="auto"/>
                <w:kern w:val="0"/>
                <w:highlight w:val="none"/>
                <w:lang w:bidi="ar"/>
              </w:rPr>
              <w:t>）</w:t>
            </w:r>
          </w:p>
        </w:tc>
        <w:tc>
          <w:tcPr>
            <w:tcW w:w="3333" w:type="pc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eastAsia="宋体"/>
                <w:color w:val="auto"/>
                <w:highlight w:val="none"/>
              </w:rPr>
            </w:pPr>
            <w:r>
              <w:rPr>
                <w:rFonts w:eastAsia="宋体"/>
                <w:color w:val="auto"/>
                <w:kern w:val="0"/>
                <w:highlight w:val="none"/>
                <w:lang w:bidi="ar"/>
              </w:rPr>
              <w:t>①地质环境保护工程：巡视监测</w:t>
            </w:r>
            <w:r>
              <w:rPr>
                <w:rFonts w:hint="eastAsia" w:eastAsia="宋体"/>
                <w:color w:val="auto"/>
                <w:kern w:val="0"/>
                <w:highlight w:val="none"/>
                <w:lang w:val="en-US" w:eastAsia="zh-CN" w:bidi="ar"/>
              </w:rPr>
              <w:t>36</w:t>
            </w:r>
            <w:r>
              <w:rPr>
                <w:rFonts w:eastAsia="宋体"/>
                <w:color w:val="auto"/>
                <w:kern w:val="0"/>
                <w:highlight w:val="none"/>
                <w:lang w:bidi="ar"/>
              </w:rPr>
              <w:t>点.次，地灾简易监测</w:t>
            </w:r>
            <w:r>
              <w:rPr>
                <w:rFonts w:hint="eastAsia" w:eastAsia="宋体"/>
                <w:color w:val="auto"/>
                <w:kern w:val="0"/>
                <w:highlight w:val="none"/>
                <w:lang w:val="en-US" w:eastAsia="zh-CN" w:bidi="ar"/>
              </w:rPr>
              <w:t>48</w:t>
            </w:r>
            <w:r>
              <w:rPr>
                <w:rFonts w:eastAsia="宋体"/>
                <w:color w:val="auto"/>
                <w:kern w:val="0"/>
                <w:highlight w:val="none"/>
                <w:lang w:bidi="ar"/>
              </w:rPr>
              <w:t>点.次</w:t>
            </w:r>
            <w:r>
              <w:rPr>
                <w:rFonts w:hint="eastAsia" w:eastAsia="宋体"/>
                <w:color w:val="auto"/>
                <w:kern w:val="0"/>
                <w:highlight w:val="none"/>
                <w:lang w:bidi="ar"/>
              </w:rPr>
              <w:t>。</w:t>
            </w:r>
          </w:p>
        </w:tc>
        <w:tc>
          <w:tcPr>
            <w:tcW w:w="703" w:type="pc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default" w:eastAsia="宋体"/>
                <w:color w:val="auto"/>
                <w:kern w:val="0"/>
                <w:highlight w:val="none"/>
                <w:lang w:val="en-US" w:eastAsia="zh-CN" w:bidi="ar"/>
              </w:rPr>
            </w:pPr>
            <w:r>
              <w:rPr>
                <w:rFonts w:hint="eastAsia" w:eastAsia="宋体"/>
                <w:color w:val="auto"/>
                <w:kern w:val="0"/>
                <w:highlight w:val="none"/>
                <w:lang w:val="en-US" w:eastAsia="zh-CN" w:bidi="ar"/>
              </w:rPr>
              <w:t>0.9</w:t>
            </w:r>
          </w:p>
        </w:tc>
      </w:tr>
      <w:tr>
        <w:tblPrEx>
          <w:tblCellMar>
            <w:top w:w="0" w:type="dxa"/>
            <w:left w:w="108" w:type="dxa"/>
            <w:bottom w:w="0" w:type="dxa"/>
            <w:right w:w="108" w:type="dxa"/>
          </w:tblCellMar>
        </w:tblPrEx>
        <w:trPr>
          <w:trHeight w:val="591" w:hRule="atLeast"/>
          <w:jc w:val="center"/>
        </w:trPr>
        <w:tc>
          <w:tcPr>
            <w:tcW w:w="379" w:type="pct"/>
            <w:vMerge w:val="continue"/>
            <w:tcBorders>
              <w:left w:val="single" w:color="auto" w:sz="4" w:space="0"/>
              <w:bottom w:val="single" w:color="auto" w:sz="4" w:space="0"/>
              <w:right w:val="single" w:color="auto" w:sz="4" w:space="0"/>
            </w:tcBorders>
            <w:vAlign w:val="center"/>
          </w:tcPr>
          <w:p>
            <w:pPr>
              <w:jc w:val="center"/>
              <w:rPr>
                <w:rFonts w:eastAsia="宋体"/>
                <w:color w:val="auto"/>
                <w:highlight w:val="none"/>
              </w:rPr>
            </w:pPr>
          </w:p>
        </w:tc>
        <w:tc>
          <w:tcPr>
            <w:tcW w:w="58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宋体"/>
                <w:color w:val="auto"/>
                <w:highlight w:val="none"/>
              </w:rPr>
            </w:pPr>
          </w:p>
        </w:tc>
        <w:tc>
          <w:tcPr>
            <w:tcW w:w="3333" w:type="pc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eastAsia="宋体"/>
                <w:color w:val="auto"/>
                <w:highlight w:val="none"/>
              </w:rPr>
            </w:pPr>
            <w:r>
              <w:rPr>
                <w:rFonts w:eastAsia="宋体"/>
                <w:color w:val="auto"/>
                <w:kern w:val="0"/>
                <w:highlight w:val="none"/>
                <w:lang w:bidi="ar"/>
              </w:rPr>
              <w:t>②土地复垦工程：</w:t>
            </w:r>
            <w:r>
              <w:rPr>
                <w:rFonts w:hint="eastAsia" w:eastAsia="宋体"/>
                <w:color w:val="auto"/>
                <w:kern w:val="0"/>
                <w:highlight w:val="none"/>
                <w:lang w:val="en-US" w:eastAsia="zh-CN" w:bidi="ar"/>
              </w:rPr>
              <w:t>工程管护12次，</w:t>
            </w:r>
            <w:r>
              <w:rPr>
                <w:rFonts w:eastAsia="宋体"/>
                <w:color w:val="auto"/>
                <w:kern w:val="0"/>
                <w:highlight w:val="none"/>
                <w:lang w:bidi="ar"/>
              </w:rPr>
              <w:t>植被管护</w:t>
            </w:r>
            <w:r>
              <w:rPr>
                <w:rFonts w:hint="eastAsia" w:eastAsia="宋体"/>
                <w:color w:val="auto"/>
                <w:kern w:val="0"/>
                <w:highlight w:val="none"/>
                <w:lang w:bidi="ar"/>
              </w:rPr>
              <w:t>36</w:t>
            </w:r>
            <w:r>
              <w:rPr>
                <w:rFonts w:eastAsia="宋体"/>
                <w:color w:val="auto"/>
                <w:kern w:val="0"/>
                <w:highlight w:val="none"/>
                <w:lang w:bidi="ar"/>
              </w:rPr>
              <w:t>次，土壤培肥</w:t>
            </w:r>
            <w:r>
              <w:rPr>
                <w:rFonts w:hint="eastAsia" w:eastAsia="宋体"/>
                <w:color w:val="auto"/>
                <w:kern w:val="0"/>
                <w:highlight w:val="none"/>
                <w:lang w:val="en-US" w:eastAsia="zh-CN" w:bidi="ar"/>
              </w:rPr>
              <w:t>5.73</w:t>
            </w:r>
            <w:r>
              <w:rPr>
                <w:rFonts w:eastAsia="宋体"/>
                <w:color w:val="auto"/>
                <w:kern w:val="0"/>
                <w:highlight w:val="none"/>
                <w:lang w:bidi="ar"/>
              </w:rPr>
              <w:t>hm</w:t>
            </w:r>
            <w:r>
              <w:rPr>
                <w:rFonts w:eastAsia="宋体"/>
                <w:color w:val="auto"/>
                <w:kern w:val="0"/>
                <w:highlight w:val="none"/>
                <w:vertAlign w:val="superscript"/>
                <w:lang w:bidi="ar"/>
              </w:rPr>
              <w:t>2</w:t>
            </w:r>
            <w:r>
              <w:rPr>
                <w:rFonts w:eastAsia="宋体"/>
                <w:color w:val="auto"/>
                <w:kern w:val="0"/>
                <w:highlight w:val="none"/>
                <w:lang w:bidi="ar"/>
              </w:rPr>
              <w:t>。土地损毁情况及复垦效果监测</w:t>
            </w:r>
            <w:r>
              <w:rPr>
                <w:rFonts w:hint="eastAsia" w:eastAsia="宋体"/>
                <w:color w:val="auto"/>
                <w:kern w:val="0"/>
                <w:highlight w:val="none"/>
                <w:lang w:bidi="ar"/>
              </w:rPr>
              <w:t>18</w:t>
            </w:r>
            <w:r>
              <w:rPr>
                <w:rFonts w:eastAsia="宋体"/>
                <w:color w:val="auto"/>
                <w:kern w:val="0"/>
                <w:highlight w:val="none"/>
                <w:lang w:bidi="ar"/>
              </w:rPr>
              <w:t>点.次。</w:t>
            </w:r>
          </w:p>
        </w:tc>
        <w:tc>
          <w:tcPr>
            <w:tcW w:w="703" w:type="pc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default" w:eastAsia="宋体"/>
                <w:color w:val="auto"/>
                <w:kern w:val="0"/>
                <w:highlight w:val="none"/>
                <w:lang w:val="en-US" w:eastAsia="zh-CN" w:bidi="ar"/>
              </w:rPr>
            </w:pPr>
            <w:r>
              <w:rPr>
                <w:rFonts w:hint="eastAsia" w:eastAsia="宋体"/>
                <w:color w:val="auto"/>
                <w:kern w:val="0"/>
                <w:highlight w:val="none"/>
                <w:lang w:val="en-US" w:eastAsia="zh-CN" w:bidi="ar"/>
              </w:rPr>
              <w:t>18.48</w:t>
            </w:r>
          </w:p>
        </w:tc>
      </w:tr>
    </w:tbl>
    <w:p>
      <w:pPr>
        <w:pStyle w:val="2"/>
        <w:rPr>
          <w:color w:val="auto"/>
        </w:rPr>
      </w:pP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4、矿山地质环境保护与土地复垦费用安排</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矿山地质环境保护与土地复垦费用来源为企业自筹。项目总投资为</w:t>
      </w:r>
      <w:r>
        <w:rPr>
          <w:rFonts w:hint="eastAsia" w:ascii="仿宋" w:hAnsi="仿宋" w:eastAsia="仿宋" w:cs="仿宋"/>
          <w:color w:val="auto"/>
          <w:sz w:val="28"/>
          <w:szCs w:val="28"/>
          <w:highlight w:val="none"/>
          <w:lang w:val="en-US" w:eastAsia="zh-CN"/>
        </w:rPr>
        <w:t>43.01</w:t>
      </w:r>
      <w:r>
        <w:rPr>
          <w:rFonts w:hint="eastAsia" w:ascii="仿宋" w:hAnsi="仿宋" w:eastAsia="仿宋" w:cs="仿宋"/>
          <w:color w:val="auto"/>
          <w:sz w:val="28"/>
          <w:szCs w:val="28"/>
          <w:highlight w:val="none"/>
        </w:rPr>
        <w:t>万元，设计生产能力为</w:t>
      </w:r>
      <w:r>
        <w:rPr>
          <w:rFonts w:hint="eastAsia" w:ascii="仿宋" w:hAnsi="仿宋" w:eastAsia="仿宋" w:cs="仿宋"/>
          <w:color w:val="auto"/>
          <w:sz w:val="28"/>
          <w:szCs w:val="28"/>
          <w:highlight w:val="none"/>
          <w:lang w:val="en-US" w:eastAsia="zh-CN"/>
        </w:rPr>
        <w:t>20</w:t>
      </w:r>
      <w:r>
        <w:rPr>
          <w:rFonts w:hint="eastAsia" w:ascii="仿宋" w:hAnsi="仿宋" w:eastAsia="仿宋" w:cs="仿宋"/>
          <w:color w:val="auto"/>
          <w:sz w:val="28"/>
          <w:szCs w:val="28"/>
          <w:highlight w:val="none"/>
        </w:rPr>
        <w:t>万吨/年，矿山</w:t>
      </w:r>
      <w:r>
        <w:rPr>
          <w:rFonts w:hint="eastAsia" w:ascii="仿宋" w:hAnsi="仿宋" w:eastAsia="仿宋" w:cs="仿宋"/>
          <w:color w:val="auto"/>
          <w:sz w:val="28"/>
          <w:szCs w:val="28"/>
          <w:highlight w:val="none"/>
          <w:lang w:val="en-US" w:eastAsia="zh-CN"/>
        </w:rPr>
        <w:t>设计</w:t>
      </w:r>
      <w:r>
        <w:rPr>
          <w:rFonts w:hint="eastAsia" w:ascii="仿宋" w:hAnsi="仿宋" w:eastAsia="仿宋" w:cs="仿宋"/>
          <w:color w:val="auto"/>
          <w:sz w:val="28"/>
          <w:szCs w:val="28"/>
          <w:highlight w:val="none"/>
        </w:rPr>
        <w:t>服务年限</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年；矿山闭坑后施工期为1年，对矿山破坏区域进行恢复治理和土地复垦工程施工；对恢复治理和土地复垦区域进行3年监测管护期，故本方案适用期为</w:t>
      </w: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年。</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按《四川省在建与生产矿山生态修复管理办法》（川自然资发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2021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27号）文件基金计提分为服务年限3年以下1次性计提，服务年限3年以上第1次计提</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0%，余下部分平均到每一年计提，开采服务年限满前一年全部缴清。</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本项目费用全部由矿权所有人</w:t>
      </w:r>
      <w:r>
        <w:rPr>
          <w:rFonts w:hint="eastAsia" w:ascii="仿宋" w:hAnsi="仿宋" w:eastAsia="仿宋" w:cs="仿宋"/>
          <w:color w:val="auto"/>
          <w:sz w:val="28"/>
          <w:szCs w:val="28"/>
          <w:u w:val="none"/>
        </w:rPr>
        <w:t>大英县顺盛矿业有限责任公司</w:t>
      </w:r>
      <w:r>
        <w:rPr>
          <w:rFonts w:hint="eastAsia" w:ascii="仿宋" w:hAnsi="仿宋" w:eastAsia="仿宋" w:cs="仿宋"/>
          <w:color w:val="auto"/>
          <w:sz w:val="28"/>
          <w:szCs w:val="28"/>
          <w:highlight w:val="none"/>
        </w:rPr>
        <w:t>筹措，安排遵循提前预存、分阶段足额预存的原则，矿山服务年限</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矿山基建开始后第五年</w:t>
      </w:r>
      <w:r>
        <w:rPr>
          <w:rFonts w:hint="eastAsia" w:ascii="仿宋" w:hAnsi="仿宋" w:eastAsia="仿宋" w:cs="仿宋"/>
          <w:color w:val="auto"/>
          <w:sz w:val="28"/>
          <w:szCs w:val="28"/>
          <w:highlight w:val="none"/>
        </w:rPr>
        <w:t>。</w:t>
      </w:r>
    </w:p>
    <w:p>
      <w:pPr>
        <w:snapToGrid w:val="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表7-1</w:t>
      </w:r>
      <w:r>
        <w:rPr>
          <w:rFonts w:hint="eastAsia" w:ascii="Times New Roman" w:hAnsi="Times New Roman" w:eastAsia="宋体" w:cs="Times New Roman"/>
          <w:b/>
          <w:bCs/>
          <w:color w:val="auto"/>
          <w:highlight w:val="none"/>
        </w:rPr>
        <w:t>3</w:t>
      </w:r>
      <w:r>
        <w:rPr>
          <w:rFonts w:ascii="Times New Roman" w:hAnsi="Times New Roman" w:eastAsia="宋体" w:cs="Times New Roman"/>
          <w:b/>
          <w:bCs/>
          <w:color w:val="auto"/>
          <w:highlight w:val="none"/>
        </w:rPr>
        <w:t xml:space="preserve">     矿山地质环境保护与土地复垦费用年度提取安排表</w:t>
      </w:r>
    </w:p>
    <w:tbl>
      <w:tblPr>
        <w:tblStyle w:val="23"/>
        <w:tblW w:w="0" w:type="auto"/>
        <w:jc w:val="center"/>
        <w:tblLayout w:type="autofit"/>
        <w:tblCellMar>
          <w:top w:w="0" w:type="dxa"/>
          <w:left w:w="108" w:type="dxa"/>
          <w:bottom w:w="0" w:type="dxa"/>
          <w:right w:w="108" w:type="dxa"/>
        </w:tblCellMar>
      </w:tblPr>
      <w:tblGrid>
        <w:gridCol w:w="1686"/>
        <w:gridCol w:w="636"/>
        <w:gridCol w:w="751"/>
        <w:gridCol w:w="1337"/>
        <w:gridCol w:w="2946"/>
      </w:tblGrid>
      <w:tr>
        <w:tblPrEx>
          <w:tblCellMar>
            <w:top w:w="0" w:type="dxa"/>
            <w:left w:w="108" w:type="dxa"/>
            <w:bottom w:w="0" w:type="dxa"/>
            <w:right w:w="108" w:type="dxa"/>
          </w:tblCellMar>
        </w:tblPrEx>
        <w:trPr>
          <w:trHeight w:val="45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阶段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年限</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年度</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年产量/万吨</w:t>
            </w:r>
          </w:p>
        </w:tc>
        <w:tc>
          <w:tcPr>
            <w:tcW w:w="0" w:type="auto"/>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年度资金</w:t>
            </w:r>
            <w:r>
              <w:rPr>
                <w:rFonts w:hint="eastAsia" w:ascii="Times New Roman" w:hAnsi="Times New Roman" w:eastAsia="宋体" w:cs="Times New Roman"/>
                <w:color w:val="auto"/>
                <w:kern w:val="0"/>
                <w:highlight w:val="none"/>
                <w:lang w:val="en-US" w:eastAsia="zh-CN"/>
              </w:rPr>
              <w:t>最低</w:t>
            </w:r>
            <w:r>
              <w:rPr>
                <w:rFonts w:ascii="Times New Roman" w:hAnsi="Times New Roman" w:eastAsia="宋体" w:cs="Times New Roman"/>
                <w:color w:val="auto"/>
                <w:kern w:val="0"/>
                <w:highlight w:val="none"/>
              </w:rPr>
              <w:t>提取额（万元）</w:t>
            </w:r>
          </w:p>
        </w:tc>
      </w:tr>
      <w:tr>
        <w:tblPrEx>
          <w:tblCellMar>
            <w:top w:w="0" w:type="dxa"/>
            <w:left w:w="108" w:type="dxa"/>
            <w:bottom w:w="0" w:type="dxa"/>
            <w:right w:w="108" w:type="dxa"/>
          </w:tblCellMar>
        </w:tblPrEx>
        <w:trPr>
          <w:trHeight w:val="312"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highlight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highlight w:val="none"/>
              </w:rPr>
            </w:pPr>
          </w:p>
        </w:tc>
      </w:tr>
      <w:tr>
        <w:tblPrEx>
          <w:tblCellMar>
            <w:top w:w="0" w:type="dxa"/>
            <w:left w:w="108" w:type="dxa"/>
            <w:bottom w:w="0" w:type="dxa"/>
            <w:right w:w="108" w:type="dxa"/>
          </w:tblCellMar>
        </w:tblPrEx>
        <w:trPr>
          <w:trHeight w:val="234"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矿山基建期</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0" w:type="auto"/>
            <w:tcBorders>
              <w:top w:val="nil"/>
              <w:left w:val="nil"/>
              <w:bottom w:val="single" w:color="auto" w:sz="4" w:space="0"/>
              <w:right w:val="nil"/>
            </w:tcBorders>
            <w:shd w:val="clear" w:color="auto" w:fill="auto"/>
            <w:noWrap/>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2024</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color w:val="auto"/>
                <w:highlight w:val="none"/>
                <w:lang w:val="en-US" w:eastAsia="zh-CN"/>
              </w:rPr>
            </w:pPr>
            <w:r>
              <w:rPr>
                <w:rFonts w:hint="eastAsia" w:ascii="宋体" w:hAnsi="宋体" w:eastAsia="宋体" w:cs="宋体"/>
                <w:i w:val="0"/>
                <w:iCs w:val="0"/>
                <w:color w:val="auto"/>
                <w:kern w:val="0"/>
                <w:sz w:val="18"/>
                <w:szCs w:val="18"/>
                <w:u w:val="none"/>
                <w:lang w:val="en-US" w:eastAsia="zh-CN" w:bidi="ar"/>
              </w:rPr>
              <w:t>13.903</w:t>
            </w:r>
          </w:p>
        </w:tc>
      </w:tr>
      <w:tr>
        <w:tblPrEx>
          <w:tblCellMar>
            <w:top w:w="0" w:type="dxa"/>
            <w:left w:w="108" w:type="dxa"/>
            <w:bottom w:w="0" w:type="dxa"/>
            <w:right w:w="108" w:type="dxa"/>
          </w:tblCellMar>
        </w:tblPrEx>
        <w:trPr>
          <w:trHeight w:val="213" w:hRule="atLeast"/>
          <w:jc w:val="center"/>
        </w:trPr>
        <w:tc>
          <w:tcPr>
            <w:tcW w:w="0" w:type="auto"/>
            <w:vMerge w:val="restart"/>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0"/>
                <w:highlight w:val="none"/>
              </w:rPr>
              <w:t>第一阶段生产期</w:t>
            </w:r>
          </w:p>
        </w:tc>
        <w:tc>
          <w:tcPr>
            <w:tcW w:w="0" w:type="auto"/>
            <w:vMerge w:val="restart"/>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highlight w:val="none"/>
                <w:lang w:val="en-US" w:eastAsia="zh-CN"/>
              </w:rPr>
              <w:t>4</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kern w:val="0"/>
                <w:highlight w:val="none"/>
              </w:rPr>
              <w:t>202</w:t>
            </w:r>
            <w:r>
              <w:rPr>
                <w:rFonts w:hint="eastAsia" w:ascii="Times New Roman" w:hAnsi="Times New Roman" w:eastAsia="宋体" w:cs="Times New Roman"/>
                <w:color w:val="auto"/>
                <w:kern w:val="0"/>
                <w:highlight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8.602</w:t>
            </w:r>
          </w:p>
        </w:tc>
      </w:tr>
      <w:tr>
        <w:tblPrEx>
          <w:tblCellMar>
            <w:top w:w="0" w:type="dxa"/>
            <w:left w:w="108" w:type="dxa"/>
            <w:bottom w:w="0" w:type="dxa"/>
            <w:right w:w="108" w:type="dxa"/>
          </w:tblCellMar>
        </w:tblPrEx>
        <w:trPr>
          <w:trHeight w:val="429" w:hRule="atLeast"/>
          <w:jc w:val="center"/>
        </w:trPr>
        <w:tc>
          <w:tcPr>
            <w:tcW w:w="0" w:type="auto"/>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highlight w:val="none"/>
              </w:rPr>
            </w:pPr>
          </w:p>
        </w:tc>
        <w:tc>
          <w:tcPr>
            <w:tcW w:w="0" w:type="auto"/>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kern w:val="0"/>
                <w:highlight w:val="none"/>
              </w:rPr>
              <w:t>202</w:t>
            </w:r>
            <w:r>
              <w:rPr>
                <w:rFonts w:hint="eastAsia" w:ascii="Times New Roman" w:hAnsi="Times New Roman" w:eastAsia="宋体" w:cs="Times New Roman"/>
                <w:color w:val="auto"/>
                <w:kern w:val="0"/>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8.602</w:t>
            </w:r>
          </w:p>
        </w:tc>
      </w:tr>
      <w:tr>
        <w:tblPrEx>
          <w:tblCellMar>
            <w:top w:w="0" w:type="dxa"/>
            <w:left w:w="108" w:type="dxa"/>
            <w:bottom w:w="0" w:type="dxa"/>
            <w:right w:w="108" w:type="dxa"/>
          </w:tblCellMar>
        </w:tblPrEx>
        <w:trPr>
          <w:trHeight w:val="312" w:hRule="atLeast"/>
          <w:jc w:val="center"/>
        </w:trPr>
        <w:tc>
          <w:tcPr>
            <w:tcW w:w="0" w:type="auto"/>
            <w:vMerge w:val="continue"/>
            <w:tcBorders>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highlight w:val="none"/>
              </w:rPr>
            </w:pPr>
          </w:p>
        </w:tc>
        <w:tc>
          <w:tcPr>
            <w:tcW w:w="0" w:type="auto"/>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kern w:val="0"/>
                <w:highlight w:val="none"/>
              </w:rPr>
              <w:t>202</w:t>
            </w:r>
            <w:r>
              <w:rPr>
                <w:rFonts w:hint="eastAsia" w:ascii="Times New Roman" w:hAnsi="Times New Roman" w:eastAsia="宋体" w:cs="Times New Roman"/>
                <w:color w:val="auto"/>
                <w:kern w:val="0"/>
                <w:highlight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8.602</w:t>
            </w:r>
          </w:p>
        </w:tc>
      </w:tr>
      <w:tr>
        <w:tblPrEx>
          <w:tblCellMar>
            <w:top w:w="0" w:type="dxa"/>
            <w:left w:w="108" w:type="dxa"/>
            <w:bottom w:w="0" w:type="dxa"/>
            <w:right w:w="108" w:type="dxa"/>
          </w:tblCellMar>
        </w:tblPrEx>
        <w:trPr>
          <w:trHeight w:val="312" w:hRule="atLeast"/>
          <w:jc w:val="center"/>
        </w:trPr>
        <w:tc>
          <w:tcPr>
            <w:tcW w:w="0" w:type="auto"/>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highlight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2028</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4.301</w:t>
            </w:r>
          </w:p>
        </w:tc>
      </w:tr>
      <w:tr>
        <w:tblPrEx>
          <w:tblCellMar>
            <w:top w:w="0" w:type="dxa"/>
            <w:left w:w="108" w:type="dxa"/>
            <w:bottom w:w="0" w:type="dxa"/>
            <w:right w:w="108" w:type="dxa"/>
          </w:tblCellMar>
        </w:tblPrEx>
        <w:trPr>
          <w:trHeight w:val="312"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43.01</w:t>
            </w:r>
          </w:p>
        </w:tc>
      </w:tr>
    </w:tbl>
    <w:p>
      <w:pPr>
        <w:rPr>
          <w:rFonts w:ascii="Times New Roman" w:hAnsi="Times New Roman" w:cs="Times New Roman"/>
          <w:color w:val="auto"/>
          <w:highlight w:val="none"/>
        </w:rPr>
      </w:pPr>
      <w:r>
        <w:rPr>
          <w:rFonts w:ascii="Times New Roman" w:hAnsi="Times New Roman" w:cs="Times New Roman"/>
          <w:color w:val="auto"/>
          <w:highlight w:val="none"/>
        </w:rPr>
        <w:br w:type="page"/>
      </w:r>
    </w:p>
    <w:p>
      <w:pPr>
        <w:pStyle w:val="2"/>
        <w:rPr>
          <w:color w:val="auto"/>
          <w:highlight w:val="none"/>
        </w:rPr>
      </w:pPr>
    </w:p>
    <w:p>
      <w:pPr>
        <w:pStyle w:val="3"/>
        <w:spacing w:line="360" w:lineRule="auto"/>
        <w:jc w:val="center"/>
        <w:rPr>
          <w:rFonts w:ascii="Times New Roman" w:hAnsi="Times New Roman" w:eastAsia="宋体" w:cs="Times New Roman"/>
          <w:color w:val="auto"/>
          <w:sz w:val="32"/>
          <w:szCs w:val="32"/>
          <w:highlight w:val="none"/>
        </w:rPr>
      </w:pPr>
      <w:bookmarkStart w:id="221" w:name="_Toc18491"/>
      <w:r>
        <w:rPr>
          <w:rFonts w:ascii="Times New Roman" w:hAnsi="Times New Roman" w:eastAsia="宋体" w:cs="Times New Roman"/>
          <w:color w:val="auto"/>
          <w:sz w:val="32"/>
          <w:szCs w:val="32"/>
          <w:highlight w:val="none"/>
        </w:rPr>
        <w:t>第8章  保障措施与效益分析</w:t>
      </w:r>
      <w:bookmarkEnd w:id="221"/>
    </w:p>
    <w:p>
      <w:pPr>
        <w:pStyle w:val="4"/>
        <w:spacing w:before="120" w:after="120"/>
        <w:rPr>
          <w:rFonts w:ascii="Times New Roman" w:hAnsi="Times New Roman" w:eastAsia="宋体" w:cs="Times New Roman"/>
          <w:color w:val="auto"/>
          <w:highlight w:val="none"/>
        </w:rPr>
      </w:pPr>
      <w:bookmarkStart w:id="222" w:name="_Toc17610"/>
      <w:bookmarkStart w:id="223" w:name="_Toc27233"/>
      <w:bookmarkStart w:id="224" w:name="_Toc511576367"/>
      <w:r>
        <w:rPr>
          <w:rFonts w:ascii="Times New Roman" w:hAnsi="Times New Roman" w:eastAsia="宋体" w:cs="Times New Roman"/>
          <w:color w:val="auto"/>
          <w:highlight w:val="none"/>
        </w:rPr>
        <w:t>一、组织保障</w:t>
      </w:r>
      <w:bookmarkEnd w:id="222"/>
      <w:bookmarkEnd w:id="223"/>
      <w:bookmarkEnd w:id="224"/>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1、管理保障措施</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保证方案顺利实施、损毁土地得到有效控制、矿区及周边生态环境良性发展，确保方案提出的各项措施的实施和落实，方案采取义务人自行治理和复垦的方式。成立项目领导小组，负责工程建设中的工程管理和实施工作，按照实施方案的工程措施、进度安排、技术标准等，严格要求实施单位，保质保量地完成各项措施。</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该项目由矿方成立矿山地质环境保护与土地复垦工作领导小组，统一协调和领导矿山地质环境保护与土地复垦工作，领导小组负责人由矿山副总级分管领导担任，配备专职人员2人，负责组织协调等日常工作。具体职责如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（1）贯彻执行国家和地方政府、国土部门有关的方针政策，制定矿山地质环境保护与土地复垦工作管理规章制度；</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（2）加强有关</w:t>
      </w:r>
      <w:r>
        <w:rPr>
          <w:rFonts w:hint="eastAsia" w:ascii="仿宋" w:hAnsi="仿宋" w:eastAsia="仿宋" w:cs="仿宋"/>
          <w:color w:val="auto"/>
          <w:sz w:val="28"/>
          <w:szCs w:val="28"/>
          <w:highlight w:val="none"/>
          <w:lang w:eastAsia="zh-CN"/>
        </w:rPr>
        <w:t>法律法规</w:t>
      </w:r>
      <w:r>
        <w:rPr>
          <w:rFonts w:hint="eastAsia" w:ascii="仿宋" w:hAnsi="仿宋" w:eastAsia="仿宋" w:cs="仿宋"/>
          <w:color w:val="auto"/>
          <w:sz w:val="28"/>
          <w:szCs w:val="28"/>
          <w:highlight w:val="none"/>
        </w:rPr>
        <w:t>及条例的学习和宣传力度，组织有关工作人员进行环保、复垦知识的技术培训，做到人人自觉树立起矿山环境保护意识；</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（3）协调矿山地质环境保护与土地复垦工作与矿山生产的关系，确保矿山地质环境保护与土地复垦资金按计划计提、预存，保证工程措施正常实施；</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（4）定期深入工程现场进行检查，掌握矿山地质环境破坏情况、土地损毁情况及矿山地质环境保护与土地复垦措施落实情况；</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定期向主管领导汇报复垦工程进度，每年向地方自然资源主管部门报告矿山地质环境破坏情况、土地损毁情况及矿山地质环境保护与土地复垦情况，配合地方国土部门对矿山地质环境保护与土地复垦工作的监督检查；</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6）在矿山生产和矿山地质环境保护与土地复垦施工过程中，定期或不定期地对在建或已建的矿山地质环境保护与土地复垦工程进行检测，随时掌握其施工情况，并进行日常维护养护，建立、健全各项档案、资料。主动积累、分析及整编矿山地质环境保护与土地复垦资料，为工程的验收提供相关资料。 </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2、政策措施保障</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（1）当地政府充分应用相关的法律法规制定有利于矿山地质环境保护与土地复垦的优惠政策，鼓励和调动矿山企业各方面的积极性，做好矿山地质环境保护与土地复垦的宣传发动工作。</w:t>
      </w:r>
      <w:r>
        <w:rPr>
          <w:rFonts w:hint="eastAsia" w:ascii="仿宋" w:hAnsi="仿宋" w:eastAsia="仿宋" w:cs="仿宋"/>
          <w:color w:val="auto"/>
          <w:sz w:val="28"/>
          <w:szCs w:val="28"/>
          <w:highlight w:val="none"/>
          <w:lang w:eastAsia="zh-CN"/>
        </w:rPr>
        <w:t>即使</w:t>
      </w:r>
      <w:r>
        <w:rPr>
          <w:rFonts w:hint="eastAsia" w:ascii="仿宋" w:hAnsi="仿宋" w:eastAsia="仿宋" w:cs="仿宋"/>
          <w:color w:val="auto"/>
          <w:sz w:val="28"/>
          <w:szCs w:val="28"/>
          <w:highlight w:val="none"/>
        </w:rPr>
        <w:t>矿山企业充分认识到矿山地质环境保护与土地复垦在经济建设中所处的地位和作用，增强紧迫感和责任感，取得广大干部和群众的理解支持，又使当地村民和基层组织积极主动参与，给矿山企业以热情周到的配合服务，使他们感觉到当地干部群众的温暖和各级政府的有力支持。</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根据国家的有关政策制定矿山地质环境保护与土地复垦的奖惩制度。当地政府、职能部门领导、企业管理者制定任期岗位目标责任制，把矿山地质环境保护与土地复垦目标任务落实责任人，签订目标责任书，与效益挂钩，实行奖罚制度，切实抓好复垦工作。</w:t>
      </w:r>
    </w:p>
    <w:p>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（3）按照“谁损毁、谁复垦”的原则，进行矿区矿山地质环境保护与土地复垦工作。对不履行相关义务的，按照国家相关法律法规给以经济措施处理。</w:t>
      </w:r>
    </w:p>
    <w:p>
      <w:pPr>
        <w:pStyle w:val="4"/>
        <w:spacing w:before="120" w:after="120"/>
        <w:rPr>
          <w:rFonts w:ascii="Times New Roman" w:hAnsi="Times New Roman" w:eastAsia="宋体" w:cs="Times New Roman"/>
          <w:color w:val="auto"/>
          <w:highlight w:val="none"/>
        </w:rPr>
      </w:pPr>
      <w:bookmarkStart w:id="225" w:name="_Toc5449"/>
      <w:bookmarkStart w:id="226" w:name="_Toc511576368"/>
      <w:bookmarkStart w:id="227" w:name="_Toc30830"/>
      <w:r>
        <w:rPr>
          <w:rFonts w:ascii="Times New Roman" w:hAnsi="Times New Roman" w:eastAsia="宋体" w:cs="Times New Roman"/>
          <w:color w:val="auto"/>
          <w:highlight w:val="none"/>
        </w:rPr>
        <w:t>二、技术保障</w:t>
      </w:r>
      <w:bookmarkEnd w:id="225"/>
      <w:bookmarkEnd w:id="226"/>
      <w:bookmarkEnd w:id="227"/>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企业要引进专业技术人员，尤其是环境工程治理技术人员和植被恢复技术人员。通过引进专业对口、适应矿山工作环境的技术人员进行弥补，为矿山地质环境保护和土地复垦工作提供技术人才保证；同时，矿山企业要增置矿山地质环境保护与土地复垦工作所需仪器设备，为完善矿山地质环境保护与土地复垦工作提供技术上的物质保证。</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2、加强企业员工的环境及生态知识、法规宣传教育，增强意识和责任感，使各项治理工程落实到人，加强企业内部自检。</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3、在矿山地质环境保护与土地复垦方案技术上，委托有资质的设计单位对项目实施编制实施规划、设计施工图纸等，保证矿山地质环境保护与土地复垦方案的科学性、可操作性。</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在工程实施阶段，科学制定阶段矿山地质环境治理与土地复垦实施计划和年度实施计划，及时总结阶段性治理及复垦实践经验，依据相关规程修订本方案。同时，加强学习研究国内外先进的治理及复垦技术，及时吸取经验和教训，完善治理及复垦措施。</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5、矿山企业应定期或不定期聘请有关专家对矿山地质环境保护与土地复垦工程进行专业咨询，对不合理的方案和措施及时进行调整，使矿山地质环境保护与土地复垦工程切实有效。</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6、建立技术监</w:t>
      </w:r>
      <w:r>
        <w:rPr>
          <w:rFonts w:hint="eastAsia" w:ascii="仿宋" w:hAnsi="仿宋" w:eastAsia="仿宋" w:cs="仿宋"/>
          <w:color w:val="auto"/>
          <w:sz w:val="28"/>
          <w:szCs w:val="28"/>
          <w:highlight w:val="none"/>
          <w:lang w:eastAsia="zh-CN"/>
        </w:rPr>
        <w:t>督机</w:t>
      </w:r>
      <w:r>
        <w:rPr>
          <w:rFonts w:hint="eastAsia" w:ascii="仿宋" w:hAnsi="仿宋" w:eastAsia="仿宋" w:cs="仿宋"/>
          <w:color w:val="auto"/>
          <w:sz w:val="28"/>
          <w:szCs w:val="28"/>
          <w:highlight w:val="none"/>
        </w:rPr>
        <w:t>制，重点监督义务人实施表剥离及保护、不将有毒有害物用作回填或者充填材料、不将重金属</w:t>
      </w:r>
      <w:r>
        <w:rPr>
          <w:rFonts w:hint="eastAsia" w:ascii="仿宋" w:hAnsi="仿宋" w:eastAsia="仿宋" w:cs="仿宋"/>
          <w:color w:val="auto"/>
          <w:sz w:val="28"/>
          <w:szCs w:val="28"/>
          <w:highlight w:val="none"/>
          <w:lang w:eastAsia="zh-CN"/>
        </w:rPr>
        <w:t>及其他</w:t>
      </w:r>
      <w:r>
        <w:rPr>
          <w:rFonts w:hint="eastAsia" w:ascii="仿宋" w:hAnsi="仿宋" w:eastAsia="仿宋" w:cs="仿宋"/>
          <w:color w:val="auto"/>
          <w:sz w:val="28"/>
          <w:szCs w:val="28"/>
          <w:highlight w:val="none"/>
        </w:rPr>
        <w:t>有毒有害物污染的土地用作种植食用农作物。</w:t>
      </w:r>
    </w:p>
    <w:p>
      <w:pPr>
        <w:pStyle w:val="4"/>
        <w:spacing w:before="120" w:after="120"/>
        <w:rPr>
          <w:rFonts w:ascii="Times New Roman" w:hAnsi="Times New Roman" w:eastAsia="宋体" w:cs="Times New Roman"/>
          <w:color w:val="auto"/>
          <w:highlight w:val="none"/>
        </w:rPr>
      </w:pPr>
      <w:bookmarkStart w:id="228" w:name="_Toc21499"/>
      <w:bookmarkStart w:id="229" w:name="_Toc511576369"/>
      <w:bookmarkStart w:id="230" w:name="_Toc30808"/>
      <w:r>
        <w:rPr>
          <w:rFonts w:ascii="Times New Roman" w:hAnsi="Times New Roman" w:eastAsia="宋体" w:cs="Times New Roman"/>
          <w:color w:val="auto"/>
          <w:highlight w:val="none"/>
        </w:rPr>
        <w:t>三、资金保障</w:t>
      </w:r>
      <w:bookmarkEnd w:id="228"/>
      <w:bookmarkEnd w:id="229"/>
      <w:bookmarkEnd w:id="230"/>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资金落实是矿山地质环境保护与土地复垦工作成败的关键。做好矿山地质环境保护与土地复垦工作，必须制定出切实可行的资金保障措施，本方案将从资金的来源、存放、管理、使用、审计等环节落实资金保障措施。 </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1、资金来源</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u w:val="none"/>
        </w:rPr>
        <w:t>大英县顺盛矿业有限责任公司</w:t>
      </w:r>
      <w:r>
        <w:rPr>
          <w:rFonts w:hint="eastAsia" w:ascii="仿宋" w:hAnsi="仿宋" w:eastAsia="仿宋" w:cs="仿宋"/>
          <w:color w:val="auto"/>
          <w:sz w:val="28"/>
          <w:szCs w:val="28"/>
          <w:highlight w:val="none"/>
        </w:rPr>
        <w:t>为矿山地质环境保护与土地复垦义务人，应将矿山地质环境保护与土地复垦资金足额纳入生产建设成本，专项用于矿山地质环境保护与土地复垦工作的实施。投入资金存入</w:t>
      </w:r>
      <w:r>
        <w:rPr>
          <w:rFonts w:hint="eastAsia" w:ascii="仿宋" w:hAnsi="仿宋" w:eastAsia="仿宋" w:cs="仿宋"/>
          <w:color w:val="auto"/>
          <w:sz w:val="28"/>
          <w:szCs w:val="28"/>
          <w:highlight w:val="none"/>
          <w:lang w:eastAsia="zh-CN"/>
        </w:rPr>
        <w:t>专门账户</w:t>
      </w:r>
      <w:r>
        <w:rPr>
          <w:rFonts w:hint="eastAsia" w:ascii="仿宋" w:hAnsi="仿宋" w:eastAsia="仿宋" w:cs="仿宋"/>
          <w:color w:val="auto"/>
          <w:sz w:val="28"/>
          <w:szCs w:val="28"/>
          <w:highlight w:val="none"/>
        </w:rPr>
        <w:t>，确保资金足额到位、安全有效。</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2、资金存放</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矿山企业每年列入生产成本中的矿山地质环境保护与土地复垦资金采用集中管理，不得随便改变使用用途。为确保复垦资金的专款专用，矿山地质环境保护与土地复垦资金由当地自然</w:t>
      </w:r>
      <w:r>
        <w:rPr>
          <w:rFonts w:hint="eastAsia" w:ascii="仿宋" w:hAnsi="仿宋" w:eastAsia="仿宋" w:cs="仿宋"/>
          <w:color w:val="auto"/>
          <w:sz w:val="28"/>
          <w:szCs w:val="28"/>
          <w:highlight w:val="none"/>
          <w:lang w:eastAsia="zh-CN"/>
        </w:rPr>
        <w:t>资源</w:t>
      </w:r>
      <w:r>
        <w:rPr>
          <w:rFonts w:hint="eastAsia" w:ascii="仿宋" w:hAnsi="仿宋" w:eastAsia="仿宋" w:cs="仿宋"/>
          <w:color w:val="auto"/>
          <w:sz w:val="28"/>
          <w:szCs w:val="28"/>
          <w:highlight w:val="none"/>
        </w:rPr>
        <w:t>与矿山企业共同管理。</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（1）建立共管账户：建立矿山地质环境保护与土地复垦费用专用账户，费用账户按照“企业所有，政府监管，专户存储，专款专用”的原则进行管理。</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（2）共管账户工作人员具体工作职责：每年年底督促矿山按照矿山地质环境保护与土地复垦资金动态投资总额确定的年度计提标准将资金</w:t>
      </w:r>
      <w:r>
        <w:rPr>
          <w:rFonts w:hint="eastAsia" w:ascii="仿宋" w:hAnsi="仿宋" w:eastAsia="仿宋" w:cs="仿宋"/>
          <w:color w:val="auto"/>
          <w:sz w:val="28"/>
          <w:szCs w:val="28"/>
          <w:highlight w:val="none"/>
          <w:lang w:eastAsia="zh-CN"/>
        </w:rPr>
        <w:t>划转</w:t>
      </w:r>
      <w:r>
        <w:rPr>
          <w:rFonts w:hint="eastAsia" w:ascii="仿宋" w:hAnsi="仿宋" w:eastAsia="仿宋" w:cs="仿宋"/>
          <w:color w:val="auto"/>
          <w:sz w:val="28"/>
          <w:szCs w:val="28"/>
          <w:highlight w:val="none"/>
        </w:rPr>
        <w:t>至共管账户内；负责统计矿山历年复垦资金缴纳总额及未缴纳余额；负责统计矿山完成</w:t>
      </w:r>
      <w:r>
        <w:rPr>
          <w:rFonts w:hint="eastAsia" w:ascii="仿宋" w:hAnsi="仿宋" w:eastAsia="仿宋" w:cs="仿宋"/>
          <w:color w:val="auto"/>
          <w:sz w:val="28"/>
          <w:szCs w:val="28"/>
          <w:highlight w:val="none"/>
          <w:lang w:eastAsia="zh-CN"/>
        </w:rPr>
        <w:t>矿业</w:t>
      </w:r>
      <w:r>
        <w:rPr>
          <w:rFonts w:hint="eastAsia" w:ascii="仿宋" w:hAnsi="仿宋" w:eastAsia="仿宋" w:cs="仿宋"/>
          <w:color w:val="auto"/>
          <w:sz w:val="28"/>
          <w:szCs w:val="28"/>
          <w:highlight w:val="none"/>
        </w:rPr>
        <w:t>地质环境保护与土地复垦工作投资、支出金额；在10日内将矿山缴纳、支出矿山地质环境保护与土地复垦资金的财务凭证送至自然资源监管部门实施备案；配合自然资源、财政等相关部门对专项账户内的资金进行监督检查，如实提供相关的数据、凭证。</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3、资金管理</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（1）采用第三方监管：共管账户管理是保证资金安全、矿山地质环境保护与土地复垦工作顺利实施的切实保障，资金管理采取矿山和自然资源部门双方共管、第三方（银行或财政部门）监管的制度。</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资金的支出管理：共管账户内的资金专门用于本项目矿山地质环境保护与土地复垦工作实施，不得挪作他用。共管账户内的资金由银行根据监管协议，只有获取相关付款指令后方可实施资金的划转。该付款指令应由矿山和自然资源部门协商确定。</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4、资金使用</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遏制项目资金的粗放利用行为。矿山地质环境保护与土地复垦工作切实关系着人民生命财产安全，每一分复垦资金都应落实在矿山地质环境保护与土地复垦项目中，杜绝项目资金的粗放利用现象。在复垦资金的使用中，将事中监督与事后检查制度同步实施，使复垦资金充分发挥效益。</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（2）杜绝改变项目资金用途现象。矿山地质环境保护与土地复垦费金额较大，在项目的实施过程中，任何个人和单位不得以配套工程、综合开发等名义将矿山地质环境保护与土地复垦资金</w:t>
      </w:r>
      <w:r>
        <w:rPr>
          <w:rFonts w:hint="eastAsia" w:ascii="仿宋" w:hAnsi="仿宋" w:eastAsia="仿宋" w:cs="仿宋"/>
          <w:color w:val="auto"/>
          <w:sz w:val="28"/>
          <w:szCs w:val="28"/>
          <w:highlight w:val="none"/>
          <w:lang w:eastAsia="zh-CN"/>
        </w:rPr>
        <w:t>变相</w:t>
      </w:r>
      <w:r>
        <w:rPr>
          <w:rFonts w:hint="eastAsia" w:ascii="仿宋" w:hAnsi="仿宋" w:eastAsia="仿宋" w:cs="仿宋"/>
          <w:color w:val="auto"/>
          <w:sz w:val="28"/>
          <w:szCs w:val="28"/>
          <w:highlight w:val="none"/>
        </w:rPr>
        <w:t>挪作他用。</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严格资金拨付制度。在工程完成后，资金拨付由施工单位根据工程进度提出申请，经主管部门审查签字后，报财务部门审批。在拨付资金之前，必须对上期资金使用情况进行检查验收，合格后资金才予拨付。工程款可按照单项工程实施进度分阶段支付，每次支付的金额不得超过单项工程完成总额的70%。</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5、资金监督与审计</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土地复垦专项资金的审计工作，由矿山地质环境保护与土地复垦管理机构申请，采用招标方式委托会计事务所从事审计业务，受当地自然资源和规划局组织与监督。会计师事务所通过招标承接和执行审计业务，审计准则和职业道德规范，严格按照业务约定书履行义务，具体审计内容如下：</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（1）确定资金的内部控制制度存在、有效并一贯被执行；</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（2）确定会计报表所列金额真实；</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（3）确定资金的会计记录正确无误，金额正确，计量无误，明细账和总账一致，没有被贪污或挪用现象；</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（4）确定资金的收支真实，货币计价正确；</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（5）确定资金在会计报表上的揭露恰当。</w:t>
      </w:r>
    </w:p>
    <w:p>
      <w:pPr>
        <w:pStyle w:val="4"/>
        <w:spacing w:before="120" w:after="120"/>
        <w:rPr>
          <w:rFonts w:ascii="Times New Roman" w:hAnsi="Times New Roman" w:eastAsia="宋体" w:cs="Times New Roman"/>
          <w:color w:val="auto"/>
          <w:highlight w:val="none"/>
        </w:rPr>
      </w:pPr>
      <w:bookmarkStart w:id="231" w:name="_Toc18092"/>
      <w:bookmarkStart w:id="232" w:name="_Toc511576370"/>
      <w:bookmarkStart w:id="233" w:name="_Toc11066"/>
      <w:r>
        <w:rPr>
          <w:rFonts w:ascii="Times New Roman" w:hAnsi="Times New Roman" w:eastAsia="宋体" w:cs="Times New Roman"/>
          <w:color w:val="auto"/>
          <w:highlight w:val="none"/>
        </w:rPr>
        <w:t>四、监督保障</w:t>
      </w:r>
      <w:bookmarkEnd w:id="231"/>
      <w:bookmarkEnd w:id="232"/>
      <w:bookmarkEnd w:id="233"/>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1、本矿山地质环境保护与土地复垦义务人即建设</w:t>
      </w:r>
      <w:r>
        <w:rPr>
          <w:rFonts w:hint="eastAsia" w:ascii="仿宋" w:hAnsi="仿宋" w:eastAsia="仿宋" w:cs="仿宋"/>
          <w:color w:val="auto"/>
          <w:sz w:val="28"/>
          <w:szCs w:val="28"/>
          <w:highlight w:val="none"/>
          <w:lang w:eastAsia="zh-CN"/>
        </w:rPr>
        <w:t>单位</w:t>
      </w:r>
      <w:r>
        <w:rPr>
          <w:rFonts w:hint="eastAsia" w:ascii="仿宋" w:hAnsi="仿宋" w:eastAsia="仿宋" w:cs="仿宋"/>
          <w:color w:val="auto"/>
          <w:sz w:val="28"/>
          <w:szCs w:val="28"/>
          <w:highlight w:val="none"/>
        </w:rPr>
        <w:t>，承诺将严格按计划和阶段实施计划开展工作，每年定期向当地规划和自然资源局报告当年复情况，并将相关情况通过当地电视、报纸、网络向公众公开，接受政府相关职能部门和公众的监督。</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项目的实施，必须是具有资质的单位和人民政府及市、县自然资源和规划局共同组织实施，建立专职机构，由专职人员具体管理负责制，制定详细的勘查设计施工方案，建立质量监测及验收等工作程序，自觉地接受财政、监察、自然资源等部门的监督与检查。</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参与项目勘查、设计、施工及管理的单位，必须具备国家规定的资质条件，取得相应的资质证书；项目质量管理必须严格按照有关规范、规程执行，做到责任明确，奖罚分明，施工所需材料须经质检部门验收合格方可使用；工程竣工后应及时报请财政及自然资源行政主管部门组织专家验收。</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由当地规划和自然资源局和审计单位对矿山地质环境保护与土地复垦专项资金进行监督和审计。规划和自然资源局相关人员将定期对复垦资金进行检查验收，确保每笔复垦资金落到实处，真正用在矿山地质环境保护与土地复垦工程上。对滥用、挪用资金的，坚决追究当事人、相关责任人的责任，并给予相应的行政、经济以及刑事处罚。</w:t>
      </w:r>
    </w:p>
    <w:p>
      <w:pPr>
        <w:pStyle w:val="4"/>
        <w:spacing w:before="120" w:after="120"/>
        <w:rPr>
          <w:rFonts w:ascii="Times New Roman" w:hAnsi="Times New Roman" w:eastAsia="宋体" w:cs="Times New Roman"/>
          <w:color w:val="auto"/>
          <w:highlight w:val="none"/>
        </w:rPr>
      </w:pPr>
      <w:bookmarkStart w:id="234" w:name="_Toc12629"/>
      <w:bookmarkStart w:id="235" w:name="_Toc23362"/>
      <w:bookmarkStart w:id="236" w:name="_Toc511576371"/>
      <w:r>
        <w:rPr>
          <w:rFonts w:ascii="Times New Roman" w:hAnsi="Times New Roman" w:eastAsia="宋体" w:cs="Times New Roman"/>
          <w:color w:val="auto"/>
          <w:highlight w:val="none"/>
        </w:rPr>
        <w:t>五、效益分析</w:t>
      </w:r>
      <w:bookmarkEnd w:id="234"/>
      <w:bookmarkEnd w:id="235"/>
      <w:bookmarkEnd w:id="236"/>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1、社会效益</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矿山地质环境保护与土地复垦的投入将使项目建设运行产生的不利环</w:t>
      </w:r>
      <w:r>
        <w:rPr>
          <w:rFonts w:hint="eastAsia" w:ascii="仿宋" w:hAnsi="仿宋" w:eastAsia="仿宋" w:cs="仿宋"/>
          <w:color w:val="auto"/>
          <w:sz w:val="28"/>
          <w:szCs w:val="28"/>
          <w:highlight w:val="none"/>
          <w:lang w:eastAsia="zh-CN"/>
        </w:rPr>
        <w:t>境影</w:t>
      </w:r>
      <w:r>
        <w:rPr>
          <w:rFonts w:hint="eastAsia" w:ascii="仿宋" w:hAnsi="仿宋" w:eastAsia="仿宋" w:cs="仿宋"/>
          <w:color w:val="auto"/>
          <w:sz w:val="28"/>
          <w:szCs w:val="28"/>
          <w:highlight w:val="none"/>
        </w:rPr>
        <w:t>响得到有效控制，保护项目环境资源，对于维护和改善项目环境质量起到良好作用。复垦后林地可以继续由当地村民使用，既有利于促进土地合理利用，又可以增加农业收入，同时又可以改善当地生态环境，有利于当地百姓的身心健康，促进社会的安定团结。所以，矿山地质环境保护与土地复垦是关心国计民生的大事，不仅对发展生产和矿产事业有重要意义，而且对全社会的安定团结和稳定发展也有重要意义，它也是保证项目区域可持续发展的重要组成部分，因而具有重要的社会效益。</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2、环境效益</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是一个自然、经济、社会的综合体，同时也是一个巨大的生态系统。矿山地质环境保护与土地复垦是与生态重建密切结合的大型工程。在该地区进行土地复垦与生态重建，对因开采造成的土地损毁进行治理，其生态意义极其巨大。</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矿山地质环境保护与土地复垦方案按照“合理布局、因地制宜”的原</w:t>
      </w:r>
      <w:r>
        <w:rPr>
          <w:rFonts w:hint="eastAsia" w:ascii="仿宋" w:hAnsi="仿宋" w:eastAsia="仿宋" w:cs="仿宋"/>
          <w:color w:val="auto"/>
          <w:sz w:val="28"/>
          <w:szCs w:val="28"/>
          <w:highlight w:val="none"/>
          <w:lang w:eastAsia="zh-CN"/>
        </w:rPr>
        <w:t>则对</w:t>
      </w:r>
      <w:r>
        <w:rPr>
          <w:rFonts w:hint="eastAsia" w:ascii="仿宋" w:hAnsi="仿宋" w:eastAsia="仿宋" w:cs="仿宋"/>
          <w:color w:val="auto"/>
          <w:sz w:val="28"/>
          <w:szCs w:val="28"/>
          <w:highlight w:val="none"/>
        </w:rPr>
        <w:t>生产过程中损毁的土地进行综合治理，建立起新的土地利用生态体系，形成新的人工和自然绿色景观，起到蓄水保土、减轻土地损毁的作用，将使项目区恢复原有的良好生态环境，保持当地植被生态系统间的良性循环，调节区域小气候。</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通过平整土地、改善土壤物化性质、树木栽植等具体措施，可以有效改善土地质量，使生态环境趋于平衡，可以得到良好的生态效益。</w:t>
      </w:r>
    </w:p>
    <w:p>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3、经济效益</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经济效益包括直接经济效益和间接经济效益，矿山地质环境保护与土地复垦费用主要用于地质灾害、水土污染的监测及占用损毁土地的恢复治理等，以避免塌陷、地裂缝等地质灾害及人居环境不断恶化。如果不对这些地质问题进行治理恢复，一方面严重影响区内人员生命财产安全，从而增加企业赔偿费用，给企业造成持续的经济负担。另一方面，对水土、植被环境造成严重的破</w:t>
      </w:r>
      <w:r>
        <w:rPr>
          <w:rFonts w:hint="eastAsia" w:ascii="仿宋" w:hAnsi="仿宋" w:eastAsia="仿宋" w:cs="仿宋"/>
          <w:color w:val="auto"/>
          <w:sz w:val="28"/>
          <w:szCs w:val="28"/>
          <w:highlight w:val="none"/>
          <w:lang w:eastAsia="zh-CN"/>
        </w:rPr>
        <w:t>坏，降</w:t>
      </w:r>
      <w:r>
        <w:rPr>
          <w:rFonts w:hint="eastAsia" w:ascii="仿宋" w:hAnsi="仿宋" w:eastAsia="仿宋" w:cs="仿宋"/>
          <w:color w:val="auto"/>
          <w:sz w:val="28"/>
          <w:szCs w:val="28"/>
          <w:highlight w:val="none"/>
        </w:rPr>
        <w:t>低了土地的利用等级，土地使用价值下降，其损失是不可估量的。</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所以，对矿山地质环境和土地损毁问题进行监测治理，有利于矿区人民生产生活，有利于生态平衡和可持续发展，能产生良好的经济效益。</w:t>
      </w:r>
    </w:p>
    <w:p>
      <w:pPr>
        <w:pStyle w:val="4"/>
        <w:spacing w:before="120" w:after="120"/>
        <w:rPr>
          <w:rFonts w:ascii="Times New Roman" w:hAnsi="Times New Roman" w:eastAsia="宋体" w:cs="Times New Roman"/>
          <w:color w:val="auto"/>
          <w:highlight w:val="none"/>
        </w:rPr>
      </w:pPr>
      <w:bookmarkStart w:id="237" w:name="_Toc27124"/>
      <w:bookmarkStart w:id="238" w:name="_Toc511576372"/>
      <w:bookmarkStart w:id="239" w:name="_Toc8563"/>
      <w:r>
        <w:rPr>
          <w:rFonts w:ascii="Times New Roman" w:hAnsi="Times New Roman" w:eastAsia="宋体" w:cs="Times New Roman"/>
          <w:color w:val="auto"/>
          <w:highlight w:val="none"/>
        </w:rPr>
        <w:t>六、公众参与</w:t>
      </w:r>
      <w:bookmarkEnd w:id="237"/>
      <w:bookmarkEnd w:id="238"/>
      <w:bookmarkEnd w:id="239"/>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土地复垦中的公众参与的目的是收集当地土地资源主管部门、土地使用者和矿区周边公众对项目占地及开展后期复垦工作的意见和建议。</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方案编制要求，必须让工程所在地周围群众对复垦方案的相关内容如复垦期限、复垦方向、复垦工程措施等有所了解，在此基础上充分表达自己的意见和建议，提出相应的建设性意见，使其落实到具体的土地复垦中，确保复垦方案可行，并且满足自治区、县自然资源主管部门的有关要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案编制前期，建设单位与方案编制人员走访了矿区附近的当地群众，充分征求了土地权属人以及当地自然资源、水利、农业、环保等部门或代表意见，将方案规划的目标和内容与他们相互交流，明确损毁土地的复垦方向、治理复垦标准和实施措施，得到他们的帮助和大力支持，复垦工作具有较好的社会基础。</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建设过程中积极邀请当地群众代表和相关部门对治理复垦工作进行指导，确保工作顺利开展。工程实施结束后，自然资源管理部门进行验收时，除组织相关专家外，也将邀请部分群众代表参加，确保验收工作公平、公正、公开。</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总体来看，公众对矿区的开采关注度都很高，具有良好的社会基础，但对矿山的土地复垦目的、措施、复垦目标等不甚了解。</w:t>
      </w:r>
      <w:r>
        <w:rPr>
          <w:rFonts w:hint="eastAsia" w:ascii="仿宋" w:hAnsi="仿宋" w:eastAsia="仿宋" w:cs="仿宋"/>
          <w:color w:val="auto"/>
          <w:sz w:val="28"/>
          <w:szCs w:val="28"/>
          <w:highlight w:val="none"/>
          <w:lang w:eastAsia="zh-CN"/>
        </w:rPr>
        <w:t>在</w:t>
      </w:r>
      <w:r>
        <w:rPr>
          <w:rFonts w:hint="eastAsia" w:ascii="仿宋" w:hAnsi="仿宋" w:eastAsia="仿宋" w:cs="仿宋"/>
          <w:color w:val="auto"/>
          <w:sz w:val="28"/>
          <w:szCs w:val="28"/>
          <w:highlight w:val="none"/>
        </w:rPr>
        <w:t>了解了矿山土地复垦的方向和措施后，大多数群众和当地政府都对</w:t>
      </w:r>
      <w:r>
        <w:rPr>
          <w:rFonts w:hint="eastAsia" w:ascii="仿宋" w:hAnsi="仿宋" w:eastAsia="仿宋" w:cs="仿宋"/>
          <w:color w:val="auto"/>
          <w:sz w:val="28"/>
          <w:szCs w:val="28"/>
          <w:u w:val="none"/>
        </w:rPr>
        <w:t>大英县</w:t>
      </w:r>
      <w:r>
        <w:rPr>
          <w:rFonts w:hint="eastAsia" w:ascii="仿宋" w:hAnsi="仿宋" w:eastAsia="仿宋" w:cs="仿宋"/>
          <w:color w:val="auto"/>
          <w:sz w:val="28"/>
          <w:szCs w:val="28"/>
          <w:u w:val="none"/>
          <w:lang w:val="en-US" w:eastAsia="zh-CN"/>
        </w:rPr>
        <w:t>浅垭子村砖瓦用</w:t>
      </w:r>
      <w:r>
        <w:rPr>
          <w:rFonts w:hint="eastAsia" w:ascii="仿宋" w:hAnsi="仿宋" w:eastAsia="仿宋" w:cs="仿宋"/>
          <w:color w:val="auto"/>
          <w:sz w:val="28"/>
          <w:szCs w:val="28"/>
          <w:highlight w:val="none"/>
        </w:rPr>
        <w:t>页岩矿矿山土地复垦有较大信心，认为该方案的实施可以有效地改善当地的生态环境。</w:t>
      </w:r>
    </w:p>
    <w:p>
      <w:pPr>
        <w:spacing w:line="360" w:lineRule="auto"/>
        <w:ind w:firstLine="560" w:firstLineChars="200"/>
        <w:rPr>
          <w:rFonts w:ascii="Times New Roman" w:hAnsi="Times New Roman" w:eastAsia="宋体" w:cs="Times New Roman"/>
          <w:color w:val="auto"/>
          <w:highlight w:val="none"/>
        </w:rPr>
      </w:pPr>
      <w:r>
        <w:rPr>
          <w:rFonts w:hint="eastAsia" w:ascii="仿宋" w:hAnsi="仿宋" w:eastAsia="仿宋" w:cs="仿宋"/>
          <w:color w:val="auto"/>
          <w:sz w:val="28"/>
          <w:szCs w:val="28"/>
          <w:highlight w:val="none"/>
        </w:rPr>
        <w:t>规划和自然资源局和当地村委会非常赞同开展土地复垦工作，希望该方案的实施过程中充分考虑当地的自然条件，选择当地优势植物，确保土地复垦率和复垦效果达到验收要求。同时，希望建设单位加强复垦后的管护和抚育工作，巩固土地复垦成果。</w:t>
      </w:r>
    </w:p>
    <w:p>
      <w:pPr>
        <w:rPr>
          <w:rFonts w:ascii="Times New Roman" w:hAnsi="Times New Roman" w:eastAsia="宋体" w:cs="Times New Roman"/>
          <w:bCs/>
          <w:color w:val="auto"/>
          <w:sz w:val="30"/>
          <w:szCs w:val="30"/>
          <w:highlight w:val="none"/>
        </w:rPr>
        <w:sectPr>
          <w:pgSz w:w="11906" w:h="16838"/>
          <w:pgMar w:top="1440" w:right="1800" w:bottom="1440" w:left="1800" w:header="851" w:footer="992" w:gutter="0"/>
          <w:cols w:space="425" w:num="1"/>
          <w:docGrid w:type="lines" w:linePitch="312" w:charSpace="0"/>
        </w:sectPr>
      </w:pPr>
    </w:p>
    <w:p>
      <w:pPr>
        <w:pStyle w:val="3"/>
        <w:spacing w:line="360" w:lineRule="auto"/>
        <w:jc w:val="center"/>
        <w:rPr>
          <w:rFonts w:ascii="Times New Roman" w:hAnsi="Times New Roman" w:eastAsia="宋体" w:cs="Times New Roman"/>
          <w:color w:val="auto"/>
          <w:sz w:val="32"/>
          <w:szCs w:val="32"/>
          <w:highlight w:val="none"/>
        </w:rPr>
      </w:pPr>
      <w:bookmarkStart w:id="240" w:name="_Toc9527"/>
      <w:r>
        <w:rPr>
          <w:rFonts w:ascii="Times New Roman" w:hAnsi="Times New Roman" w:eastAsia="宋体" w:cs="Times New Roman"/>
          <w:color w:val="auto"/>
          <w:sz w:val="32"/>
          <w:szCs w:val="32"/>
          <w:highlight w:val="none"/>
        </w:rPr>
        <w:t>第9章  结论与建议</w:t>
      </w:r>
      <w:bookmarkEnd w:id="240"/>
    </w:p>
    <w:p>
      <w:pPr>
        <w:pStyle w:val="4"/>
        <w:spacing w:before="120" w:after="120"/>
        <w:rPr>
          <w:rFonts w:ascii="Times New Roman" w:hAnsi="Times New Roman" w:eastAsia="宋体" w:cs="Times New Roman"/>
          <w:color w:val="auto"/>
          <w:highlight w:val="none"/>
        </w:rPr>
      </w:pPr>
      <w:bookmarkStart w:id="241" w:name="_Toc511576374"/>
      <w:bookmarkStart w:id="242" w:name="_Toc12371"/>
      <w:bookmarkStart w:id="243" w:name="_Toc3645"/>
      <w:r>
        <w:rPr>
          <w:rFonts w:ascii="Times New Roman" w:hAnsi="Times New Roman" w:eastAsia="宋体" w:cs="Times New Roman"/>
          <w:color w:val="auto"/>
          <w:highlight w:val="none"/>
        </w:rPr>
        <w:t>一、结论</w:t>
      </w:r>
      <w:bookmarkEnd w:id="241"/>
      <w:bookmarkEnd w:id="242"/>
      <w:bookmarkEnd w:id="243"/>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大英县浅垭子村砖瓦用</w:t>
      </w:r>
      <w:r>
        <w:rPr>
          <w:rFonts w:hint="eastAsia" w:ascii="仿宋" w:hAnsi="仿宋" w:eastAsia="仿宋" w:cs="仿宋"/>
          <w:color w:val="auto"/>
          <w:sz w:val="28"/>
          <w:szCs w:val="28"/>
          <w:highlight w:val="none"/>
        </w:rPr>
        <w:t>页岩矿开采方式为露天开采，开采矿种为砖瓦用页</w:t>
      </w:r>
      <w:r>
        <w:rPr>
          <w:rFonts w:hint="eastAsia" w:ascii="仿宋" w:hAnsi="仿宋" w:eastAsia="仿宋" w:cs="仿宋"/>
          <w:color w:val="auto"/>
          <w:sz w:val="28"/>
          <w:szCs w:val="28"/>
          <w:highlight w:val="none"/>
          <w:lang w:val="zh-CN"/>
        </w:rPr>
        <w:t>岩</w:t>
      </w:r>
      <w:r>
        <w:rPr>
          <w:rFonts w:hint="eastAsia" w:ascii="仿宋" w:hAnsi="仿宋" w:eastAsia="仿宋" w:cs="仿宋"/>
          <w:color w:val="auto"/>
          <w:sz w:val="28"/>
          <w:szCs w:val="28"/>
          <w:highlight w:val="none"/>
        </w:rPr>
        <w:t>；设计生产规模为</w:t>
      </w:r>
      <w:r>
        <w:rPr>
          <w:rFonts w:hint="eastAsia" w:ascii="仿宋" w:hAnsi="仿宋" w:eastAsia="仿宋" w:cs="仿宋"/>
          <w:color w:val="auto"/>
          <w:sz w:val="28"/>
          <w:szCs w:val="28"/>
          <w:highlight w:val="none"/>
          <w:lang w:val="en-US" w:eastAsia="zh-CN"/>
        </w:rPr>
        <w:t>20</w:t>
      </w:r>
      <w:r>
        <w:rPr>
          <w:rFonts w:hint="eastAsia" w:ascii="仿宋" w:hAnsi="仿宋" w:eastAsia="仿宋" w:cs="仿宋"/>
          <w:color w:val="auto"/>
          <w:sz w:val="28"/>
          <w:szCs w:val="28"/>
          <w:highlight w:val="none"/>
        </w:rPr>
        <w:t>万吨/年。矿山</w:t>
      </w:r>
      <w:r>
        <w:rPr>
          <w:rFonts w:hint="eastAsia" w:ascii="仿宋" w:hAnsi="仿宋" w:eastAsia="仿宋" w:cs="仿宋"/>
          <w:color w:val="auto"/>
          <w:sz w:val="28"/>
          <w:szCs w:val="28"/>
          <w:highlight w:val="none"/>
          <w:lang w:val="en-US" w:eastAsia="zh-CN"/>
        </w:rPr>
        <w:t>设计</w:t>
      </w:r>
      <w:r>
        <w:rPr>
          <w:rFonts w:hint="eastAsia" w:ascii="仿宋" w:hAnsi="仿宋" w:eastAsia="仿宋" w:cs="仿宋"/>
          <w:color w:val="auto"/>
          <w:sz w:val="28"/>
          <w:szCs w:val="28"/>
          <w:highlight w:val="none"/>
        </w:rPr>
        <w:t>服务年限</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年，矿山闭坑后，矿山地质保护与土地复垦工程施工期为1年，监测管护期为3年，故本方案适用期为</w:t>
      </w: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年。</w:t>
      </w:r>
    </w:p>
    <w:p>
      <w:pPr>
        <w:pStyle w:val="1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本方案的编制</w:t>
      </w:r>
      <w:r>
        <w:rPr>
          <w:rFonts w:hint="eastAsia" w:ascii="仿宋" w:hAnsi="仿宋" w:eastAsia="仿宋" w:cs="仿宋"/>
          <w:b/>
          <w:color w:val="auto"/>
          <w:sz w:val="28"/>
          <w:szCs w:val="28"/>
          <w:highlight w:val="none"/>
        </w:rPr>
        <w:t>基准年为</w:t>
      </w:r>
      <w:r>
        <w:rPr>
          <w:rFonts w:hint="eastAsia" w:ascii="仿宋" w:hAnsi="仿宋" w:eastAsia="仿宋" w:cs="仿宋"/>
          <w:b/>
          <w:color w:val="auto"/>
          <w:sz w:val="28"/>
          <w:szCs w:val="28"/>
          <w:highlight w:val="none"/>
          <w:lang w:val="en-US" w:eastAsia="zh-CN"/>
        </w:rPr>
        <w:t>矿山办理采矿证开始计算</w:t>
      </w:r>
      <w:r>
        <w:rPr>
          <w:rFonts w:hint="eastAsia" w:ascii="仿宋" w:hAnsi="仿宋" w:eastAsia="仿宋" w:cs="仿宋"/>
          <w:color w:val="auto"/>
          <w:sz w:val="28"/>
          <w:szCs w:val="28"/>
          <w:highlight w:val="none"/>
        </w:rPr>
        <w:t>，本方案在实施过程中，每5年应进行修订。当矿井扩大生产规模、扩大矿区范围、变更开采方式时，应重新编制或修订矿山地质环境保护与土地复垦方案。</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大英县浅垭子村砖瓦用</w:t>
      </w:r>
      <w:r>
        <w:rPr>
          <w:rFonts w:hint="eastAsia" w:ascii="仿宋" w:hAnsi="仿宋" w:eastAsia="仿宋" w:cs="仿宋"/>
          <w:color w:val="auto"/>
          <w:sz w:val="28"/>
          <w:szCs w:val="28"/>
          <w:highlight w:val="none"/>
        </w:rPr>
        <w:t>页岩</w:t>
      </w:r>
      <w:r>
        <w:rPr>
          <w:rFonts w:hint="eastAsia" w:ascii="仿宋" w:hAnsi="仿宋" w:eastAsia="仿宋" w:cs="仿宋"/>
          <w:color w:val="auto"/>
          <w:sz w:val="28"/>
          <w:szCs w:val="28"/>
          <w:highlight w:val="none"/>
          <w:lang w:eastAsia="zh-CN"/>
        </w:rPr>
        <w:t>矿</w:t>
      </w:r>
      <w:r>
        <w:rPr>
          <w:rFonts w:hint="eastAsia" w:ascii="仿宋" w:hAnsi="仿宋" w:eastAsia="仿宋" w:cs="仿宋"/>
          <w:color w:val="auto"/>
          <w:sz w:val="28"/>
          <w:szCs w:val="28"/>
          <w:highlight w:val="none"/>
        </w:rPr>
        <w:t>山为</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中</w:t>
      </w:r>
      <w:r>
        <w:rPr>
          <w:rFonts w:hint="eastAsia" w:ascii="仿宋" w:hAnsi="仿宋" w:eastAsia="仿宋" w:cs="仿宋"/>
          <w:b/>
          <w:bCs/>
          <w:color w:val="auto"/>
          <w:sz w:val="28"/>
          <w:szCs w:val="28"/>
          <w:highlight w:val="none"/>
        </w:rPr>
        <w:t>型矿山”</w:t>
      </w:r>
      <w:r>
        <w:rPr>
          <w:rFonts w:hint="eastAsia" w:ascii="仿宋" w:hAnsi="仿宋" w:eastAsia="仿宋" w:cs="仿宋"/>
          <w:color w:val="auto"/>
          <w:sz w:val="28"/>
          <w:szCs w:val="28"/>
          <w:highlight w:val="none"/>
        </w:rPr>
        <w:t>，评估区重要程度为</w:t>
      </w:r>
      <w:r>
        <w:rPr>
          <w:rFonts w:hint="eastAsia" w:ascii="仿宋" w:hAnsi="仿宋" w:eastAsia="仿宋" w:cs="仿宋"/>
          <w:b/>
          <w:color w:val="auto"/>
          <w:sz w:val="28"/>
          <w:szCs w:val="28"/>
          <w:highlight w:val="none"/>
        </w:rPr>
        <w:t>“重要区”</w:t>
      </w:r>
      <w:r>
        <w:rPr>
          <w:rFonts w:hint="eastAsia" w:ascii="仿宋" w:hAnsi="仿宋" w:eastAsia="仿宋" w:cs="仿宋"/>
          <w:color w:val="auto"/>
          <w:sz w:val="28"/>
          <w:szCs w:val="28"/>
          <w:highlight w:val="none"/>
        </w:rPr>
        <w:t>，矿山地质环境条件复杂程度为</w:t>
      </w: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简单</w:t>
      </w:r>
      <w:r>
        <w:rPr>
          <w:rFonts w:hint="eastAsia" w:ascii="仿宋" w:hAnsi="仿宋" w:eastAsia="仿宋" w:cs="仿宋"/>
          <w:b/>
          <w:color w:val="auto"/>
          <w:sz w:val="28"/>
          <w:szCs w:val="28"/>
          <w:highlight w:val="none"/>
        </w:rPr>
        <w:t>”</w:t>
      </w:r>
      <w:r>
        <w:rPr>
          <w:rFonts w:hint="eastAsia" w:ascii="仿宋" w:hAnsi="仿宋" w:eastAsia="仿宋" w:cs="仿宋"/>
          <w:color w:val="auto"/>
          <w:sz w:val="28"/>
          <w:szCs w:val="28"/>
          <w:highlight w:val="none"/>
        </w:rPr>
        <w:t>，确定评估级别为</w:t>
      </w: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二</w:t>
      </w:r>
      <w:r>
        <w:rPr>
          <w:rFonts w:hint="eastAsia" w:ascii="仿宋" w:hAnsi="仿宋" w:eastAsia="仿宋" w:cs="仿宋"/>
          <w:b/>
          <w:color w:val="auto"/>
          <w:sz w:val="28"/>
          <w:szCs w:val="28"/>
          <w:highlight w:val="none"/>
        </w:rPr>
        <w:t>级”</w:t>
      </w:r>
      <w:r>
        <w:rPr>
          <w:rFonts w:hint="eastAsia" w:ascii="仿宋" w:hAnsi="仿宋" w:eastAsia="仿宋" w:cs="仿宋"/>
          <w:color w:val="auto"/>
          <w:sz w:val="28"/>
          <w:szCs w:val="28"/>
          <w:highlight w:val="none"/>
        </w:rPr>
        <w:t>。</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现状评估：矿山现状条件下，评估区发生地质灾害的可能性较小，规模较小；采矿对含水层的影响较轻；对地貌景观破坏较严重；对地质遗迹、人文景观的影响和破坏较轻；对土地资源的影响较严重。矿业活动强度还处于较低状态，评估区范围内现状条件下未发现滑坡、地裂缝、泥石流等地质灾害，未发现有地表水</w:t>
      </w:r>
      <w:r>
        <w:rPr>
          <w:rFonts w:hint="eastAsia" w:ascii="仿宋" w:hAnsi="仿宋" w:eastAsia="仿宋" w:cs="仿宋"/>
          <w:color w:val="auto"/>
          <w:sz w:val="28"/>
          <w:szCs w:val="28"/>
          <w:highlight w:val="none"/>
          <w:lang w:eastAsia="zh-CN"/>
        </w:rPr>
        <w:t>渗漏</w:t>
      </w:r>
      <w:r>
        <w:rPr>
          <w:rFonts w:hint="eastAsia" w:ascii="仿宋" w:hAnsi="仿宋" w:eastAsia="仿宋" w:cs="仿宋"/>
          <w:color w:val="auto"/>
          <w:sz w:val="28"/>
          <w:szCs w:val="28"/>
          <w:highlight w:val="none"/>
        </w:rPr>
        <w:t>。现状条件下矿山地质环境影响程度划分为“较严重”。</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4）预测评估：矿山露天采场发生崩塌或滑坡的可能性较</w:t>
      </w:r>
      <w:r>
        <w:rPr>
          <w:rFonts w:hint="eastAsia" w:ascii="仿宋" w:hAnsi="仿宋" w:eastAsia="仿宋" w:cs="仿宋"/>
          <w:color w:val="auto"/>
          <w:sz w:val="28"/>
          <w:szCs w:val="28"/>
          <w:highlight w:val="none"/>
          <w:lang w:val="en-US" w:eastAsia="zh-CN"/>
        </w:rPr>
        <w:t>小</w:t>
      </w:r>
      <w:r>
        <w:rPr>
          <w:rFonts w:hint="eastAsia" w:ascii="仿宋" w:hAnsi="仿宋" w:eastAsia="仿宋" w:cs="仿宋"/>
          <w:color w:val="auto"/>
          <w:sz w:val="28"/>
          <w:szCs w:val="28"/>
          <w:highlight w:val="none"/>
        </w:rPr>
        <w:t>，危险性较</w:t>
      </w:r>
      <w:r>
        <w:rPr>
          <w:rFonts w:hint="eastAsia" w:ascii="仿宋" w:hAnsi="仿宋" w:eastAsia="仿宋" w:cs="仿宋"/>
          <w:color w:val="auto"/>
          <w:sz w:val="28"/>
          <w:szCs w:val="28"/>
          <w:highlight w:val="none"/>
          <w:lang w:val="en-US" w:eastAsia="zh-CN"/>
        </w:rPr>
        <w:t>小</w:t>
      </w:r>
      <w:r>
        <w:rPr>
          <w:rFonts w:hint="eastAsia" w:ascii="仿宋" w:hAnsi="仿宋" w:eastAsia="仿宋" w:cs="仿宋"/>
          <w:color w:val="auto"/>
          <w:sz w:val="28"/>
          <w:szCs w:val="28"/>
          <w:highlight w:val="none"/>
        </w:rPr>
        <w:t>；采矿对含水层的影响较轻；对地貌景观的破坏较严重，对地质遗迹、人文景观无影响；对土地资源的影响较严重。依据各单要素影响范围及影响程度，预测矿山采矿活动将矿山地质环境影响程度划分为“较严重”。</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依据矿山地质环境影响现状评估、预测评估结果，充分考虑矿山开采对人居环境的影响，遵从区内相似，区际相异的原则，按同一区内有多种地质环境问题共存时，影响程度就大不就小，就高不就低的分区原则，将矿山地质环境保护与恢复治理区域划分为2个分区，即较重点防治区及一般防治区。</w:t>
      </w:r>
    </w:p>
    <w:p>
      <w:pPr>
        <w:spacing w:line="360" w:lineRule="auto"/>
        <w:ind w:firstLine="48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6）矿山累计损毁土地总面积</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，无永久性用地，复垦责任范围面积为</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bookmarkStart w:id="244" w:name="_Hlk36137022"/>
      <w:r>
        <w:rPr>
          <w:rFonts w:hint="eastAsia" w:ascii="仿宋" w:hAnsi="仿宋" w:eastAsia="仿宋" w:cs="仿宋"/>
          <w:color w:val="auto"/>
          <w:sz w:val="28"/>
          <w:szCs w:val="28"/>
          <w:highlight w:val="none"/>
        </w:rPr>
        <w:t>经估算，本矿山环境治理工程和土地复垦工程动态总投资</w:t>
      </w:r>
      <w:r>
        <w:rPr>
          <w:rFonts w:hint="eastAsia" w:ascii="仿宋" w:hAnsi="仿宋" w:eastAsia="仿宋" w:cs="仿宋"/>
          <w:color w:val="auto"/>
          <w:sz w:val="28"/>
          <w:szCs w:val="28"/>
          <w:highlight w:val="none"/>
          <w:lang w:val="en-US" w:eastAsia="zh-CN"/>
        </w:rPr>
        <w:t>43.01</w:t>
      </w:r>
      <w:r>
        <w:rPr>
          <w:rFonts w:hint="eastAsia" w:ascii="仿宋" w:hAnsi="仿宋" w:eastAsia="仿宋" w:cs="仿宋"/>
          <w:color w:val="auto"/>
          <w:sz w:val="28"/>
          <w:szCs w:val="28"/>
          <w:highlight w:val="none"/>
        </w:rPr>
        <w:t>万元，静态总投资</w:t>
      </w:r>
      <w:r>
        <w:rPr>
          <w:rFonts w:hint="eastAsia" w:ascii="仿宋" w:hAnsi="仿宋" w:eastAsia="仿宋" w:cs="仿宋"/>
          <w:color w:val="auto"/>
          <w:sz w:val="28"/>
          <w:szCs w:val="28"/>
          <w:highlight w:val="none"/>
          <w:lang w:val="en-US" w:eastAsia="zh-CN"/>
        </w:rPr>
        <w:t>40.69</w:t>
      </w:r>
      <w:r>
        <w:rPr>
          <w:rFonts w:hint="eastAsia" w:ascii="仿宋" w:hAnsi="仿宋" w:eastAsia="仿宋" w:cs="仿宋"/>
          <w:color w:val="auto"/>
          <w:sz w:val="28"/>
          <w:szCs w:val="28"/>
          <w:highlight w:val="none"/>
        </w:rPr>
        <w:t>万元。项目区复垦责任面积为</w:t>
      </w:r>
      <w:r>
        <w:rPr>
          <w:rFonts w:hint="eastAsia" w:ascii="仿宋" w:hAnsi="仿宋" w:eastAsia="仿宋" w:cs="仿宋"/>
          <w:color w:val="auto"/>
          <w:sz w:val="28"/>
          <w:szCs w:val="28"/>
          <w:highlight w:val="none"/>
          <w:lang w:val="en-US" w:eastAsia="zh-CN"/>
        </w:rPr>
        <w:t>3.89</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，单位面积投资为</w:t>
      </w:r>
      <w:r>
        <w:rPr>
          <w:rFonts w:hint="eastAsia" w:ascii="仿宋" w:hAnsi="仿宋" w:eastAsia="仿宋" w:cs="仿宋"/>
          <w:color w:val="auto"/>
          <w:sz w:val="28"/>
          <w:szCs w:val="28"/>
          <w:highlight w:val="none"/>
          <w:lang w:val="en-US" w:eastAsia="zh-CN"/>
        </w:rPr>
        <w:t>11.06</w:t>
      </w:r>
      <w:r>
        <w:rPr>
          <w:rFonts w:hint="eastAsia" w:ascii="仿宋" w:hAnsi="仿宋" w:eastAsia="仿宋" w:cs="仿宋"/>
          <w:color w:val="auto"/>
          <w:sz w:val="28"/>
          <w:szCs w:val="28"/>
          <w:highlight w:val="none"/>
        </w:rPr>
        <w:t>元/m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，矿山的复垦责任全部由</w:t>
      </w:r>
      <w:r>
        <w:rPr>
          <w:rFonts w:hint="eastAsia" w:ascii="仿宋" w:hAnsi="仿宋" w:eastAsia="仿宋" w:cs="仿宋"/>
          <w:color w:val="auto"/>
          <w:sz w:val="28"/>
          <w:szCs w:val="28"/>
          <w:u w:val="none"/>
        </w:rPr>
        <w:t>大英县顺盛矿业有限责任公司</w:t>
      </w:r>
      <w:r>
        <w:rPr>
          <w:rFonts w:hint="eastAsia" w:ascii="仿宋" w:hAnsi="仿宋" w:eastAsia="仿宋" w:cs="仿宋"/>
          <w:color w:val="auto"/>
          <w:sz w:val="28"/>
          <w:szCs w:val="28"/>
          <w:highlight w:val="none"/>
          <w:u w:val="none"/>
        </w:rPr>
        <w:t>承</w:t>
      </w:r>
      <w:r>
        <w:rPr>
          <w:rFonts w:hint="eastAsia" w:ascii="仿宋" w:hAnsi="仿宋" w:eastAsia="仿宋" w:cs="仿宋"/>
          <w:color w:val="auto"/>
          <w:sz w:val="28"/>
          <w:szCs w:val="28"/>
          <w:highlight w:val="none"/>
        </w:rPr>
        <w:t>担。</w:t>
      </w:r>
      <w:bookmarkEnd w:id="244"/>
    </w:p>
    <w:p>
      <w:pPr>
        <w:pStyle w:val="4"/>
        <w:spacing w:before="120" w:after="120"/>
        <w:rPr>
          <w:rFonts w:ascii="Times New Roman" w:hAnsi="Times New Roman" w:eastAsia="宋体" w:cs="Times New Roman"/>
          <w:color w:val="auto"/>
          <w:highlight w:val="none"/>
        </w:rPr>
      </w:pPr>
      <w:bookmarkStart w:id="245" w:name="_Toc511576375"/>
      <w:bookmarkStart w:id="246" w:name="_Toc16243"/>
      <w:bookmarkStart w:id="247" w:name="_Toc4910"/>
      <w:r>
        <w:rPr>
          <w:rFonts w:ascii="Times New Roman" w:hAnsi="Times New Roman" w:eastAsia="宋体" w:cs="Times New Roman"/>
          <w:color w:val="auto"/>
          <w:highlight w:val="none"/>
        </w:rPr>
        <w:t>二、建议</w:t>
      </w:r>
      <w:bookmarkEnd w:id="245"/>
      <w:bookmarkEnd w:id="246"/>
      <w:bookmarkEnd w:id="247"/>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1、本方案不代替工程</w:t>
      </w:r>
      <w:r>
        <w:rPr>
          <w:rFonts w:hint="eastAsia" w:ascii="仿宋" w:hAnsi="仿宋" w:eastAsia="仿宋" w:cs="仿宋"/>
          <w:color w:val="auto"/>
          <w:sz w:val="28"/>
          <w:szCs w:val="28"/>
          <w:highlight w:val="none"/>
          <w:lang w:eastAsia="zh-CN"/>
        </w:rPr>
        <w:t>勘察</w:t>
      </w:r>
      <w:r>
        <w:rPr>
          <w:rFonts w:hint="eastAsia" w:ascii="仿宋" w:hAnsi="仿宋" w:eastAsia="仿宋" w:cs="仿宋"/>
          <w:color w:val="auto"/>
          <w:sz w:val="28"/>
          <w:szCs w:val="28"/>
          <w:highlight w:val="none"/>
        </w:rPr>
        <w:t xml:space="preserve">工作、环境影响评价等相关工作，也不代替最终矿山地质环境治理工程和土地复垦工程施工图设计。建议矿山企业在进行地质环境治理工程和土地复垦工程时，委托相关单位对矿山地质环境影响区和土地复垦区进行专项工程勘察、设计。 </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2、矿山必须严格执行国家及地方有关矿业活动的</w:t>
      </w:r>
      <w:r>
        <w:rPr>
          <w:rFonts w:hint="eastAsia" w:ascii="仿宋" w:hAnsi="仿宋" w:eastAsia="仿宋" w:cs="仿宋"/>
          <w:color w:val="auto"/>
          <w:sz w:val="28"/>
          <w:szCs w:val="28"/>
          <w:highlight w:val="none"/>
          <w:lang w:eastAsia="zh-CN"/>
        </w:rPr>
        <w:t>法律法规</w:t>
      </w:r>
      <w:r>
        <w:rPr>
          <w:rFonts w:hint="eastAsia" w:ascii="仿宋" w:hAnsi="仿宋" w:eastAsia="仿宋" w:cs="仿宋"/>
          <w:color w:val="auto"/>
          <w:sz w:val="28"/>
          <w:szCs w:val="28"/>
          <w:highlight w:val="none"/>
        </w:rPr>
        <w:t>、规范；落实各种安全措施，保证安全生产。加强矿山安全生产管理工作，防止各种地质灾害事故的发生。</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3、矿山应强调环境保护意识，采矿活动与环境保护工程同步进行，矿山地质环境监测工作应及时建立与完善，保证危险区</w:t>
      </w:r>
      <w:r>
        <w:rPr>
          <w:rFonts w:hint="eastAsia" w:ascii="仿宋" w:hAnsi="仿宋" w:eastAsia="仿宋" w:cs="仿宋"/>
          <w:color w:val="auto"/>
          <w:sz w:val="28"/>
          <w:szCs w:val="28"/>
          <w:highlight w:val="none"/>
          <w:lang w:eastAsia="zh-CN"/>
        </w:rPr>
        <w:t>人民</w:t>
      </w:r>
      <w:r>
        <w:rPr>
          <w:rFonts w:hint="eastAsia" w:ascii="仿宋" w:hAnsi="仿宋" w:eastAsia="仿宋" w:cs="仿宋"/>
          <w:color w:val="auto"/>
          <w:sz w:val="28"/>
          <w:szCs w:val="28"/>
          <w:highlight w:val="none"/>
        </w:rPr>
        <w:t>生命财产安全。</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4、矿方按本方案进行矿山环境治理和土地复垦过程中要不断积累资料和经验，为下一个规划期方案编制提供可靠数据，更好</w:t>
      </w:r>
      <w:r>
        <w:rPr>
          <w:rFonts w:hint="eastAsia" w:ascii="仿宋" w:hAnsi="仿宋" w:eastAsia="仿宋" w:cs="仿宋"/>
          <w:color w:val="auto"/>
          <w:sz w:val="28"/>
          <w:szCs w:val="28"/>
          <w:highlight w:val="none"/>
          <w:lang w:eastAsia="zh-CN"/>
        </w:rPr>
        <w:t>地</w:t>
      </w:r>
      <w:r>
        <w:rPr>
          <w:rFonts w:hint="eastAsia" w:ascii="仿宋" w:hAnsi="仿宋" w:eastAsia="仿宋" w:cs="仿宋"/>
          <w:color w:val="auto"/>
          <w:sz w:val="28"/>
          <w:szCs w:val="28"/>
          <w:highlight w:val="none"/>
        </w:rPr>
        <w:t>为矿山建设服务。</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5、建议矿山在生产过程中加强</w:t>
      </w:r>
      <w:r>
        <w:rPr>
          <w:rFonts w:hint="eastAsia" w:ascii="仿宋" w:hAnsi="仿宋" w:eastAsia="仿宋" w:cs="仿宋"/>
          <w:color w:val="auto"/>
          <w:sz w:val="28"/>
          <w:szCs w:val="28"/>
          <w:highlight w:val="none"/>
          <w:lang w:eastAsia="zh-CN"/>
        </w:rPr>
        <w:t>工程地质勘察</w:t>
      </w:r>
      <w:r>
        <w:rPr>
          <w:rFonts w:hint="eastAsia" w:ascii="仿宋" w:hAnsi="仿宋" w:eastAsia="仿宋" w:cs="仿宋"/>
          <w:color w:val="auto"/>
          <w:sz w:val="28"/>
          <w:szCs w:val="28"/>
          <w:highlight w:val="none"/>
        </w:rPr>
        <w:t>工作，预防发生采空塌陷、滑坡、崩塌和泥石流灾害，并编制应急预案，发生重大事故时立即启动相应应急预案，做到防患于未然。</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6、矿山要及时</w:t>
      </w:r>
      <w:r>
        <w:rPr>
          <w:rFonts w:hint="eastAsia" w:ascii="仿宋" w:hAnsi="仿宋" w:eastAsia="仿宋" w:cs="仿宋"/>
          <w:color w:val="auto"/>
          <w:sz w:val="28"/>
          <w:szCs w:val="28"/>
          <w:highlight w:val="none"/>
          <w:lang w:eastAsia="zh-CN"/>
        </w:rPr>
        <w:t>缴纳</w:t>
      </w:r>
      <w:r>
        <w:rPr>
          <w:rFonts w:hint="eastAsia" w:ascii="仿宋" w:hAnsi="仿宋" w:eastAsia="仿宋" w:cs="仿宋"/>
          <w:color w:val="auto"/>
          <w:sz w:val="28"/>
          <w:szCs w:val="28"/>
          <w:highlight w:val="none"/>
        </w:rPr>
        <w:t>矿山地质环境治理保证金；矿山“三废”实行达标排放，</w:t>
      </w:r>
      <w:r>
        <w:rPr>
          <w:rFonts w:hint="eastAsia" w:ascii="仿宋" w:hAnsi="仿宋" w:eastAsia="仿宋" w:cs="仿宋"/>
          <w:color w:val="auto"/>
          <w:sz w:val="28"/>
          <w:szCs w:val="28"/>
          <w:highlight w:val="none"/>
          <w:lang w:eastAsia="zh-CN"/>
        </w:rPr>
        <w:t>切实做好</w:t>
      </w:r>
      <w:r>
        <w:rPr>
          <w:rFonts w:hint="eastAsia" w:ascii="仿宋" w:hAnsi="仿宋" w:eastAsia="仿宋" w:cs="仿宋"/>
          <w:color w:val="auto"/>
          <w:sz w:val="28"/>
          <w:szCs w:val="28"/>
          <w:highlight w:val="none"/>
        </w:rPr>
        <w:t>矿山废弃物资源化</w:t>
      </w:r>
      <w:r>
        <w:rPr>
          <w:rFonts w:hint="eastAsia" w:ascii="仿宋" w:hAnsi="仿宋" w:eastAsia="仿宋" w:cs="仿宋"/>
          <w:color w:val="auto"/>
          <w:sz w:val="28"/>
          <w:szCs w:val="28"/>
          <w:highlight w:val="none"/>
          <w:lang w:eastAsia="zh-CN"/>
        </w:rPr>
        <w:t>利用</w:t>
      </w:r>
      <w:r>
        <w:rPr>
          <w:rFonts w:hint="eastAsia" w:ascii="仿宋" w:hAnsi="仿宋" w:eastAsia="仿宋" w:cs="仿宋"/>
          <w:color w:val="auto"/>
          <w:sz w:val="28"/>
          <w:szCs w:val="28"/>
          <w:highlight w:val="none"/>
        </w:rPr>
        <w:t>。</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7、矿山地质环境恢复治理工程完成后应加强维护管理，确保发挥长期效益。</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8、对于矿山开发中出现的新问题应重新评估并妥善处置。</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9、本方案是依据现有的开发方案进行分析的，若开发利用方案发生变动，应修订或重新编制恢复治理方案。</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10、对设计单位、施工单位、监测单位、监理单位等，建议严格按照相关</w:t>
      </w:r>
      <w:r>
        <w:rPr>
          <w:rFonts w:hint="eastAsia" w:ascii="仿宋" w:hAnsi="仿宋" w:eastAsia="仿宋" w:cs="仿宋"/>
          <w:color w:val="auto"/>
          <w:sz w:val="28"/>
          <w:szCs w:val="28"/>
          <w:highlight w:val="none"/>
          <w:lang w:eastAsia="zh-CN"/>
        </w:rPr>
        <w:t>法律法规</w:t>
      </w:r>
      <w:r>
        <w:rPr>
          <w:rFonts w:hint="eastAsia" w:ascii="仿宋" w:hAnsi="仿宋" w:eastAsia="仿宋" w:cs="仿宋"/>
          <w:color w:val="auto"/>
          <w:sz w:val="28"/>
          <w:szCs w:val="28"/>
          <w:highlight w:val="none"/>
        </w:rPr>
        <w:t xml:space="preserve">、规范、规程等要求工作，保证本方案有效地实施。 </w:t>
      </w:r>
    </w:p>
    <w:p>
      <w:pPr>
        <w:spacing w:line="360" w:lineRule="auto"/>
        <w:ind w:firstLine="48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11、矿山环境影响是动态的，在实施矿山环境治理和土地复垦过程中对于资金的概算，依据各行业工程收费标准和当地人工费进行概算，根据现在市场物价和社会经济发展趋势，本方案估算资金为已知矿山环境治理和土地复垦部分，经济估算在</w:t>
      </w:r>
      <w:r>
        <w:rPr>
          <w:rFonts w:hint="eastAsia" w:ascii="仿宋" w:hAnsi="仿宋" w:eastAsia="仿宋" w:cs="仿宋"/>
          <w:color w:val="auto"/>
          <w:sz w:val="28"/>
          <w:szCs w:val="28"/>
          <w:highlight w:val="none"/>
          <w:lang w:eastAsia="zh-CN"/>
        </w:rPr>
        <w:t>近一段时间</w:t>
      </w:r>
      <w:r>
        <w:rPr>
          <w:rFonts w:hint="eastAsia" w:ascii="仿宋" w:hAnsi="仿宋" w:eastAsia="仿宋" w:cs="仿宋"/>
          <w:color w:val="auto"/>
          <w:sz w:val="28"/>
          <w:szCs w:val="28"/>
          <w:highlight w:val="none"/>
        </w:rPr>
        <w:t>内，暂时是合理的，治理期限以5年为一个阶段，5年后应对本方案进行重新修订。</w:t>
      </w:r>
    </w:p>
    <w:p>
      <w:pPr>
        <w:pStyle w:val="22"/>
        <w:ind w:firstLine="600"/>
        <w:rPr>
          <w:rFonts w:ascii="Times New Roman" w:hAnsi="Times New Roman" w:cs="Times New Roman"/>
          <w:color w:val="auto"/>
          <w:highlight w:val="none"/>
        </w:rPr>
        <w:sectPr>
          <w:pgSz w:w="11906" w:h="16838"/>
          <w:pgMar w:top="1440" w:right="1800" w:bottom="1440" w:left="1800" w:header="851" w:footer="992" w:gutter="0"/>
          <w:cols w:space="425" w:num="1"/>
          <w:docGrid w:type="lines" w:linePitch="312" w:charSpace="0"/>
        </w:sectPr>
      </w:pPr>
    </w:p>
    <w:p>
      <w:pPr>
        <w:spacing w:after="312" w:afterLines="100"/>
        <w:jc w:val="center"/>
        <w:rPr>
          <w:rFonts w:ascii="Times New Roman" w:hAnsi="Times New Roman" w:cs="Times New Roman"/>
          <w:b/>
          <w:bCs/>
          <w:color w:val="auto"/>
          <w:sz w:val="36"/>
          <w:szCs w:val="36"/>
          <w:highlight w:val="none"/>
        </w:rPr>
      </w:pPr>
      <w:r>
        <w:rPr>
          <w:rFonts w:ascii="Times New Roman" w:hAnsi="Times New Roman" w:cs="Times New Roman"/>
          <w:b/>
          <w:bCs/>
          <w:color w:val="auto"/>
          <w:sz w:val="36"/>
          <w:szCs w:val="36"/>
          <w:highlight w:val="none"/>
        </w:rPr>
        <w:t>附件目录</w:t>
      </w:r>
    </w:p>
    <w:p>
      <w:pPr>
        <w:ind w:firstLine="840" w:firstLineChars="3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附件1   方案编制委托函；</w:t>
      </w:r>
    </w:p>
    <w:p>
      <w:pPr>
        <w:ind w:firstLine="840" w:firstLineChars="3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附件2   编制单位</w:t>
      </w:r>
      <w:r>
        <w:rPr>
          <w:rFonts w:hint="eastAsia" w:ascii="Times New Roman" w:hAnsi="Times New Roman" w:cs="Times New Roman"/>
          <w:color w:val="auto"/>
          <w:sz w:val="28"/>
          <w:szCs w:val="28"/>
          <w:highlight w:val="none"/>
        </w:rPr>
        <w:t>营业执照</w:t>
      </w:r>
      <w:r>
        <w:rPr>
          <w:rFonts w:ascii="Times New Roman" w:hAnsi="Times New Roman" w:cs="Times New Roman"/>
          <w:color w:val="auto"/>
          <w:sz w:val="28"/>
          <w:szCs w:val="28"/>
          <w:highlight w:val="none"/>
        </w:rPr>
        <w:t>；</w:t>
      </w:r>
    </w:p>
    <w:p>
      <w:pPr>
        <w:ind w:firstLine="840" w:firstLineChars="3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 xml:space="preserve">附件3   </w:t>
      </w:r>
      <w:r>
        <w:rPr>
          <w:rFonts w:hint="eastAsia" w:ascii="Times New Roman" w:hAnsi="Times New Roman" w:cs="Times New Roman"/>
          <w:color w:val="auto"/>
          <w:sz w:val="28"/>
          <w:szCs w:val="28"/>
          <w:highlight w:val="none"/>
          <w:lang w:val="en-US" w:eastAsia="zh-CN"/>
        </w:rPr>
        <w:t>勘查成果审查意见</w:t>
      </w:r>
      <w:r>
        <w:rPr>
          <w:rFonts w:ascii="Times New Roman" w:hAnsi="Times New Roman" w:cs="Times New Roman"/>
          <w:color w:val="auto"/>
          <w:sz w:val="28"/>
          <w:szCs w:val="28"/>
          <w:highlight w:val="none"/>
        </w:rPr>
        <w:t>；</w:t>
      </w:r>
    </w:p>
    <w:p>
      <w:pPr>
        <w:ind w:firstLine="840" w:firstLineChars="300"/>
        <w:rPr>
          <w:rFonts w:ascii="Times New Roman" w:hAnsi="Times New Roman" w:cs="Times New Roman"/>
          <w:color w:val="auto"/>
          <w:sz w:val="28"/>
          <w:szCs w:val="28"/>
          <w:highlight w:val="none"/>
        </w:rPr>
      </w:pPr>
      <w:r>
        <w:rPr>
          <w:rFonts w:hint="eastAsia" w:ascii="Times New Roman" w:hAnsi="Times New Roman" w:cs="Times New Roman"/>
          <w:color w:val="auto"/>
          <w:sz w:val="28"/>
          <w:szCs w:val="28"/>
          <w:highlight w:val="none"/>
        </w:rPr>
        <w:t>附件</w:t>
      </w:r>
      <w:r>
        <w:rPr>
          <w:rFonts w:hint="eastAsia" w:ascii="Times New Roman" w:hAnsi="Times New Roman" w:cs="Times New Roman"/>
          <w:color w:val="auto"/>
          <w:sz w:val="28"/>
          <w:szCs w:val="28"/>
          <w:highlight w:val="none"/>
          <w:lang w:val="en-US" w:eastAsia="zh-CN"/>
        </w:rPr>
        <w:t>4</w:t>
      </w:r>
      <w:r>
        <w:rPr>
          <w:rFonts w:hint="eastAsia" w:ascii="Times New Roman" w:hAnsi="Times New Roman" w:cs="Times New Roman"/>
          <w:color w:val="auto"/>
          <w:sz w:val="28"/>
          <w:szCs w:val="28"/>
          <w:highlight w:val="none"/>
        </w:rPr>
        <w:t xml:space="preserve">   </w:t>
      </w:r>
      <w:r>
        <w:rPr>
          <w:rFonts w:hint="eastAsia" w:ascii="Times New Roman" w:hAnsi="Times New Roman" w:cs="Times New Roman"/>
          <w:color w:val="auto"/>
          <w:sz w:val="28"/>
          <w:szCs w:val="28"/>
          <w:highlight w:val="none"/>
          <w:lang w:val="en-US" w:eastAsia="zh-CN"/>
        </w:rPr>
        <w:t>开发利用方案审查意见</w:t>
      </w:r>
      <w:r>
        <w:rPr>
          <w:rFonts w:hint="eastAsia" w:ascii="Times New Roman" w:hAnsi="Times New Roman" w:cs="Times New Roman"/>
          <w:color w:val="auto"/>
          <w:sz w:val="28"/>
          <w:szCs w:val="28"/>
          <w:highlight w:val="none"/>
        </w:rPr>
        <w:t>；</w:t>
      </w:r>
    </w:p>
    <w:p>
      <w:pPr>
        <w:ind w:firstLine="840" w:firstLineChars="300"/>
        <w:rPr>
          <w:color w:val="auto"/>
          <w:highlight w:val="none"/>
        </w:rPr>
      </w:pPr>
      <w:r>
        <w:rPr>
          <w:rFonts w:hint="eastAsia" w:ascii="Times New Roman" w:hAnsi="Times New Roman" w:cs="Times New Roman"/>
          <w:color w:val="auto"/>
          <w:sz w:val="28"/>
          <w:szCs w:val="28"/>
          <w:highlight w:val="none"/>
        </w:rPr>
        <w:t>附件</w:t>
      </w:r>
      <w:r>
        <w:rPr>
          <w:rFonts w:hint="eastAsia" w:ascii="Times New Roman" w:hAnsi="Times New Roman" w:cs="Times New Roman"/>
          <w:color w:val="auto"/>
          <w:sz w:val="28"/>
          <w:szCs w:val="28"/>
          <w:highlight w:val="none"/>
          <w:lang w:val="en-US" w:eastAsia="zh-CN"/>
        </w:rPr>
        <w:t>5</w:t>
      </w:r>
      <w:r>
        <w:rPr>
          <w:rFonts w:hint="eastAsia" w:ascii="Times New Roman" w:hAnsi="Times New Roman" w:cs="Times New Roman"/>
          <w:color w:val="auto"/>
          <w:sz w:val="28"/>
          <w:szCs w:val="28"/>
          <w:highlight w:val="none"/>
        </w:rPr>
        <w:t xml:space="preserve">   </w:t>
      </w:r>
      <w:r>
        <w:rPr>
          <w:rFonts w:hint="eastAsia" w:ascii="Times New Roman" w:hAnsi="Times New Roman" w:cs="Times New Roman"/>
          <w:color w:val="auto"/>
          <w:sz w:val="28"/>
          <w:szCs w:val="28"/>
          <w:highlight w:val="none"/>
          <w:lang w:val="en-US" w:eastAsia="zh-CN"/>
        </w:rPr>
        <w:t>矿山企业营业执照</w:t>
      </w:r>
      <w:r>
        <w:rPr>
          <w:rFonts w:hint="eastAsia" w:ascii="Times New Roman" w:hAnsi="Times New Roman" w:cs="Times New Roman"/>
          <w:color w:val="auto"/>
          <w:sz w:val="28"/>
          <w:szCs w:val="28"/>
          <w:highlight w:val="none"/>
        </w:rPr>
        <w:t>；</w:t>
      </w:r>
    </w:p>
    <w:p>
      <w:pPr>
        <w:ind w:firstLine="840" w:firstLineChars="300"/>
        <w:rPr>
          <w:rFonts w:ascii="Times New Roman" w:hAnsi="Times New Roman" w:cs="Times New Roman"/>
          <w:color w:val="auto"/>
          <w:sz w:val="28"/>
          <w:szCs w:val="28"/>
          <w:highlight w:val="none"/>
        </w:rPr>
      </w:pPr>
      <w:r>
        <w:rPr>
          <w:rFonts w:hint="eastAsia" w:ascii="Times New Roman" w:hAnsi="Times New Roman" w:cs="Times New Roman"/>
          <w:color w:val="auto"/>
          <w:sz w:val="28"/>
          <w:szCs w:val="28"/>
          <w:highlight w:val="none"/>
        </w:rPr>
        <w:t>附件</w:t>
      </w:r>
      <w:r>
        <w:rPr>
          <w:rFonts w:hint="eastAsia" w:ascii="Times New Roman" w:hAnsi="Times New Roman" w:cs="Times New Roman"/>
          <w:color w:val="auto"/>
          <w:sz w:val="28"/>
          <w:szCs w:val="28"/>
          <w:highlight w:val="none"/>
          <w:lang w:val="en-US" w:eastAsia="zh-CN"/>
        </w:rPr>
        <w:t>6</w:t>
      </w:r>
      <w:r>
        <w:rPr>
          <w:rFonts w:hint="eastAsia" w:ascii="Times New Roman" w:hAnsi="Times New Roman" w:cs="Times New Roman"/>
          <w:color w:val="auto"/>
          <w:sz w:val="28"/>
          <w:szCs w:val="28"/>
          <w:highlight w:val="none"/>
        </w:rPr>
        <w:t xml:space="preserve">   </w:t>
      </w:r>
      <w:r>
        <w:rPr>
          <w:rFonts w:hint="eastAsia" w:ascii="Times New Roman" w:hAnsi="Times New Roman" w:cs="Times New Roman"/>
          <w:color w:val="auto"/>
          <w:sz w:val="28"/>
          <w:szCs w:val="28"/>
          <w:highlight w:val="none"/>
          <w:lang w:val="en-US" w:eastAsia="zh-CN"/>
        </w:rPr>
        <w:t>编制单位营业执照</w:t>
      </w:r>
      <w:r>
        <w:rPr>
          <w:rFonts w:hint="eastAsia" w:ascii="Times New Roman" w:hAnsi="Times New Roman" w:cs="Times New Roman"/>
          <w:color w:val="auto"/>
          <w:sz w:val="28"/>
          <w:szCs w:val="28"/>
          <w:highlight w:val="none"/>
        </w:rPr>
        <w:t>；</w:t>
      </w:r>
    </w:p>
    <w:p>
      <w:pPr>
        <w:ind w:firstLine="840" w:firstLineChars="300"/>
        <w:rPr>
          <w:rFonts w:ascii="Times New Roman" w:hAnsi="Times New Roman" w:cs="Times New Roman"/>
          <w:color w:val="auto"/>
          <w:sz w:val="28"/>
          <w:szCs w:val="28"/>
          <w:highlight w:val="none"/>
        </w:rPr>
      </w:pPr>
      <w:r>
        <w:rPr>
          <w:rFonts w:hint="eastAsia" w:ascii="Times New Roman" w:hAnsi="Times New Roman" w:cs="Times New Roman"/>
          <w:color w:val="auto"/>
          <w:sz w:val="28"/>
          <w:szCs w:val="28"/>
          <w:highlight w:val="none"/>
        </w:rPr>
        <w:t>附件</w:t>
      </w:r>
      <w:r>
        <w:rPr>
          <w:rFonts w:hint="eastAsia" w:ascii="Times New Roman" w:hAnsi="Times New Roman" w:cs="Times New Roman"/>
          <w:color w:val="auto"/>
          <w:sz w:val="28"/>
          <w:szCs w:val="28"/>
          <w:highlight w:val="none"/>
          <w:lang w:val="en-US" w:eastAsia="zh-CN"/>
        </w:rPr>
        <w:t>7</w:t>
      </w:r>
      <w:r>
        <w:rPr>
          <w:rFonts w:hint="eastAsia" w:ascii="Times New Roman" w:hAnsi="Times New Roman" w:cs="Times New Roman"/>
          <w:color w:val="auto"/>
          <w:sz w:val="28"/>
          <w:szCs w:val="28"/>
          <w:highlight w:val="none"/>
        </w:rPr>
        <w:t xml:space="preserve">   </w:t>
      </w:r>
      <w:r>
        <w:rPr>
          <w:rFonts w:hint="eastAsia" w:ascii="Times New Roman" w:hAnsi="Times New Roman" w:cs="Times New Roman"/>
          <w:color w:val="auto"/>
          <w:sz w:val="28"/>
          <w:szCs w:val="28"/>
          <w:highlight w:val="none"/>
          <w:lang w:val="en-US" w:eastAsia="zh-CN"/>
        </w:rPr>
        <w:t>测量、试验等相关报告</w:t>
      </w:r>
      <w:r>
        <w:rPr>
          <w:rFonts w:hint="eastAsia" w:ascii="Times New Roman" w:hAnsi="Times New Roman" w:cs="Times New Roman"/>
          <w:color w:val="auto"/>
          <w:sz w:val="28"/>
          <w:szCs w:val="28"/>
          <w:highlight w:val="none"/>
        </w:rPr>
        <w:t>；</w:t>
      </w:r>
    </w:p>
    <w:p>
      <w:pPr>
        <w:ind w:firstLine="840" w:firstLineChars="300"/>
        <w:rPr>
          <w:rFonts w:ascii="Times New Roman" w:hAnsi="Times New Roman" w:cs="Times New Roman"/>
          <w:color w:val="auto"/>
          <w:sz w:val="28"/>
          <w:szCs w:val="28"/>
          <w:highlight w:val="none"/>
        </w:rPr>
      </w:pPr>
    </w:p>
    <w:p>
      <w:pPr>
        <w:pStyle w:val="22"/>
        <w:ind w:firstLine="0" w:firstLineChars="0"/>
        <w:rPr>
          <w:rFonts w:ascii="Times New Roman" w:hAnsi="Times New Roman" w:cs="Times New Roman"/>
          <w:color w:val="auto"/>
          <w:highlight w:val="none"/>
        </w:rPr>
      </w:pPr>
    </w:p>
    <w:p>
      <w:pPr>
        <w:rPr>
          <w:rFonts w:ascii="Times New Roman" w:hAnsi="Times New Roman" w:eastAsia="宋体" w:cs="Times New Roman"/>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楷体_GB2312">
    <w:altName w:val="方正楷体_GBK"/>
    <w:panose1 w:val="02010609030101010101"/>
    <w:charset w:val="86"/>
    <w:family w:val="modern"/>
    <w:pitch w:val="default"/>
    <w:sig w:usb0="00000000" w:usb1="00000000" w:usb2="0000001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MingLiU">
    <w:altName w:val="方正书宋_GBK"/>
    <w:panose1 w:val="02010609000101010101"/>
    <w:charset w:val="88"/>
    <w:family w:val="modern"/>
    <w:pitch w:val="default"/>
    <w:sig w:usb0="00000000" w:usb1="00000000" w:usb2="00000016" w:usb3="00000000" w:csb0="00100001" w:csb1="00000000"/>
  </w:font>
  <w:font w:name="David">
    <w:altName w:val="DejaVu Sans"/>
    <w:panose1 w:val="00000000000000000000"/>
    <w:charset w:val="B1"/>
    <w:family w:val="swiss"/>
    <w:pitch w:val="default"/>
    <w:sig w:usb0="00000000" w:usb1="00000000" w:usb2="00000000" w:usb3="00000000" w:csb0="00000021" w:csb1="00000000"/>
  </w:font>
  <w:font w:name="Tahoma">
    <w:altName w:val="DejaVu Sans"/>
    <w:panose1 w:val="020B0604030504040204"/>
    <w:charset w:val="00"/>
    <w:family w:val="swiss"/>
    <w:pitch w:val="default"/>
    <w:sig w:usb0="00000000" w:usb1="00000000" w:usb2="00000029" w:usb3="00000000" w:csb0="200101FF" w:csb1="20280000"/>
  </w:font>
  <w:font w:name="仿宋">
    <w:altName w:val="方正仿宋_GBK"/>
    <w:panose1 w:val="02010609060101010101"/>
    <w:charset w:val="86"/>
    <w:family w:val="modern"/>
    <w:pitch w:val="default"/>
    <w:sig w:usb0="00000000" w:usb1="00000000" w:usb2="00000016" w:usb3="00000000" w:csb0="00040001" w:csb1="00000000"/>
  </w:font>
  <w:font w:name="Microsoft JhengHei">
    <w:altName w:val="方正书宋_GBK"/>
    <w:panose1 w:val="020B0604030504040204"/>
    <w:charset w:val="88"/>
    <w:family w:val="swiss"/>
    <w:pitch w:val="default"/>
    <w:sig w:usb0="00000000" w:usb1="00000000" w:usb2="00000016" w:usb3="00000000" w:csb0="00100009" w:csb1="00000000"/>
  </w:font>
  <w:font w:name="等线">
    <w:altName w:val="华文仿宋"/>
    <w:panose1 w:val="02010600030101010101"/>
    <w:charset w:val="86"/>
    <w:family w:val="auto"/>
    <w:pitch w:val="default"/>
    <w:sig w:usb0="00000000" w:usb1="00000000" w:usb2="00000016" w:usb3="00000000" w:csb0="0004000F" w:csb1="00000000"/>
  </w:font>
  <w:font w:name="新宋体">
    <w:altName w:val="方正书宋_GBK"/>
    <w:panose1 w:val="02010609030101010101"/>
    <w:charset w:val="86"/>
    <w:family w:val="modern"/>
    <w:pitch w:val="default"/>
    <w:sig w:usb0="00000000" w:usb1="00000000" w:usb2="0000000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3990" cy="139700"/>
              <wp:effectExtent l="0" t="0" r="10160" b="6350"/>
              <wp:wrapNone/>
              <wp:docPr id="42" name="文本框 4"/>
              <wp:cNvGraphicFramePr/>
              <a:graphic xmlns:a="http://schemas.openxmlformats.org/drawingml/2006/main">
                <a:graphicData uri="http://schemas.microsoft.com/office/word/2010/wordprocessingShape">
                  <wps:wsp>
                    <wps:cNvSpPr txBox="true"/>
                    <wps:spPr>
                      <a:xfrm>
                        <a:off x="0" y="0"/>
                        <a:ext cx="173990" cy="139700"/>
                      </a:xfrm>
                      <a:prstGeom prst="rect">
                        <a:avLst/>
                      </a:prstGeom>
                      <a:noFill/>
                      <a:ln w="6350">
                        <a:noFill/>
                      </a:ln>
                    </wps:spPr>
                    <wps:txbx>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130</w:t>
                          </w:r>
                          <w:r>
                            <w:rPr>
                              <w:rFonts w:hint="eastAsia"/>
                              <w:sz w:val="1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4" o:spid="_x0000_s1026" o:spt="202" type="#_x0000_t202" style="position:absolute;left:0pt;margin-top:0pt;height:11pt;width:13.7pt;mso-position-horizontal:center;mso-position-horizontal-relative:margin;mso-wrap-style:none;z-index:251659264;mso-width-relative:page;mso-height-relative:page;" filled="f" stroked="f" coordsize="21600,21600" o:gfxdata="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Eh8lbRAAAAAwEAAA8AAAAAAAAAAQAgAAAAOAAAAGRycy9kb3ducmV2LnhtbFBLAQIUABQA&#10;AAAIAIdO4kAv11hWGgIAABgEAAAOAAAAAAAAAAEAIAAAADYBAABkcnMvZTJvRG9jLnhtbFBLBQYA&#10;AAAABgAGAFkBAADCBQAAAAA=&#10;">
              <v:fill on="f" focussize="0,0"/>
              <v:stroke on="f" weight="0.5pt"/>
              <v:imagedata o:title=""/>
              <o:lock v:ext="edit" aspectratio="f"/>
              <v:textbox inset="0mm,0mm,0mm,0mm" style="mso-fit-shape-to-text:t;">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130</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5A64F8"/>
    <w:multiLevelType w:val="singleLevel"/>
    <w:tmpl w:val="AC5A64F8"/>
    <w:lvl w:ilvl="0" w:tentative="0">
      <w:start w:val="1"/>
      <w:numFmt w:val="decimal"/>
      <w:pStyle w:val="62"/>
      <w:suff w:val="nothing"/>
      <w:lvlText w:val="（%1）"/>
      <w:lvlJc w:val="left"/>
      <w:pPr>
        <w:tabs>
          <w:tab w:val="left" w:pos="0"/>
        </w:tabs>
        <w:ind w:left="0" w:firstLine="0"/>
      </w:pPr>
      <w:rPr>
        <w:rFonts w:hint="default" w:ascii="宋体" w:hAnsi="宋体" w:eastAsia="宋体" w:cs="宋体"/>
      </w:rPr>
    </w:lvl>
  </w:abstractNum>
  <w:abstractNum w:abstractNumId="1">
    <w:nsid w:val="D572D9FF"/>
    <w:multiLevelType w:val="singleLevel"/>
    <w:tmpl w:val="D572D9FF"/>
    <w:lvl w:ilvl="0" w:tentative="0">
      <w:start w:val="3"/>
      <w:numFmt w:val="chineseCounting"/>
      <w:suff w:val="nothing"/>
      <w:lvlText w:val="%1、"/>
      <w:lvlJc w:val="left"/>
      <w:rPr>
        <w:rFonts w:hint="eastAsia"/>
      </w:rPr>
    </w:lvl>
  </w:abstractNum>
  <w:abstractNum w:abstractNumId="2">
    <w:nsid w:val="F5E6F1E6"/>
    <w:multiLevelType w:val="singleLevel"/>
    <w:tmpl w:val="F5E6F1E6"/>
    <w:lvl w:ilvl="0" w:tentative="0">
      <w:start w:val="2"/>
      <w:numFmt w:val="chineseCounting"/>
      <w:suff w:val="nothing"/>
      <w:lvlText w:val="%1、"/>
      <w:lvlJc w:val="left"/>
      <w:rPr>
        <w:rFonts w:hint="eastAsia"/>
      </w:rPr>
    </w:lvl>
  </w:abstractNum>
  <w:abstractNum w:abstractNumId="3">
    <w:nsid w:val="181BD5CF"/>
    <w:multiLevelType w:val="multilevel"/>
    <w:tmpl w:val="181BD5CF"/>
    <w:lvl w:ilvl="0" w:tentative="0">
      <w:start w:val="2"/>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4">
    <w:nsid w:val="18B23223"/>
    <w:multiLevelType w:val="singleLevel"/>
    <w:tmpl w:val="18B23223"/>
    <w:lvl w:ilvl="0" w:tentative="0">
      <w:start w:val="7"/>
      <w:numFmt w:val="decimal"/>
      <w:suff w:val="space"/>
      <w:lvlText w:val="第%1章"/>
      <w:lvlJc w:val="left"/>
    </w:lvl>
  </w:abstractNum>
  <w:abstractNum w:abstractNumId="5">
    <w:nsid w:val="41F64F15"/>
    <w:multiLevelType w:val="singleLevel"/>
    <w:tmpl w:val="41F64F15"/>
    <w:lvl w:ilvl="0" w:tentative="0">
      <w:start w:val="2"/>
      <w:numFmt w:val="decimal"/>
      <w:suff w:val="nothing"/>
      <w:lvlText w:val="%1、"/>
      <w:lvlJc w:val="left"/>
    </w:lvl>
  </w:abstractNum>
  <w:abstractNum w:abstractNumId="6">
    <w:nsid w:val="5A46E7CC"/>
    <w:multiLevelType w:val="singleLevel"/>
    <w:tmpl w:val="5A46E7CC"/>
    <w:lvl w:ilvl="0" w:tentative="0">
      <w:start w:val="4"/>
      <w:numFmt w:val="decimal"/>
      <w:suff w:val="nothing"/>
      <w:lvlText w:val="%1、"/>
      <w:lvlJc w:val="left"/>
      <w:pPr>
        <w:ind w:left="273"/>
      </w:pPr>
    </w:lvl>
  </w:abstractNum>
  <w:num w:numId="1">
    <w:abstractNumId w:val="0"/>
  </w:num>
  <w:num w:numId="2">
    <w:abstractNumId w:val="3"/>
  </w:num>
  <w:num w:numId="3">
    <w:abstractNumId w:val="5"/>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false"/>
  <w:bordersDoNotSurroundFooter w:val="false"/>
  <w:hideSpellingErrors/>
  <w:trackRevisions w:val="tru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jODQ2ZGRhMmQ4ZDI2N2U3MjNiYjgxNmQxYmE0MWEifQ=="/>
  </w:docVars>
  <w:rsids>
    <w:rsidRoot w:val="00172A27"/>
    <w:rsid w:val="00026EBD"/>
    <w:rsid w:val="0003055D"/>
    <w:rsid w:val="00032550"/>
    <w:rsid w:val="000E1BB6"/>
    <w:rsid w:val="000E74D1"/>
    <w:rsid w:val="001645C6"/>
    <w:rsid w:val="00166C83"/>
    <w:rsid w:val="00172A27"/>
    <w:rsid w:val="0017401F"/>
    <w:rsid w:val="00191313"/>
    <w:rsid w:val="001C053C"/>
    <w:rsid w:val="001F1371"/>
    <w:rsid w:val="001F69C8"/>
    <w:rsid w:val="00221527"/>
    <w:rsid w:val="002453C8"/>
    <w:rsid w:val="00252E91"/>
    <w:rsid w:val="002612BE"/>
    <w:rsid w:val="002753D1"/>
    <w:rsid w:val="0027568E"/>
    <w:rsid w:val="002958CE"/>
    <w:rsid w:val="002C612E"/>
    <w:rsid w:val="00301002"/>
    <w:rsid w:val="00336878"/>
    <w:rsid w:val="003376E3"/>
    <w:rsid w:val="003519B5"/>
    <w:rsid w:val="00374CBC"/>
    <w:rsid w:val="00380F67"/>
    <w:rsid w:val="003B3319"/>
    <w:rsid w:val="003C532E"/>
    <w:rsid w:val="00403CFD"/>
    <w:rsid w:val="004200E9"/>
    <w:rsid w:val="0047050F"/>
    <w:rsid w:val="00484774"/>
    <w:rsid w:val="004A60D5"/>
    <w:rsid w:val="004A7E4C"/>
    <w:rsid w:val="004D2C0C"/>
    <w:rsid w:val="00507FDE"/>
    <w:rsid w:val="00535862"/>
    <w:rsid w:val="00541BD7"/>
    <w:rsid w:val="00560740"/>
    <w:rsid w:val="00613961"/>
    <w:rsid w:val="00615CD0"/>
    <w:rsid w:val="00655249"/>
    <w:rsid w:val="00670702"/>
    <w:rsid w:val="00694589"/>
    <w:rsid w:val="006961CF"/>
    <w:rsid w:val="006A368E"/>
    <w:rsid w:val="006C4440"/>
    <w:rsid w:val="007723FE"/>
    <w:rsid w:val="007D64CE"/>
    <w:rsid w:val="007E2FC1"/>
    <w:rsid w:val="00850375"/>
    <w:rsid w:val="00872DED"/>
    <w:rsid w:val="008D3B79"/>
    <w:rsid w:val="008D751C"/>
    <w:rsid w:val="008F732F"/>
    <w:rsid w:val="009008DC"/>
    <w:rsid w:val="00932872"/>
    <w:rsid w:val="00964E3B"/>
    <w:rsid w:val="00990603"/>
    <w:rsid w:val="009D0AEB"/>
    <w:rsid w:val="009D2DBB"/>
    <w:rsid w:val="00A025C3"/>
    <w:rsid w:val="00A422CF"/>
    <w:rsid w:val="00A46EA3"/>
    <w:rsid w:val="00A5089D"/>
    <w:rsid w:val="00A60526"/>
    <w:rsid w:val="00A87497"/>
    <w:rsid w:val="00AA6531"/>
    <w:rsid w:val="00AD5DE3"/>
    <w:rsid w:val="00AF0BF2"/>
    <w:rsid w:val="00B36B46"/>
    <w:rsid w:val="00BA228C"/>
    <w:rsid w:val="00BA6819"/>
    <w:rsid w:val="00BD0C6F"/>
    <w:rsid w:val="00C21FA3"/>
    <w:rsid w:val="00C35711"/>
    <w:rsid w:val="00C46F22"/>
    <w:rsid w:val="00C56034"/>
    <w:rsid w:val="00C60074"/>
    <w:rsid w:val="00CD2E41"/>
    <w:rsid w:val="00CF0CAA"/>
    <w:rsid w:val="00D171A7"/>
    <w:rsid w:val="00D40766"/>
    <w:rsid w:val="00D553C2"/>
    <w:rsid w:val="00D5688F"/>
    <w:rsid w:val="00D67386"/>
    <w:rsid w:val="00D76739"/>
    <w:rsid w:val="00D841FA"/>
    <w:rsid w:val="00DB40EA"/>
    <w:rsid w:val="00E0155E"/>
    <w:rsid w:val="00E210DE"/>
    <w:rsid w:val="00E34945"/>
    <w:rsid w:val="00E47A71"/>
    <w:rsid w:val="00E8267B"/>
    <w:rsid w:val="00ED215C"/>
    <w:rsid w:val="00EE3385"/>
    <w:rsid w:val="00EF3AA4"/>
    <w:rsid w:val="00F04DA3"/>
    <w:rsid w:val="00F1191B"/>
    <w:rsid w:val="00F32EF6"/>
    <w:rsid w:val="00F34DD5"/>
    <w:rsid w:val="00F46D77"/>
    <w:rsid w:val="00F706FE"/>
    <w:rsid w:val="00FC0060"/>
    <w:rsid w:val="01153701"/>
    <w:rsid w:val="011D2E90"/>
    <w:rsid w:val="013701DC"/>
    <w:rsid w:val="016E2FF1"/>
    <w:rsid w:val="01976B8F"/>
    <w:rsid w:val="019D4882"/>
    <w:rsid w:val="01BB6C22"/>
    <w:rsid w:val="01CA1AE6"/>
    <w:rsid w:val="01D23F28"/>
    <w:rsid w:val="01D66D9F"/>
    <w:rsid w:val="01E35F07"/>
    <w:rsid w:val="020E74AB"/>
    <w:rsid w:val="021402BF"/>
    <w:rsid w:val="021E590F"/>
    <w:rsid w:val="025F6401"/>
    <w:rsid w:val="028C3AA2"/>
    <w:rsid w:val="028F5D1A"/>
    <w:rsid w:val="029109F5"/>
    <w:rsid w:val="029F0BDC"/>
    <w:rsid w:val="02B14B6E"/>
    <w:rsid w:val="02E334E5"/>
    <w:rsid w:val="02F243DF"/>
    <w:rsid w:val="03347278"/>
    <w:rsid w:val="03D9356B"/>
    <w:rsid w:val="040B7160"/>
    <w:rsid w:val="041E536A"/>
    <w:rsid w:val="04225FF4"/>
    <w:rsid w:val="04802032"/>
    <w:rsid w:val="04C83F78"/>
    <w:rsid w:val="04CB1FAA"/>
    <w:rsid w:val="04DA26C6"/>
    <w:rsid w:val="04FB3579"/>
    <w:rsid w:val="054C2543"/>
    <w:rsid w:val="058C508B"/>
    <w:rsid w:val="059351D2"/>
    <w:rsid w:val="059F02A1"/>
    <w:rsid w:val="05A827C4"/>
    <w:rsid w:val="05EA778E"/>
    <w:rsid w:val="05EE70CA"/>
    <w:rsid w:val="05FF43F9"/>
    <w:rsid w:val="06256BDB"/>
    <w:rsid w:val="062652AA"/>
    <w:rsid w:val="06790420"/>
    <w:rsid w:val="06A40A41"/>
    <w:rsid w:val="06CB0B90"/>
    <w:rsid w:val="07080FDE"/>
    <w:rsid w:val="07756731"/>
    <w:rsid w:val="07A451DB"/>
    <w:rsid w:val="07AE4F5B"/>
    <w:rsid w:val="07B454D5"/>
    <w:rsid w:val="07B64A97"/>
    <w:rsid w:val="07E44E65"/>
    <w:rsid w:val="07FF7612"/>
    <w:rsid w:val="0819173D"/>
    <w:rsid w:val="081A2C12"/>
    <w:rsid w:val="09347949"/>
    <w:rsid w:val="0957660E"/>
    <w:rsid w:val="098907CC"/>
    <w:rsid w:val="09C853BC"/>
    <w:rsid w:val="0A0705B9"/>
    <w:rsid w:val="0A1D0788"/>
    <w:rsid w:val="0A301362"/>
    <w:rsid w:val="0A891FB9"/>
    <w:rsid w:val="0ABE3FDE"/>
    <w:rsid w:val="0AC4542D"/>
    <w:rsid w:val="0B3E4DA1"/>
    <w:rsid w:val="0B472137"/>
    <w:rsid w:val="0B6F7416"/>
    <w:rsid w:val="0B7A03C4"/>
    <w:rsid w:val="0B97575F"/>
    <w:rsid w:val="0C0614B5"/>
    <w:rsid w:val="0C0B00B8"/>
    <w:rsid w:val="0C6A218E"/>
    <w:rsid w:val="0C7766EE"/>
    <w:rsid w:val="0C8F7F3B"/>
    <w:rsid w:val="0C9747A6"/>
    <w:rsid w:val="0CAC20C4"/>
    <w:rsid w:val="0CC9374C"/>
    <w:rsid w:val="0CD72093"/>
    <w:rsid w:val="0CD81BE1"/>
    <w:rsid w:val="0CDF4A88"/>
    <w:rsid w:val="0D0F43E8"/>
    <w:rsid w:val="0D2F43EA"/>
    <w:rsid w:val="0D62131D"/>
    <w:rsid w:val="0D9E7BBF"/>
    <w:rsid w:val="0DAD24FD"/>
    <w:rsid w:val="0DC207FF"/>
    <w:rsid w:val="0E324686"/>
    <w:rsid w:val="0E5A4271"/>
    <w:rsid w:val="0E75310C"/>
    <w:rsid w:val="0EA432EF"/>
    <w:rsid w:val="0EB13868"/>
    <w:rsid w:val="0EC71F0D"/>
    <w:rsid w:val="0EDC5CE2"/>
    <w:rsid w:val="0F0B21FF"/>
    <w:rsid w:val="0F0D0CCE"/>
    <w:rsid w:val="0F46523E"/>
    <w:rsid w:val="0F817EA6"/>
    <w:rsid w:val="0FCA1E5B"/>
    <w:rsid w:val="0FD825B7"/>
    <w:rsid w:val="0FDD38C7"/>
    <w:rsid w:val="0FEA09AC"/>
    <w:rsid w:val="0FEF3AD3"/>
    <w:rsid w:val="1002449F"/>
    <w:rsid w:val="100859D0"/>
    <w:rsid w:val="101740AC"/>
    <w:rsid w:val="101A2BCD"/>
    <w:rsid w:val="10511B26"/>
    <w:rsid w:val="105668F7"/>
    <w:rsid w:val="107D489B"/>
    <w:rsid w:val="10BE5E4A"/>
    <w:rsid w:val="10C30090"/>
    <w:rsid w:val="11132D8F"/>
    <w:rsid w:val="1186357B"/>
    <w:rsid w:val="119D6C2A"/>
    <w:rsid w:val="11CB46E9"/>
    <w:rsid w:val="12320320"/>
    <w:rsid w:val="12494B65"/>
    <w:rsid w:val="12B37893"/>
    <w:rsid w:val="134C6E65"/>
    <w:rsid w:val="13580A0A"/>
    <w:rsid w:val="135F2A57"/>
    <w:rsid w:val="136C7547"/>
    <w:rsid w:val="136F3927"/>
    <w:rsid w:val="138F0B1F"/>
    <w:rsid w:val="13B16E67"/>
    <w:rsid w:val="13C149AF"/>
    <w:rsid w:val="14757D15"/>
    <w:rsid w:val="147D26C1"/>
    <w:rsid w:val="15262561"/>
    <w:rsid w:val="15506B23"/>
    <w:rsid w:val="157D3A60"/>
    <w:rsid w:val="15C27E29"/>
    <w:rsid w:val="15D827AE"/>
    <w:rsid w:val="161720D9"/>
    <w:rsid w:val="16210B07"/>
    <w:rsid w:val="164C726B"/>
    <w:rsid w:val="169C4B4D"/>
    <w:rsid w:val="16C60CFC"/>
    <w:rsid w:val="16D0337F"/>
    <w:rsid w:val="16E53799"/>
    <w:rsid w:val="170107DB"/>
    <w:rsid w:val="17372C89"/>
    <w:rsid w:val="176A6C50"/>
    <w:rsid w:val="176C7287"/>
    <w:rsid w:val="178845AC"/>
    <w:rsid w:val="17BA0860"/>
    <w:rsid w:val="17C90AA4"/>
    <w:rsid w:val="17DE2BF5"/>
    <w:rsid w:val="17E40E27"/>
    <w:rsid w:val="1811681A"/>
    <w:rsid w:val="18197B73"/>
    <w:rsid w:val="18602A8A"/>
    <w:rsid w:val="188565F7"/>
    <w:rsid w:val="188F0B02"/>
    <w:rsid w:val="189B4CE2"/>
    <w:rsid w:val="18AB2387"/>
    <w:rsid w:val="18E224B7"/>
    <w:rsid w:val="19194C21"/>
    <w:rsid w:val="194A78B0"/>
    <w:rsid w:val="198D4DBD"/>
    <w:rsid w:val="19932519"/>
    <w:rsid w:val="19A7588B"/>
    <w:rsid w:val="19C27C87"/>
    <w:rsid w:val="19EE12CB"/>
    <w:rsid w:val="19EE76B3"/>
    <w:rsid w:val="19FB015D"/>
    <w:rsid w:val="1A02295D"/>
    <w:rsid w:val="1A1C44A6"/>
    <w:rsid w:val="1A7A21D4"/>
    <w:rsid w:val="1AAC1FB7"/>
    <w:rsid w:val="1AAC5182"/>
    <w:rsid w:val="1AC06FDF"/>
    <w:rsid w:val="1ACB1F62"/>
    <w:rsid w:val="1AE34BE4"/>
    <w:rsid w:val="1B0D32C9"/>
    <w:rsid w:val="1B133F19"/>
    <w:rsid w:val="1B2B737F"/>
    <w:rsid w:val="1B4D7039"/>
    <w:rsid w:val="1B801B09"/>
    <w:rsid w:val="1C14208F"/>
    <w:rsid w:val="1C4050AC"/>
    <w:rsid w:val="1C4A1ECF"/>
    <w:rsid w:val="1C6713A3"/>
    <w:rsid w:val="1C68609E"/>
    <w:rsid w:val="1C6B5FFE"/>
    <w:rsid w:val="1CF716BE"/>
    <w:rsid w:val="1D0132E5"/>
    <w:rsid w:val="1D2D5631"/>
    <w:rsid w:val="1DE73BA2"/>
    <w:rsid w:val="1DF61EC7"/>
    <w:rsid w:val="1E4622A4"/>
    <w:rsid w:val="1E831280"/>
    <w:rsid w:val="1E9D7B6F"/>
    <w:rsid w:val="1EF6655C"/>
    <w:rsid w:val="1F634658"/>
    <w:rsid w:val="1F6D1FBB"/>
    <w:rsid w:val="1F775A5F"/>
    <w:rsid w:val="1F7C63B0"/>
    <w:rsid w:val="1F935803"/>
    <w:rsid w:val="1F971487"/>
    <w:rsid w:val="1FAD0CAB"/>
    <w:rsid w:val="1FC84184"/>
    <w:rsid w:val="1FE971EF"/>
    <w:rsid w:val="1FF561AE"/>
    <w:rsid w:val="20FA2F6F"/>
    <w:rsid w:val="22072440"/>
    <w:rsid w:val="22163E22"/>
    <w:rsid w:val="22415BBC"/>
    <w:rsid w:val="2295665B"/>
    <w:rsid w:val="22DA7328"/>
    <w:rsid w:val="22E114B9"/>
    <w:rsid w:val="22E86870"/>
    <w:rsid w:val="23915E48"/>
    <w:rsid w:val="23AB2DEC"/>
    <w:rsid w:val="23AD62A9"/>
    <w:rsid w:val="23C578EB"/>
    <w:rsid w:val="24044C11"/>
    <w:rsid w:val="24101445"/>
    <w:rsid w:val="241A54C2"/>
    <w:rsid w:val="241F1606"/>
    <w:rsid w:val="24212F0F"/>
    <w:rsid w:val="2453509B"/>
    <w:rsid w:val="246D6C5B"/>
    <w:rsid w:val="24855B54"/>
    <w:rsid w:val="24A856A9"/>
    <w:rsid w:val="24B32360"/>
    <w:rsid w:val="24F33047"/>
    <w:rsid w:val="250C4609"/>
    <w:rsid w:val="25221683"/>
    <w:rsid w:val="2557798A"/>
    <w:rsid w:val="2568534F"/>
    <w:rsid w:val="25924B91"/>
    <w:rsid w:val="25BF0E4C"/>
    <w:rsid w:val="25BF5294"/>
    <w:rsid w:val="25C40AFC"/>
    <w:rsid w:val="25CE64B1"/>
    <w:rsid w:val="25EC0FB4"/>
    <w:rsid w:val="25F53236"/>
    <w:rsid w:val="25FE62CF"/>
    <w:rsid w:val="263F1B7C"/>
    <w:rsid w:val="2644028C"/>
    <w:rsid w:val="268005CC"/>
    <w:rsid w:val="268566EC"/>
    <w:rsid w:val="269E35F2"/>
    <w:rsid w:val="26A71D2F"/>
    <w:rsid w:val="26F4129F"/>
    <w:rsid w:val="26F61189"/>
    <w:rsid w:val="26FB3A20"/>
    <w:rsid w:val="270C6D7F"/>
    <w:rsid w:val="27333D5A"/>
    <w:rsid w:val="279F1EDC"/>
    <w:rsid w:val="27B81A58"/>
    <w:rsid w:val="27C93569"/>
    <w:rsid w:val="27FF0478"/>
    <w:rsid w:val="281178FD"/>
    <w:rsid w:val="28130C37"/>
    <w:rsid w:val="281C2CE4"/>
    <w:rsid w:val="284748C5"/>
    <w:rsid w:val="28C85C54"/>
    <w:rsid w:val="28FB46EB"/>
    <w:rsid w:val="29110E28"/>
    <w:rsid w:val="291D231F"/>
    <w:rsid w:val="294702D7"/>
    <w:rsid w:val="294A756A"/>
    <w:rsid w:val="294F4B81"/>
    <w:rsid w:val="298760C9"/>
    <w:rsid w:val="29A8215A"/>
    <w:rsid w:val="29C12FA9"/>
    <w:rsid w:val="2A1F4AA0"/>
    <w:rsid w:val="2A874E88"/>
    <w:rsid w:val="2A9D32FB"/>
    <w:rsid w:val="2AA07F73"/>
    <w:rsid w:val="2AAE2812"/>
    <w:rsid w:val="2AC51316"/>
    <w:rsid w:val="2AE95EED"/>
    <w:rsid w:val="2AF50ACD"/>
    <w:rsid w:val="2B005000"/>
    <w:rsid w:val="2B170F0A"/>
    <w:rsid w:val="2B46577A"/>
    <w:rsid w:val="2B60606F"/>
    <w:rsid w:val="2B7C361D"/>
    <w:rsid w:val="2B9733C5"/>
    <w:rsid w:val="2BCE551F"/>
    <w:rsid w:val="2BE94E19"/>
    <w:rsid w:val="2C086DA9"/>
    <w:rsid w:val="2C1160C4"/>
    <w:rsid w:val="2C231FBB"/>
    <w:rsid w:val="2C282E66"/>
    <w:rsid w:val="2C572A2B"/>
    <w:rsid w:val="2C6C2FF6"/>
    <w:rsid w:val="2C7D4FE4"/>
    <w:rsid w:val="2CBF0E56"/>
    <w:rsid w:val="2CC0201B"/>
    <w:rsid w:val="2CE025C4"/>
    <w:rsid w:val="2CF241A1"/>
    <w:rsid w:val="2D3E0715"/>
    <w:rsid w:val="2D487FB9"/>
    <w:rsid w:val="2D7A2D69"/>
    <w:rsid w:val="2D89237D"/>
    <w:rsid w:val="2DB65F64"/>
    <w:rsid w:val="2DE01337"/>
    <w:rsid w:val="2DE532E3"/>
    <w:rsid w:val="2DFE2564"/>
    <w:rsid w:val="2E112405"/>
    <w:rsid w:val="2E1143AB"/>
    <w:rsid w:val="2E2D73B4"/>
    <w:rsid w:val="2E5E0503"/>
    <w:rsid w:val="2EA43717"/>
    <w:rsid w:val="2ECE2C36"/>
    <w:rsid w:val="2ED21719"/>
    <w:rsid w:val="2EDC756E"/>
    <w:rsid w:val="2F006030"/>
    <w:rsid w:val="2F1B69B6"/>
    <w:rsid w:val="2F1E127D"/>
    <w:rsid w:val="2F387AD6"/>
    <w:rsid w:val="2F4B7670"/>
    <w:rsid w:val="2F880D2A"/>
    <w:rsid w:val="2F8B662B"/>
    <w:rsid w:val="2FAB1B73"/>
    <w:rsid w:val="2FCD0534"/>
    <w:rsid w:val="2FDE2FB7"/>
    <w:rsid w:val="2FED2DDC"/>
    <w:rsid w:val="3002031B"/>
    <w:rsid w:val="30301E9F"/>
    <w:rsid w:val="30522810"/>
    <w:rsid w:val="30821B89"/>
    <w:rsid w:val="30B2504B"/>
    <w:rsid w:val="30E90A64"/>
    <w:rsid w:val="30FB0577"/>
    <w:rsid w:val="317415B8"/>
    <w:rsid w:val="31E66851"/>
    <w:rsid w:val="322F3C4C"/>
    <w:rsid w:val="3287118C"/>
    <w:rsid w:val="32A12CB2"/>
    <w:rsid w:val="32AF7304"/>
    <w:rsid w:val="3301155F"/>
    <w:rsid w:val="332E3B0D"/>
    <w:rsid w:val="33327BDA"/>
    <w:rsid w:val="33797461"/>
    <w:rsid w:val="33E32A95"/>
    <w:rsid w:val="342D2AF5"/>
    <w:rsid w:val="34603266"/>
    <w:rsid w:val="346A04B9"/>
    <w:rsid w:val="346C7CD4"/>
    <w:rsid w:val="34BE74FA"/>
    <w:rsid w:val="34D20319"/>
    <w:rsid w:val="34D60EEB"/>
    <w:rsid w:val="353024CC"/>
    <w:rsid w:val="354C01C6"/>
    <w:rsid w:val="356A2329"/>
    <w:rsid w:val="356B08F4"/>
    <w:rsid w:val="359304E6"/>
    <w:rsid w:val="35C52DDB"/>
    <w:rsid w:val="35CB1490"/>
    <w:rsid w:val="36415DE5"/>
    <w:rsid w:val="36665C0D"/>
    <w:rsid w:val="36A17C13"/>
    <w:rsid w:val="36B01B98"/>
    <w:rsid w:val="36E44B5A"/>
    <w:rsid w:val="36FE7CDE"/>
    <w:rsid w:val="37070849"/>
    <w:rsid w:val="37094512"/>
    <w:rsid w:val="373B0FC1"/>
    <w:rsid w:val="37405CF2"/>
    <w:rsid w:val="37443580"/>
    <w:rsid w:val="376E1E51"/>
    <w:rsid w:val="377965A9"/>
    <w:rsid w:val="37964C14"/>
    <w:rsid w:val="37A95DEE"/>
    <w:rsid w:val="37B918FC"/>
    <w:rsid w:val="37C718DF"/>
    <w:rsid w:val="37C9384A"/>
    <w:rsid w:val="380F26AF"/>
    <w:rsid w:val="38364268"/>
    <w:rsid w:val="38C84544"/>
    <w:rsid w:val="38C92CE5"/>
    <w:rsid w:val="38CD7855"/>
    <w:rsid w:val="38E06A56"/>
    <w:rsid w:val="393D17FD"/>
    <w:rsid w:val="393D3264"/>
    <w:rsid w:val="395064D7"/>
    <w:rsid w:val="396C537E"/>
    <w:rsid w:val="397905BD"/>
    <w:rsid w:val="39A94026"/>
    <w:rsid w:val="39D52E80"/>
    <w:rsid w:val="3A0A7FBB"/>
    <w:rsid w:val="3A144BF9"/>
    <w:rsid w:val="3A2E3CAF"/>
    <w:rsid w:val="3A493647"/>
    <w:rsid w:val="3A794EBA"/>
    <w:rsid w:val="3A9C403C"/>
    <w:rsid w:val="3AAA4C10"/>
    <w:rsid w:val="3AAA6C31"/>
    <w:rsid w:val="3AAB24CE"/>
    <w:rsid w:val="3AB64A60"/>
    <w:rsid w:val="3AC03120"/>
    <w:rsid w:val="3AD14B9A"/>
    <w:rsid w:val="3B093521"/>
    <w:rsid w:val="3B180FBF"/>
    <w:rsid w:val="3B25788B"/>
    <w:rsid w:val="3B3D0CDD"/>
    <w:rsid w:val="3BE70D1C"/>
    <w:rsid w:val="3C0179F0"/>
    <w:rsid w:val="3C1D4F68"/>
    <w:rsid w:val="3C2846F1"/>
    <w:rsid w:val="3C592A31"/>
    <w:rsid w:val="3C9C4F94"/>
    <w:rsid w:val="3CF065E7"/>
    <w:rsid w:val="3CF4035D"/>
    <w:rsid w:val="3D125759"/>
    <w:rsid w:val="3D1B75AF"/>
    <w:rsid w:val="3D504738"/>
    <w:rsid w:val="3D57260A"/>
    <w:rsid w:val="3DD20930"/>
    <w:rsid w:val="3DD461B9"/>
    <w:rsid w:val="3E150DFB"/>
    <w:rsid w:val="3E1706BB"/>
    <w:rsid w:val="3E4266D2"/>
    <w:rsid w:val="3E596ED3"/>
    <w:rsid w:val="3E5E6FFF"/>
    <w:rsid w:val="3E9E7569"/>
    <w:rsid w:val="3EB71D4E"/>
    <w:rsid w:val="3EC36B58"/>
    <w:rsid w:val="3EDF7D47"/>
    <w:rsid w:val="3EFB4122"/>
    <w:rsid w:val="3F314B61"/>
    <w:rsid w:val="3F792CD7"/>
    <w:rsid w:val="3F9D4347"/>
    <w:rsid w:val="3FAB03FC"/>
    <w:rsid w:val="3FB672B0"/>
    <w:rsid w:val="3FDE2B25"/>
    <w:rsid w:val="3FEB67EB"/>
    <w:rsid w:val="400B57B4"/>
    <w:rsid w:val="40511C8F"/>
    <w:rsid w:val="405E3F0B"/>
    <w:rsid w:val="405F73AD"/>
    <w:rsid w:val="40D24A15"/>
    <w:rsid w:val="40F55BB6"/>
    <w:rsid w:val="410D73A4"/>
    <w:rsid w:val="41306558"/>
    <w:rsid w:val="41530D53"/>
    <w:rsid w:val="41571E3A"/>
    <w:rsid w:val="41990D25"/>
    <w:rsid w:val="41C523F4"/>
    <w:rsid w:val="41FA1ECF"/>
    <w:rsid w:val="42316AB6"/>
    <w:rsid w:val="426254F1"/>
    <w:rsid w:val="4271001C"/>
    <w:rsid w:val="42863DB7"/>
    <w:rsid w:val="42940CC3"/>
    <w:rsid w:val="42D069A7"/>
    <w:rsid w:val="42F17B9B"/>
    <w:rsid w:val="42FB416E"/>
    <w:rsid w:val="430220EC"/>
    <w:rsid w:val="436155AC"/>
    <w:rsid w:val="43617313"/>
    <w:rsid w:val="438F1A98"/>
    <w:rsid w:val="43966640"/>
    <w:rsid w:val="43B94007"/>
    <w:rsid w:val="43C53A8A"/>
    <w:rsid w:val="43CB71DF"/>
    <w:rsid w:val="43D94410"/>
    <w:rsid w:val="44211221"/>
    <w:rsid w:val="44365E25"/>
    <w:rsid w:val="4451578C"/>
    <w:rsid w:val="4473611F"/>
    <w:rsid w:val="448210CF"/>
    <w:rsid w:val="44840BF8"/>
    <w:rsid w:val="448477B9"/>
    <w:rsid w:val="44932C28"/>
    <w:rsid w:val="44937BC0"/>
    <w:rsid w:val="449C6DE2"/>
    <w:rsid w:val="449D53E5"/>
    <w:rsid w:val="44CB358F"/>
    <w:rsid w:val="44D04B32"/>
    <w:rsid w:val="45243697"/>
    <w:rsid w:val="456353C8"/>
    <w:rsid w:val="45C47F0A"/>
    <w:rsid w:val="45E9595D"/>
    <w:rsid w:val="45F77513"/>
    <w:rsid w:val="462B5FA5"/>
    <w:rsid w:val="464A32B7"/>
    <w:rsid w:val="467370F1"/>
    <w:rsid w:val="468F06B1"/>
    <w:rsid w:val="46BA7686"/>
    <w:rsid w:val="46CF7079"/>
    <w:rsid w:val="4735292A"/>
    <w:rsid w:val="474C30F6"/>
    <w:rsid w:val="475576EA"/>
    <w:rsid w:val="477B1D5F"/>
    <w:rsid w:val="47BB1907"/>
    <w:rsid w:val="47D14F74"/>
    <w:rsid w:val="47F2401F"/>
    <w:rsid w:val="47F66BF7"/>
    <w:rsid w:val="483043D2"/>
    <w:rsid w:val="48565693"/>
    <w:rsid w:val="48710218"/>
    <w:rsid w:val="48B47A6F"/>
    <w:rsid w:val="48CC694C"/>
    <w:rsid w:val="48DD4E04"/>
    <w:rsid w:val="48F3143B"/>
    <w:rsid w:val="48F776E2"/>
    <w:rsid w:val="4915249A"/>
    <w:rsid w:val="496F0BFB"/>
    <w:rsid w:val="499135C4"/>
    <w:rsid w:val="49E93D20"/>
    <w:rsid w:val="4A004BBE"/>
    <w:rsid w:val="4A0C0698"/>
    <w:rsid w:val="4A3729E1"/>
    <w:rsid w:val="4A3D30F4"/>
    <w:rsid w:val="4A44382D"/>
    <w:rsid w:val="4A665D2D"/>
    <w:rsid w:val="4A820AE7"/>
    <w:rsid w:val="4AA227EB"/>
    <w:rsid w:val="4ABC178C"/>
    <w:rsid w:val="4B180E6D"/>
    <w:rsid w:val="4B1D5D82"/>
    <w:rsid w:val="4B2262C5"/>
    <w:rsid w:val="4BB019D4"/>
    <w:rsid w:val="4BD05490"/>
    <w:rsid w:val="4BDA3D7B"/>
    <w:rsid w:val="4C0A4000"/>
    <w:rsid w:val="4C242F29"/>
    <w:rsid w:val="4CAB7964"/>
    <w:rsid w:val="4CBF54F2"/>
    <w:rsid w:val="4CDF11B8"/>
    <w:rsid w:val="4D231477"/>
    <w:rsid w:val="4D71262E"/>
    <w:rsid w:val="4D923139"/>
    <w:rsid w:val="4DA22C22"/>
    <w:rsid w:val="4DA92202"/>
    <w:rsid w:val="4DB3516F"/>
    <w:rsid w:val="4DF070A8"/>
    <w:rsid w:val="4E0C0211"/>
    <w:rsid w:val="4E10127B"/>
    <w:rsid w:val="4E113BDA"/>
    <w:rsid w:val="4E565B8B"/>
    <w:rsid w:val="4E761BB6"/>
    <w:rsid w:val="4F1263BD"/>
    <w:rsid w:val="4F2E592A"/>
    <w:rsid w:val="4F423B8A"/>
    <w:rsid w:val="4F5A0CDC"/>
    <w:rsid w:val="4F7F4A03"/>
    <w:rsid w:val="4F8611D3"/>
    <w:rsid w:val="4FA35CE3"/>
    <w:rsid w:val="4FE3721C"/>
    <w:rsid w:val="5043762C"/>
    <w:rsid w:val="504B134F"/>
    <w:rsid w:val="50A26DF8"/>
    <w:rsid w:val="50D75AA1"/>
    <w:rsid w:val="51070B5B"/>
    <w:rsid w:val="51365602"/>
    <w:rsid w:val="515B1EA1"/>
    <w:rsid w:val="519913FC"/>
    <w:rsid w:val="51B1799A"/>
    <w:rsid w:val="520000E7"/>
    <w:rsid w:val="5209105A"/>
    <w:rsid w:val="5213148A"/>
    <w:rsid w:val="52242CFD"/>
    <w:rsid w:val="52382926"/>
    <w:rsid w:val="52530D9A"/>
    <w:rsid w:val="529F7150"/>
    <w:rsid w:val="52E70A2D"/>
    <w:rsid w:val="52F04997"/>
    <w:rsid w:val="53210278"/>
    <w:rsid w:val="53435031"/>
    <w:rsid w:val="535632EF"/>
    <w:rsid w:val="53602551"/>
    <w:rsid w:val="53D60510"/>
    <w:rsid w:val="54332F77"/>
    <w:rsid w:val="54982E63"/>
    <w:rsid w:val="54F16799"/>
    <w:rsid w:val="55190E1A"/>
    <w:rsid w:val="55355E30"/>
    <w:rsid w:val="553E3104"/>
    <w:rsid w:val="555132EC"/>
    <w:rsid w:val="555A3154"/>
    <w:rsid w:val="555E0A81"/>
    <w:rsid w:val="56221B8A"/>
    <w:rsid w:val="56E04EE6"/>
    <w:rsid w:val="56F8633B"/>
    <w:rsid w:val="573C2E4B"/>
    <w:rsid w:val="57414A62"/>
    <w:rsid w:val="57574A7D"/>
    <w:rsid w:val="578176F0"/>
    <w:rsid w:val="57E21A7B"/>
    <w:rsid w:val="581F5D5C"/>
    <w:rsid w:val="58255E64"/>
    <w:rsid w:val="58403763"/>
    <w:rsid w:val="585F3CF0"/>
    <w:rsid w:val="587E6708"/>
    <w:rsid w:val="588F43B1"/>
    <w:rsid w:val="58D90F72"/>
    <w:rsid w:val="58DB3111"/>
    <w:rsid w:val="59500A54"/>
    <w:rsid w:val="59923408"/>
    <w:rsid w:val="59C30CC7"/>
    <w:rsid w:val="59D659C5"/>
    <w:rsid w:val="5A5E0BE8"/>
    <w:rsid w:val="5A647BDD"/>
    <w:rsid w:val="5A661C99"/>
    <w:rsid w:val="5A72309A"/>
    <w:rsid w:val="5A756975"/>
    <w:rsid w:val="5A8460A8"/>
    <w:rsid w:val="5AA12B00"/>
    <w:rsid w:val="5AB42BDE"/>
    <w:rsid w:val="5ADB6887"/>
    <w:rsid w:val="5ADD34EB"/>
    <w:rsid w:val="5B1F1D55"/>
    <w:rsid w:val="5B210F1D"/>
    <w:rsid w:val="5B380E81"/>
    <w:rsid w:val="5B646A46"/>
    <w:rsid w:val="5BE014E5"/>
    <w:rsid w:val="5C2C4A7B"/>
    <w:rsid w:val="5C2D3C28"/>
    <w:rsid w:val="5C5E2F10"/>
    <w:rsid w:val="5C8B72C7"/>
    <w:rsid w:val="5C907B55"/>
    <w:rsid w:val="5CAB07FD"/>
    <w:rsid w:val="5CEB05CC"/>
    <w:rsid w:val="5D2C7E02"/>
    <w:rsid w:val="5D3507FD"/>
    <w:rsid w:val="5D7A2829"/>
    <w:rsid w:val="5D7A7717"/>
    <w:rsid w:val="5D9843FD"/>
    <w:rsid w:val="5D9A660C"/>
    <w:rsid w:val="5DAC5BCA"/>
    <w:rsid w:val="5DC54718"/>
    <w:rsid w:val="5E28641E"/>
    <w:rsid w:val="5E3B0A9F"/>
    <w:rsid w:val="5E5428BD"/>
    <w:rsid w:val="5E5F6058"/>
    <w:rsid w:val="5E856BC9"/>
    <w:rsid w:val="5E9A2880"/>
    <w:rsid w:val="5F353CD1"/>
    <w:rsid w:val="5F376F91"/>
    <w:rsid w:val="5F636B4D"/>
    <w:rsid w:val="5F8E3006"/>
    <w:rsid w:val="5F8E528C"/>
    <w:rsid w:val="60142A7B"/>
    <w:rsid w:val="6062107C"/>
    <w:rsid w:val="608042BA"/>
    <w:rsid w:val="60A1271D"/>
    <w:rsid w:val="60F11A9E"/>
    <w:rsid w:val="617D546E"/>
    <w:rsid w:val="619A0388"/>
    <w:rsid w:val="61E15E5A"/>
    <w:rsid w:val="61F74924"/>
    <w:rsid w:val="61F8518F"/>
    <w:rsid w:val="62040C85"/>
    <w:rsid w:val="627A4244"/>
    <w:rsid w:val="62933774"/>
    <w:rsid w:val="629B7F14"/>
    <w:rsid w:val="62C22A1C"/>
    <w:rsid w:val="62CE0726"/>
    <w:rsid w:val="63142771"/>
    <w:rsid w:val="632443AD"/>
    <w:rsid w:val="63473BF7"/>
    <w:rsid w:val="63761A35"/>
    <w:rsid w:val="63A068D2"/>
    <w:rsid w:val="63C0550A"/>
    <w:rsid w:val="640324E7"/>
    <w:rsid w:val="640A40E9"/>
    <w:rsid w:val="6485101C"/>
    <w:rsid w:val="64AF0089"/>
    <w:rsid w:val="64F63636"/>
    <w:rsid w:val="64FC7681"/>
    <w:rsid w:val="65677B64"/>
    <w:rsid w:val="65804C4D"/>
    <w:rsid w:val="659D56EB"/>
    <w:rsid w:val="65B35574"/>
    <w:rsid w:val="66433578"/>
    <w:rsid w:val="664811B3"/>
    <w:rsid w:val="665D55E7"/>
    <w:rsid w:val="66885CB4"/>
    <w:rsid w:val="66AF2512"/>
    <w:rsid w:val="66F61BBC"/>
    <w:rsid w:val="67114C48"/>
    <w:rsid w:val="67233B75"/>
    <w:rsid w:val="673334C8"/>
    <w:rsid w:val="67704084"/>
    <w:rsid w:val="67990979"/>
    <w:rsid w:val="67A535E2"/>
    <w:rsid w:val="67C85683"/>
    <w:rsid w:val="67D44907"/>
    <w:rsid w:val="68077481"/>
    <w:rsid w:val="681F3087"/>
    <w:rsid w:val="68391992"/>
    <w:rsid w:val="68486590"/>
    <w:rsid w:val="688B71E7"/>
    <w:rsid w:val="688D02FE"/>
    <w:rsid w:val="68977222"/>
    <w:rsid w:val="689D3D65"/>
    <w:rsid w:val="68A439AB"/>
    <w:rsid w:val="68A614FD"/>
    <w:rsid w:val="68AD7852"/>
    <w:rsid w:val="68DE3461"/>
    <w:rsid w:val="68EC6827"/>
    <w:rsid w:val="68F2083C"/>
    <w:rsid w:val="690815DA"/>
    <w:rsid w:val="691E56DF"/>
    <w:rsid w:val="694D041D"/>
    <w:rsid w:val="69C6501A"/>
    <w:rsid w:val="6A117052"/>
    <w:rsid w:val="6A3541DD"/>
    <w:rsid w:val="6A5E77BF"/>
    <w:rsid w:val="6A7F3E10"/>
    <w:rsid w:val="6A9811DC"/>
    <w:rsid w:val="6A991A75"/>
    <w:rsid w:val="6AA879AE"/>
    <w:rsid w:val="6AD01BCD"/>
    <w:rsid w:val="6B0D2DCF"/>
    <w:rsid w:val="6B233C26"/>
    <w:rsid w:val="6B741AFD"/>
    <w:rsid w:val="6BDB04DA"/>
    <w:rsid w:val="6BE17066"/>
    <w:rsid w:val="6BF551BD"/>
    <w:rsid w:val="6C0D5D02"/>
    <w:rsid w:val="6C0F76B8"/>
    <w:rsid w:val="6C13528C"/>
    <w:rsid w:val="6C225262"/>
    <w:rsid w:val="6C2732D4"/>
    <w:rsid w:val="6C517D6D"/>
    <w:rsid w:val="6C7812C6"/>
    <w:rsid w:val="6C9E53FE"/>
    <w:rsid w:val="6CA420BB"/>
    <w:rsid w:val="6CBC4753"/>
    <w:rsid w:val="6CEB6404"/>
    <w:rsid w:val="6D1351A7"/>
    <w:rsid w:val="6D196276"/>
    <w:rsid w:val="6D2C1471"/>
    <w:rsid w:val="6D780DAF"/>
    <w:rsid w:val="6D7B06F1"/>
    <w:rsid w:val="6D841450"/>
    <w:rsid w:val="6D9F21AC"/>
    <w:rsid w:val="6DC279BA"/>
    <w:rsid w:val="6E3340B2"/>
    <w:rsid w:val="6E394AF1"/>
    <w:rsid w:val="6E527B19"/>
    <w:rsid w:val="6E7066F8"/>
    <w:rsid w:val="6E7C32EF"/>
    <w:rsid w:val="6E7D3BB4"/>
    <w:rsid w:val="6EDB07C6"/>
    <w:rsid w:val="6EF70EC1"/>
    <w:rsid w:val="6F600DAC"/>
    <w:rsid w:val="6F7C2E7B"/>
    <w:rsid w:val="6F86077F"/>
    <w:rsid w:val="6F9F0176"/>
    <w:rsid w:val="6FEE2DAF"/>
    <w:rsid w:val="700C6B99"/>
    <w:rsid w:val="70311EB7"/>
    <w:rsid w:val="70665D4C"/>
    <w:rsid w:val="706F7FE7"/>
    <w:rsid w:val="70851157"/>
    <w:rsid w:val="70D3219F"/>
    <w:rsid w:val="70D40E2B"/>
    <w:rsid w:val="70D83020"/>
    <w:rsid w:val="710271A9"/>
    <w:rsid w:val="7109548C"/>
    <w:rsid w:val="715900FB"/>
    <w:rsid w:val="71720B79"/>
    <w:rsid w:val="71750CBB"/>
    <w:rsid w:val="719343FA"/>
    <w:rsid w:val="7196785E"/>
    <w:rsid w:val="72331F17"/>
    <w:rsid w:val="725A1449"/>
    <w:rsid w:val="727A36EA"/>
    <w:rsid w:val="7297518B"/>
    <w:rsid w:val="72AF312B"/>
    <w:rsid w:val="72C4320D"/>
    <w:rsid w:val="72FD52BE"/>
    <w:rsid w:val="7305497D"/>
    <w:rsid w:val="73190CA7"/>
    <w:rsid w:val="732535B1"/>
    <w:rsid w:val="736A2C85"/>
    <w:rsid w:val="736C2B03"/>
    <w:rsid w:val="736F377D"/>
    <w:rsid w:val="73A61B76"/>
    <w:rsid w:val="73CD0149"/>
    <w:rsid w:val="73D1574A"/>
    <w:rsid w:val="73D35A4C"/>
    <w:rsid w:val="740849CD"/>
    <w:rsid w:val="74461834"/>
    <w:rsid w:val="745B71F7"/>
    <w:rsid w:val="749063C2"/>
    <w:rsid w:val="74E25ED4"/>
    <w:rsid w:val="74F4163B"/>
    <w:rsid w:val="7519750B"/>
    <w:rsid w:val="75265FDB"/>
    <w:rsid w:val="758D1EDD"/>
    <w:rsid w:val="76452218"/>
    <w:rsid w:val="764775A7"/>
    <w:rsid w:val="764E30F5"/>
    <w:rsid w:val="765F240A"/>
    <w:rsid w:val="766960BF"/>
    <w:rsid w:val="76797102"/>
    <w:rsid w:val="76CB7AA1"/>
    <w:rsid w:val="773F135E"/>
    <w:rsid w:val="77481A7B"/>
    <w:rsid w:val="77B04009"/>
    <w:rsid w:val="77CA5755"/>
    <w:rsid w:val="78034139"/>
    <w:rsid w:val="780C2716"/>
    <w:rsid w:val="781E37AB"/>
    <w:rsid w:val="788C1ABE"/>
    <w:rsid w:val="78972AD3"/>
    <w:rsid w:val="78C55516"/>
    <w:rsid w:val="78CD30FF"/>
    <w:rsid w:val="78F83429"/>
    <w:rsid w:val="792C036B"/>
    <w:rsid w:val="7975478C"/>
    <w:rsid w:val="79E3368E"/>
    <w:rsid w:val="7A2E1121"/>
    <w:rsid w:val="7A3946F5"/>
    <w:rsid w:val="7A671A7A"/>
    <w:rsid w:val="7A772FAF"/>
    <w:rsid w:val="7AC848A4"/>
    <w:rsid w:val="7B146441"/>
    <w:rsid w:val="7B1E510C"/>
    <w:rsid w:val="7B2F612C"/>
    <w:rsid w:val="7B412B22"/>
    <w:rsid w:val="7B59615A"/>
    <w:rsid w:val="7B9B105C"/>
    <w:rsid w:val="7BAF7FC0"/>
    <w:rsid w:val="7BF0650D"/>
    <w:rsid w:val="7BF538C2"/>
    <w:rsid w:val="7C097307"/>
    <w:rsid w:val="7C522D5F"/>
    <w:rsid w:val="7C6161D0"/>
    <w:rsid w:val="7C740E72"/>
    <w:rsid w:val="7C8A2853"/>
    <w:rsid w:val="7CAB2FF1"/>
    <w:rsid w:val="7CCF025B"/>
    <w:rsid w:val="7CD65001"/>
    <w:rsid w:val="7D0D6042"/>
    <w:rsid w:val="7D15503B"/>
    <w:rsid w:val="7D2E4B27"/>
    <w:rsid w:val="7D2E5ECD"/>
    <w:rsid w:val="7D500D23"/>
    <w:rsid w:val="7DA1085A"/>
    <w:rsid w:val="7DA27C62"/>
    <w:rsid w:val="7DDB4AC3"/>
    <w:rsid w:val="7DF86B91"/>
    <w:rsid w:val="7E0F6D19"/>
    <w:rsid w:val="7E3B5341"/>
    <w:rsid w:val="7E4F1952"/>
    <w:rsid w:val="7F7A343D"/>
    <w:rsid w:val="7F802E6D"/>
    <w:rsid w:val="7F965BB3"/>
    <w:rsid w:val="7FE44192"/>
    <w:rsid w:val="FC6F5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paragraph" w:styleId="4">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line="413" w:lineRule="auto"/>
      <w:outlineLvl w:val="2"/>
    </w:pPr>
    <w:rPr>
      <w:b/>
      <w:sz w:val="32"/>
    </w:rPr>
  </w:style>
  <w:style w:type="paragraph" w:styleId="6">
    <w:name w:val="heading 4"/>
    <w:basedOn w:val="1"/>
    <w:next w:val="1"/>
    <w:unhideWhenUsed/>
    <w:qFormat/>
    <w:uiPriority w:val="1"/>
    <w:pPr>
      <w:keepNext/>
      <w:keepLines/>
      <w:spacing w:before="280" w:after="290" w:line="376" w:lineRule="atLeast"/>
      <w:outlineLvl w:val="3"/>
    </w:pPr>
    <w:rPr>
      <w:rFonts w:ascii="Cambria" w:hAnsi="Cambria" w:eastAsia="宋体" w:cs="Times New Roman"/>
      <w:b/>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840" w:leftChars="400"/>
    </w:pPr>
  </w:style>
  <w:style w:type="paragraph" w:styleId="7">
    <w:name w:val="caption"/>
    <w:basedOn w:val="1"/>
    <w:next w:val="1"/>
    <w:unhideWhenUsed/>
    <w:qFormat/>
    <w:uiPriority w:val="0"/>
    <w:rPr>
      <w:rFonts w:ascii="Arial" w:hAnsi="Arial" w:eastAsia="黑体"/>
      <w:sz w:val="20"/>
    </w:rPr>
  </w:style>
  <w:style w:type="paragraph" w:styleId="8">
    <w:name w:val="Document Map"/>
    <w:basedOn w:val="1"/>
    <w:link w:val="50"/>
    <w:qFormat/>
    <w:uiPriority w:val="0"/>
    <w:rPr>
      <w:rFonts w:ascii="宋体" w:eastAsia="宋体"/>
      <w:sz w:val="18"/>
      <w:szCs w:val="18"/>
    </w:rPr>
  </w:style>
  <w:style w:type="paragraph" w:styleId="9">
    <w:name w:val="annotation text"/>
    <w:basedOn w:val="1"/>
    <w:link w:val="65"/>
    <w:qFormat/>
    <w:uiPriority w:val="0"/>
    <w:pPr>
      <w:jc w:val="left"/>
    </w:pPr>
  </w:style>
  <w:style w:type="paragraph" w:styleId="10">
    <w:name w:val="Body Text"/>
    <w:basedOn w:val="1"/>
    <w:qFormat/>
    <w:uiPriority w:val="0"/>
    <w:rPr>
      <w:rFonts w:ascii="楷体_GB2312" w:eastAsia="楷体_GB2312"/>
      <w:sz w:val="32"/>
      <w:szCs w:val="20"/>
    </w:rPr>
  </w:style>
  <w:style w:type="paragraph" w:styleId="11">
    <w:name w:val="Body Text Indent"/>
    <w:basedOn w:val="1"/>
    <w:next w:val="12"/>
    <w:qFormat/>
    <w:uiPriority w:val="0"/>
    <w:pPr>
      <w:ind w:firstLine="600" w:firstLineChars="200"/>
    </w:pPr>
    <w:rPr>
      <w:rFonts w:eastAsia="仿宋_GB2312"/>
      <w:sz w:val="30"/>
    </w:rPr>
  </w:style>
  <w:style w:type="paragraph" w:styleId="12">
    <w:name w:val="footer"/>
    <w:basedOn w:val="1"/>
    <w:qFormat/>
    <w:uiPriority w:val="0"/>
    <w:pPr>
      <w:tabs>
        <w:tab w:val="center" w:pos="4153"/>
        <w:tab w:val="right" w:pos="8306"/>
      </w:tabs>
      <w:snapToGrid w:val="0"/>
      <w:jc w:val="left"/>
    </w:pPr>
    <w:rPr>
      <w:sz w:val="18"/>
    </w:rPr>
  </w:style>
  <w:style w:type="paragraph" w:styleId="13">
    <w:name w:val="index 4"/>
    <w:basedOn w:val="1"/>
    <w:next w:val="1"/>
    <w:qFormat/>
    <w:uiPriority w:val="0"/>
    <w:pPr>
      <w:ind w:left="600" w:leftChars="600" w:firstLine="200"/>
      <w:textAlignment w:val="center"/>
    </w:pPr>
    <w:rPr>
      <w:rFonts w:hAnsi="Times New Roman"/>
    </w:rPr>
  </w:style>
  <w:style w:type="paragraph" w:styleId="14">
    <w:name w:val="Plain Text"/>
    <w:basedOn w:val="1"/>
    <w:qFormat/>
    <w:uiPriority w:val="0"/>
    <w:pPr>
      <w:spacing w:line="520" w:lineRule="exact"/>
      <w:ind w:firstLine="200" w:firstLineChars="200"/>
    </w:pPr>
    <w:rPr>
      <w:rFonts w:ascii="宋体" w:hAnsi="Courier New"/>
      <w:sz w:val="28"/>
    </w:rPr>
  </w:style>
  <w:style w:type="paragraph" w:styleId="15">
    <w:name w:val="Body Text Indent 2"/>
    <w:basedOn w:val="1"/>
    <w:qFormat/>
    <w:uiPriority w:val="0"/>
    <w:pPr>
      <w:spacing w:after="120" w:line="480" w:lineRule="auto"/>
      <w:ind w:left="420" w:leftChars="200"/>
    </w:pPr>
  </w:style>
  <w:style w:type="paragraph" w:styleId="16">
    <w:name w:val="Balloon Text"/>
    <w:basedOn w:val="1"/>
    <w:link w:val="51"/>
    <w:qFormat/>
    <w:uiPriority w:val="0"/>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style>
  <w:style w:type="paragraph" w:styleId="19">
    <w:name w:val="toc 2"/>
    <w:basedOn w:val="1"/>
    <w:next w:val="1"/>
    <w:qFormat/>
    <w:uiPriority w:val="39"/>
    <w:pPr>
      <w:ind w:left="420" w:leftChars="200"/>
    </w:p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annotation subject"/>
    <w:basedOn w:val="9"/>
    <w:next w:val="9"/>
    <w:link w:val="66"/>
    <w:qFormat/>
    <w:uiPriority w:val="0"/>
    <w:rPr>
      <w:b/>
      <w:bCs/>
    </w:rPr>
  </w:style>
  <w:style w:type="paragraph" w:styleId="22">
    <w:name w:val="Body Text First Indent 2"/>
    <w:basedOn w:val="11"/>
    <w:next w:val="1"/>
    <w:qFormat/>
    <w:uiPriority w:val="0"/>
    <w:pPr>
      <w:ind w:firstLine="42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0563C1" w:themeColor="hyperlink"/>
      <w:u w:val="single"/>
      <w14:textFill>
        <w14:solidFill>
          <w14:schemeClr w14:val="hlink"/>
        </w14:solidFill>
      </w14:textFill>
    </w:rPr>
  </w:style>
  <w:style w:type="character" w:styleId="27">
    <w:name w:val="annotation reference"/>
    <w:basedOn w:val="25"/>
    <w:qFormat/>
    <w:uiPriority w:val="0"/>
    <w:rPr>
      <w:sz w:val="21"/>
      <w:szCs w:val="21"/>
    </w:rPr>
  </w:style>
  <w:style w:type="paragraph" w:customStyle="1" w:styleId="28">
    <w:name w:val="列出段落1"/>
    <w:basedOn w:val="1"/>
    <w:qFormat/>
    <w:uiPriority w:val="0"/>
    <w:pPr>
      <w:ind w:firstLine="420" w:firstLineChars="200"/>
    </w:pPr>
  </w:style>
  <w:style w:type="paragraph" w:customStyle="1" w:styleId="29">
    <w:name w:val="1正文"/>
    <w:basedOn w:val="1"/>
    <w:qFormat/>
    <w:uiPriority w:val="0"/>
    <w:pPr>
      <w:adjustRightInd w:val="0"/>
      <w:snapToGrid w:val="0"/>
      <w:spacing w:line="560" w:lineRule="exact"/>
      <w:ind w:firstLine="200" w:firstLineChars="200"/>
    </w:pPr>
    <w:rPr>
      <w:rFonts w:eastAsia="仿宋_GB2312"/>
      <w:sz w:val="28"/>
    </w:rPr>
  </w:style>
  <w:style w:type="character" w:customStyle="1" w:styleId="30">
    <w:name w:val="font11"/>
    <w:basedOn w:val="25"/>
    <w:qFormat/>
    <w:uiPriority w:val="0"/>
    <w:rPr>
      <w:rFonts w:hint="default" w:ascii="Times New Roman" w:hAnsi="Times New Roman" w:cs="Times New Roman"/>
      <w:color w:val="000000"/>
      <w:sz w:val="18"/>
      <w:szCs w:val="18"/>
      <w:u w:val="none"/>
    </w:rPr>
  </w:style>
  <w:style w:type="character" w:customStyle="1" w:styleId="31">
    <w:name w:val="font21"/>
    <w:basedOn w:val="25"/>
    <w:qFormat/>
    <w:uiPriority w:val="0"/>
    <w:rPr>
      <w:rFonts w:hint="eastAsia" w:ascii="宋体" w:hAnsi="宋体" w:eastAsia="宋体" w:cs="宋体"/>
      <w:color w:val="000000"/>
      <w:sz w:val="18"/>
      <w:szCs w:val="18"/>
      <w:u w:val="none"/>
    </w:rPr>
  </w:style>
  <w:style w:type="character" w:customStyle="1" w:styleId="32">
    <w:name w:val="font31"/>
    <w:basedOn w:val="25"/>
    <w:qFormat/>
    <w:uiPriority w:val="0"/>
    <w:rPr>
      <w:rFonts w:hint="default" w:ascii="Times New Roman" w:hAnsi="Times New Roman" w:cs="Times New Roman"/>
      <w:color w:val="000000"/>
      <w:sz w:val="18"/>
      <w:szCs w:val="18"/>
      <w:u w:val="none"/>
    </w:rPr>
  </w:style>
  <w:style w:type="character" w:customStyle="1" w:styleId="33">
    <w:name w:val="font41"/>
    <w:basedOn w:val="25"/>
    <w:qFormat/>
    <w:uiPriority w:val="0"/>
    <w:rPr>
      <w:rFonts w:hint="eastAsia" w:ascii="宋体" w:hAnsi="宋体" w:eastAsia="宋体" w:cs="宋体"/>
      <w:color w:val="000000"/>
      <w:sz w:val="18"/>
      <w:szCs w:val="18"/>
      <w:u w:val="none"/>
    </w:rPr>
  </w:style>
  <w:style w:type="character" w:customStyle="1" w:styleId="34">
    <w:name w:val="font01"/>
    <w:basedOn w:val="25"/>
    <w:qFormat/>
    <w:uiPriority w:val="0"/>
    <w:rPr>
      <w:rFonts w:hint="default" w:ascii="Times New Roman" w:hAnsi="Times New Roman" w:cs="Times New Roman"/>
      <w:color w:val="000000"/>
      <w:sz w:val="18"/>
      <w:szCs w:val="18"/>
      <w:u w:val="none"/>
    </w:rPr>
  </w:style>
  <w:style w:type="paragraph" w:customStyle="1" w:styleId="35">
    <w:name w:val="标题4"/>
    <w:basedOn w:val="13"/>
    <w:qFormat/>
    <w:uiPriority w:val="0"/>
    <w:pPr>
      <w:overflowPunct w:val="0"/>
      <w:topLinePunct/>
      <w:adjustRightInd w:val="0"/>
      <w:ind w:left="0" w:leftChars="0" w:firstLine="0"/>
      <w:jc w:val="center"/>
      <w:outlineLvl w:val="3"/>
    </w:pPr>
    <w:rPr>
      <w:rFonts w:ascii="Arial" w:hAnsi="Arial" w:eastAsia="黑体"/>
      <w:bCs/>
      <w:snapToGrid w:val="0"/>
      <w:kern w:val="0"/>
    </w:rPr>
  </w:style>
  <w:style w:type="paragraph" w:customStyle="1" w:styleId="36">
    <w:name w:val="标题5"/>
    <w:basedOn w:val="1"/>
    <w:qFormat/>
    <w:uiPriority w:val="0"/>
    <w:pPr>
      <w:autoSpaceDE w:val="0"/>
      <w:autoSpaceDN w:val="0"/>
      <w:ind w:firstLine="480"/>
      <w:jc w:val="left"/>
    </w:pPr>
    <w:rPr>
      <w:bCs/>
      <w:snapToGrid w:val="0"/>
      <w:kern w:val="0"/>
    </w:rPr>
  </w:style>
  <w:style w:type="paragraph" w:customStyle="1" w:styleId="37">
    <w:name w:val="正文文本 (2)1"/>
    <w:basedOn w:val="1"/>
    <w:link w:val="38"/>
    <w:qFormat/>
    <w:uiPriority w:val="99"/>
    <w:pPr>
      <w:shd w:val="clear" w:color="auto" w:fill="FFFFFF"/>
      <w:spacing w:after="900" w:line="442" w:lineRule="exact"/>
      <w:jc w:val="distribute"/>
    </w:pPr>
    <w:rPr>
      <w:rFonts w:ascii="MingLiU" w:eastAsia="MingLiU" w:cs="MingLiU"/>
      <w:kern w:val="0"/>
      <w:sz w:val="22"/>
      <w:szCs w:val="22"/>
    </w:rPr>
  </w:style>
  <w:style w:type="character" w:customStyle="1" w:styleId="38">
    <w:name w:val="正文文本 (2)_"/>
    <w:basedOn w:val="25"/>
    <w:link w:val="37"/>
    <w:qFormat/>
    <w:locked/>
    <w:uiPriority w:val="99"/>
    <w:rPr>
      <w:rFonts w:ascii="MingLiU" w:eastAsia="MingLiU" w:cs="MingLiU"/>
      <w:kern w:val="0"/>
      <w:sz w:val="22"/>
      <w:szCs w:val="22"/>
    </w:rPr>
  </w:style>
  <w:style w:type="character" w:customStyle="1" w:styleId="39">
    <w:name w:val="正文文本 (2) + 9 pt12"/>
    <w:basedOn w:val="38"/>
    <w:qFormat/>
    <w:uiPriority w:val="99"/>
    <w:rPr>
      <w:rFonts w:ascii="MingLiU" w:eastAsia="MingLiU" w:cs="MingLiU"/>
      <w:kern w:val="0"/>
      <w:sz w:val="18"/>
      <w:szCs w:val="18"/>
      <w:u w:val="none"/>
    </w:rPr>
  </w:style>
  <w:style w:type="character" w:customStyle="1" w:styleId="40">
    <w:name w:val="正文文本 (2) + David13"/>
    <w:basedOn w:val="38"/>
    <w:qFormat/>
    <w:uiPriority w:val="99"/>
    <w:rPr>
      <w:rFonts w:ascii="David" w:eastAsia="MingLiU" w:cs="David"/>
      <w:kern w:val="0"/>
      <w:sz w:val="22"/>
      <w:szCs w:val="22"/>
      <w:u w:val="none"/>
      <w:lang w:val="en-US" w:eastAsia="en-US" w:bidi="he-IL"/>
    </w:rPr>
  </w:style>
  <w:style w:type="character" w:customStyle="1" w:styleId="41">
    <w:name w:val="正文文本 (2) + 9 pt8"/>
    <w:basedOn w:val="38"/>
    <w:qFormat/>
    <w:uiPriority w:val="99"/>
    <w:rPr>
      <w:rFonts w:ascii="MingLiU" w:eastAsia="MingLiU" w:cs="MingLiU"/>
      <w:spacing w:val="20"/>
      <w:kern w:val="0"/>
      <w:sz w:val="18"/>
      <w:szCs w:val="18"/>
      <w:u w:val="none"/>
    </w:rPr>
  </w:style>
  <w:style w:type="character" w:customStyle="1" w:styleId="42">
    <w:name w:val="font71"/>
    <w:basedOn w:val="25"/>
    <w:qFormat/>
    <w:uiPriority w:val="0"/>
    <w:rPr>
      <w:rFonts w:hint="default" w:ascii="Times New Roman" w:hAnsi="Times New Roman" w:cs="Times New Roman"/>
      <w:color w:val="000000"/>
      <w:sz w:val="20"/>
      <w:szCs w:val="20"/>
      <w:u w:val="none"/>
    </w:rPr>
  </w:style>
  <w:style w:type="character" w:customStyle="1" w:styleId="43">
    <w:name w:val="font81"/>
    <w:basedOn w:val="25"/>
    <w:qFormat/>
    <w:uiPriority w:val="0"/>
    <w:rPr>
      <w:rFonts w:hint="eastAsia" w:ascii="宋体" w:hAnsi="宋体" w:eastAsia="宋体" w:cs="宋体"/>
      <w:color w:val="000000"/>
      <w:sz w:val="20"/>
      <w:szCs w:val="20"/>
      <w:u w:val="none"/>
    </w:rPr>
  </w:style>
  <w:style w:type="character" w:customStyle="1" w:styleId="44">
    <w:name w:val="font91"/>
    <w:basedOn w:val="25"/>
    <w:qFormat/>
    <w:uiPriority w:val="0"/>
    <w:rPr>
      <w:rFonts w:hint="default" w:ascii="Times New Roman" w:hAnsi="Times New Roman" w:cs="Times New Roman"/>
      <w:color w:val="000000"/>
      <w:sz w:val="20"/>
      <w:szCs w:val="20"/>
      <w:u w:val="none"/>
      <w:vertAlign w:val="superscript"/>
    </w:rPr>
  </w:style>
  <w:style w:type="character" w:customStyle="1" w:styleId="45">
    <w:name w:val="font51"/>
    <w:basedOn w:val="25"/>
    <w:qFormat/>
    <w:uiPriority w:val="0"/>
    <w:rPr>
      <w:rFonts w:hint="eastAsia" w:ascii="宋体" w:hAnsi="宋体" w:eastAsia="宋体" w:cs="宋体"/>
      <w:color w:val="000000"/>
      <w:sz w:val="21"/>
      <w:szCs w:val="21"/>
      <w:u w:val="none"/>
    </w:rPr>
  </w:style>
  <w:style w:type="character" w:customStyle="1" w:styleId="46">
    <w:name w:val="font61"/>
    <w:basedOn w:val="25"/>
    <w:qFormat/>
    <w:uiPriority w:val="0"/>
    <w:rPr>
      <w:rFonts w:hint="eastAsia" w:ascii="宋体" w:hAnsi="宋体" w:eastAsia="宋体" w:cs="宋体"/>
      <w:b/>
      <w:color w:val="000000"/>
      <w:sz w:val="21"/>
      <w:szCs w:val="21"/>
      <w:u w:val="none"/>
    </w:rPr>
  </w:style>
  <w:style w:type="paragraph" w:customStyle="1" w:styleId="47">
    <w:name w:val="2图表内容"/>
    <w:basedOn w:val="1"/>
    <w:qFormat/>
    <w:uiPriority w:val="0"/>
    <w:pPr>
      <w:jc w:val="center"/>
    </w:pPr>
  </w:style>
  <w:style w:type="character" w:customStyle="1" w:styleId="48">
    <w:name w:val="font101"/>
    <w:basedOn w:val="25"/>
    <w:qFormat/>
    <w:uiPriority w:val="0"/>
    <w:rPr>
      <w:rFonts w:hint="eastAsia" w:ascii="宋体" w:hAnsi="宋体" w:eastAsia="宋体" w:cs="宋体"/>
      <w:color w:val="000000"/>
      <w:sz w:val="18"/>
      <w:szCs w:val="18"/>
      <w:u w:val="none"/>
    </w:rPr>
  </w:style>
  <w:style w:type="character" w:customStyle="1" w:styleId="49">
    <w:name w:val="font111"/>
    <w:basedOn w:val="25"/>
    <w:qFormat/>
    <w:uiPriority w:val="0"/>
    <w:rPr>
      <w:rFonts w:ascii="Arial" w:hAnsi="Arial" w:cs="Arial"/>
      <w:color w:val="000000"/>
      <w:sz w:val="18"/>
      <w:szCs w:val="18"/>
      <w:u w:val="none"/>
    </w:rPr>
  </w:style>
  <w:style w:type="character" w:customStyle="1" w:styleId="50">
    <w:name w:val="文档结构图 字符"/>
    <w:basedOn w:val="25"/>
    <w:link w:val="8"/>
    <w:qFormat/>
    <w:uiPriority w:val="0"/>
    <w:rPr>
      <w:rFonts w:ascii="宋体" w:hAnsiTheme="minorHAnsi" w:cstheme="minorBidi"/>
      <w:kern w:val="2"/>
      <w:sz w:val="18"/>
      <w:szCs w:val="18"/>
    </w:rPr>
  </w:style>
  <w:style w:type="character" w:customStyle="1" w:styleId="51">
    <w:name w:val="批注框文本 字符"/>
    <w:basedOn w:val="25"/>
    <w:link w:val="16"/>
    <w:qFormat/>
    <w:uiPriority w:val="0"/>
    <w:rPr>
      <w:rFonts w:asciiTheme="minorHAnsi" w:hAnsiTheme="minorHAnsi" w:eastAsiaTheme="minorEastAsia" w:cstheme="minorBidi"/>
      <w:kern w:val="2"/>
      <w:sz w:val="18"/>
      <w:szCs w:val="18"/>
    </w:rPr>
  </w:style>
  <w:style w:type="paragraph" w:customStyle="1" w:styleId="52">
    <w:name w:val="表格"/>
    <w:qFormat/>
    <w:uiPriority w:val="0"/>
    <w:pPr>
      <w:snapToGrid w:val="0"/>
      <w:jc w:val="center"/>
    </w:pPr>
    <w:rPr>
      <w:rFonts w:hint="eastAsia" w:ascii="Times New Roman" w:hAnsi="Times New Roman" w:eastAsia="宋体" w:cs="Times New Roman"/>
      <w:sz w:val="21"/>
      <w:lang w:val="en-US" w:eastAsia="zh-CN" w:bidi="ar-SA"/>
    </w:rPr>
  </w:style>
  <w:style w:type="paragraph" w:customStyle="1" w:styleId="53">
    <w:name w:val="报告正文"/>
    <w:basedOn w:val="1"/>
    <w:qFormat/>
    <w:uiPriority w:val="0"/>
    <w:pPr>
      <w:spacing w:line="360" w:lineRule="auto"/>
      <w:ind w:firstLine="480" w:firstLineChars="200"/>
    </w:pPr>
    <w:rPr>
      <w:rFonts w:ascii="宋体" w:hAnsi="宋体" w:eastAsia="宋体"/>
      <w:sz w:val="28"/>
      <w:szCs w:val="24"/>
    </w:rPr>
  </w:style>
  <w:style w:type="paragraph" w:customStyle="1" w:styleId="54">
    <w:name w:val="5正文"/>
    <w:basedOn w:val="1"/>
    <w:qFormat/>
    <w:uiPriority w:val="0"/>
    <w:pPr>
      <w:spacing w:line="360" w:lineRule="auto"/>
    </w:pPr>
    <w:rPr>
      <w:rFonts w:ascii="仿宋_GB2312" w:hAnsi="宋体"/>
      <w:bCs/>
      <w:szCs w:val="24"/>
    </w:rPr>
  </w:style>
  <w:style w:type="paragraph" w:customStyle="1" w:styleId="55">
    <w:name w:val="1图表名称"/>
    <w:basedOn w:val="1"/>
    <w:qFormat/>
    <w:uiPriority w:val="0"/>
    <w:pPr>
      <w:widowControl/>
      <w:jc w:val="center"/>
    </w:pPr>
    <w:rPr>
      <w:b/>
      <w:bCs/>
      <w:kern w:val="0"/>
    </w:rPr>
  </w:style>
  <w:style w:type="paragraph" w:customStyle="1" w:styleId="56">
    <w:name w:val="1图表内容"/>
    <w:basedOn w:val="1"/>
    <w:qFormat/>
    <w:uiPriority w:val="0"/>
    <w:pPr>
      <w:widowControl/>
      <w:jc w:val="center"/>
    </w:pPr>
    <w:rPr>
      <w:kern w:val="28"/>
    </w:rPr>
  </w:style>
  <w:style w:type="paragraph" w:customStyle="1" w:styleId="57">
    <w:name w:val="评价报告正文"/>
    <w:basedOn w:val="1"/>
    <w:qFormat/>
    <w:uiPriority w:val="0"/>
    <w:pPr>
      <w:spacing w:line="360" w:lineRule="auto"/>
      <w:ind w:firstLine="560"/>
    </w:pPr>
    <w:rPr>
      <w:sz w:val="28"/>
      <w:szCs w:val="28"/>
    </w:rPr>
  </w:style>
  <w:style w:type="paragraph" w:customStyle="1" w:styleId="58">
    <w:name w:val="1 正文"/>
    <w:basedOn w:val="1"/>
    <w:next w:val="54"/>
    <w:qFormat/>
    <w:uiPriority w:val="0"/>
    <w:pPr>
      <w:tabs>
        <w:tab w:val="left" w:pos="3514"/>
      </w:tabs>
      <w:adjustRightInd w:val="0"/>
      <w:snapToGrid w:val="0"/>
      <w:spacing w:line="500" w:lineRule="exact"/>
      <w:ind w:firstLine="200" w:firstLineChars="200"/>
    </w:pPr>
    <w:rPr>
      <w:rFonts w:eastAsia="宋体"/>
      <w:sz w:val="24"/>
    </w:rPr>
  </w:style>
  <w:style w:type="paragraph" w:customStyle="1" w:styleId="59">
    <w:name w:val="正文（首行缩进两字）"/>
    <w:basedOn w:val="1"/>
    <w:qFormat/>
    <w:uiPriority w:val="0"/>
    <w:pPr>
      <w:spacing w:line="360" w:lineRule="auto"/>
    </w:pPr>
  </w:style>
  <w:style w:type="character" w:customStyle="1" w:styleId="60">
    <w:name w:val="样式 正文 +"/>
    <w:qFormat/>
    <w:uiPriority w:val="0"/>
    <w:rPr>
      <w:rFonts w:ascii="Tahoma" w:hAnsi="Tahoma" w:eastAsia="仿宋_GB2312"/>
      <w:bCs/>
      <w:kern w:val="2"/>
      <w:sz w:val="28"/>
      <w:szCs w:val="28"/>
      <w:lang w:val="en-US" w:eastAsia="zh-CN" w:bidi="ar-SA"/>
    </w:rPr>
  </w:style>
  <w:style w:type="paragraph" w:customStyle="1" w:styleId="6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2">
    <w:name w:val="编号（1）"/>
    <w:basedOn w:val="1"/>
    <w:qFormat/>
    <w:uiPriority w:val="0"/>
    <w:pPr>
      <w:numPr>
        <w:ilvl w:val="0"/>
        <w:numId w:val="1"/>
      </w:numPr>
      <w:ind w:firstLine="480" w:firstLineChars="200"/>
    </w:pPr>
    <w:rPr>
      <w:rFonts w:hint="eastAsia" w:eastAsia="宋体" w:cs="宋体"/>
      <w:sz w:val="24"/>
    </w:rPr>
  </w:style>
  <w:style w:type="character" w:customStyle="1" w:styleId="63">
    <w:name w:val="font121"/>
    <w:basedOn w:val="25"/>
    <w:qFormat/>
    <w:uiPriority w:val="0"/>
    <w:rPr>
      <w:rFonts w:hint="default" w:ascii="Times New Roman" w:hAnsi="Times New Roman" w:cs="Times New Roman"/>
      <w:color w:val="FF0000"/>
      <w:sz w:val="21"/>
      <w:szCs w:val="21"/>
      <w:u w:val="none"/>
      <w:vertAlign w:val="superscript"/>
    </w:rPr>
  </w:style>
  <w:style w:type="character" w:customStyle="1" w:styleId="64">
    <w:name w:val="font131"/>
    <w:basedOn w:val="25"/>
    <w:qFormat/>
    <w:uiPriority w:val="0"/>
    <w:rPr>
      <w:rFonts w:hint="default" w:ascii="Times New Roman" w:hAnsi="Times New Roman" w:cs="Times New Roman"/>
      <w:color w:val="000000"/>
      <w:sz w:val="21"/>
      <w:szCs w:val="21"/>
      <w:u w:val="none"/>
      <w:vertAlign w:val="superscript"/>
    </w:rPr>
  </w:style>
  <w:style w:type="character" w:customStyle="1" w:styleId="65">
    <w:name w:val="批注文字 字符"/>
    <w:basedOn w:val="25"/>
    <w:link w:val="9"/>
    <w:qFormat/>
    <w:uiPriority w:val="0"/>
    <w:rPr>
      <w:rFonts w:asciiTheme="minorHAnsi" w:hAnsiTheme="minorHAnsi" w:eastAsiaTheme="minorEastAsia" w:cstheme="minorBidi"/>
      <w:kern w:val="2"/>
      <w:sz w:val="21"/>
      <w:szCs w:val="21"/>
    </w:rPr>
  </w:style>
  <w:style w:type="character" w:customStyle="1" w:styleId="66">
    <w:name w:val="批注主题 字符"/>
    <w:basedOn w:val="65"/>
    <w:link w:val="21"/>
    <w:qFormat/>
    <w:uiPriority w:val="0"/>
    <w:rPr>
      <w:rFonts w:asciiTheme="minorHAnsi" w:hAnsiTheme="minorHAnsi" w:eastAsiaTheme="minorEastAsia" w:cstheme="minorBidi"/>
      <w:b/>
      <w:bCs/>
      <w:kern w:val="2"/>
      <w:sz w:val="21"/>
      <w:szCs w:val="21"/>
    </w:rPr>
  </w:style>
  <w:style w:type="paragraph" w:customStyle="1" w:styleId="67">
    <w:name w:val="正文文字缩进"/>
    <w:basedOn w:val="1"/>
    <w:qFormat/>
    <w:uiPriority w:val="0"/>
    <w:pPr>
      <w:widowControl/>
      <w:spacing w:line="640" w:lineRule="atLeast"/>
      <w:ind w:firstLine="566"/>
      <w:jc w:val="left"/>
      <w:textAlignment w:val="baseline"/>
    </w:pPr>
    <w:rPr>
      <w:rFonts w:eastAsia="宋体"/>
      <w:color w:val="000000"/>
      <w:kern w:val="0"/>
    </w:rPr>
  </w:style>
  <w:style w:type="paragraph" w:styleId="68">
    <w:name w:val="List Paragraph"/>
    <w:basedOn w:val="1"/>
    <w:qFormat/>
    <w:uiPriority w:val="1"/>
    <w:pPr>
      <w:ind w:firstLine="420"/>
    </w:pPr>
  </w:style>
  <w:style w:type="paragraph" w:customStyle="1" w:styleId="69">
    <w:name w:val="Table Paragraph"/>
    <w:basedOn w:val="1"/>
    <w:qFormat/>
    <w:uiPriority w:val="1"/>
    <w:pPr>
      <w:autoSpaceDE w:val="0"/>
      <w:autoSpaceDN w:val="0"/>
      <w:adjustRightInd w:val="0"/>
      <w:jc w:val="left"/>
    </w:pPr>
    <w:rPr>
      <w:rFonts w:eastAsia="宋体"/>
      <w:kern w:val="0"/>
      <w:sz w:val="24"/>
      <w:szCs w:val="24"/>
    </w:rPr>
  </w:style>
  <w:style w:type="paragraph" w:customStyle="1" w:styleId="70">
    <w:name w:val="正文3"/>
    <w:qFormat/>
    <w:uiPriority w:val="0"/>
    <w:pPr>
      <w:spacing w:line="360" w:lineRule="auto"/>
    </w:pPr>
    <w:rPr>
      <w:rFonts w:ascii="Times New Roman" w:hAnsi="Times New Roman" w:eastAsia="宋体" w:cs="Times New Roman"/>
      <w:sz w:val="24"/>
      <w:lang w:val="en-US" w:eastAsia="zh-CN" w:bidi="ar-SA"/>
    </w:rPr>
  </w:style>
  <w:style w:type="paragraph" w:customStyle="1" w:styleId="71">
    <w:name w:val="正文 缩进2字符"/>
    <w:basedOn w:val="1"/>
    <w:qFormat/>
    <w:uiPriority w:val="0"/>
    <w:pPr>
      <w:spacing w:line="500" w:lineRule="exact"/>
      <w:ind w:firstLine="200" w:firstLineChars="200"/>
    </w:pPr>
    <w:rPr>
      <w:rFonts w:cstheme="minorBidi"/>
      <w:szCs w:val="22"/>
    </w:rPr>
  </w:style>
  <w:style w:type="paragraph" w:customStyle="1" w:styleId="72">
    <w:name w:val="图表标题"/>
    <w:basedOn w:val="1"/>
    <w:qFormat/>
    <w:uiPriority w:val="0"/>
    <w:pPr>
      <w:ind w:firstLine="0" w:firstLineChars="0"/>
      <w:jc w:val="center"/>
    </w:pPr>
    <w:rPr>
      <w:rFonts w:ascii="Times New Roman" w:hAnsi="Times New Roman"/>
      <w:b/>
      <w:sz w:val="21"/>
      <w:szCs w:val="22"/>
    </w:rPr>
  </w:style>
  <w:style w:type="paragraph" w:customStyle="1" w:styleId="73">
    <w:name w:val="图表正文"/>
    <w:basedOn w:val="1"/>
    <w:qFormat/>
    <w:uiPriority w:val="0"/>
    <w:pPr>
      <w:spacing w:line="240" w:lineRule="atLeast"/>
      <w:ind w:firstLine="0" w:firstLineChars="0"/>
      <w:jc w:val="center"/>
    </w:pPr>
    <w:rPr>
      <w:rFonts w:ascii="Times New Roman" w:hAnsi="Times New Roman" w:eastAsia="宋体"/>
      <w:kern w:val="2"/>
      <w:sz w:val="21"/>
      <w:szCs w:val="22"/>
    </w:rPr>
  </w:style>
  <w:style w:type="paragraph" w:customStyle="1" w:styleId="74">
    <w:name w:val="4正文"/>
    <w:basedOn w:val="1"/>
    <w:qFormat/>
    <w:uiPriority w:val="0"/>
    <w:pPr>
      <w:widowControl/>
      <w:ind w:firstLine="200" w:firstLineChars="200"/>
    </w:pPr>
    <w:rPr>
      <w:kern w:val="0"/>
      <w:szCs w:val="24"/>
      <w:lang w:val="zh-CN"/>
    </w:rPr>
  </w:style>
  <w:style w:type="character" w:customStyle="1" w:styleId="75">
    <w:name w:val="fontstyle01"/>
    <w:basedOn w:val="25"/>
    <w:qFormat/>
    <w:uiPriority w:val="0"/>
    <w:rPr>
      <w:rFonts w:hint="eastAsia" w:ascii="宋体" w:hAnsi="宋体" w:eastAsia="宋体"/>
      <w:color w:val="000000"/>
      <w:sz w:val="24"/>
      <w:szCs w:val="24"/>
    </w:rPr>
  </w:style>
  <w:style w:type="table" w:customStyle="1" w:styleId="76">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122</Pages>
  <Words>57287</Words>
  <Characters>61763</Characters>
  <Lines>608</Lines>
  <Paragraphs>171</Paragraphs>
  <TotalTime>6</TotalTime>
  <ScaleCrop>false</ScaleCrop>
  <LinksUpToDate>false</LinksUpToDate>
  <CharactersWithSpaces>62217</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2022-09-30T16:50:00Z</dcterms:created>
  <dc:creator>HuangYong</dc:creator>
  <cp:lastModifiedBy>zgj-405-2</cp:lastModifiedBy>
  <dcterms:modified xsi:type="dcterms:W3CDTF">2024-07-22T15:47:57Z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0EBCC447EE6843B3A07AB46FC7F6C022_13</vt:lpwstr>
  </property>
</Properties>
</file>