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1706">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bookmarkStart w:id="0" w:name="OLE_LINK1"/>
    </w:p>
    <w:p w14:paraId="620F542E">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w:t>
      </w:r>
      <w:r>
        <w:rPr>
          <w:rFonts w:hint="eastAsia" w:cs="Times New Roman"/>
          <w:sz w:val="32"/>
          <w:szCs w:val="32"/>
          <w:lang w:val="en-US" w:eastAsia="zh-CN"/>
        </w:rPr>
        <w:t>73</w:t>
      </w:r>
      <w:r>
        <w:rPr>
          <w:rFonts w:hint="eastAsia" w:ascii="仿宋_GB2312" w:hAnsi="仿宋_GB2312" w:eastAsia="仿宋_GB2312" w:cs="仿宋_GB2312"/>
          <w:sz w:val="32"/>
          <w:szCs w:val="32"/>
        </w:rPr>
        <w:t>号</w:t>
      </w:r>
    </w:p>
    <w:p w14:paraId="187037DF">
      <w:pPr>
        <w:pStyle w:val="3"/>
        <w:pageBreakBefore w:val="0"/>
        <w:widowControl w:val="0"/>
        <w:kinsoku/>
        <w:wordWrap/>
        <w:overflowPunct/>
        <w:topLinePunct w:val="0"/>
        <w:autoSpaceDE/>
        <w:autoSpaceDN/>
        <w:bidi w:val="0"/>
        <w:adjustRightInd/>
        <w:snapToGrid/>
        <w:spacing w:beforeLines="0" w:afterLines="0" w:line="580" w:lineRule="exact"/>
        <w:ind w:left="0" w:leftChars="0" w:firstLine="0" w:firstLineChars="0"/>
        <w:textAlignment w:val="auto"/>
        <w:rPr>
          <w:sz w:val="32"/>
          <w:szCs w:val="32"/>
        </w:rPr>
      </w:pPr>
    </w:p>
    <w:p w14:paraId="3F9AC655">
      <w:pPr>
        <w:pageBreakBefore w:val="0"/>
        <w:widowControl w:val="0"/>
        <w:kinsoku/>
        <w:wordWrap/>
        <w:overflowPunct/>
        <w:topLinePunct w:val="0"/>
        <w:autoSpaceDE/>
        <w:autoSpaceDN/>
        <w:bidi w:val="0"/>
        <w:adjustRightInd/>
        <w:snapToGrid/>
        <w:spacing w:line="580" w:lineRule="exact"/>
        <w:textAlignment w:val="auto"/>
        <w:rPr>
          <w:sz w:val="32"/>
          <w:szCs w:val="32"/>
        </w:rPr>
      </w:pPr>
    </w:p>
    <w:p w14:paraId="601451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14:paraId="77668041">
      <w:pPr>
        <w:pStyle w:val="17"/>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关于大英县装配式建筑新材料建设项目</w:t>
      </w:r>
    </w:p>
    <w:p w14:paraId="6C1CBE5D">
      <w:pPr>
        <w:pStyle w:val="17"/>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2"/>
          <w:sz w:val="44"/>
          <w:szCs w:val="44"/>
          <w:lang w:val="en-US" w:eastAsia="zh-CN" w:bidi="ar-SA"/>
        </w:rPr>
        <w:t>环境影响报告表的批复</w:t>
      </w:r>
    </w:p>
    <w:p w14:paraId="1A4C9D87">
      <w:pPr>
        <w:pStyle w:val="9"/>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Times New Roman"/>
          <w:color w:val="auto"/>
          <w:spacing w:val="-6"/>
          <w:kern w:val="2"/>
          <w:sz w:val="32"/>
          <w:szCs w:val="32"/>
          <w:lang w:val="en-US" w:eastAsia="zh-CN" w:bidi="ar-SA"/>
        </w:rPr>
      </w:pPr>
    </w:p>
    <w:p w14:paraId="3D0C0AA2">
      <w:pPr>
        <w:keepNext w:val="0"/>
        <w:keepLines w:val="0"/>
        <w:pageBreakBefore w:val="0"/>
        <w:widowControl w:val="0"/>
        <w:kinsoku/>
        <w:wordWrap/>
        <w:topLinePunct w:val="0"/>
        <w:bidi w:val="0"/>
        <w:spacing w:line="54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大英县恒品建材科技有限公司：</w:t>
      </w:r>
    </w:p>
    <w:p w14:paraId="1B2C10F0">
      <w:pPr>
        <w:keepNext w:val="0"/>
        <w:keepLines w:val="0"/>
        <w:pageBreakBefore w:val="0"/>
        <w:widowControl w:val="0"/>
        <w:kinsoku/>
        <w:wordWrap/>
        <w:topLinePunct w:val="0"/>
        <w:bidi w:val="0"/>
        <w:spacing w:line="540" w:lineRule="exact"/>
        <w:ind w:firstLine="632" w:firstLineChars="200"/>
        <w:jc w:val="both"/>
        <w:textAlignment w:val="auto"/>
        <w:rPr>
          <w:rFonts w:ascii="仿宋_GB2312" w:hAnsi="仿宋_GB2312" w:eastAsia="仿宋_GB2312" w:cs="仿宋_GB2312"/>
          <w:sz w:val="32"/>
          <w:szCs w:val="32"/>
        </w:rPr>
      </w:pPr>
      <w:r>
        <w:rPr>
          <w:rFonts w:ascii="Times New Roman" w:hAnsi="Times New Roman" w:eastAsia="仿宋_GB2312" w:cs="Times New Roman"/>
          <w:sz w:val="32"/>
          <w:szCs w:val="32"/>
        </w:rPr>
        <w:t>你公司报送的《</w:t>
      </w:r>
      <w:r>
        <w:rPr>
          <w:rFonts w:hint="eastAsia" w:ascii="Times New Roman" w:hAnsi="Times New Roman" w:eastAsia="仿宋_GB2312" w:cs="Times New Roman"/>
          <w:sz w:val="32"/>
          <w:szCs w:val="32"/>
        </w:rPr>
        <w:t>大英县装配式建筑新材料</w:t>
      </w:r>
      <w:r>
        <w:rPr>
          <w:rFonts w:hint="eastAsia" w:ascii="仿宋_GB2312" w:hAnsi="仿宋_GB2312" w:eastAsia="仿宋_GB2312" w:cs="仿宋_GB2312"/>
          <w:sz w:val="32"/>
          <w:szCs w:val="32"/>
        </w:rPr>
        <w:t>建设项目环境影响报告表》（以下简称《报告表》）收悉。经研究，批复如下：</w:t>
      </w:r>
    </w:p>
    <w:p w14:paraId="2077E8A3">
      <w:pPr>
        <w:keepNext w:val="0"/>
        <w:keepLines w:val="0"/>
        <w:pageBreakBefore w:val="0"/>
        <w:widowControl w:val="0"/>
        <w:kinsoku/>
        <w:wordWrap/>
        <w:topLinePunct w:val="0"/>
        <w:bidi w:val="0"/>
        <w:spacing w:line="540" w:lineRule="exact"/>
        <w:ind w:firstLine="632" w:firstLineChars="200"/>
        <w:jc w:val="both"/>
        <w:textAlignment w:val="auto"/>
        <w:rPr>
          <w:rFonts w:ascii="黑体" w:hAnsi="黑体" w:eastAsia="黑体" w:cs="黑体"/>
          <w:sz w:val="32"/>
          <w:szCs w:val="32"/>
        </w:rPr>
      </w:pPr>
      <w:r>
        <w:rPr>
          <w:rFonts w:hint="eastAsia" w:ascii="黑体" w:hAnsi="黑体" w:eastAsia="黑体" w:cs="黑体"/>
          <w:sz w:val="32"/>
          <w:szCs w:val="32"/>
        </w:rPr>
        <w:t>一、项目概况及总体意见</w:t>
      </w:r>
    </w:p>
    <w:p w14:paraId="527B286F">
      <w:pPr>
        <w:keepNext w:val="0"/>
        <w:keepLines w:val="0"/>
        <w:pageBreakBefore w:val="0"/>
        <w:widowControl w:val="0"/>
        <w:kinsoku/>
        <w:wordWrap/>
        <w:topLinePunct w:val="0"/>
        <w:bidi w:val="0"/>
        <w:spacing w:line="540" w:lineRule="exact"/>
        <w:ind w:firstLine="632"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项目位于遂宁市大英县回马镇文武村，拟在租用的大英县顺聚建材有限公司文武砂石厂现有生产车间内新建智能化预制构件生产线、预制涵管生产线各1条，升级改造砂石、水稳料生产线各1条，并配套相关公辅设施。项目建成后具备生产装配式建筑预制件80万吨/年、水稳料30万吨/年、预制涵管4.0万米/年的生产能力。项目总投资800万元，其中环保投资25.5万元。</w:t>
      </w:r>
    </w:p>
    <w:p w14:paraId="25FC209C">
      <w:pPr>
        <w:pStyle w:val="22"/>
        <w:keepNext w:val="0"/>
        <w:keepLines w:val="0"/>
        <w:pageBreakBefore w:val="0"/>
        <w:widowControl w:val="0"/>
        <w:kinsoku/>
        <w:wordWrap/>
        <w:topLinePunct w:val="0"/>
        <w:bidi w:val="0"/>
        <w:spacing w:line="540" w:lineRule="exact"/>
        <w:jc w:val="both"/>
        <w:textAlignment w:val="auto"/>
        <w:rPr>
          <w:rFonts w:eastAsia="仿宋_GB2312"/>
          <w:szCs w:val="32"/>
        </w:rPr>
        <w:sectPr>
          <w:headerReference r:id="rId3" w:type="default"/>
          <w:footerReference r:id="rId5" w:type="default"/>
          <w:headerReference r:id="rId4" w:type="even"/>
          <w:footerReference r:id="rId6" w:type="even"/>
          <w:pgSz w:w="11906" w:h="16838"/>
          <w:pgMar w:top="2098" w:right="1474" w:bottom="1417" w:left="1587" w:header="851" w:footer="1020" w:gutter="0"/>
          <w:pgBorders>
            <w:top w:val="none" w:sz="0" w:space="0"/>
            <w:left w:val="none" w:sz="0" w:space="0"/>
            <w:bottom w:val="none" w:sz="0" w:space="0"/>
            <w:right w:val="none" w:sz="0" w:space="0"/>
          </w:pgBorders>
          <w:pgNumType w:fmt="decimal"/>
          <w:cols w:space="0" w:num="1"/>
          <w:rtlGutter w:val="0"/>
          <w:docGrid w:type="linesAndChars" w:linePitch="579" w:charSpace="-842"/>
        </w:sectPr>
      </w:pPr>
      <w:r>
        <w:rPr>
          <w:rFonts w:hint="eastAsia" w:eastAsia="仿宋_GB2312"/>
          <w:szCs w:val="32"/>
        </w:rPr>
        <w:t>项目取得大英县发展和改革局出具的《关于大英县装配式建筑新材料建设项目可行性研究报告（代项目建议书）的批复》（大发改许可〔2024〕164号），属于未列入《产业结构调整指导目录（2024年本）》的允许类项目，项目建设不新增用地。《报告表》认为</w:t>
      </w:r>
      <w:r>
        <w:rPr>
          <w:rFonts w:eastAsia="仿宋_GB2312"/>
          <w:szCs w:val="32"/>
        </w:rPr>
        <w:t>该项目建设符合国家产业政策和相关规划要求，符合遂</w:t>
      </w:r>
    </w:p>
    <w:p w14:paraId="7ADC0722">
      <w:pPr>
        <w:pStyle w:val="22"/>
        <w:keepNext w:val="0"/>
        <w:keepLines w:val="0"/>
        <w:pageBreakBefore w:val="0"/>
        <w:widowControl w:val="0"/>
        <w:kinsoku/>
        <w:wordWrap/>
        <w:topLinePunct w:val="0"/>
        <w:bidi w:val="0"/>
        <w:spacing w:line="540" w:lineRule="exact"/>
        <w:ind w:left="0" w:leftChars="0" w:firstLine="0" w:firstLineChars="0"/>
        <w:jc w:val="both"/>
        <w:textAlignment w:val="auto"/>
        <w:rPr>
          <w:rFonts w:eastAsia="仿宋_GB2312"/>
          <w:szCs w:val="32"/>
        </w:rPr>
      </w:pPr>
      <w:r>
        <w:rPr>
          <w:rFonts w:eastAsia="仿宋_GB2312"/>
          <w:szCs w:val="32"/>
        </w:rPr>
        <w:t>宁</w:t>
      </w:r>
      <w:r>
        <w:rPr>
          <w:rFonts w:hint="eastAsia" w:ascii="仿宋_GB2312" w:hAnsi="仿宋_GB2312" w:eastAsia="仿宋_GB2312" w:cs="仿宋_GB2312"/>
          <w:szCs w:val="32"/>
        </w:rPr>
        <w:t>市“三线一单”</w:t>
      </w:r>
      <w:r>
        <w:rPr>
          <w:rFonts w:eastAsia="仿宋_GB2312"/>
          <w:szCs w:val="32"/>
        </w:rPr>
        <w:t>生态环境分区管控要求。</w:t>
      </w:r>
    </w:p>
    <w:p w14:paraId="6F9D8E67">
      <w:pPr>
        <w:keepNext w:val="0"/>
        <w:keepLines w:val="0"/>
        <w:pageBreakBefore w:val="0"/>
        <w:widowControl w:val="0"/>
        <w:kinsoku/>
        <w:wordWrap/>
        <w:topLinePunct w:val="0"/>
        <w:bidi w:val="0"/>
        <w:spacing w:line="54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严格落实《报告表》提出的生态环境保护对策及措施，严格执行环境保护“三同时”制度，认真落实环境风险防范措施及应急预案的前提下，项目建设从生态环境保护角度可行，我局原则同意《报告表》的总体结论和拟采取的各项生态环境保护措施。你公司应严格按照《报告表》中所列项目建设的性质、规模、工艺、地点和拟采取的环境保护措施进行建设和运行，以确保对环境的不利影响得到缓解和控制。</w:t>
      </w:r>
    </w:p>
    <w:p w14:paraId="368E3D44">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ascii="黑体" w:hAnsi="黑体" w:eastAsia="黑体" w:cs="黑体"/>
          <w:sz w:val="32"/>
          <w:szCs w:val="32"/>
        </w:rPr>
      </w:pPr>
      <w:r>
        <w:rPr>
          <w:rFonts w:hint="eastAsia" w:ascii="黑体" w:hAnsi="黑体" w:eastAsia="黑体" w:cs="黑体"/>
          <w:sz w:val="32"/>
          <w:szCs w:val="32"/>
        </w:rPr>
        <w:t>二、项目建设及营运重点做好以下工作</w:t>
      </w:r>
    </w:p>
    <w:p w14:paraId="39DA56C0">
      <w:pPr>
        <w:keepNext w:val="0"/>
        <w:keepLines w:val="0"/>
        <w:pageBreakBefore w:val="0"/>
        <w:widowControl w:val="0"/>
        <w:kinsoku/>
        <w:wordWrap/>
        <w:topLinePunct w:val="0"/>
        <w:bidi w:val="0"/>
        <w:spacing w:line="540" w:lineRule="exact"/>
        <w:ind w:firstLine="632" w:firstLineChars="200"/>
        <w:jc w:val="both"/>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（一）落实污染防治和环境风险防</w:t>
      </w:r>
      <w:bookmarkStart w:id="1" w:name="_GoBack"/>
      <w:bookmarkEnd w:id="1"/>
      <w:r>
        <w:rPr>
          <w:rFonts w:hint="eastAsia" w:ascii="楷体_GB2312" w:hAnsi="楷体_GB2312" w:eastAsia="楷体_GB2312" w:cs="楷体_GB2312"/>
          <w:sz w:val="32"/>
          <w:szCs w:val="32"/>
        </w:rPr>
        <w:t>范措施。</w:t>
      </w:r>
      <w:r>
        <w:rPr>
          <w:rFonts w:hint="eastAsia" w:ascii="仿宋_GB2312" w:hAnsi="仿宋_GB2312" w:eastAsia="仿宋_GB2312" w:cs="仿宋_GB2312"/>
          <w:color w:val="000000"/>
          <w:kern w:val="18"/>
          <w:sz w:val="32"/>
          <w:szCs w:val="32"/>
        </w:rPr>
        <w:t>加强环保设施的日常管理和维护，确保环保设施正常运行及各类污染物稳定达标排放。制定并不断完善突发环境事件应急预案，制定并严格落实重污染天气应急响应“一厂一策”方案。规范内部管理，严格操作规范，定期开展自行监测，防止污染事故的发生。</w:t>
      </w:r>
    </w:p>
    <w:p w14:paraId="1A67EA2B">
      <w:pPr>
        <w:keepNext w:val="0"/>
        <w:keepLines w:val="0"/>
        <w:pageBreakBefore w:val="0"/>
        <w:widowControl w:val="0"/>
        <w:kinsoku/>
        <w:wordWrap/>
        <w:topLinePunct w:val="0"/>
        <w:bidi w:val="0"/>
        <w:spacing w:line="540" w:lineRule="exact"/>
        <w:ind w:firstLine="632" w:firstLineChars="200"/>
        <w:jc w:val="both"/>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（二）落实大气污染防治措施。</w:t>
      </w:r>
      <w:r>
        <w:rPr>
          <w:rFonts w:hint="eastAsia" w:ascii="仿宋_GB2312" w:hAnsi="仿宋_GB2312" w:eastAsia="仿宋_GB2312" w:cs="仿宋_GB2312"/>
          <w:color w:val="000000"/>
          <w:kern w:val="18"/>
          <w:sz w:val="32"/>
          <w:szCs w:val="32"/>
        </w:rPr>
        <w:t>施工期严格落实建筑工地“</w:t>
      </w:r>
      <w:r>
        <w:rPr>
          <w:rFonts w:hint="eastAsia" w:ascii="Times New Roman" w:hAnsi="Times New Roman" w:eastAsia="仿宋_GB2312" w:cs="Times New Roman"/>
          <w:bCs/>
          <w:sz w:val="32"/>
          <w:szCs w:val="32"/>
        </w:rPr>
        <w:t>六必须六不准”和“六个百分百”</w:t>
      </w:r>
      <w:r>
        <w:rPr>
          <w:rFonts w:hint="eastAsia" w:ascii="仿宋_GB2312" w:hAnsi="仿宋_GB2312" w:eastAsia="仿宋_GB2312" w:cs="仿宋_GB2312"/>
          <w:color w:val="000000"/>
          <w:kern w:val="18"/>
          <w:sz w:val="32"/>
          <w:szCs w:val="32"/>
        </w:rPr>
        <w:t>要求，加强运输车辆和非道路移动机械尾气管理。运营期砂石卸料粉尘、堆场粉尘通过设置喷淋除尘设施并封闭车间进行降尘；砂石上料粉尘采取浸润砂石并设置喷淋除尘设施方式降尘；拌合区进行全封闭，搅拌缸粉尘和筒仓粉尘经自带布袋除尘设备处理后排放；焊接工序设置在密闭车间内，烟尘经焊接烟尘净化器处理达标后排放；厂区设置喷淋除尘设施，并加强厂区地面保洁，降低运输起</w:t>
      </w:r>
      <w:r>
        <w:rPr>
          <w:rFonts w:hint="eastAsia" w:ascii="仿宋_GB2312" w:hAnsi="仿宋_GB2312" w:cs="仿宋_GB2312"/>
          <w:color w:val="000000"/>
          <w:kern w:val="18"/>
          <w:sz w:val="32"/>
          <w:szCs w:val="32"/>
          <w:lang w:eastAsia="zh-CN"/>
        </w:rPr>
        <w:t>尘</w:t>
      </w:r>
      <w:r>
        <w:rPr>
          <w:rFonts w:hint="eastAsia" w:ascii="仿宋_GB2312" w:hAnsi="仿宋_GB2312" w:eastAsia="仿宋_GB2312" w:cs="仿宋_GB2312"/>
          <w:color w:val="000000"/>
          <w:kern w:val="18"/>
          <w:sz w:val="32"/>
          <w:szCs w:val="32"/>
        </w:rPr>
        <w:t>。</w:t>
      </w:r>
    </w:p>
    <w:p w14:paraId="118AA726">
      <w:pPr>
        <w:pStyle w:val="6"/>
        <w:keepNext w:val="0"/>
        <w:keepLines w:val="0"/>
        <w:pageBreakBefore w:val="0"/>
        <w:widowControl w:val="0"/>
        <w:kinsoku/>
        <w:wordWrap/>
        <w:topLinePunct w:val="0"/>
        <w:bidi w:val="0"/>
        <w:spacing w:before="0" w:line="540" w:lineRule="exact"/>
        <w:ind w:firstLine="632" w:firstLineChars="200"/>
        <w:jc w:val="both"/>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rPr>
        <w:t>（三）落实废水污染防治措施。</w:t>
      </w:r>
      <w:r>
        <w:rPr>
          <w:rFonts w:hint="eastAsia" w:ascii="Times New Roman" w:hAnsi="Times New Roman" w:eastAsia="仿宋_GB2312" w:cs="Times New Roman"/>
          <w:sz w:val="32"/>
          <w:szCs w:val="32"/>
        </w:rPr>
        <w:t>施工期</w:t>
      </w:r>
      <w:r>
        <w:rPr>
          <w:rFonts w:hint="eastAsia" w:ascii="Times New Roman" w:hAnsi="Times New Roman" w:eastAsia="仿宋_GB2312" w:cs="Times New Roman"/>
          <w:kern w:val="2"/>
          <w:sz w:val="32"/>
          <w:szCs w:val="32"/>
        </w:rPr>
        <w:t>生活污水经过化粪池处理后用于农业施肥，施工废水经过沉淀池处理后回用不</w:t>
      </w:r>
      <w:r>
        <w:rPr>
          <w:rFonts w:hint="eastAsia" w:ascii="Times New Roman" w:hAnsi="Times New Roman" w:eastAsia="仿宋_GB2312" w:cs="Times New Roman"/>
          <w:kern w:val="2"/>
          <w:sz w:val="32"/>
          <w:szCs w:val="32"/>
          <w:lang w:val="en-US" w:eastAsia="zh-CN"/>
        </w:rPr>
        <w:t>外排</w:t>
      </w:r>
      <w:r>
        <w:rPr>
          <w:rFonts w:hint="eastAsia" w:ascii="Times New Roman" w:hAnsi="Times New Roman" w:eastAsia="仿宋_GB2312" w:cs="Times New Roman"/>
          <w:kern w:val="2"/>
          <w:sz w:val="32"/>
          <w:szCs w:val="32"/>
        </w:rPr>
        <w:t>。</w:t>
      </w:r>
      <w:r>
        <w:rPr>
          <w:rFonts w:hint="eastAsia" w:ascii="仿宋_GB2312" w:hAnsi="仿宋_GB2312" w:eastAsia="仿宋_GB2312" w:cs="仿宋_GB2312"/>
          <w:color w:val="000000"/>
          <w:kern w:val="18"/>
          <w:sz w:val="32"/>
          <w:szCs w:val="32"/>
        </w:rPr>
        <w:t>运营期</w:t>
      </w:r>
      <w:r>
        <w:rPr>
          <w:rFonts w:hint="eastAsia" w:ascii="Times New Roman" w:hAnsi="Times New Roman" w:eastAsia="仿宋_GB2312" w:cs="Times New Roman"/>
          <w:sz w:val="32"/>
          <w:szCs w:val="32"/>
        </w:rPr>
        <w:t>生产废水经沉淀池收集再经砂石分离及压滤机处理后，清水回用于生产；生活污水经化粪池处理后用于农业施肥。</w:t>
      </w:r>
    </w:p>
    <w:p w14:paraId="7186F29F">
      <w:pPr>
        <w:keepNext w:val="0"/>
        <w:keepLines w:val="0"/>
        <w:pageBreakBefore w:val="0"/>
        <w:widowControl w:val="0"/>
        <w:kinsoku/>
        <w:wordWrap/>
        <w:topLinePunct w:val="0"/>
        <w:bidi w:val="0"/>
        <w:spacing w:line="540" w:lineRule="exact"/>
        <w:ind w:firstLine="632" w:firstLineChars="200"/>
        <w:jc w:val="both"/>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rPr>
        <w:t>（四）落实固体废物处置措施</w:t>
      </w:r>
      <w:r>
        <w:rPr>
          <w:rFonts w:hint="eastAsia" w:ascii="楷体_GB2312" w:hAnsi="楷体_GB2312" w:eastAsia="楷体_GB2312" w:cs="楷体_GB2312"/>
          <w:color w:val="000000"/>
          <w:kern w:val="18"/>
          <w:sz w:val="32"/>
          <w:szCs w:val="32"/>
        </w:rPr>
        <w:t>。</w:t>
      </w:r>
      <w:r>
        <w:rPr>
          <w:rFonts w:hint="eastAsia" w:ascii="Times New Roman" w:hAnsi="Times New Roman" w:eastAsia="仿宋_GB2312" w:cs="Times New Roman"/>
          <w:color w:val="auto"/>
          <w:kern w:val="2"/>
          <w:sz w:val="32"/>
          <w:szCs w:val="32"/>
        </w:rPr>
        <w:t>施工</w:t>
      </w:r>
      <w:r>
        <w:rPr>
          <w:rFonts w:hint="eastAsia" w:ascii="Times New Roman" w:hAnsi="Times New Roman" w:eastAsia="仿宋_GB2312" w:cs="Times New Roman"/>
          <w:sz w:val="32"/>
          <w:szCs w:val="32"/>
        </w:rPr>
        <w:t>期</w:t>
      </w:r>
      <w:r>
        <w:rPr>
          <w:rFonts w:hint="eastAsia" w:ascii="Times New Roman" w:hAnsi="Times New Roman" w:eastAsia="仿宋_GB2312" w:cs="Times New Roman"/>
          <w:kern w:val="2"/>
          <w:sz w:val="32"/>
          <w:szCs w:val="32"/>
        </w:rPr>
        <w:t>弃土用于厂区绿化，设备废弃包装物</w:t>
      </w:r>
      <w:r>
        <w:rPr>
          <w:rFonts w:hint="eastAsia" w:ascii="Times New Roman" w:hAnsi="Times New Roman" w:eastAsia="仿宋_GB2312" w:cs="Times New Roman"/>
          <w:sz w:val="32"/>
          <w:szCs w:val="32"/>
        </w:rPr>
        <w:t>外售废品回收单位，无利用价值的集中收集后与</w:t>
      </w:r>
      <w:r>
        <w:rPr>
          <w:rFonts w:hint="eastAsia" w:ascii="Times New Roman" w:hAnsi="Times New Roman" w:eastAsia="仿宋_GB2312" w:cs="Times New Roman"/>
          <w:kern w:val="2"/>
          <w:sz w:val="32"/>
          <w:szCs w:val="32"/>
        </w:rPr>
        <w:t>生活垃圾</w:t>
      </w:r>
      <w:r>
        <w:rPr>
          <w:rFonts w:hint="eastAsia" w:ascii="Times New Roman" w:hAnsi="Times New Roman" w:eastAsia="仿宋_GB2312" w:cs="Times New Roman"/>
          <w:sz w:val="32"/>
          <w:szCs w:val="32"/>
        </w:rPr>
        <w:t>一并交</w:t>
      </w:r>
      <w:r>
        <w:rPr>
          <w:rFonts w:hint="eastAsia" w:ascii="Times New Roman" w:hAnsi="Times New Roman" w:eastAsia="仿宋_GB2312" w:cs="Times New Roman"/>
          <w:kern w:val="2"/>
          <w:sz w:val="32"/>
          <w:szCs w:val="32"/>
        </w:rPr>
        <w:t>由市政环卫部门统一处置</w:t>
      </w:r>
      <w:r>
        <w:rPr>
          <w:rFonts w:hint="eastAsia" w:ascii="Times New Roman" w:hAnsi="Times New Roman" w:eastAsia="仿宋_GB2312" w:cs="Times New Roman"/>
          <w:sz w:val="32"/>
          <w:szCs w:val="32"/>
        </w:rPr>
        <w:t>。运营期固体废物按要求落实分类收集、贮存、运输及处置措施，焊接粉尘、生活污水预处理池污泥、生活垃圾经收集后统一交由市政环卫部门清运处理；除尘器粉尘回用于生产；沉淀池泥沙经压滤后回用生产水稳料；外加剂包装桶由厂家回收循环利用；废润滑油桶、废含油手套及抹布、废矿物油等危险废物暂存于危废间，建立危废处置台账，定期交由有资质的单位处理</w:t>
      </w:r>
      <w:r>
        <w:rPr>
          <w:rFonts w:eastAsia="仿宋_GB2312"/>
          <w:sz w:val="32"/>
          <w:szCs w:val="32"/>
        </w:rPr>
        <w:t>，转移过程严格落实《危险废物转移管理办法》要求</w:t>
      </w:r>
      <w:r>
        <w:rPr>
          <w:rFonts w:hint="eastAsia" w:ascii="Times New Roman" w:hAnsi="Times New Roman" w:eastAsia="仿宋_GB2312" w:cs="Times New Roman"/>
          <w:sz w:val="32"/>
          <w:szCs w:val="32"/>
        </w:rPr>
        <w:t>。</w:t>
      </w:r>
    </w:p>
    <w:p w14:paraId="3DDB1BD0">
      <w:pPr>
        <w:keepNext w:val="0"/>
        <w:keepLines w:val="0"/>
        <w:pageBreakBefore w:val="0"/>
        <w:widowControl w:val="0"/>
        <w:kinsoku/>
        <w:wordWrap/>
        <w:topLinePunct w:val="0"/>
        <w:autoSpaceDE w:val="0"/>
        <w:autoSpaceDN w:val="0"/>
        <w:bidi w:val="0"/>
        <w:adjustRightInd w:val="0"/>
        <w:spacing w:line="540" w:lineRule="exact"/>
        <w:ind w:firstLine="640" w:firstLineChars="0"/>
        <w:jc w:val="both"/>
        <w:textAlignment w:val="auto"/>
        <w:rPr>
          <w:rFonts w:ascii="Times New Roman" w:hAnsi="Times New Roman" w:eastAsia="仿宋_GB2312" w:cs="Times New Roman"/>
          <w:color w:val="000000"/>
          <w:kern w:val="18"/>
          <w:sz w:val="32"/>
          <w:szCs w:val="32"/>
        </w:rPr>
      </w:pPr>
      <w:r>
        <w:rPr>
          <w:rFonts w:hint="eastAsia" w:ascii="楷体_GB2312" w:hAnsi="楷体_GB2312" w:eastAsia="楷体_GB2312" w:cs="楷体_GB2312"/>
          <w:sz w:val="32"/>
          <w:szCs w:val="32"/>
        </w:rPr>
        <w:t>（五）落实噪声污染防治措施。</w:t>
      </w:r>
      <w:r>
        <w:rPr>
          <w:rFonts w:hint="eastAsia" w:ascii="仿宋_GB2312" w:hAnsi="仿宋_GB2312" w:eastAsia="仿宋_GB2312" w:cs="仿宋_GB2312"/>
          <w:color w:val="000000"/>
          <w:kern w:val="18"/>
          <w:sz w:val="32"/>
          <w:szCs w:val="32"/>
        </w:rPr>
        <w:t>设施设备应布局合理，采取隔声、减振、消音等措施，并合理安排作业时段，确保噪声排放施工期满足《建筑施工场界环境噪声排放标准》</w:t>
      </w:r>
      <w:r>
        <w:rPr>
          <w:rFonts w:hint="eastAsia" w:ascii="Times New Roman" w:hAnsi="Times New Roman" w:eastAsia="仿宋_GB2312" w:cs="Times New Roman"/>
          <w:color w:val="000000"/>
          <w:kern w:val="18"/>
          <w:sz w:val="32"/>
          <w:szCs w:val="32"/>
        </w:rPr>
        <w:t>（</w:t>
      </w:r>
      <w:r>
        <w:rPr>
          <w:rFonts w:ascii="Times New Roman" w:hAnsi="Times New Roman" w:eastAsia="仿宋_GB2312" w:cs="Times New Roman"/>
          <w:color w:val="000000"/>
          <w:kern w:val="18"/>
          <w:sz w:val="32"/>
          <w:szCs w:val="32"/>
        </w:rPr>
        <w:t>GB12523-2011</w:t>
      </w:r>
      <w:r>
        <w:rPr>
          <w:rFonts w:hint="eastAsia" w:ascii="Times New Roman" w:hAnsi="Times New Roman" w:eastAsia="仿宋_GB2312" w:cs="Times New Roman"/>
          <w:color w:val="000000"/>
          <w:kern w:val="18"/>
          <w:sz w:val="32"/>
          <w:szCs w:val="32"/>
        </w:rPr>
        <w:t>）</w:t>
      </w:r>
      <w:r>
        <w:rPr>
          <w:rFonts w:hint="eastAsia" w:ascii="仿宋_GB2312" w:hAnsi="仿宋_GB2312" w:eastAsia="仿宋_GB2312" w:cs="仿宋_GB2312"/>
          <w:color w:val="000000"/>
          <w:kern w:val="18"/>
          <w:sz w:val="32"/>
          <w:szCs w:val="32"/>
        </w:rPr>
        <w:t>中相应标准限值，运营期满足《工业企业厂</w:t>
      </w:r>
      <w:r>
        <w:rPr>
          <w:rFonts w:ascii="Times New Roman" w:hAnsi="Times New Roman" w:eastAsia="仿宋_GB2312" w:cs="Times New Roman"/>
          <w:color w:val="000000"/>
          <w:kern w:val="18"/>
          <w:sz w:val="32"/>
          <w:szCs w:val="32"/>
        </w:rPr>
        <w:t>界环境噪声排放标准》</w:t>
      </w:r>
      <w:r>
        <w:rPr>
          <w:rFonts w:hint="eastAsia" w:ascii="Times New Roman" w:hAnsi="Times New Roman" w:cs="Times New Roman"/>
          <w:color w:val="000000"/>
          <w:kern w:val="18"/>
          <w:sz w:val="32"/>
          <w:szCs w:val="32"/>
          <w:lang w:eastAsia="zh-CN"/>
        </w:rPr>
        <w:t>（</w:t>
      </w:r>
      <w:r>
        <w:rPr>
          <w:rFonts w:ascii="Times New Roman" w:hAnsi="Times New Roman" w:eastAsia="仿宋_GB2312" w:cs="Times New Roman"/>
          <w:color w:val="000000"/>
          <w:kern w:val="18"/>
          <w:sz w:val="32"/>
          <w:szCs w:val="32"/>
        </w:rPr>
        <w:t>GB12348-2008）中的</w:t>
      </w:r>
      <w:r>
        <w:rPr>
          <w:rFonts w:hint="eastAsia" w:ascii="Times New Roman" w:hAnsi="Times New Roman" w:eastAsia="仿宋_GB2312" w:cs="Times New Roman"/>
          <w:color w:val="000000"/>
          <w:kern w:val="18"/>
          <w:sz w:val="32"/>
          <w:szCs w:val="32"/>
        </w:rPr>
        <w:t>2</w:t>
      </w:r>
      <w:r>
        <w:rPr>
          <w:rFonts w:ascii="Times New Roman" w:hAnsi="Times New Roman" w:eastAsia="仿宋_GB2312" w:cs="Times New Roman"/>
          <w:color w:val="000000"/>
          <w:kern w:val="18"/>
          <w:sz w:val="32"/>
          <w:szCs w:val="32"/>
        </w:rPr>
        <w:t>类标准。</w:t>
      </w:r>
    </w:p>
    <w:p w14:paraId="23BC5D19">
      <w:pPr>
        <w:keepNext w:val="0"/>
        <w:keepLines w:val="0"/>
        <w:pageBreakBefore w:val="0"/>
        <w:widowControl w:val="0"/>
        <w:kinsoku/>
        <w:wordWrap/>
        <w:topLinePunct w:val="0"/>
        <w:bidi w:val="0"/>
        <w:spacing w:line="540" w:lineRule="exact"/>
        <w:ind w:firstLine="632" w:firstLineChars="200"/>
        <w:jc w:val="both"/>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（六）落实土壤和地下水污染防治措施。</w:t>
      </w:r>
      <w:r>
        <w:rPr>
          <w:rFonts w:hint="eastAsia" w:ascii="仿宋_GB2312" w:hAnsi="仿宋_GB2312" w:eastAsia="仿宋_GB2312" w:cs="仿宋_GB2312"/>
          <w:color w:val="000000"/>
          <w:kern w:val="18"/>
          <w:sz w:val="32"/>
          <w:szCs w:val="32"/>
        </w:rPr>
        <w:t>严格按照《报告表》要求，落实分区防渗措施，对危废暂存间进行重点防渗，拌合区沉淀池进行一般防渗，其他区域进行简单防渗，防止地下水和土壤环境污染。</w:t>
      </w:r>
    </w:p>
    <w:p w14:paraId="42265B73">
      <w:pPr>
        <w:keepNext w:val="0"/>
        <w:keepLines w:val="0"/>
        <w:pageBreakBefore w:val="0"/>
        <w:widowControl w:val="0"/>
        <w:kinsoku/>
        <w:wordWrap/>
        <w:topLinePunct w:val="0"/>
        <w:autoSpaceDE w:val="0"/>
        <w:autoSpaceDN w:val="0"/>
        <w:bidi w:val="0"/>
        <w:adjustRightInd w:val="0"/>
        <w:spacing w:line="540" w:lineRule="exact"/>
        <w:ind w:firstLine="632" w:firstLineChars="200"/>
        <w:jc w:val="both"/>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（七）落实“以新带老”措施。</w:t>
      </w:r>
      <w:r>
        <w:rPr>
          <w:rFonts w:hint="eastAsia" w:ascii="仿宋_GB2312" w:hAnsi="仿宋_GB2312" w:eastAsia="仿宋_GB2312" w:cs="仿宋_GB2312"/>
          <w:color w:val="000000"/>
          <w:kern w:val="18"/>
          <w:sz w:val="32"/>
          <w:szCs w:val="32"/>
        </w:rPr>
        <w:t>在厂区出入口洗车槽处就近增设洗车废水沉淀池，容积不小于</w:t>
      </w:r>
      <w:r>
        <w:rPr>
          <w:rFonts w:ascii="Times New Roman" w:hAnsi="Times New Roman" w:eastAsia="仿宋_GB2312" w:cs="Times New Roman"/>
          <w:color w:val="000000"/>
          <w:kern w:val="18"/>
          <w:sz w:val="32"/>
          <w:szCs w:val="32"/>
        </w:rPr>
        <w:t>12m</w:t>
      </w:r>
      <w:r>
        <w:rPr>
          <w:rFonts w:ascii="Times New Roman" w:hAnsi="Times New Roman" w:eastAsia="仿宋_GB2312" w:cs="Times New Roman"/>
          <w:color w:val="000000"/>
          <w:kern w:val="18"/>
          <w:sz w:val="32"/>
          <w:szCs w:val="32"/>
          <w:vertAlign w:val="superscript"/>
        </w:rPr>
        <w:t>3</w:t>
      </w:r>
      <w:r>
        <w:rPr>
          <w:rFonts w:hint="eastAsia" w:ascii="仿宋_GB2312" w:hAnsi="仿宋_GB2312" w:eastAsia="仿宋_GB2312" w:cs="仿宋_GB2312"/>
          <w:color w:val="000000"/>
          <w:kern w:val="18"/>
          <w:sz w:val="32"/>
          <w:szCs w:val="32"/>
        </w:rPr>
        <w:t>，洗车槽废水经沉淀池处理后回用。增设雾炮除尘设施，规范运输扬尘、无组织废气、危险废物管理。</w:t>
      </w:r>
    </w:p>
    <w:p w14:paraId="569F7204">
      <w:pPr>
        <w:keepNext w:val="0"/>
        <w:keepLines w:val="0"/>
        <w:pageBreakBefore w:val="0"/>
        <w:widowControl w:val="0"/>
        <w:kinsoku/>
        <w:wordWrap/>
        <w:topLinePunct w:val="0"/>
        <w:bidi w:val="0"/>
        <w:spacing w:line="540" w:lineRule="exact"/>
        <w:ind w:firstLine="632" w:firstLineChars="200"/>
        <w:jc w:val="both"/>
        <w:textAlignment w:val="auto"/>
        <w:rPr>
          <w:rFonts w:ascii="仿宋_GB2312" w:hAnsi="仿宋_GB2312" w:eastAsia="仿宋_GB2312" w:cs="仿宋_GB2312"/>
          <w:color w:val="000000"/>
          <w:kern w:val="18"/>
          <w:sz w:val="32"/>
          <w:szCs w:val="32"/>
        </w:rPr>
      </w:pPr>
      <w:r>
        <w:rPr>
          <w:rFonts w:hint="eastAsia" w:ascii="黑体" w:hAnsi="黑体" w:eastAsia="黑体" w:cs="黑体"/>
          <w:color w:val="000000"/>
          <w:kern w:val="18"/>
          <w:sz w:val="32"/>
          <w:szCs w:val="32"/>
        </w:rPr>
        <w:t>三、</w:t>
      </w:r>
      <w:r>
        <w:rPr>
          <w:rFonts w:hint="eastAsia" w:ascii="仿宋_GB2312" w:hAnsi="仿宋_GB2312" w:eastAsia="仿宋_GB2312" w:cs="仿宋_GB2312"/>
          <w:color w:val="000000"/>
          <w:kern w:val="18"/>
          <w:sz w:val="32"/>
          <w:szCs w:val="32"/>
        </w:rPr>
        <w:t>项目开工建设前，应依法完备其他行政许可手续。</w:t>
      </w:r>
    </w:p>
    <w:p w14:paraId="06ADB543">
      <w:pPr>
        <w:keepNext w:val="0"/>
        <w:keepLines w:val="0"/>
        <w:pageBreakBefore w:val="0"/>
        <w:widowControl w:val="0"/>
        <w:kinsoku/>
        <w:wordWrap/>
        <w:overflowPunct w:val="0"/>
        <w:topLinePunct w:val="0"/>
        <w:bidi w:val="0"/>
        <w:snapToGrid w:val="0"/>
        <w:spacing w:line="540" w:lineRule="exact"/>
        <w:ind w:firstLine="632" w:firstLineChars="200"/>
        <w:jc w:val="both"/>
        <w:textAlignment w:val="auto"/>
        <w:rPr>
          <w:rFonts w:ascii="黑体" w:hAnsi="黑体" w:eastAsia="黑体" w:cs="黑体"/>
          <w:sz w:val="32"/>
          <w:szCs w:val="32"/>
        </w:rPr>
      </w:pPr>
      <w:r>
        <w:rPr>
          <w:rFonts w:hint="eastAsia" w:ascii="黑体" w:hAnsi="黑体" w:eastAsia="黑体" w:cs="黑体"/>
          <w:color w:val="000000"/>
          <w:kern w:val="18"/>
          <w:sz w:val="32"/>
          <w:szCs w:val="32"/>
        </w:rPr>
        <w:t>四、排污许可和环保</w:t>
      </w:r>
      <w:r>
        <w:rPr>
          <w:rFonts w:hint="eastAsia" w:ascii="黑体" w:hAnsi="黑体" w:eastAsia="黑体" w:cs="黑体"/>
          <w:sz w:val="32"/>
          <w:szCs w:val="32"/>
        </w:rPr>
        <w:t>验收</w:t>
      </w:r>
    </w:p>
    <w:p w14:paraId="48577D88">
      <w:pPr>
        <w:pStyle w:val="22"/>
        <w:keepNext w:val="0"/>
        <w:keepLines w:val="0"/>
        <w:pageBreakBefore w:val="0"/>
        <w:widowControl w:val="0"/>
        <w:kinsoku/>
        <w:wordWrap/>
        <w:topLinePunct w:val="0"/>
        <w:bidi w:val="0"/>
        <w:spacing w:line="540" w:lineRule="exact"/>
        <w:jc w:val="both"/>
        <w:textAlignment w:val="auto"/>
        <w:rPr>
          <w:rFonts w:ascii="仿宋_GB2312" w:hAnsi="仿宋_GB2312" w:eastAsia="仿宋_GB2312" w:cs="仿宋_GB2312"/>
          <w:szCs w:val="32"/>
        </w:rPr>
      </w:pPr>
      <w:r>
        <w:rPr>
          <w:rFonts w:hint="eastAsia" w:ascii="仿宋_GB2312" w:hAnsi="仿宋_GB2312" w:eastAsia="仿宋_GB2312" w:cs="仿宋_GB2312"/>
          <w:szCs w:val="32"/>
        </w:rPr>
        <w:t>项目建设必须严格执行配套建设的环境保护设施与主体工程同时设计、同时施工、同时投产使用的环境保护“三同时”制度。在发生实际排污行为前，按照国家排污许可有关管理规定要求，依法申领排污许可证或者填报排污登记表，</w:t>
      </w:r>
      <w:r>
        <w:rPr>
          <w:rFonts w:eastAsia="仿宋_GB2312"/>
          <w:szCs w:val="32"/>
        </w:rPr>
        <w:t>不得无证排污和不按证排污</w:t>
      </w:r>
      <w:r>
        <w:rPr>
          <w:rFonts w:hint="eastAsia" w:ascii="仿宋_GB2312" w:hAnsi="仿宋_GB2312" w:eastAsia="仿宋_GB2312" w:cs="仿宋_GB2312"/>
          <w:szCs w:val="32"/>
        </w:rPr>
        <w:t>。建设项目竣工后，</w:t>
      </w:r>
      <w:r>
        <w:rPr>
          <w:rFonts w:eastAsia="仿宋_GB2312"/>
          <w:szCs w:val="32"/>
        </w:rPr>
        <w:t>你公司是建设项目竣工环境保护验收的责任主体，</w:t>
      </w:r>
      <w:r>
        <w:rPr>
          <w:rFonts w:hint="eastAsia" w:ascii="仿宋_GB2312" w:hAnsi="仿宋_GB2312" w:eastAsia="仿宋_GB2312" w:cs="仿宋_GB2312"/>
          <w:szCs w:val="32"/>
        </w:rPr>
        <w:t>应当按照规定的程序和标准，组织对配套建设的环境保护设施及对策措施进行验收，并依法向社会公开验收报告和</w:t>
      </w:r>
      <w:r>
        <w:rPr>
          <w:rFonts w:eastAsia="仿宋_GB2312"/>
          <w:szCs w:val="32"/>
        </w:rPr>
        <w:t>相关信息，接受社会监督，验收合格后方可投入生产或使用。</w:t>
      </w:r>
    </w:p>
    <w:p w14:paraId="539F051C">
      <w:pPr>
        <w:keepNext w:val="0"/>
        <w:keepLines w:val="0"/>
        <w:pageBreakBefore w:val="0"/>
        <w:widowControl w:val="0"/>
        <w:kinsoku/>
        <w:wordWrap/>
        <w:overflowPunct w:val="0"/>
        <w:topLinePunct w:val="0"/>
        <w:bidi w:val="0"/>
        <w:snapToGrid w:val="0"/>
        <w:spacing w:line="540" w:lineRule="exact"/>
        <w:ind w:firstLine="632" w:firstLineChars="200"/>
        <w:jc w:val="both"/>
        <w:textAlignment w:val="auto"/>
        <w:rPr>
          <w:rFonts w:ascii="黑体" w:hAnsi="黑体" w:eastAsia="黑体" w:cs="黑体"/>
          <w:color w:val="000000"/>
          <w:kern w:val="18"/>
          <w:sz w:val="32"/>
          <w:szCs w:val="32"/>
        </w:rPr>
      </w:pPr>
      <w:r>
        <w:rPr>
          <w:rFonts w:hint="eastAsia" w:ascii="黑体" w:hAnsi="黑体" w:eastAsia="黑体" w:cs="黑体"/>
          <w:color w:val="000000"/>
          <w:kern w:val="18"/>
          <w:sz w:val="32"/>
          <w:szCs w:val="32"/>
        </w:rPr>
        <w:t>五、其他规定</w:t>
      </w:r>
    </w:p>
    <w:p w14:paraId="20149F99">
      <w:pPr>
        <w:keepNext w:val="0"/>
        <w:keepLines w:val="0"/>
        <w:pageBreakBefore w:val="0"/>
        <w:widowControl w:val="0"/>
        <w:kinsoku/>
        <w:wordWrap/>
        <w:topLinePunct w:val="0"/>
        <w:bidi w:val="0"/>
        <w:spacing w:line="54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项目环境影响评价文件经批准后，如工程的性质、规模、地点、工艺或者防治污染、防止生态破坏的措施发生重大变动，你公司应当重新报批环境影响评价文件，否则不得实施建设。自环</w:t>
      </w:r>
      <w:r>
        <w:rPr>
          <w:rFonts w:ascii="Times New Roman" w:hAnsi="Times New Roman" w:eastAsia="仿宋_GB2312" w:cs="Times New Roman"/>
          <w:sz w:val="32"/>
          <w:szCs w:val="32"/>
        </w:rPr>
        <w:t>境影响评价文件批准之日起，如工程超过5年未开工建设，环境</w:t>
      </w:r>
      <w:r>
        <w:rPr>
          <w:rFonts w:hint="eastAsia" w:ascii="仿宋_GB2312" w:hAnsi="仿宋_GB2312" w:eastAsia="仿宋_GB2312" w:cs="仿宋_GB2312"/>
          <w:sz w:val="32"/>
          <w:szCs w:val="32"/>
        </w:rPr>
        <w:t>影响评价文件应当报我局重新审核。</w:t>
      </w:r>
    </w:p>
    <w:p w14:paraId="4C3BEB57">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32" w:firstLineChars="200"/>
        <w:jc w:val="both"/>
        <w:textAlignment w:val="auto"/>
        <w:rPr>
          <w:rFonts w:hint="eastAsia" w:ascii="仿宋_GB2312" w:hAnsi="仿宋_GB2312" w:eastAsia="仿宋_GB2312" w:cs="仿宋_GB2312"/>
          <w:sz w:val="32"/>
          <w:szCs w:val="32"/>
          <w:lang w:val="en-US" w:eastAsia="zh-CN"/>
        </w:rPr>
      </w:pPr>
    </w:p>
    <w:p w14:paraId="7FBE9AAF">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outlineLvl w:val="9"/>
        <w:rPr>
          <w:rFonts w:hint="eastAsia" w:ascii="仿宋_GB2312" w:hAnsi="仿宋_GB2312" w:eastAsia="仿宋_GB2312" w:cs="仿宋_GB2312"/>
          <w:color w:val="auto"/>
          <w:sz w:val="32"/>
          <w:szCs w:val="32"/>
          <w:lang w:val="en-US" w:eastAsia="zh-CN"/>
        </w:rPr>
      </w:pPr>
    </w:p>
    <w:p w14:paraId="779AAE4A">
      <w:pPr>
        <w:pStyle w:val="22"/>
        <w:keepNext w:val="0"/>
        <w:keepLines w:val="0"/>
        <w:pageBreakBefore w:val="0"/>
        <w:widowControl w:val="0"/>
        <w:kinsoku/>
        <w:wordWrap/>
        <w:overflowPunct/>
        <w:topLinePunct w:val="0"/>
        <w:autoSpaceDE/>
        <w:autoSpaceDN/>
        <w:bidi w:val="0"/>
        <w:adjustRightInd/>
        <w:snapToGrid/>
        <w:spacing w:line="580" w:lineRule="exact"/>
        <w:ind w:firstLine="4864" w:firstLineChars="16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遂宁市大英生态环境局</w:t>
      </w:r>
    </w:p>
    <w:p w14:paraId="17726030">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r>
        <w:rPr>
          <w:rFonts w:hint="default" w:ascii="Times New Roman" w:hAnsi="Times New Roman" w:eastAsia="仿宋_GB2312" w:cs="Times New Roman"/>
          <w:spacing w:val="-6"/>
          <w:sz w:val="32"/>
          <w:szCs w:val="32"/>
          <w:lang w:val="en-US" w:eastAsia="zh-CN"/>
        </w:rPr>
        <w:t>2024年</w:t>
      </w:r>
      <w:r>
        <w:rPr>
          <w:rFonts w:hint="eastAsia" w:cs="Times New Roman"/>
          <w:spacing w:val="-6"/>
          <w:sz w:val="32"/>
          <w:szCs w:val="32"/>
          <w:lang w:val="en-US" w:eastAsia="zh-CN"/>
        </w:rPr>
        <w:t>9</w:t>
      </w:r>
      <w:r>
        <w:rPr>
          <w:rFonts w:hint="default" w:ascii="Times New Roman" w:hAnsi="Times New Roman" w:eastAsia="仿宋_GB2312" w:cs="Times New Roman"/>
          <w:spacing w:val="-6"/>
          <w:sz w:val="32"/>
          <w:szCs w:val="32"/>
          <w:lang w:val="en-US" w:eastAsia="zh-CN"/>
        </w:rPr>
        <w:t>月</w:t>
      </w:r>
      <w:r>
        <w:rPr>
          <w:rFonts w:hint="eastAsia" w:cs="Times New Roman"/>
          <w:spacing w:val="-6"/>
          <w:sz w:val="32"/>
          <w:szCs w:val="32"/>
          <w:lang w:val="en-US" w:eastAsia="zh-CN"/>
        </w:rPr>
        <w:t>26</w:t>
      </w:r>
      <w:r>
        <w:rPr>
          <w:rFonts w:hint="default" w:ascii="Times New Roman" w:hAnsi="Times New Roman" w:eastAsia="仿宋_GB2312" w:cs="Times New Roman"/>
          <w:spacing w:val="-6"/>
          <w:sz w:val="32"/>
          <w:szCs w:val="32"/>
          <w:lang w:val="en-US" w:eastAsia="zh-CN"/>
        </w:rPr>
        <w:t>日</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lang w:val="en-US" w:eastAsia="zh-CN"/>
        </w:rPr>
        <w:t xml:space="preserve"> </w:t>
      </w:r>
      <w:bookmarkEnd w:id="0"/>
    </w:p>
    <w:sectPr>
      <w:footerReference r:id="rId7" w:type="default"/>
      <w:footerReference r:id="rId8" w:type="even"/>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2000000000000000000"/>
    <w:charset w:val="86"/>
    <w:family w:val="script"/>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D14F2">
    <w:pPr>
      <w:pStyle w:val="13"/>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C665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CBB72">
    <w:pPr>
      <w:pStyle w:val="13"/>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posOffset>4749800</wp:posOffset>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A863C">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4pt;margin-top:3pt;height:144pt;width:144pt;mso-position-horizontal-relative:margin;mso-wrap-style:none;z-index:251659264;mso-width-relative:page;mso-height-relative:page;" filled="f" stroked="f" coordsize="21600,21600" o:gfxdata="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0mRU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393A863C">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06E13">
    <w:pPr>
      <w:pStyle w:val="13"/>
    </w:pPr>
    <w:r>
      <w:rPr>
        <w:sz w:val="18"/>
      </w:rPr>
      <mc:AlternateContent>
        <mc:Choice Requires="wps">
          <w:drawing>
            <wp:anchor distT="0" distB="0" distL="114300" distR="114300" simplePos="0" relativeHeight="251660288" behindDoc="0" locked="0" layoutInCell="1" allowOverlap="1">
              <wp:simplePos x="0" y="0"/>
              <wp:positionH relativeFrom="margin">
                <wp:posOffset>238125</wp:posOffset>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99FD2">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75pt;margin-top:1.5pt;height:144pt;width:144pt;mso-position-horizontal-relative:margin;mso-wrap-style:none;z-index:251660288;mso-width-relative:page;mso-height-relative:page;" filled="f" stroked="f" coordsize="21600,21600" o:gfxdata="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7xW9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32B99FD2">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0119">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946D">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0E3FC3"/>
    <w:rsid w:val="00200875"/>
    <w:rsid w:val="00951FEE"/>
    <w:rsid w:val="009F3AFC"/>
    <w:rsid w:val="00A95E9C"/>
    <w:rsid w:val="00BC05CB"/>
    <w:rsid w:val="011F28D3"/>
    <w:rsid w:val="01844E19"/>
    <w:rsid w:val="01CF32DE"/>
    <w:rsid w:val="01DD1972"/>
    <w:rsid w:val="01FD40F1"/>
    <w:rsid w:val="02051E2E"/>
    <w:rsid w:val="02B22144"/>
    <w:rsid w:val="030014CC"/>
    <w:rsid w:val="03455479"/>
    <w:rsid w:val="03AC7D7B"/>
    <w:rsid w:val="04013FA5"/>
    <w:rsid w:val="041E0EAD"/>
    <w:rsid w:val="04B073F7"/>
    <w:rsid w:val="058E1023"/>
    <w:rsid w:val="05C807C9"/>
    <w:rsid w:val="061D4AE9"/>
    <w:rsid w:val="062B5ABB"/>
    <w:rsid w:val="069C40D7"/>
    <w:rsid w:val="06B31420"/>
    <w:rsid w:val="07445783"/>
    <w:rsid w:val="08076BAC"/>
    <w:rsid w:val="08157D0A"/>
    <w:rsid w:val="082B7D91"/>
    <w:rsid w:val="08516175"/>
    <w:rsid w:val="088675ED"/>
    <w:rsid w:val="089E130F"/>
    <w:rsid w:val="08A70EB9"/>
    <w:rsid w:val="092A1E12"/>
    <w:rsid w:val="094E2162"/>
    <w:rsid w:val="095B2106"/>
    <w:rsid w:val="098F0FA5"/>
    <w:rsid w:val="09A231A8"/>
    <w:rsid w:val="0AE4604C"/>
    <w:rsid w:val="0B327E48"/>
    <w:rsid w:val="0B5D195B"/>
    <w:rsid w:val="0B8E1704"/>
    <w:rsid w:val="0C112E71"/>
    <w:rsid w:val="0C4C2651"/>
    <w:rsid w:val="0C8F3D96"/>
    <w:rsid w:val="0D6671EC"/>
    <w:rsid w:val="0E10489D"/>
    <w:rsid w:val="0F410220"/>
    <w:rsid w:val="0F5D7B56"/>
    <w:rsid w:val="0F926D2E"/>
    <w:rsid w:val="0FB35FED"/>
    <w:rsid w:val="10632F32"/>
    <w:rsid w:val="108B04C2"/>
    <w:rsid w:val="10D95F27"/>
    <w:rsid w:val="1142587A"/>
    <w:rsid w:val="11553800"/>
    <w:rsid w:val="11BC387F"/>
    <w:rsid w:val="12011292"/>
    <w:rsid w:val="127203E1"/>
    <w:rsid w:val="129F4917"/>
    <w:rsid w:val="13421B62"/>
    <w:rsid w:val="13A050E7"/>
    <w:rsid w:val="13A244C7"/>
    <w:rsid w:val="13EF0002"/>
    <w:rsid w:val="14741B39"/>
    <w:rsid w:val="14AA3E63"/>
    <w:rsid w:val="150D00D3"/>
    <w:rsid w:val="15AB60E4"/>
    <w:rsid w:val="15C947BC"/>
    <w:rsid w:val="16243B6E"/>
    <w:rsid w:val="16500214"/>
    <w:rsid w:val="16614C2A"/>
    <w:rsid w:val="1735378C"/>
    <w:rsid w:val="17586B74"/>
    <w:rsid w:val="17866686"/>
    <w:rsid w:val="18196B6F"/>
    <w:rsid w:val="1907403C"/>
    <w:rsid w:val="194A1AC8"/>
    <w:rsid w:val="196654F1"/>
    <w:rsid w:val="1A5916FA"/>
    <w:rsid w:val="1ACF0994"/>
    <w:rsid w:val="1ADB2985"/>
    <w:rsid w:val="1B326960"/>
    <w:rsid w:val="1B7C3FB9"/>
    <w:rsid w:val="1BCC1635"/>
    <w:rsid w:val="1D04432C"/>
    <w:rsid w:val="1D1F6E89"/>
    <w:rsid w:val="1D383FD6"/>
    <w:rsid w:val="1DC1221D"/>
    <w:rsid w:val="1DEC2C84"/>
    <w:rsid w:val="1E17071F"/>
    <w:rsid w:val="1E29348B"/>
    <w:rsid w:val="1E6609BF"/>
    <w:rsid w:val="1EAC44A7"/>
    <w:rsid w:val="1F117716"/>
    <w:rsid w:val="1F8E271B"/>
    <w:rsid w:val="1FBB33C8"/>
    <w:rsid w:val="1FC85967"/>
    <w:rsid w:val="203222E6"/>
    <w:rsid w:val="204F3B10"/>
    <w:rsid w:val="20523600"/>
    <w:rsid w:val="20E223FB"/>
    <w:rsid w:val="20E64474"/>
    <w:rsid w:val="21464F13"/>
    <w:rsid w:val="21BE719F"/>
    <w:rsid w:val="224F429B"/>
    <w:rsid w:val="23631F61"/>
    <w:rsid w:val="238D507B"/>
    <w:rsid w:val="23E07BD5"/>
    <w:rsid w:val="251C281B"/>
    <w:rsid w:val="25280D20"/>
    <w:rsid w:val="25FC1B6A"/>
    <w:rsid w:val="26672398"/>
    <w:rsid w:val="26B37B9F"/>
    <w:rsid w:val="271B5D95"/>
    <w:rsid w:val="273A436A"/>
    <w:rsid w:val="27710810"/>
    <w:rsid w:val="27E16961"/>
    <w:rsid w:val="290D5E5A"/>
    <w:rsid w:val="29BD7D3C"/>
    <w:rsid w:val="29E46919"/>
    <w:rsid w:val="2A1D2C3D"/>
    <w:rsid w:val="2A1F2C38"/>
    <w:rsid w:val="2A2D6A04"/>
    <w:rsid w:val="2A784B2D"/>
    <w:rsid w:val="2A785045"/>
    <w:rsid w:val="2AAB5339"/>
    <w:rsid w:val="2AC24BA7"/>
    <w:rsid w:val="2B79362F"/>
    <w:rsid w:val="2B8C4F39"/>
    <w:rsid w:val="2B9E2295"/>
    <w:rsid w:val="2C8B41B2"/>
    <w:rsid w:val="2CFA5D9C"/>
    <w:rsid w:val="2DC309C3"/>
    <w:rsid w:val="2DED6716"/>
    <w:rsid w:val="2E07339C"/>
    <w:rsid w:val="2EFC29C4"/>
    <w:rsid w:val="2F1C72B3"/>
    <w:rsid w:val="2F3C7955"/>
    <w:rsid w:val="2FC71794"/>
    <w:rsid w:val="30204046"/>
    <w:rsid w:val="310F7B8F"/>
    <w:rsid w:val="31442D31"/>
    <w:rsid w:val="31774C75"/>
    <w:rsid w:val="31F50C2D"/>
    <w:rsid w:val="31FD6612"/>
    <w:rsid w:val="326571C3"/>
    <w:rsid w:val="32C1089D"/>
    <w:rsid w:val="32EB3B6C"/>
    <w:rsid w:val="33775400"/>
    <w:rsid w:val="33F01C8F"/>
    <w:rsid w:val="34047828"/>
    <w:rsid w:val="343706EB"/>
    <w:rsid w:val="344E1C6F"/>
    <w:rsid w:val="347C2F67"/>
    <w:rsid w:val="34996C6F"/>
    <w:rsid w:val="34A22009"/>
    <w:rsid w:val="34D12CF9"/>
    <w:rsid w:val="354A265C"/>
    <w:rsid w:val="35B53FBD"/>
    <w:rsid w:val="363D60B8"/>
    <w:rsid w:val="36A77DAA"/>
    <w:rsid w:val="36C83179"/>
    <w:rsid w:val="370C4333"/>
    <w:rsid w:val="37225683"/>
    <w:rsid w:val="372748CB"/>
    <w:rsid w:val="37461371"/>
    <w:rsid w:val="376A1E4F"/>
    <w:rsid w:val="37A81FD1"/>
    <w:rsid w:val="386B7755"/>
    <w:rsid w:val="38C236CA"/>
    <w:rsid w:val="39072E10"/>
    <w:rsid w:val="39116741"/>
    <w:rsid w:val="3965276B"/>
    <w:rsid w:val="39E83924"/>
    <w:rsid w:val="3A110B07"/>
    <w:rsid w:val="3A2A31CC"/>
    <w:rsid w:val="3B2522B6"/>
    <w:rsid w:val="3B313DE1"/>
    <w:rsid w:val="3B495557"/>
    <w:rsid w:val="3B7918F6"/>
    <w:rsid w:val="3B9603ED"/>
    <w:rsid w:val="3BD232AA"/>
    <w:rsid w:val="3BF770DE"/>
    <w:rsid w:val="3C1E30AA"/>
    <w:rsid w:val="3C620396"/>
    <w:rsid w:val="3C722C08"/>
    <w:rsid w:val="3C7D32C2"/>
    <w:rsid w:val="3C8A5E5F"/>
    <w:rsid w:val="3D996A75"/>
    <w:rsid w:val="3E406C06"/>
    <w:rsid w:val="3ED417EA"/>
    <w:rsid w:val="3EEF569D"/>
    <w:rsid w:val="3F042EDF"/>
    <w:rsid w:val="3F0F2990"/>
    <w:rsid w:val="3F8A2017"/>
    <w:rsid w:val="40100624"/>
    <w:rsid w:val="40B97948"/>
    <w:rsid w:val="40BF5A1E"/>
    <w:rsid w:val="40F45458"/>
    <w:rsid w:val="410302D3"/>
    <w:rsid w:val="41313A1B"/>
    <w:rsid w:val="415844BA"/>
    <w:rsid w:val="41A33677"/>
    <w:rsid w:val="41EC74B9"/>
    <w:rsid w:val="42A751E8"/>
    <w:rsid w:val="42B94077"/>
    <w:rsid w:val="42D92940"/>
    <w:rsid w:val="42E61C5A"/>
    <w:rsid w:val="433E49AD"/>
    <w:rsid w:val="43C024AB"/>
    <w:rsid w:val="44000AFA"/>
    <w:rsid w:val="44242A3A"/>
    <w:rsid w:val="44496945"/>
    <w:rsid w:val="445043AE"/>
    <w:rsid w:val="44D6679B"/>
    <w:rsid w:val="44EB79FC"/>
    <w:rsid w:val="45650C43"/>
    <w:rsid w:val="457B0D80"/>
    <w:rsid w:val="45EE22DC"/>
    <w:rsid w:val="465515D1"/>
    <w:rsid w:val="46564467"/>
    <w:rsid w:val="46CE1751"/>
    <w:rsid w:val="47173438"/>
    <w:rsid w:val="47FC4AB3"/>
    <w:rsid w:val="48473F43"/>
    <w:rsid w:val="486C0E54"/>
    <w:rsid w:val="489B34E7"/>
    <w:rsid w:val="491F4DFE"/>
    <w:rsid w:val="49225801"/>
    <w:rsid w:val="4944487A"/>
    <w:rsid w:val="4B6126FE"/>
    <w:rsid w:val="4BA71E75"/>
    <w:rsid w:val="4BBC5C4E"/>
    <w:rsid w:val="4C6267F5"/>
    <w:rsid w:val="4CD46FC7"/>
    <w:rsid w:val="4D534390"/>
    <w:rsid w:val="4D61085B"/>
    <w:rsid w:val="4DA81B78"/>
    <w:rsid w:val="4DC1579E"/>
    <w:rsid w:val="4DC16BB8"/>
    <w:rsid w:val="4E102281"/>
    <w:rsid w:val="4E4D24B7"/>
    <w:rsid w:val="4E7F7BF0"/>
    <w:rsid w:val="4F284BD5"/>
    <w:rsid w:val="504C6A58"/>
    <w:rsid w:val="509E5922"/>
    <w:rsid w:val="50A22112"/>
    <w:rsid w:val="50B74C36"/>
    <w:rsid w:val="50B909AE"/>
    <w:rsid w:val="50D50B0D"/>
    <w:rsid w:val="50E26863"/>
    <w:rsid w:val="518979CC"/>
    <w:rsid w:val="52614E59"/>
    <w:rsid w:val="52A56FED"/>
    <w:rsid w:val="53B349BB"/>
    <w:rsid w:val="53ED2369"/>
    <w:rsid w:val="540E1011"/>
    <w:rsid w:val="54454557"/>
    <w:rsid w:val="5467641D"/>
    <w:rsid w:val="54C73958"/>
    <w:rsid w:val="54E51D72"/>
    <w:rsid w:val="55590D4A"/>
    <w:rsid w:val="558A2919"/>
    <w:rsid w:val="5598523A"/>
    <w:rsid w:val="55D1023B"/>
    <w:rsid w:val="55E55DA1"/>
    <w:rsid w:val="561346BC"/>
    <w:rsid w:val="56655A83"/>
    <w:rsid w:val="566A0472"/>
    <w:rsid w:val="56A122EE"/>
    <w:rsid w:val="56B365F2"/>
    <w:rsid w:val="571C1C97"/>
    <w:rsid w:val="577473DD"/>
    <w:rsid w:val="57DD263C"/>
    <w:rsid w:val="57EE76DD"/>
    <w:rsid w:val="585711D8"/>
    <w:rsid w:val="58902BFC"/>
    <w:rsid w:val="58AD279A"/>
    <w:rsid w:val="58C4394C"/>
    <w:rsid w:val="58D418CA"/>
    <w:rsid w:val="58E529EC"/>
    <w:rsid w:val="59030A18"/>
    <w:rsid w:val="59205D38"/>
    <w:rsid w:val="597D4C6F"/>
    <w:rsid w:val="59C94FB5"/>
    <w:rsid w:val="59D820AB"/>
    <w:rsid w:val="5A9803FD"/>
    <w:rsid w:val="5C46174B"/>
    <w:rsid w:val="5C781657"/>
    <w:rsid w:val="5CBA1D36"/>
    <w:rsid w:val="5D307EFB"/>
    <w:rsid w:val="5D942597"/>
    <w:rsid w:val="5DCB6DD4"/>
    <w:rsid w:val="5DDD5997"/>
    <w:rsid w:val="5DDE7CA6"/>
    <w:rsid w:val="5EC51967"/>
    <w:rsid w:val="5EFB1046"/>
    <w:rsid w:val="5F13397F"/>
    <w:rsid w:val="5F304531"/>
    <w:rsid w:val="5F7F5B76"/>
    <w:rsid w:val="5F9E07E1"/>
    <w:rsid w:val="60217911"/>
    <w:rsid w:val="60570CFE"/>
    <w:rsid w:val="60B414A2"/>
    <w:rsid w:val="60E60A94"/>
    <w:rsid w:val="613926B5"/>
    <w:rsid w:val="61A44D62"/>
    <w:rsid w:val="61CD7A93"/>
    <w:rsid w:val="61CF012A"/>
    <w:rsid w:val="61D562CA"/>
    <w:rsid w:val="62466CE8"/>
    <w:rsid w:val="62B47F03"/>
    <w:rsid w:val="62BB2173"/>
    <w:rsid w:val="6307250B"/>
    <w:rsid w:val="63133F4E"/>
    <w:rsid w:val="632C2E62"/>
    <w:rsid w:val="63A23524"/>
    <w:rsid w:val="64EF4296"/>
    <w:rsid w:val="65312DB1"/>
    <w:rsid w:val="654B3E73"/>
    <w:rsid w:val="65A43DE1"/>
    <w:rsid w:val="66C335AB"/>
    <w:rsid w:val="670815C7"/>
    <w:rsid w:val="67C91DE0"/>
    <w:rsid w:val="681D537C"/>
    <w:rsid w:val="68AF64C7"/>
    <w:rsid w:val="69966FC3"/>
    <w:rsid w:val="69BE7A7D"/>
    <w:rsid w:val="69CD2D06"/>
    <w:rsid w:val="6A2932E0"/>
    <w:rsid w:val="6A832EF5"/>
    <w:rsid w:val="6AAA7F05"/>
    <w:rsid w:val="6AAE27AE"/>
    <w:rsid w:val="6AEF34F2"/>
    <w:rsid w:val="6C564F9A"/>
    <w:rsid w:val="6C846928"/>
    <w:rsid w:val="6CB26586"/>
    <w:rsid w:val="6D274DA7"/>
    <w:rsid w:val="6D3C5791"/>
    <w:rsid w:val="6D5A5D50"/>
    <w:rsid w:val="6DEB6B12"/>
    <w:rsid w:val="6E02688E"/>
    <w:rsid w:val="6E550418"/>
    <w:rsid w:val="6E560B0F"/>
    <w:rsid w:val="6EF74724"/>
    <w:rsid w:val="6EFF47BA"/>
    <w:rsid w:val="6F394D3C"/>
    <w:rsid w:val="6F657F39"/>
    <w:rsid w:val="6F6E3FD1"/>
    <w:rsid w:val="6F705600"/>
    <w:rsid w:val="6FC445FC"/>
    <w:rsid w:val="6FD61F1E"/>
    <w:rsid w:val="6FF46C64"/>
    <w:rsid w:val="708C17E3"/>
    <w:rsid w:val="70D24CB2"/>
    <w:rsid w:val="71B27028"/>
    <w:rsid w:val="724B2FD5"/>
    <w:rsid w:val="727C1767"/>
    <w:rsid w:val="72B86D8A"/>
    <w:rsid w:val="72C65FB9"/>
    <w:rsid w:val="72F86CBC"/>
    <w:rsid w:val="73C80D84"/>
    <w:rsid w:val="740B7313"/>
    <w:rsid w:val="746F0F41"/>
    <w:rsid w:val="74AF784E"/>
    <w:rsid w:val="74B80DF9"/>
    <w:rsid w:val="74C657DF"/>
    <w:rsid w:val="75091655"/>
    <w:rsid w:val="751C3136"/>
    <w:rsid w:val="76150602"/>
    <w:rsid w:val="761738FD"/>
    <w:rsid w:val="7695679F"/>
    <w:rsid w:val="76D249F1"/>
    <w:rsid w:val="76D96E05"/>
    <w:rsid w:val="76FC7D28"/>
    <w:rsid w:val="77992DA9"/>
    <w:rsid w:val="782446B8"/>
    <w:rsid w:val="78532FC3"/>
    <w:rsid w:val="78E7601E"/>
    <w:rsid w:val="78EA778B"/>
    <w:rsid w:val="78F06C72"/>
    <w:rsid w:val="79C96773"/>
    <w:rsid w:val="79D61A12"/>
    <w:rsid w:val="7A195E96"/>
    <w:rsid w:val="7AA33F18"/>
    <w:rsid w:val="7AB14D88"/>
    <w:rsid w:val="7ADF7B23"/>
    <w:rsid w:val="7B191EC6"/>
    <w:rsid w:val="7B6A44CF"/>
    <w:rsid w:val="7BE10C35"/>
    <w:rsid w:val="7BEE3352"/>
    <w:rsid w:val="7C663B77"/>
    <w:rsid w:val="7C7535FD"/>
    <w:rsid w:val="7C7E6484"/>
    <w:rsid w:val="7C7F518D"/>
    <w:rsid w:val="7D1512CD"/>
    <w:rsid w:val="7DC26844"/>
    <w:rsid w:val="7E17693C"/>
    <w:rsid w:val="7E696DF4"/>
    <w:rsid w:val="7EBC6E92"/>
    <w:rsid w:val="7ED22AB7"/>
    <w:rsid w:val="7F1B7FBA"/>
    <w:rsid w:val="7F710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3">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customStyle="1" w:styleId="2">
    <w:name w:val="_Style 2"/>
    <w:basedOn w:val="1"/>
    <w:autoRedefine/>
    <w:qFormat/>
    <w:uiPriority w:val="34"/>
    <w:pPr>
      <w:ind w:firstLine="420" w:firstLineChars="200"/>
    </w:pPr>
  </w:style>
  <w:style w:type="paragraph" w:styleId="5">
    <w:name w:val="List Number"/>
    <w:basedOn w:val="1"/>
    <w:autoRedefine/>
    <w:qFormat/>
    <w:uiPriority w:val="0"/>
    <w:pPr>
      <w:numPr>
        <w:ilvl w:val="0"/>
        <w:numId w:val="1"/>
      </w:numPr>
    </w:pPr>
  </w:style>
  <w:style w:type="paragraph" w:styleId="6">
    <w:name w:val="toa heading"/>
    <w:basedOn w:val="1"/>
    <w:next w:val="1"/>
    <w:autoRedefine/>
    <w:qFormat/>
    <w:uiPriority w:val="0"/>
    <w:pPr>
      <w:spacing w:before="120"/>
    </w:pPr>
    <w:rPr>
      <w:rFonts w:ascii="Arial" w:hAnsi="Arial" w:cs="Arial"/>
    </w:rPr>
  </w:style>
  <w:style w:type="paragraph" w:styleId="7">
    <w:name w:val="Body Text"/>
    <w:basedOn w:val="1"/>
    <w:autoRedefine/>
    <w:qFormat/>
    <w:uiPriority w:val="0"/>
    <w:pPr>
      <w:ind w:left="120"/>
    </w:pPr>
    <w:rPr>
      <w:rFonts w:ascii="宋体" w:hAnsi="宋体"/>
      <w:sz w:val="32"/>
      <w:szCs w:val="32"/>
    </w:rPr>
  </w:style>
  <w:style w:type="paragraph" w:styleId="8">
    <w:name w:val="Body Text Indent"/>
    <w:basedOn w:val="1"/>
    <w:autoRedefine/>
    <w:qFormat/>
    <w:uiPriority w:val="0"/>
    <w:pPr>
      <w:spacing w:after="120"/>
      <w:ind w:left="420" w:leftChars="200"/>
    </w:pPr>
  </w:style>
  <w:style w:type="paragraph" w:styleId="9">
    <w:name w:val="Plain Text"/>
    <w:basedOn w:val="1"/>
    <w:autoRedefine/>
    <w:qFormat/>
    <w:uiPriority w:val="0"/>
    <w:rPr>
      <w:rFonts w:ascii="宋体" w:hAnsi="Courier New" w:eastAsia="宋体" w:cs="Times New Roman"/>
    </w:rPr>
  </w:style>
  <w:style w:type="paragraph" w:styleId="10">
    <w:name w:val="Body Text Indent 2"/>
    <w:basedOn w:val="1"/>
    <w:next w:val="11"/>
    <w:autoRedefine/>
    <w:qFormat/>
    <w:uiPriority w:val="0"/>
    <w:pPr>
      <w:adjustRightInd w:val="0"/>
      <w:snapToGrid w:val="0"/>
      <w:spacing w:line="440" w:lineRule="atLeast"/>
      <w:ind w:firstLine="573"/>
    </w:pPr>
    <w:rPr>
      <w:rFonts w:ascii="宋体"/>
    </w:rPr>
  </w:style>
  <w:style w:type="paragraph" w:customStyle="1" w:styleId="11">
    <w:name w:val="简单回函地址"/>
    <w:basedOn w:val="1"/>
    <w:next w:val="12"/>
    <w:autoRedefine/>
    <w:qFormat/>
    <w:uiPriority w:val="0"/>
    <w:rPr>
      <w:szCs w:val="20"/>
    </w:rPr>
  </w:style>
  <w:style w:type="paragraph" w:customStyle="1" w:styleId="12">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6"/>
    <w:basedOn w:val="1"/>
    <w:next w:val="1"/>
    <w:autoRedefine/>
    <w:qFormat/>
    <w:uiPriority w:val="0"/>
    <w:pPr>
      <w:ind w:left="2100"/>
    </w:pPr>
    <w:rPr>
      <w:rFonts w:ascii="楷体_GB2312" w:hAnsi="Calibri" w:eastAsia="楷体_GB2312"/>
    </w:rPr>
  </w:style>
  <w:style w:type="paragraph" w:styleId="16">
    <w:name w:val="table of figures"/>
    <w:basedOn w:val="1"/>
    <w:next w:val="1"/>
    <w:autoRedefine/>
    <w:qFormat/>
    <w:uiPriority w:val="0"/>
    <w:pPr>
      <w:ind w:left="200" w:leftChars="200" w:hanging="200" w:hangingChars="200"/>
    </w:p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8"/>
    <w:next w:val="1"/>
    <w:autoRedefine/>
    <w:qFormat/>
    <w:uiPriority w:val="0"/>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常用样式（方正仿宋简）"/>
    <w:basedOn w:val="23"/>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3">
    <w:name w:val="正文1"/>
    <w:next w:val="22"/>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正文文本1"/>
    <w:basedOn w:val="23"/>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7">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8">
    <w:name w:val="font21"/>
    <w:basedOn w:val="21"/>
    <w:autoRedefine/>
    <w:qFormat/>
    <w:uiPriority w:val="0"/>
    <w:rPr>
      <w:rFonts w:hint="eastAsia" w:ascii="宋体" w:hAnsi="宋体" w:eastAsia="宋体" w:cs="宋体"/>
      <w:color w:val="000000"/>
      <w:sz w:val="20"/>
      <w:szCs w:val="20"/>
      <w:u w:val="none"/>
    </w:rPr>
  </w:style>
  <w:style w:type="paragraph" w:customStyle="1" w:styleId="29">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0">
    <w:name w:val="font71"/>
    <w:basedOn w:val="21"/>
    <w:autoRedefine/>
    <w:qFormat/>
    <w:uiPriority w:val="0"/>
    <w:rPr>
      <w:rFonts w:hint="eastAsia" w:ascii="宋体" w:hAnsi="宋体" w:eastAsia="宋体" w:cs="宋体"/>
      <w:color w:val="000000"/>
      <w:sz w:val="22"/>
      <w:szCs w:val="22"/>
      <w:u w:val="none"/>
    </w:rPr>
  </w:style>
  <w:style w:type="paragraph" w:customStyle="1" w:styleId="31">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2">
    <w:name w:val="List Paragraph"/>
    <w:basedOn w:val="1"/>
    <w:autoRedefine/>
    <w:qFormat/>
    <w:uiPriority w:val="99"/>
    <w:pPr>
      <w:ind w:firstLine="420" w:firstLineChars="200"/>
    </w:pPr>
  </w:style>
  <w:style w:type="character" w:customStyle="1" w:styleId="33">
    <w:name w:val="font01"/>
    <w:basedOn w:val="21"/>
    <w:autoRedefine/>
    <w:qFormat/>
    <w:uiPriority w:val="0"/>
    <w:rPr>
      <w:rFonts w:hint="eastAsia" w:ascii="宋体" w:hAnsi="宋体" w:eastAsia="宋体" w:cs="宋体"/>
      <w:color w:val="000000"/>
      <w:sz w:val="16"/>
      <w:szCs w:val="16"/>
      <w:u w:val="none"/>
    </w:rPr>
  </w:style>
  <w:style w:type="paragraph" w:customStyle="1" w:styleId="34">
    <w:name w:val="章标题"/>
    <w:basedOn w:val="1"/>
    <w:next w:val="1"/>
    <w:autoRedefine/>
    <w:qFormat/>
    <w:uiPriority w:val="0"/>
    <w:pPr>
      <w:widowControl/>
      <w:spacing w:before="158" w:after="153" w:line="323" w:lineRule="atLeast"/>
      <w:ind w:right="-120"/>
      <w:jc w:val="center"/>
      <w:textAlignment w:val="baseline"/>
    </w:pPr>
    <w:rPr>
      <w:color w:val="FF0000"/>
      <w:sz w:val="18"/>
    </w:rPr>
  </w:style>
  <w:style w:type="character" w:customStyle="1" w:styleId="35">
    <w:name w:val="font11"/>
    <w:autoRedefine/>
    <w:qFormat/>
    <w:uiPriority w:val="0"/>
    <w:rPr>
      <w:rFonts w:ascii="宋体" w:eastAsia="宋体" w:cs="宋体"/>
      <w:color w:val="000000"/>
      <w:sz w:val="22"/>
      <w:szCs w:val="22"/>
      <w:u w:val="none"/>
      <w:lang w:bidi="ar-SA"/>
    </w:rPr>
  </w:style>
  <w:style w:type="paragraph" w:customStyle="1" w:styleId="36">
    <w:name w:val="正文_7"/>
    <w:autoRedefine/>
    <w:qFormat/>
    <w:uiPriority w:val="0"/>
    <w:pPr>
      <w:widowControl w:val="0"/>
      <w:overflowPunct w:val="0"/>
      <w:autoSpaceDE w:val="0"/>
      <w:autoSpaceDN w:val="0"/>
      <w:adjustRightInd w:val="0"/>
      <w:snapToGrid w:val="0"/>
      <w:jc w:val="both"/>
    </w:pPr>
    <w:rPr>
      <w:rFonts w:ascii="宋体" w:hAnsi="Times New Roman" w:eastAsia="宋体" w:cs="Times New Roman"/>
      <w:snapToGrid w:val="0"/>
      <w:sz w:val="28"/>
      <w:szCs w:val="24"/>
      <w:lang w:val="en-US" w:eastAsia="zh-CN" w:bidi="ar-SA"/>
    </w:rPr>
  </w:style>
  <w:style w:type="table" w:customStyle="1" w:styleId="3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2054</Words>
  <Characters>2104</Characters>
  <Lines>0</Lines>
  <Paragraphs>0</Paragraphs>
  <TotalTime>1</TotalTime>
  <ScaleCrop>false</ScaleCrop>
  <LinksUpToDate>false</LinksUpToDate>
  <CharactersWithSpaces>2112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苟朝群</cp:lastModifiedBy>
  <cp:lastPrinted>2024-09-24T07:49:00Z</cp:lastPrinted>
  <dcterms:modified xsi:type="dcterms:W3CDTF">2024-09-27T06:43:35Z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770FC33594934BA7A1849BCD676E20C8_13</vt:lpwstr>
  </property>
</Properties>
</file>