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bookmarkStart w:id="0" w:name="OLE_LINK1"/>
      <w:bookmarkStart w:id="1" w:name="OLE_LINK4"/>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cs="Times New Roman"/>
          <w:sz w:val="32"/>
          <w:szCs w:val="32"/>
          <w:lang w:val="en-US" w:eastAsia="zh-CN"/>
        </w:rPr>
        <w:t>77</w:t>
      </w:r>
      <w:r>
        <w:rPr>
          <w:rFonts w:hint="eastAsia" w:ascii="仿宋_GB2312" w:hAnsi="仿宋_GB2312" w:eastAsia="仿宋_GB2312" w:cs="仿宋_GB2312"/>
          <w:sz w:val="32"/>
          <w:szCs w:val="32"/>
        </w:rPr>
        <w:t>号</w:t>
      </w:r>
    </w:p>
    <w:p w14:paraId="187037DF">
      <w:pPr>
        <w:pStyle w:val="3"/>
        <w:pageBreakBefore w:val="0"/>
        <w:widowControl w:val="0"/>
        <w:kinsoku/>
        <w:wordWrap/>
        <w:overflowPunct/>
        <w:topLinePunct w:val="0"/>
        <w:autoSpaceDE/>
        <w:autoSpaceDN/>
        <w:bidi w:val="0"/>
        <w:adjustRightInd/>
        <w:snapToGrid/>
        <w:spacing w:beforeLines="0" w:afterLines="0" w:line="58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8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7E9DFCC1">
      <w:pPr>
        <w:pStyle w:val="14"/>
        <w:widowControl/>
        <w:spacing w:beforeAutospacing="0" w:afterAutospacing="0" w:line="56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w:t>
      </w:r>
      <w:bookmarkStart w:id="2" w:name="OLE_LINK2"/>
      <w:r>
        <w:rPr>
          <w:rFonts w:hint="eastAsia" w:ascii="方正小标宋简体" w:hAnsi="方正小标宋简体" w:eastAsia="方正小标宋简体" w:cs="方正小标宋简体"/>
          <w:kern w:val="2"/>
          <w:sz w:val="44"/>
          <w:szCs w:val="44"/>
          <w:lang w:val="en-US" w:eastAsia="zh-CN" w:bidi="ar-SA"/>
        </w:rPr>
        <w:t>15万只/年200L中空容器生产项目</w:t>
      </w:r>
      <w:bookmarkEnd w:id="2"/>
    </w:p>
    <w:p w14:paraId="6C947710">
      <w:pPr>
        <w:pStyle w:val="1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2"/>
          <w:sz w:val="44"/>
          <w:szCs w:val="44"/>
          <w:lang w:val="en-US" w:eastAsia="zh-CN" w:bidi="ar-SA"/>
        </w:rPr>
        <w:t>环境影响报告表的批复</w:t>
      </w:r>
    </w:p>
    <w:p w14:paraId="1A4C9D87">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pacing w:val="-6"/>
          <w:kern w:val="2"/>
          <w:sz w:val="32"/>
          <w:szCs w:val="32"/>
          <w:lang w:val="en-US" w:eastAsia="zh-CN" w:bidi="ar-SA"/>
        </w:rPr>
      </w:pPr>
    </w:p>
    <w:p w14:paraId="080A9B06">
      <w:pPr>
        <w:keepNext w:val="0"/>
        <w:keepLines w:val="0"/>
        <w:pageBreakBefore w:val="0"/>
        <w:kinsoku/>
        <w:wordWrap/>
        <w:topLinePunct w:val="0"/>
        <w:autoSpaceDE/>
        <w:autoSpaceDN/>
        <w:bidi w:val="0"/>
        <w:adjustRightInd/>
        <w:spacing w:line="560" w:lineRule="exact"/>
        <w:jc w:val="both"/>
        <w:textAlignment w:val="auto"/>
        <w:rPr>
          <w:rFonts w:ascii="仿宋_GB2312" w:hAnsi="仿宋_GB2312" w:cs="仿宋_GB2312"/>
        </w:rPr>
      </w:pPr>
      <w:r>
        <w:rPr>
          <w:rFonts w:hint="eastAsia" w:ascii="仿宋_GB2312" w:hAnsi="仿宋_GB2312" w:cs="仿宋_GB2312"/>
        </w:rPr>
        <w:t>四川旌峰新材料有限公司：</w:t>
      </w:r>
    </w:p>
    <w:p w14:paraId="585A1D5B">
      <w:pPr>
        <w:keepNext w:val="0"/>
        <w:keepLines w:val="0"/>
        <w:pageBreakBefore w:val="0"/>
        <w:kinsoku/>
        <w:wordWrap/>
        <w:topLinePunct w:val="0"/>
        <w:autoSpaceDE/>
        <w:autoSpaceDN/>
        <w:bidi w:val="0"/>
        <w:adjustRightInd/>
        <w:spacing w:line="560" w:lineRule="exact"/>
        <w:ind w:firstLine="632" w:firstLineChars="200"/>
        <w:jc w:val="both"/>
        <w:textAlignment w:val="auto"/>
        <w:rPr>
          <w:rFonts w:ascii="仿宋_GB2312" w:hAnsi="仿宋_GB2312" w:cs="仿宋_GB2312"/>
        </w:rPr>
      </w:pPr>
      <w:r>
        <w:rPr>
          <w:rFonts w:cs="Times New Roman"/>
        </w:rPr>
        <w:t>你公司报送的《</w:t>
      </w:r>
      <w:r>
        <w:rPr>
          <w:rFonts w:hint="eastAsia" w:cs="Times New Roman"/>
        </w:rPr>
        <w:t>15万只/年200L中空容器生产项目</w:t>
      </w:r>
      <w:r>
        <w:rPr>
          <w:rFonts w:hint="eastAsia" w:ascii="仿宋_GB2312" w:hAnsi="仿宋_GB2312" w:cs="仿宋_GB2312"/>
        </w:rPr>
        <w:t>环境影响报告表》（以下简称《报告表》）收悉。经研究，批复如下：</w:t>
      </w:r>
    </w:p>
    <w:p w14:paraId="4B83DC7E">
      <w:pPr>
        <w:keepNext w:val="0"/>
        <w:keepLines w:val="0"/>
        <w:pageBreakBefore w:val="0"/>
        <w:kinsoku/>
        <w:wordWrap/>
        <w:topLinePunct w:val="0"/>
        <w:autoSpaceDE/>
        <w:autoSpaceDN/>
        <w:bidi w:val="0"/>
        <w:adjustRightInd/>
        <w:spacing w:line="560" w:lineRule="exact"/>
        <w:ind w:firstLine="632" w:firstLineChars="200"/>
        <w:jc w:val="both"/>
        <w:textAlignment w:val="auto"/>
        <w:rPr>
          <w:rFonts w:ascii="黑体" w:hAnsi="黑体" w:eastAsia="黑体" w:cs="黑体"/>
        </w:rPr>
      </w:pPr>
      <w:r>
        <w:rPr>
          <w:rFonts w:hint="eastAsia" w:ascii="黑体" w:hAnsi="黑体" w:eastAsia="黑体" w:cs="黑体"/>
        </w:rPr>
        <w:t>一、项目概况及总体意见</w:t>
      </w:r>
    </w:p>
    <w:p w14:paraId="420663A8">
      <w:pPr>
        <w:keepNext w:val="0"/>
        <w:keepLines w:val="0"/>
        <w:pageBreakBefore w:val="0"/>
        <w:kinsoku/>
        <w:wordWrap/>
        <w:topLinePunct w:val="0"/>
        <w:autoSpaceDE/>
        <w:autoSpaceDN/>
        <w:bidi w:val="0"/>
        <w:adjustRightInd/>
        <w:spacing w:line="560" w:lineRule="exact"/>
        <w:ind w:firstLine="632" w:firstLineChars="200"/>
        <w:jc w:val="both"/>
        <w:textAlignment w:val="auto"/>
        <w:rPr>
          <w:rFonts w:cs="Times New Roman"/>
        </w:rPr>
      </w:pPr>
      <w:r>
        <w:rPr>
          <w:rFonts w:hint="eastAsia" w:cs="Times New Roman"/>
        </w:rPr>
        <w:t>该项目位于四川大英经济开发区采和大道277号，拟在你公司现有厂区的包装车间预留区域新增1条塑料容器生产线，并配套相关公辅设施。项目建成后具备15万只/年200L中空容器的生产能力。项目总投资300万元，其中环保投资8.6万元。</w:t>
      </w:r>
    </w:p>
    <w:p w14:paraId="3D286E23">
      <w:pPr>
        <w:keepNext w:val="0"/>
        <w:keepLines w:val="0"/>
        <w:pageBreakBefore w:val="0"/>
        <w:kinsoku/>
        <w:wordWrap/>
        <w:topLinePunct w:val="0"/>
        <w:autoSpaceDE/>
        <w:autoSpaceDN/>
        <w:bidi w:val="0"/>
        <w:adjustRightInd/>
        <w:spacing w:line="560" w:lineRule="exact"/>
        <w:ind w:firstLine="632" w:firstLineChars="200"/>
        <w:jc w:val="both"/>
        <w:textAlignment w:val="auto"/>
      </w:pPr>
      <w:r>
        <w:rPr>
          <w:rFonts w:hint="eastAsia" w:cs="Times New Roman"/>
        </w:rPr>
        <w:t>项目经大英县发展和改革局登记备案（备案号：川投资备【2307-510923-04-01-586259】FGQB-0058号），属于未列入《产业结构调整指导目录（2024年本）》的允许类项目，项目建设不新增用地。</w:t>
      </w:r>
      <w:r>
        <w:rPr>
          <w:rFonts w:hint="eastAsia"/>
        </w:rPr>
        <w:t>《报告表》认为</w:t>
      </w:r>
      <w:r>
        <w:t>该项目建设符合国家产业政策和相关规划要求，符合遂宁</w:t>
      </w:r>
      <w:r>
        <w:rPr>
          <w:rFonts w:hint="eastAsia" w:ascii="仿宋_GB2312" w:hAnsi="仿宋_GB2312" w:cs="仿宋_GB2312"/>
        </w:rPr>
        <w:t>市</w:t>
      </w:r>
      <w:r>
        <w:t>生态环境分区管控要求。</w:t>
      </w:r>
    </w:p>
    <w:p w14:paraId="60CB77D2">
      <w:pPr>
        <w:keepNext w:val="0"/>
        <w:keepLines w:val="0"/>
        <w:pageBreakBefore w:val="0"/>
        <w:kinsoku/>
        <w:wordWrap/>
        <w:topLinePunct w:val="0"/>
        <w:autoSpaceDE/>
        <w:autoSpaceDN/>
        <w:bidi w:val="0"/>
        <w:adjustRightInd/>
        <w:spacing w:line="560" w:lineRule="exact"/>
        <w:ind w:firstLine="632" w:firstLineChars="200"/>
        <w:jc w:val="both"/>
        <w:textAlignment w:val="auto"/>
        <w:rPr>
          <w:rFonts w:hint="eastAsia" w:ascii="仿宋_GB2312" w:hAnsi="仿宋_GB2312" w:cs="仿宋_GB2312"/>
        </w:rPr>
        <w:sectPr>
          <w:headerReference r:id="rId3" w:type="default"/>
          <w:footerReference r:id="rId5" w:type="default"/>
          <w:headerReference r:id="rId4" w:type="even"/>
          <w:footerReference r:id="rId6" w:type="even"/>
          <w:pgSz w:w="11906" w:h="16838"/>
          <w:pgMar w:top="2098" w:right="1474" w:bottom="1417" w:left="1587" w:header="851" w:footer="1020" w:gutter="0"/>
          <w:paperSrc/>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ascii="仿宋_GB2312" w:hAnsi="仿宋_GB2312" w:cs="仿宋_GB2312"/>
        </w:rPr>
        <w:t>在严格落实《报告表》提出的生态环境保护对策及措施，严</w:t>
      </w:r>
    </w:p>
    <w:p w14:paraId="3F02E193">
      <w:pPr>
        <w:keepNext w:val="0"/>
        <w:keepLines w:val="0"/>
        <w:pageBreakBefore w:val="0"/>
        <w:kinsoku/>
        <w:wordWrap/>
        <w:topLinePunct w:val="0"/>
        <w:autoSpaceDE/>
        <w:autoSpaceDN/>
        <w:bidi w:val="0"/>
        <w:adjustRightInd/>
        <w:spacing w:line="560" w:lineRule="exact"/>
        <w:jc w:val="both"/>
        <w:textAlignment w:val="auto"/>
        <w:rPr>
          <w:rFonts w:ascii="仿宋_GB2312" w:hAnsi="仿宋_GB2312" w:cs="仿宋_GB2312"/>
        </w:rPr>
      </w:pPr>
      <w:r>
        <w:rPr>
          <w:rFonts w:hint="eastAsia" w:ascii="仿宋_GB2312" w:hAnsi="仿宋_GB2312" w:cs="仿宋_GB2312"/>
        </w:rPr>
        <w:t>格执行环境保护“三同时”制度，认真落实环境风险防范措施及应急预案的前提下，项目建设从生态环境保护角度可行，我局原则同意《报告表》的总体结论和拟采取的各项生态环境保护措施。你公司应严格按照《报告表》中所列项目建设的性质、规模、工艺、地点和拟采取的环境保护措施进行建设和运行，以确保对环境的不利影响得到缓解和控制。</w:t>
      </w:r>
    </w:p>
    <w:p w14:paraId="3433DE3D">
      <w:pPr>
        <w:keepNext w:val="0"/>
        <w:keepLines w:val="0"/>
        <w:pageBreakBefore w:val="0"/>
        <w:kinsoku/>
        <w:wordWrap/>
        <w:topLinePunct w:val="0"/>
        <w:autoSpaceDE/>
        <w:autoSpaceDN/>
        <w:bidi w:val="0"/>
        <w:adjustRightInd/>
        <w:spacing w:line="560" w:lineRule="exact"/>
        <w:ind w:firstLine="632" w:firstLineChars="200"/>
        <w:jc w:val="both"/>
        <w:textAlignment w:val="auto"/>
        <w:rPr>
          <w:rFonts w:ascii="黑体" w:hAnsi="黑体" w:eastAsia="黑体" w:cs="黑体"/>
        </w:rPr>
      </w:pPr>
      <w:r>
        <w:rPr>
          <w:rFonts w:hint="eastAsia" w:ascii="黑体" w:hAnsi="黑体" w:eastAsia="黑体" w:cs="黑体"/>
        </w:rPr>
        <w:t>二、项目建设及营运重点做好以下工作</w:t>
      </w:r>
    </w:p>
    <w:p w14:paraId="422E8597">
      <w:pPr>
        <w:keepNext w:val="0"/>
        <w:keepLines w:val="0"/>
        <w:pageBreakBefore w:val="0"/>
        <w:kinsoku/>
        <w:wordWrap/>
        <w:topLinePunct w:val="0"/>
        <w:autoSpaceDE/>
        <w:autoSpaceDN/>
        <w:bidi w:val="0"/>
        <w:adjustRightInd/>
        <w:spacing w:line="560" w:lineRule="exact"/>
        <w:ind w:firstLine="632" w:firstLineChars="200"/>
        <w:jc w:val="both"/>
        <w:textAlignment w:val="auto"/>
        <w:rPr>
          <w:rFonts w:ascii="仿宋_GB2312" w:hAnsi="仿宋_GB2312" w:cs="仿宋_GB2312"/>
          <w:color w:val="000000"/>
          <w:kern w:val="18"/>
        </w:rPr>
      </w:pPr>
      <w:r>
        <w:rPr>
          <w:rFonts w:hint="eastAsia" w:ascii="楷体_GB2312" w:hAnsi="楷体_GB2312" w:eastAsia="楷体_GB2312" w:cs="楷体_GB2312"/>
        </w:rPr>
        <w:t>（一）落实污染防治和环境风险防范措施。</w:t>
      </w:r>
      <w:r>
        <w:rPr>
          <w:rFonts w:hint="eastAsia" w:ascii="仿宋_GB2312" w:hAnsi="仿宋_GB2312" w:cs="仿宋_GB2312"/>
          <w:color w:val="000000"/>
          <w:kern w:val="18"/>
        </w:rPr>
        <w:t>加强环保设施的日常管理和维护，确保环保设施正常运行及各类污染物稳定达标排放。制定并不断完善突发环境事件应急预案，制定并严格落实重污染天气应急响应“</w:t>
      </w:r>
      <w:bookmarkStart w:id="3" w:name="OLE_LINK3"/>
      <w:r>
        <w:rPr>
          <w:rFonts w:hint="eastAsia" w:ascii="仿宋_GB2312" w:hAnsi="仿宋_GB2312" w:cs="仿宋_GB2312"/>
          <w:color w:val="000000"/>
          <w:kern w:val="18"/>
        </w:rPr>
        <w:t>一厂一策</w:t>
      </w:r>
      <w:bookmarkEnd w:id="3"/>
      <w:r>
        <w:rPr>
          <w:rFonts w:hint="eastAsia" w:ascii="仿宋_GB2312" w:hAnsi="仿宋_GB2312" w:cs="仿宋_GB2312"/>
          <w:color w:val="000000"/>
          <w:kern w:val="18"/>
        </w:rPr>
        <w:t>”方案。规范内部管理，严格操作规范，定期开展自行监测，防止污染事故的发生。</w:t>
      </w:r>
    </w:p>
    <w:p w14:paraId="3002E085">
      <w:pPr>
        <w:keepNext w:val="0"/>
        <w:keepLines w:val="0"/>
        <w:pageBreakBefore w:val="0"/>
        <w:kinsoku/>
        <w:wordWrap/>
        <w:topLinePunct w:val="0"/>
        <w:autoSpaceDE/>
        <w:autoSpaceDN/>
        <w:bidi w:val="0"/>
        <w:adjustRightInd/>
        <w:spacing w:line="560" w:lineRule="exact"/>
        <w:ind w:firstLine="632" w:firstLineChars="200"/>
        <w:jc w:val="both"/>
        <w:textAlignment w:val="auto"/>
        <w:rPr>
          <w:rFonts w:ascii="仿宋_GB2312" w:hAnsi="仿宋_GB2312" w:cs="仿宋_GB2312"/>
          <w:color w:val="000000"/>
          <w:kern w:val="18"/>
        </w:rPr>
      </w:pPr>
      <w:r>
        <w:rPr>
          <w:rFonts w:hint="eastAsia" w:ascii="楷体_GB2312" w:hAnsi="楷体_GB2312" w:eastAsia="楷体_GB2312" w:cs="楷体_GB2312"/>
        </w:rPr>
        <w:t>（二）落实大气污染防治措施。</w:t>
      </w:r>
      <w:r>
        <w:rPr>
          <w:rFonts w:hint="eastAsia" w:ascii="仿宋_GB2312" w:hAnsi="仿宋_GB2312" w:eastAsia="仿宋_GB2312" w:cs="仿宋_GB2312"/>
          <w:color w:val="000000"/>
          <w:kern w:val="18"/>
        </w:rPr>
        <w:t>项目在现有预留车间内进行设备安装，不进行土建施工，</w:t>
      </w:r>
      <w:r>
        <w:rPr>
          <w:rFonts w:hint="eastAsia" w:ascii="仿宋_GB2312" w:hAnsi="仿宋_GB2312" w:cs="仿宋_GB2312"/>
          <w:color w:val="000000"/>
          <w:kern w:val="18"/>
        </w:rPr>
        <w:t>建设期严格落实建筑工地“</w:t>
      </w:r>
      <w:r>
        <w:rPr>
          <w:rFonts w:hint="eastAsia" w:cs="Times New Roman"/>
          <w:bCs/>
        </w:rPr>
        <w:t>六必须六不准”和“六个百分百”</w:t>
      </w:r>
      <w:r>
        <w:rPr>
          <w:rFonts w:hint="eastAsia" w:ascii="仿宋_GB2312" w:hAnsi="仿宋_GB2312" w:cs="仿宋_GB2312"/>
          <w:color w:val="000000"/>
          <w:kern w:val="18"/>
        </w:rPr>
        <w:t>要求，</w:t>
      </w:r>
      <w:bookmarkStart w:id="4" w:name="OLE_LINK8"/>
      <w:r>
        <w:rPr>
          <w:rFonts w:hint="eastAsia" w:ascii="仿宋_GB2312" w:hAnsi="仿宋_GB2312" w:cs="仿宋_GB2312"/>
          <w:color w:val="000000"/>
          <w:kern w:val="18"/>
        </w:rPr>
        <w:t>定期洒水，防止施工扬尘污染</w:t>
      </w:r>
      <w:bookmarkEnd w:id="4"/>
      <w:r>
        <w:rPr>
          <w:rFonts w:hint="eastAsia" w:ascii="仿宋_GB2312" w:hAnsi="仿宋_GB2312" w:cs="仿宋_GB2312"/>
          <w:color w:val="000000"/>
          <w:kern w:val="18"/>
        </w:rPr>
        <w:t>。运营期吹塑废气经集气罩收集，经二级活性炭吸附装置处理后，通过一根</w:t>
      </w:r>
      <w:r>
        <w:rPr>
          <w:rFonts w:hint="default" w:ascii="Times New Roman" w:hAnsi="Times New Roman" w:cs="Times New Roman"/>
          <w:color w:val="000000"/>
          <w:kern w:val="18"/>
        </w:rPr>
        <w:t>15m</w:t>
      </w:r>
      <w:r>
        <w:rPr>
          <w:rFonts w:hint="eastAsia" w:ascii="仿宋_GB2312" w:hAnsi="仿宋_GB2312" w:cs="仿宋_GB2312"/>
          <w:color w:val="000000"/>
          <w:kern w:val="18"/>
        </w:rPr>
        <w:t>高排气筒（</w:t>
      </w:r>
      <w:r>
        <w:rPr>
          <w:rFonts w:hint="eastAsia" w:ascii="Times New Roman" w:hAnsi="Times New Roman" w:cs="Times New Roman"/>
          <w:color w:val="000000"/>
          <w:kern w:val="18"/>
        </w:rPr>
        <w:t>DA003</w:t>
      </w:r>
      <w:r>
        <w:rPr>
          <w:rFonts w:hint="eastAsia" w:ascii="仿宋_GB2312" w:hAnsi="仿宋_GB2312" w:cs="仿宋_GB2312"/>
          <w:color w:val="000000"/>
          <w:kern w:val="18"/>
        </w:rPr>
        <w:t>）排放。</w:t>
      </w:r>
    </w:p>
    <w:p w14:paraId="55C095EB">
      <w:pPr>
        <w:keepNext w:val="0"/>
        <w:keepLines w:val="0"/>
        <w:pageBreakBefore w:val="0"/>
        <w:kinsoku/>
        <w:wordWrap/>
        <w:topLinePunct w:val="0"/>
        <w:autoSpaceDE/>
        <w:autoSpaceDN/>
        <w:bidi w:val="0"/>
        <w:adjustRightInd/>
        <w:spacing w:line="560" w:lineRule="exact"/>
        <w:ind w:firstLine="632" w:firstLineChars="200"/>
        <w:jc w:val="both"/>
        <w:textAlignment w:val="auto"/>
        <w:rPr>
          <w:rFonts w:ascii="仿宋_GB2312" w:hAnsi="仿宋_GB2312" w:cs="仿宋_GB2312"/>
          <w:color w:val="000000"/>
          <w:kern w:val="18"/>
        </w:rPr>
      </w:pPr>
      <w:r>
        <w:rPr>
          <w:rFonts w:hint="eastAsia" w:ascii="楷体_GB2312" w:hAnsi="楷体_GB2312" w:eastAsia="楷体_GB2312" w:cs="楷体_GB2312"/>
        </w:rPr>
        <w:t>（三）落实废水污染防治措施。</w:t>
      </w:r>
      <w:r>
        <w:rPr>
          <w:rFonts w:hint="eastAsia" w:ascii="仿宋_GB2312" w:hAnsi="仿宋_GB2312" w:cs="仿宋_GB2312"/>
          <w:color w:val="000000"/>
          <w:kern w:val="18"/>
        </w:rPr>
        <w:t>食堂废水经隔油池处理后与生活污水、车间清洁废水、冷却循环废水经预处理池处理后排入园区污水管网，进入大英县工业污水处理厂处理达标后排放。</w:t>
      </w:r>
    </w:p>
    <w:p w14:paraId="131D40C6">
      <w:pPr>
        <w:keepNext w:val="0"/>
        <w:keepLines w:val="0"/>
        <w:pageBreakBefore w:val="0"/>
        <w:kinsoku/>
        <w:wordWrap/>
        <w:topLinePunct w:val="0"/>
        <w:autoSpaceDE/>
        <w:autoSpaceDN/>
        <w:bidi w:val="0"/>
        <w:adjustRightInd/>
        <w:spacing w:line="560" w:lineRule="exact"/>
        <w:ind w:firstLine="632" w:firstLineChars="200"/>
        <w:jc w:val="both"/>
        <w:textAlignment w:val="auto"/>
        <w:rPr>
          <w:rFonts w:ascii="仿宋_GB2312" w:hAnsi="仿宋_GB2312" w:cs="仿宋_GB2312"/>
          <w:color w:val="000000"/>
          <w:kern w:val="18"/>
        </w:rPr>
      </w:pPr>
      <w:r>
        <w:rPr>
          <w:rFonts w:hint="eastAsia" w:ascii="楷体_GB2312" w:hAnsi="楷体_GB2312" w:eastAsia="楷体_GB2312" w:cs="楷体_GB2312"/>
        </w:rPr>
        <w:t>（四）落实固体废物处置措施</w:t>
      </w:r>
      <w:r>
        <w:rPr>
          <w:rFonts w:hint="eastAsia" w:ascii="楷体_GB2312" w:hAnsi="楷体_GB2312" w:eastAsia="楷体_GB2312" w:cs="楷体_GB2312"/>
          <w:color w:val="000000"/>
          <w:kern w:val="18"/>
        </w:rPr>
        <w:t>。</w:t>
      </w:r>
      <w:r>
        <w:rPr>
          <w:rFonts w:hint="eastAsia" w:ascii="仿宋_GB2312" w:hAnsi="仿宋_GB2312" w:cs="仿宋_GB2312"/>
          <w:color w:val="000000"/>
          <w:kern w:val="18"/>
        </w:rPr>
        <w:t>固体废物按要求落实分类收集、贮存、运输及处置措施。边角料及残次品、废包装材料外售废品回收</w:t>
      </w:r>
      <w:bookmarkStart w:id="5" w:name="OLE_LINK12"/>
      <w:r>
        <w:rPr>
          <w:rFonts w:hint="eastAsia" w:ascii="仿宋_GB2312" w:hAnsi="仿宋_GB2312" w:cs="仿宋_GB2312"/>
          <w:color w:val="000000"/>
          <w:kern w:val="18"/>
        </w:rPr>
        <w:t>站</w:t>
      </w:r>
      <w:bookmarkEnd w:id="5"/>
      <w:r>
        <w:rPr>
          <w:rFonts w:hint="eastAsia" w:ascii="仿宋_GB2312" w:hAnsi="仿宋_GB2312" w:cs="仿宋_GB2312"/>
          <w:color w:val="000000"/>
          <w:kern w:val="18"/>
        </w:rPr>
        <w:t>；生活垃圾、预处理池污泥经收集后统一交由市政环卫部门清运处理；废机油、废机油桶、含油棉纱/手套、废活性炭等危险废物暂存于危废间，建立危废处置台账，定期交由有资质的单位处理，转移过程严格落实《危险废物转移管理办法》要求。</w:t>
      </w:r>
    </w:p>
    <w:p w14:paraId="103A8886">
      <w:pPr>
        <w:keepNext w:val="0"/>
        <w:keepLines w:val="0"/>
        <w:pageBreakBefore w:val="0"/>
        <w:widowControl/>
        <w:kinsoku/>
        <w:wordWrap/>
        <w:topLinePunct w:val="0"/>
        <w:autoSpaceDE/>
        <w:autoSpaceDN/>
        <w:bidi w:val="0"/>
        <w:adjustRightInd/>
        <w:spacing w:line="560" w:lineRule="exact"/>
        <w:ind w:firstLine="632" w:firstLineChars="200"/>
        <w:jc w:val="both"/>
        <w:textAlignment w:val="auto"/>
        <w:rPr>
          <w:rFonts w:ascii="仿宋_GB2312" w:hAnsi="仿宋_GB2312" w:cs="仿宋_GB2312"/>
          <w:color w:val="000000"/>
          <w:kern w:val="18"/>
        </w:rPr>
      </w:pPr>
      <w:r>
        <w:rPr>
          <w:rFonts w:hint="eastAsia" w:ascii="楷体_GB2312" w:hAnsi="楷体_GB2312" w:eastAsia="楷体_GB2312" w:cs="楷体_GB2312"/>
        </w:rPr>
        <w:t>（五）落实噪声污染防治措施。</w:t>
      </w:r>
      <w:r>
        <w:rPr>
          <w:rFonts w:hint="eastAsia" w:ascii="仿宋_GB2312" w:hAnsi="仿宋_GB2312" w:cs="仿宋_GB2312"/>
          <w:color w:val="000000"/>
          <w:kern w:val="18"/>
        </w:rPr>
        <w:t>项目生产设备应合理布局，在设备选型上应优选低噪声设备，采取隔声、减振、消声等措施，同时加强机械设备的日常维护，确保厂界噪声达《工业企业厂界环境噪声排放标准》（</w:t>
      </w:r>
      <w:r>
        <w:rPr>
          <w:rFonts w:hint="default" w:ascii="Times New Roman" w:hAnsi="Times New Roman" w:cs="Times New Roman"/>
          <w:color w:val="000000"/>
          <w:kern w:val="18"/>
        </w:rPr>
        <w:t>GB12348-2008</w:t>
      </w:r>
      <w:r>
        <w:rPr>
          <w:rFonts w:hint="eastAsia" w:ascii="仿宋_GB2312" w:hAnsi="仿宋_GB2312" w:cs="仿宋_GB2312"/>
          <w:color w:val="000000"/>
          <w:kern w:val="18"/>
        </w:rPr>
        <w:t>）</w:t>
      </w:r>
      <w:r>
        <w:rPr>
          <w:rFonts w:hint="eastAsia" w:ascii="Times New Roman" w:hAnsi="Times New Roman" w:cs="Times New Roman"/>
          <w:color w:val="000000"/>
          <w:kern w:val="18"/>
        </w:rPr>
        <w:t>3</w:t>
      </w:r>
      <w:r>
        <w:rPr>
          <w:rFonts w:hint="eastAsia" w:ascii="仿宋_GB2312" w:hAnsi="仿宋_GB2312" w:cs="仿宋_GB2312"/>
          <w:color w:val="000000"/>
          <w:kern w:val="18"/>
        </w:rPr>
        <w:t>类标准。</w:t>
      </w:r>
    </w:p>
    <w:p w14:paraId="4CEFBDA0">
      <w:pPr>
        <w:keepNext w:val="0"/>
        <w:keepLines w:val="0"/>
        <w:pageBreakBefore w:val="0"/>
        <w:kinsoku/>
        <w:wordWrap/>
        <w:topLinePunct w:val="0"/>
        <w:autoSpaceDE/>
        <w:autoSpaceDN/>
        <w:bidi w:val="0"/>
        <w:adjustRightInd/>
        <w:spacing w:line="560" w:lineRule="exact"/>
        <w:ind w:firstLine="632" w:firstLineChars="200"/>
        <w:jc w:val="both"/>
        <w:textAlignment w:val="auto"/>
        <w:rPr>
          <w:rFonts w:ascii="仿宋_GB2312" w:hAnsi="仿宋_GB2312" w:cs="仿宋_GB2312"/>
          <w:color w:val="000000"/>
          <w:kern w:val="18"/>
        </w:rPr>
      </w:pPr>
      <w:r>
        <w:rPr>
          <w:rFonts w:hint="eastAsia" w:ascii="楷体_GB2312" w:hAnsi="楷体_GB2312" w:eastAsia="楷体_GB2312" w:cs="楷体_GB2312"/>
        </w:rPr>
        <w:t>（六）落实土壤和地下水污染防治措施。</w:t>
      </w:r>
      <w:r>
        <w:rPr>
          <w:rFonts w:hint="eastAsia" w:ascii="仿宋_GB2312" w:hAnsi="仿宋_GB2312" w:cs="仿宋_GB2312"/>
          <w:color w:val="000000"/>
          <w:kern w:val="18"/>
        </w:rPr>
        <w:t>现有危废暂存间已做重点防渗处理，生产车间、隔油池、预处理池已做一般防渗处理，项目涉及其他区域已做简单防渗处理，现有防渗措施满足项目需求。</w:t>
      </w:r>
    </w:p>
    <w:p w14:paraId="4448FFCC">
      <w:pPr>
        <w:keepNext w:val="0"/>
        <w:keepLines w:val="0"/>
        <w:pageBreakBefore w:val="0"/>
        <w:kinsoku/>
        <w:wordWrap/>
        <w:overflowPunct w:val="0"/>
        <w:topLinePunct w:val="0"/>
        <w:autoSpaceDE/>
        <w:autoSpaceDN/>
        <w:bidi w:val="0"/>
        <w:adjustRightInd/>
        <w:snapToGrid w:val="0"/>
        <w:spacing w:line="560" w:lineRule="exact"/>
        <w:ind w:firstLine="632" w:firstLineChars="200"/>
        <w:jc w:val="both"/>
        <w:textAlignment w:val="auto"/>
        <w:rPr>
          <w:rFonts w:ascii="黑体" w:hAnsi="黑体" w:eastAsia="黑体" w:cs="黑体"/>
          <w:color w:val="000000"/>
          <w:kern w:val="18"/>
        </w:rPr>
      </w:pPr>
      <w:r>
        <w:rPr>
          <w:rFonts w:hint="eastAsia" w:ascii="黑体" w:hAnsi="黑体" w:eastAsia="黑体" w:cs="黑体"/>
          <w:color w:val="000000"/>
          <w:kern w:val="18"/>
        </w:rPr>
        <w:t>三、污染物排放总量</w:t>
      </w:r>
    </w:p>
    <w:p w14:paraId="5E424ED7">
      <w:pPr>
        <w:keepNext w:val="0"/>
        <w:keepLines w:val="0"/>
        <w:pageBreakBefore w:val="0"/>
        <w:kinsoku/>
        <w:wordWrap/>
        <w:topLinePunct w:val="0"/>
        <w:autoSpaceDE/>
        <w:autoSpaceDN/>
        <w:bidi w:val="0"/>
        <w:adjustRightInd/>
        <w:spacing w:line="560" w:lineRule="exact"/>
        <w:ind w:firstLine="632" w:firstLineChars="200"/>
        <w:jc w:val="both"/>
        <w:textAlignment w:val="auto"/>
        <w:rPr>
          <w:rFonts w:ascii="仿宋_GB2312" w:hAnsi="仿宋_GB2312" w:cs="仿宋_GB2312"/>
          <w:color w:val="000000"/>
          <w:kern w:val="18"/>
        </w:rPr>
      </w:pPr>
      <w:r>
        <w:rPr>
          <w:rFonts w:hint="eastAsia" w:ascii="仿宋_GB2312" w:hAnsi="仿宋_GB2312" w:cs="仿宋_GB2312"/>
          <w:color w:val="000000"/>
          <w:kern w:val="18"/>
        </w:rPr>
        <w:t>根据《报告表》预测，项目建成后主要大气污染物有组织排放总量为：</w:t>
      </w:r>
      <w:r>
        <w:rPr>
          <w:rFonts w:hint="default" w:ascii="Times New Roman" w:hAnsi="Times New Roman" w:cs="Times New Roman"/>
          <w:color w:val="000000"/>
          <w:kern w:val="18"/>
        </w:rPr>
        <w:t>VOC</w:t>
      </w:r>
      <w:bookmarkStart w:id="6" w:name="OLE_LINK13"/>
      <w:r>
        <w:rPr>
          <w:rFonts w:hint="default" w:ascii="Times New Roman" w:hAnsi="Times New Roman" w:cs="Times New Roman"/>
          <w:color w:val="000000"/>
          <w:kern w:val="18"/>
        </w:rPr>
        <w:t>s</w:t>
      </w:r>
      <w:r>
        <w:rPr>
          <w:rFonts w:hint="eastAsia" w:ascii="Times New Roman" w:hAnsi="Times New Roman" w:cs="Times New Roman"/>
          <w:color w:val="000000"/>
          <w:kern w:val="18"/>
          <w:lang w:val="en-US" w:eastAsia="zh-CN"/>
        </w:rPr>
        <w:t xml:space="preserve"> </w:t>
      </w:r>
      <w:r>
        <w:rPr>
          <w:rFonts w:hint="default" w:ascii="Times New Roman" w:hAnsi="Times New Roman" w:cs="Times New Roman"/>
          <w:color w:val="000000"/>
          <w:kern w:val="18"/>
        </w:rPr>
        <w:t>0.146</w:t>
      </w:r>
      <w:r>
        <w:rPr>
          <w:rFonts w:hint="eastAsia" w:ascii="Times New Roman" w:hAnsi="Times New Roman" w:cs="Times New Roman"/>
          <w:color w:val="000000"/>
          <w:kern w:val="18"/>
          <w:lang w:val="en-US" w:eastAsia="zh-CN"/>
        </w:rPr>
        <w:t xml:space="preserve"> </w:t>
      </w:r>
      <w:r>
        <w:rPr>
          <w:rFonts w:hint="default" w:ascii="Times New Roman" w:hAnsi="Times New Roman" w:cs="Times New Roman"/>
          <w:color w:val="000000"/>
          <w:kern w:val="18"/>
        </w:rPr>
        <w:t>t/a</w:t>
      </w:r>
      <w:r>
        <w:rPr>
          <w:rFonts w:hint="eastAsia" w:ascii="仿宋_GB2312" w:hAnsi="仿宋_GB2312" w:cs="仿宋_GB2312"/>
          <w:color w:val="000000"/>
          <w:kern w:val="18"/>
        </w:rPr>
        <w:t>；</w:t>
      </w:r>
      <w:bookmarkEnd w:id="6"/>
      <w:r>
        <w:rPr>
          <w:rFonts w:hint="eastAsia" w:ascii="仿宋_GB2312" w:hAnsi="仿宋_GB2312" w:cs="仿宋_GB2312"/>
          <w:color w:val="000000"/>
          <w:kern w:val="18"/>
        </w:rPr>
        <w:t>水污染物排放总量为：</w:t>
      </w:r>
      <w:r>
        <w:rPr>
          <w:rFonts w:hint="default" w:ascii="Times New Roman" w:hAnsi="Times New Roman" w:cs="Times New Roman"/>
          <w:color w:val="000000"/>
          <w:kern w:val="18"/>
        </w:rPr>
        <w:t>COD</w:t>
      </w:r>
      <w:r>
        <w:rPr>
          <w:rFonts w:hint="default" w:ascii="Times New Roman" w:hAnsi="Times New Roman" w:cs="Times New Roman"/>
          <w:color w:val="000000"/>
          <w:kern w:val="18"/>
          <w:lang w:val="en-US" w:eastAsia="zh-CN"/>
        </w:rPr>
        <w:t xml:space="preserve"> </w:t>
      </w:r>
      <w:r>
        <w:rPr>
          <w:rFonts w:hint="default" w:ascii="Times New Roman" w:hAnsi="Times New Roman" w:cs="Times New Roman"/>
          <w:color w:val="000000"/>
          <w:kern w:val="18"/>
        </w:rPr>
        <w:t>0.0891</w:t>
      </w:r>
      <w:r>
        <w:rPr>
          <w:rFonts w:hint="default" w:ascii="Times New Roman" w:hAnsi="Times New Roman" w:cs="Times New Roman"/>
          <w:color w:val="000000"/>
          <w:kern w:val="18"/>
          <w:lang w:val="en-US" w:eastAsia="zh-CN"/>
        </w:rPr>
        <w:t xml:space="preserve"> </w:t>
      </w:r>
      <w:r>
        <w:rPr>
          <w:rFonts w:hint="default" w:ascii="Times New Roman" w:hAnsi="Times New Roman" w:cs="Times New Roman"/>
          <w:color w:val="000000"/>
          <w:kern w:val="18"/>
        </w:rPr>
        <w:t>t/a</w:t>
      </w:r>
      <w:r>
        <w:rPr>
          <w:rFonts w:hint="eastAsia" w:ascii="仿宋_GB2312" w:hAnsi="仿宋_GB2312" w:cs="仿宋_GB2312"/>
          <w:color w:val="000000"/>
          <w:kern w:val="18"/>
        </w:rPr>
        <w:t>，氨氮</w:t>
      </w:r>
      <w:r>
        <w:rPr>
          <w:rFonts w:hint="default" w:ascii="Times New Roman" w:hAnsi="Times New Roman" w:cs="Times New Roman"/>
          <w:color w:val="000000"/>
          <w:kern w:val="18"/>
        </w:rPr>
        <w:t>0.008</w:t>
      </w:r>
      <w:r>
        <w:rPr>
          <w:rFonts w:hint="eastAsia" w:ascii="Times New Roman" w:hAnsi="Times New Roman" w:cs="Times New Roman"/>
          <w:color w:val="000000"/>
          <w:kern w:val="18"/>
          <w:lang w:val="en-US" w:eastAsia="zh-CN"/>
        </w:rPr>
        <w:t xml:space="preserve"> </w:t>
      </w:r>
      <w:r>
        <w:rPr>
          <w:rFonts w:hint="default" w:ascii="Times New Roman" w:hAnsi="Times New Roman" w:cs="Times New Roman"/>
          <w:color w:val="000000"/>
          <w:kern w:val="18"/>
        </w:rPr>
        <w:t>t/a</w:t>
      </w:r>
      <w:r>
        <w:rPr>
          <w:rFonts w:hint="eastAsia" w:ascii="仿宋_GB2312" w:hAnsi="仿宋_GB2312" w:cs="仿宋_GB2312"/>
          <w:color w:val="000000"/>
          <w:kern w:val="18"/>
        </w:rPr>
        <w:t>（排入工业污水处理厂的排放量）。</w:t>
      </w:r>
    </w:p>
    <w:p w14:paraId="0253731D">
      <w:pPr>
        <w:keepNext w:val="0"/>
        <w:keepLines w:val="0"/>
        <w:pageBreakBefore w:val="0"/>
        <w:kinsoku/>
        <w:wordWrap/>
        <w:topLinePunct w:val="0"/>
        <w:autoSpaceDE/>
        <w:autoSpaceDN/>
        <w:bidi w:val="0"/>
        <w:adjustRightInd/>
        <w:spacing w:line="560" w:lineRule="exact"/>
        <w:ind w:firstLine="632" w:firstLineChars="200"/>
        <w:jc w:val="both"/>
        <w:textAlignment w:val="auto"/>
        <w:rPr>
          <w:rFonts w:ascii="仿宋_GB2312" w:hAnsi="仿宋_GB2312" w:cs="仿宋_GB2312"/>
          <w:color w:val="000000"/>
          <w:kern w:val="18"/>
        </w:rPr>
      </w:pPr>
      <w:r>
        <w:rPr>
          <w:rFonts w:hint="eastAsia" w:ascii="黑体" w:hAnsi="黑体" w:eastAsia="黑体" w:cs="黑体"/>
          <w:color w:val="000000"/>
          <w:kern w:val="18"/>
        </w:rPr>
        <w:t>四、</w:t>
      </w:r>
      <w:r>
        <w:rPr>
          <w:rFonts w:hint="eastAsia" w:ascii="仿宋_GB2312" w:hAnsi="仿宋_GB2312" w:cs="仿宋_GB2312"/>
          <w:color w:val="000000"/>
          <w:kern w:val="18"/>
        </w:rPr>
        <w:t>项目开工建设前，应依法完备其他行政许可手续。</w:t>
      </w:r>
    </w:p>
    <w:p w14:paraId="399BC830">
      <w:pPr>
        <w:keepNext w:val="0"/>
        <w:keepLines w:val="0"/>
        <w:pageBreakBefore w:val="0"/>
        <w:kinsoku/>
        <w:wordWrap/>
        <w:overflowPunct w:val="0"/>
        <w:topLinePunct w:val="0"/>
        <w:autoSpaceDE/>
        <w:autoSpaceDN/>
        <w:bidi w:val="0"/>
        <w:adjustRightInd/>
        <w:snapToGrid w:val="0"/>
        <w:spacing w:line="560" w:lineRule="exact"/>
        <w:ind w:firstLine="632" w:firstLineChars="200"/>
        <w:jc w:val="both"/>
        <w:textAlignment w:val="auto"/>
        <w:rPr>
          <w:rFonts w:ascii="黑体" w:hAnsi="黑体" w:eastAsia="黑体" w:cs="黑体"/>
        </w:rPr>
      </w:pPr>
      <w:r>
        <w:rPr>
          <w:rFonts w:hint="eastAsia" w:ascii="黑体" w:hAnsi="黑体" w:eastAsia="黑体" w:cs="黑体"/>
          <w:color w:val="000000"/>
          <w:kern w:val="18"/>
        </w:rPr>
        <w:t>五、排污许可和环保</w:t>
      </w:r>
      <w:r>
        <w:rPr>
          <w:rFonts w:hint="eastAsia" w:ascii="黑体" w:hAnsi="黑体" w:eastAsia="黑体" w:cs="黑体"/>
        </w:rPr>
        <w:t>验收</w:t>
      </w:r>
    </w:p>
    <w:p w14:paraId="4049284D">
      <w:pPr>
        <w:pStyle w:val="22"/>
        <w:keepNext w:val="0"/>
        <w:keepLines w:val="0"/>
        <w:pageBreakBefore w:val="0"/>
        <w:kinsoku/>
        <w:wordWrap/>
        <w:topLinePunct w:val="0"/>
        <w:autoSpaceDE/>
        <w:autoSpaceDN/>
        <w:bidi w:val="0"/>
        <w:adjustRightInd/>
        <w:spacing w:line="560" w:lineRule="exact"/>
        <w:ind w:firstLine="632"/>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w:t>
      </w:r>
      <w:r>
        <w:rPr>
          <w:rFonts w:eastAsia="仿宋_GB2312"/>
          <w:szCs w:val="32"/>
        </w:rPr>
        <w:t>不得无证排污和不按证排污</w:t>
      </w:r>
      <w:r>
        <w:rPr>
          <w:rFonts w:hint="eastAsia" w:ascii="仿宋_GB2312" w:hAnsi="仿宋_GB2312" w:eastAsia="仿宋_GB2312" w:cs="仿宋_GB2312"/>
          <w:szCs w:val="32"/>
        </w:rPr>
        <w:t>。建设项目竣工后，</w:t>
      </w:r>
      <w:r>
        <w:rPr>
          <w:rFonts w:eastAsia="仿宋_GB2312"/>
          <w:szCs w:val="32"/>
        </w:rPr>
        <w:t>你公司是建设项目竣工环境保护验收的责任主体，</w:t>
      </w:r>
      <w:r>
        <w:rPr>
          <w:rFonts w:hint="eastAsia" w:ascii="仿宋_GB2312" w:hAnsi="仿宋_GB2312" w:eastAsia="仿宋_GB2312" w:cs="仿宋_GB2312"/>
          <w:szCs w:val="32"/>
        </w:rPr>
        <w:t>应当按照规定的程序和标准，组织对配套建设的环境保护设施及对策措施进行验收，并依法向社会公开验收报告和</w:t>
      </w:r>
      <w:r>
        <w:rPr>
          <w:rFonts w:eastAsia="仿宋_GB2312"/>
          <w:szCs w:val="32"/>
        </w:rPr>
        <w:t>相关信息，接受社会监督，验收合格后方可投入生产或使用。</w:t>
      </w:r>
    </w:p>
    <w:p w14:paraId="16CB7019">
      <w:pPr>
        <w:keepNext w:val="0"/>
        <w:keepLines w:val="0"/>
        <w:pageBreakBefore w:val="0"/>
        <w:kinsoku/>
        <w:wordWrap/>
        <w:overflowPunct w:val="0"/>
        <w:topLinePunct w:val="0"/>
        <w:autoSpaceDE/>
        <w:autoSpaceDN/>
        <w:bidi w:val="0"/>
        <w:adjustRightInd/>
        <w:snapToGrid w:val="0"/>
        <w:spacing w:line="560" w:lineRule="exact"/>
        <w:ind w:firstLine="632" w:firstLineChars="200"/>
        <w:jc w:val="both"/>
        <w:textAlignment w:val="auto"/>
        <w:rPr>
          <w:rFonts w:ascii="黑体" w:hAnsi="黑体" w:eastAsia="黑体" w:cs="黑体"/>
          <w:color w:val="000000"/>
          <w:kern w:val="18"/>
        </w:rPr>
      </w:pPr>
      <w:r>
        <w:rPr>
          <w:rFonts w:hint="eastAsia" w:ascii="黑体" w:hAnsi="黑体" w:eastAsia="黑体" w:cs="黑体"/>
          <w:color w:val="000000"/>
          <w:kern w:val="18"/>
        </w:rPr>
        <w:t>六、其他规定</w:t>
      </w:r>
    </w:p>
    <w:p w14:paraId="5F7D039C">
      <w:pPr>
        <w:keepNext w:val="0"/>
        <w:keepLines w:val="0"/>
        <w:pageBreakBefore w:val="0"/>
        <w:kinsoku/>
        <w:wordWrap/>
        <w:topLinePunct w:val="0"/>
        <w:autoSpaceDE/>
        <w:autoSpaceDN/>
        <w:bidi w:val="0"/>
        <w:adjustRightInd/>
        <w:spacing w:line="560" w:lineRule="exact"/>
        <w:ind w:firstLine="632" w:firstLineChars="200"/>
        <w:jc w:val="both"/>
        <w:textAlignment w:val="auto"/>
        <w:rPr>
          <w:rFonts w:ascii="仿宋_GB2312" w:hAnsi="仿宋_GB2312" w:cs="仿宋_GB2312"/>
        </w:rPr>
      </w:pPr>
      <w:r>
        <w:rPr>
          <w:rFonts w:hint="eastAsia" w:ascii="仿宋_GB2312" w:hAnsi="仿宋_GB2312" w:cs="仿宋_GB2312"/>
        </w:rPr>
        <w:t>项目环境影响评价文件经批准后，如工程的性质、规模、地点、工艺或者防治污染、防止生态破坏的措施发生重大变动，你公司应当重新报批环境影响评价文件，否则不得实施建设。自环</w:t>
      </w:r>
      <w:r>
        <w:rPr>
          <w:rFonts w:cs="Times New Roman"/>
        </w:rPr>
        <w:t>境影响评价文件批准之日起，如工程超过5年未开工建设，环境</w:t>
      </w:r>
      <w:r>
        <w:rPr>
          <w:rFonts w:hint="eastAsia" w:ascii="仿宋_GB2312" w:hAnsi="仿宋_GB2312" w:cs="仿宋_GB2312"/>
        </w:rPr>
        <w:t>影响评价文件应当报我局重</w:t>
      </w:r>
      <w:bookmarkStart w:id="7" w:name="_GoBack"/>
      <w:bookmarkEnd w:id="7"/>
      <w:r>
        <w:rPr>
          <w:rFonts w:hint="eastAsia" w:ascii="仿宋_GB2312" w:hAnsi="仿宋_GB2312" w:cs="仿宋_GB2312"/>
        </w:rPr>
        <w:t>新审核。</w:t>
      </w:r>
    </w:p>
    <w:p w14:paraId="30EA7389">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p>
    <w:p w14:paraId="7FBE9AA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outlineLvl w:val="9"/>
        <w:rPr>
          <w:rFonts w:hint="eastAsia" w:ascii="仿宋_GB2312" w:hAnsi="仿宋_GB2312" w:eastAsia="仿宋_GB2312" w:cs="仿宋_GB2312"/>
          <w:color w:val="auto"/>
          <w:sz w:val="32"/>
          <w:szCs w:val="32"/>
          <w:lang w:val="en-US" w:eastAsia="zh-CN"/>
        </w:rPr>
      </w:pPr>
    </w:p>
    <w:p w14:paraId="779AAE4A">
      <w:pPr>
        <w:pStyle w:val="22"/>
        <w:keepNext w:val="0"/>
        <w:keepLines w:val="0"/>
        <w:pageBreakBefore w:val="0"/>
        <w:widowControl w:val="0"/>
        <w:kinsoku/>
        <w:wordWrap/>
        <w:overflowPunct/>
        <w:topLinePunct w:val="0"/>
        <w:autoSpaceDE/>
        <w:autoSpaceDN/>
        <w:bidi w:val="0"/>
        <w:adjustRightInd/>
        <w:snapToGrid/>
        <w:spacing w:line="580" w:lineRule="exact"/>
        <w:ind w:firstLine="4864" w:firstLineChars="16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遂宁市大英生态环境局</w:t>
      </w:r>
    </w:p>
    <w:p w14:paraId="17726030">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r>
        <w:rPr>
          <w:rFonts w:hint="default" w:ascii="Times New Roman" w:hAnsi="Times New Roman" w:eastAsia="仿宋_GB2312" w:cs="Times New Roman"/>
          <w:spacing w:val="-6"/>
          <w:sz w:val="32"/>
          <w:szCs w:val="32"/>
          <w:lang w:val="en-US" w:eastAsia="zh-CN"/>
        </w:rPr>
        <w:t>2024年</w:t>
      </w:r>
      <w:r>
        <w:rPr>
          <w:rFonts w:hint="eastAsia" w:cs="Times New Roman"/>
          <w:spacing w:val="-6"/>
          <w:sz w:val="32"/>
          <w:szCs w:val="32"/>
          <w:lang w:val="en-US" w:eastAsia="zh-CN"/>
        </w:rPr>
        <w:t>10</w:t>
      </w:r>
      <w:r>
        <w:rPr>
          <w:rFonts w:hint="default" w:ascii="Times New Roman" w:hAnsi="Times New Roman" w:eastAsia="仿宋_GB2312" w:cs="Times New Roman"/>
          <w:spacing w:val="-6"/>
          <w:sz w:val="32"/>
          <w:szCs w:val="32"/>
          <w:lang w:val="en-US" w:eastAsia="zh-CN"/>
        </w:rPr>
        <w:t>月</w:t>
      </w:r>
      <w:r>
        <w:rPr>
          <w:rFonts w:hint="eastAsia" w:cs="Times New Roman"/>
          <w:spacing w:val="-6"/>
          <w:sz w:val="32"/>
          <w:szCs w:val="32"/>
          <w:lang w:val="en-US" w:eastAsia="zh-CN"/>
        </w:rPr>
        <w:t>10</w:t>
      </w:r>
      <w:r>
        <w:rPr>
          <w:rFonts w:hint="default" w:ascii="Times New Roman" w:hAnsi="Times New Roman" w:eastAsia="仿宋_GB2312" w:cs="Times New Roman"/>
          <w:spacing w:val="-6"/>
          <w:sz w:val="32"/>
          <w:szCs w:val="32"/>
          <w:lang w:val="en-US" w:eastAsia="zh-CN"/>
        </w:rPr>
        <w:t>日</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eastAsia="zh-CN"/>
        </w:rPr>
        <w:t xml:space="preserve"> </w:t>
      </w:r>
      <w:bookmarkEnd w:id="0"/>
      <w:bookmarkEnd w:id="1"/>
    </w:p>
    <w:sectPr>
      <w:footerReference r:id="rId7" w:type="default"/>
      <w:footerReference r:id="rId8" w:type="even"/>
      <w:pgSz w:w="11906" w:h="16838"/>
      <w:pgMar w:top="2098" w:right="1474" w:bottom="1984" w:left="1587" w:header="851" w:footer="1587" w:gutter="0"/>
      <w:paperSrc/>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CBB72">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225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48E5">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40471">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NJkVN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18540471">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6F11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FA265">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ye8Vv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011FA265">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200875"/>
    <w:rsid w:val="00951FEE"/>
    <w:rsid w:val="009F3AFC"/>
    <w:rsid w:val="00A95E9C"/>
    <w:rsid w:val="00BC05CB"/>
    <w:rsid w:val="011F28D3"/>
    <w:rsid w:val="01844E19"/>
    <w:rsid w:val="01B2741D"/>
    <w:rsid w:val="01CF32DE"/>
    <w:rsid w:val="01DD1972"/>
    <w:rsid w:val="01FD40F1"/>
    <w:rsid w:val="02051E2E"/>
    <w:rsid w:val="02B22144"/>
    <w:rsid w:val="030014CC"/>
    <w:rsid w:val="03455479"/>
    <w:rsid w:val="03AC7D7B"/>
    <w:rsid w:val="04013FA5"/>
    <w:rsid w:val="041E0EAD"/>
    <w:rsid w:val="04B073F7"/>
    <w:rsid w:val="058E1023"/>
    <w:rsid w:val="05C807C9"/>
    <w:rsid w:val="061D4AE9"/>
    <w:rsid w:val="062B5ABB"/>
    <w:rsid w:val="069C40D7"/>
    <w:rsid w:val="06B31420"/>
    <w:rsid w:val="07445783"/>
    <w:rsid w:val="08076BAC"/>
    <w:rsid w:val="08157D0A"/>
    <w:rsid w:val="082B7D91"/>
    <w:rsid w:val="08516175"/>
    <w:rsid w:val="088272FC"/>
    <w:rsid w:val="088675ED"/>
    <w:rsid w:val="089E130F"/>
    <w:rsid w:val="08A70EB9"/>
    <w:rsid w:val="092A1E12"/>
    <w:rsid w:val="094E2162"/>
    <w:rsid w:val="095B2106"/>
    <w:rsid w:val="098F0FA5"/>
    <w:rsid w:val="09A231A8"/>
    <w:rsid w:val="0AE4604C"/>
    <w:rsid w:val="0B327E48"/>
    <w:rsid w:val="0B5D195B"/>
    <w:rsid w:val="0B8E1704"/>
    <w:rsid w:val="0C112E71"/>
    <w:rsid w:val="0C4C2651"/>
    <w:rsid w:val="0C8F3D96"/>
    <w:rsid w:val="0D6671EC"/>
    <w:rsid w:val="0E10489D"/>
    <w:rsid w:val="0F410220"/>
    <w:rsid w:val="0F5D7B56"/>
    <w:rsid w:val="0F926D2E"/>
    <w:rsid w:val="0FB35FED"/>
    <w:rsid w:val="10632F32"/>
    <w:rsid w:val="108B04C2"/>
    <w:rsid w:val="10D95F27"/>
    <w:rsid w:val="1142587A"/>
    <w:rsid w:val="11553800"/>
    <w:rsid w:val="11BC387F"/>
    <w:rsid w:val="12011292"/>
    <w:rsid w:val="127203E1"/>
    <w:rsid w:val="129F4917"/>
    <w:rsid w:val="13421B62"/>
    <w:rsid w:val="13A050E7"/>
    <w:rsid w:val="13A244C7"/>
    <w:rsid w:val="13EF0002"/>
    <w:rsid w:val="14741B39"/>
    <w:rsid w:val="14AA3E63"/>
    <w:rsid w:val="150D00D3"/>
    <w:rsid w:val="15AB60E4"/>
    <w:rsid w:val="15C947BC"/>
    <w:rsid w:val="16243B6E"/>
    <w:rsid w:val="16500214"/>
    <w:rsid w:val="16614C2A"/>
    <w:rsid w:val="1735378C"/>
    <w:rsid w:val="17586B74"/>
    <w:rsid w:val="17866686"/>
    <w:rsid w:val="18196B6F"/>
    <w:rsid w:val="1907403C"/>
    <w:rsid w:val="194A1AC8"/>
    <w:rsid w:val="196654F1"/>
    <w:rsid w:val="1A5916FA"/>
    <w:rsid w:val="1ACF0994"/>
    <w:rsid w:val="1ADB2985"/>
    <w:rsid w:val="1B326960"/>
    <w:rsid w:val="1B7C3FB9"/>
    <w:rsid w:val="1BCC1635"/>
    <w:rsid w:val="1D04432C"/>
    <w:rsid w:val="1D1F6E89"/>
    <w:rsid w:val="1D383FD6"/>
    <w:rsid w:val="1DC1221D"/>
    <w:rsid w:val="1DEC2C84"/>
    <w:rsid w:val="1E17071F"/>
    <w:rsid w:val="1E29348B"/>
    <w:rsid w:val="1E6609BF"/>
    <w:rsid w:val="1EAC44A7"/>
    <w:rsid w:val="1F117716"/>
    <w:rsid w:val="1F8E271B"/>
    <w:rsid w:val="1FBB33C8"/>
    <w:rsid w:val="1FC85967"/>
    <w:rsid w:val="203222E6"/>
    <w:rsid w:val="204F3B10"/>
    <w:rsid w:val="20523600"/>
    <w:rsid w:val="20E223FB"/>
    <w:rsid w:val="20E64474"/>
    <w:rsid w:val="21464F13"/>
    <w:rsid w:val="21BE719F"/>
    <w:rsid w:val="224F429B"/>
    <w:rsid w:val="23631F61"/>
    <w:rsid w:val="238D507B"/>
    <w:rsid w:val="23E07BD5"/>
    <w:rsid w:val="251C281B"/>
    <w:rsid w:val="25280D20"/>
    <w:rsid w:val="25FC1B6A"/>
    <w:rsid w:val="26672398"/>
    <w:rsid w:val="26B37B9F"/>
    <w:rsid w:val="271B5D95"/>
    <w:rsid w:val="273A436A"/>
    <w:rsid w:val="27710810"/>
    <w:rsid w:val="27E16961"/>
    <w:rsid w:val="290D5E5A"/>
    <w:rsid w:val="29BD7D3C"/>
    <w:rsid w:val="29E46919"/>
    <w:rsid w:val="2A1D2C3D"/>
    <w:rsid w:val="2A1F2C38"/>
    <w:rsid w:val="2A2D6A04"/>
    <w:rsid w:val="2A784B2D"/>
    <w:rsid w:val="2A785045"/>
    <w:rsid w:val="2AAB5339"/>
    <w:rsid w:val="2AC24BA7"/>
    <w:rsid w:val="2B79362F"/>
    <w:rsid w:val="2B8C4F39"/>
    <w:rsid w:val="2B9E2295"/>
    <w:rsid w:val="2C8B41B2"/>
    <w:rsid w:val="2CFA5D9C"/>
    <w:rsid w:val="2D124FDC"/>
    <w:rsid w:val="2DC309C3"/>
    <w:rsid w:val="2DED6716"/>
    <w:rsid w:val="2E07339C"/>
    <w:rsid w:val="2EFC29C4"/>
    <w:rsid w:val="2F1C72B3"/>
    <w:rsid w:val="2F3C7955"/>
    <w:rsid w:val="2FC71794"/>
    <w:rsid w:val="310F7B8F"/>
    <w:rsid w:val="31442D31"/>
    <w:rsid w:val="31774C75"/>
    <w:rsid w:val="31F50C2D"/>
    <w:rsid w:val="31FD6612"/>
    <w:rsid w:val="326571C3"/>
    <w:rsid w:val="32C1089D"/>
    <w:rsid w:val="32EB3B6C"/>
    <w:rsid w:val="33775400"/>
    <w:rsid w:val="33F01C8F"/>
    <w:rsid w:val="34047828"/>
    <w:rsid w:val="343706EB"/>
    <w:rsid w:val="344E1C6F"/>
    <w:rsid w:val="347C2F67"/>
    <w:rsid w:val="34996C6F"/>
    <w:rsid w:val="34A22009"/>
    <w:rsid w:val="34D12CF9"/>
    <w:rsid w:val="354A265C"/>
    <w:rsid w:val="35B53FBD"/>
    <w:rsid w:val="363D60B8"/>
    <w:rsid w:val="36A77DAA"/>
    <w:rsid w:val="36C83179"/>
    <w:rsid w:val="370C4333"/>
    <w:rsid w:val="37225683"/>
    <w:rsid w:val="372748CB"/>
    <w:rsid w:val="37461371"/>
    <w:rsid w:val="376A1E4F"/>
    <w:rsid w:val="37A81FD1"/>
    <w:rsid w:val="386B7755"/>
    <w:rsid w:val="38C236CA"/>
    <w:rsid w:val="39072E10"/>
    <w:rsid w:val="39116741"/>
    <w:rsid w:val="3965276B"/>
    <w:rsid w:val="39E83924"/>
    <w:rsid w:val="3A110B07"/>
    <w:rsid w:val="3A2A31CC"/>
    <w:rsid w:val="3B2522B6"/>
    <w:rsid w:val="3B313DE1"/>
    <w:rsid w:val="3B495557"/>
    <w:rsid w:val="3B7918F6"/>
    <w:rsid w:val="3B9603ED"/>
    <w:rsid w:val="3BD232AA"/>
    <w:rsid w:val="3BF770DE"/>
    <w:rsid w:val="3C1E30AA"/>
    <w:rsid w:val="3C620396"/>
    <w:rsid w:val="3C722C08"/>
    <w:rsid w:val="3C7D32C2"/>
    <w:rsid w:val="3C8A5E5F"/>
    <w:rsid w:val="3D996A75"/>
    <w:rsid w:val="3E406C06"/>
    <w:rsid w:val="3ED417EA"/>
    <w:rsid w:val="3EEF569D"/>
    <w:rsid w:val="3F042EDF"/>
    <w:rsid w:val="3F0F2990"/>
    <w:rsid w:val="3F8A2017"/>
    <w:rsid w:val="40100624"/>
    <w:rsid w:val="40B97948"/>
    <w:rsid w:val="40BF5A1E"/>
    <w:rsid w:val="40F45458"/>
    <w:rsid w:val="410302D3"/>
    <w:rsid w:val="41313A1B"/>
    <w:rsid w:val="415844BA"/>
    <w:rsid w:val="41A33677"/>
    <w:rsid w:val="41EC74B9"/>
    <w:rsid w:val="42A751E8"/>
    <w:rsid w:val="42B94077"/>
    <w:rsid w:val="42D92940"/>
    <w:rsid w:val="42E61C5A"/>
    <w:rsid w:val="433E49AD"/>
    <w:rsid w:val="43C024AB"/>
    <w:rsid w:val="44000AFA"/>
    <w:rsid w:val="44242A3A"/>
    <w:rsid w:val="44496945"/>
    <w:rsid w:val="445043AE"/>
    <w:rsid w:val="44D6679B"/>
    <w:rsid w:val="44EB79FC"/>
    <w:rsid w:val="45650C43"/>
    <w:rsid w:val="457B0D80"/>
    <w:rsid w:val="45EE22DC"/>
    <w:rsid w:val="465515D1"/>
    <w:rsid w:val="46564467"/>
    <w:rsid w:val="46CE1751"/>
    <w:rsid w:val="47173438"/>
    <w:rsid w:val="47FC4AB3"/>
    <w:rsid w:val="48473F43"/>
    <w:rsid w:val="486C0E54"/>
    <w:rsid w:val="489B34E7"/>
    <w:rsid w:val="491F4DFE"/>
    <w:rsid w:val="49225801"/>
    <w:rsid w:val="4944487A"/>
    <w:rsid w:val="4B6126FE"/>
    <w:rsid w:val="4BA71E75"/>
    <w:rsid w:val="4BBC5C4E"/>
    <w:rsid w:val="4C6267F5"/>
    <w:rsid w:val="4CD46FC7"/>
    <w:rsid w:val="4D534390"/>
    <w:rsid w:val="4D565C2E"/>
    <w:rsid w:val="4D61085B"/>
    <w:rsid w:val="4DA81B78"/>
    <w:rsid w:val="4DC1579E"/>
    <w:rsid w:val="4DC16BB8"/>
    <w:rsid w:val="4E102281"/>
    <w:rsid w:val="4E4D24B7"/>
    <w:rsid w:val="4E7F7BF0"/>
    <w:rsid w:val="4F284BD5"/>
    <w:rsid w:val="504C6A58"/>
    <w:rsid w:val="509E5922"/>
    <w:rsid w:val="50A22112"/>
    <w:rsid w:val="50B74C36"/>
    <w:rsid w:val="50B909AE"/>
    <w:rsid w:val="50D50B0D"/>
    <w:rsid w:val="50E26863"/>
    <w:rsid w:val="518979CC"/>
    <w:rsid w:val="52614E59"/>
    <w:rsid w:val="528F5E6A"/>
    <w:rsid w:val="52A56FED"/>
    <w:rsid w:val="53B349BB"/>
    <w:rsid w:val="53ED2369"/>
    <w:rsid w:val="540E1011"/>
    <w:rsid w:val="54454557"/>
    <w:rsid w:val="5467641D"/>
    <w:rsid w:val="54C73958"/>
    <w:rsid w:val="54E51D72"/>
    <w:rsid w:val="55590D4A"/>
    <w:rsid w:val="558A2919"/>
    <w:rsid w:val="5598523A"/>
    <w:rsid w:val="55D1023B"/>
    <w:rsid w:val="55E55DA1"/>
    <w:rsid w:val="561346BC"/>
    <w:rsid w:val="56655A83"/>
    <w:rsid w:val="566A0472"/>
    <w:rsid w:val="56A122EE"/>
    <w:rsid w:val="56B365F2"/>
    <w:rsid w:val="571C1C97"/>
    <w:rsid w:val="577473DD"/>
    <w:rsid w:val="57DD263C"/>
    <w:rsid w:val="57EE76DD"/>
    <w:rsid w:val="585711D8"/>
    <w:rsid w:val="58902BFC"/>
    <w:rsid w:val="58AD279A"/>
    <w:rsid w:val="58C4394C"/>
    <w:rsid w:val="58D418CA"/>
    <w:rsid w:val="58E529EC"/>
    <w:rsid w:val="59030A18"/>
    <w:rsid w:val="59205D38"/>
    <w:rsid w:val="597D4C6F"/>
    <w:rsid w:val="59C94FB5"/>
    <w:rsid w:val="59D820AB"/>
    <w:rsid w:val="5A9803FD"/>
    <w:rsid w:val="5B58571C"/>
    <w:rsid w:val="5C46174B"/>
    <w:rsid w:val="5C781657"/>
    <w:rsid w:val="5CBA1D36"/>
    <w:rsid w:val="5D307EFB"/>
    <w:rsid w:val="5D942597"/>
    <w:rsid w:val="5DCB6DD4"/>
    <w:rsid w:val="5DDD5997"/>
    <w:rsid w:val="5DDE7CA6"/>
    <w:rsid w:val="5EC51967"/>
    <w:rsid w:val="5EFB1046"/>
    <w:rsid w:val="5F13397F"/>
    <w:rsid w:val="5F304531"/>
    <w:rsid w:val="5F7F5B76"/>
    <w:rsid w:val="5F9E07E1"/>
    <w:rsid w:val="60217911"/>
    <w:rsid w:val="60570CFE"/>
    <w:rsid w:val="60B414A2"/>
    <w:rsid w:val="60E60A94"/>
    <w:rsid w:val="613926B5"/>
    <w:rsid w:val="61A44D62"/>
    <w:rsid w:val="61CD7A93"/>
    <w:rsid w:val="61CF012A"/>
    <w:rsid w:val="61D562CA"/>
    <w:rsid w:val="62466CE8"/>
    <w:rsid w:val="62B47F03"/>
    <w:rsid w:val="62BB2173"/>
    <w:rsid w:val="6307250B"/>
    <w:rsid w:val="63133F4E"/>
    <w:rsid w:val="632C2E62"/>
    <w:rsid w:val="63A23524"/>
    <w:rsid w:val="64EF4296"/>
    <w:rsid w:val="65312DB1"/>
    <w:rsid w:val="654B3E73"/>
    <w:rsid w:val="65A43DE1"/>
    <w:rsid w:val="66C335AB"/>
    <w:rsid w:val="670815C7"/>
    <w:rsid w:val="67C91DE0"/>
    <w:rsid w:val="681D537C"/>
    <w:rsid w:val="68AF64C7"/>
    <w:rsid w:val="69966FC3"/>
    <w:rsid w:val="69BE7A7D"/>
    <w:rsid w:val="69CD2D06"/>
    <w:rsid w:val="6A2932E0"/>
    <w:rsid w:val="6A832EF5"/>
    <w:rsid w:val="6AAA7F05"/>
    <w:rsid w:val="6AAE27AE"/>
    <w:rsid w:val="6AEF34F2"/>
    <w:rsid w:val="6BCF2EE1"/>
    <w:rsid w:val="6C564F9A"/>
    <w:rsid w:val="6C846928"/>
    <w:rsid w:val="6CB26586"/>
    <w:rsid w:val="6D274DA7"/>
    <w:rsid w:val="6D3C5791"/>
    <w:rsid w:val="6D5A5D50"/>
    <w:rsid w:val="6DEB6B12"/>
    <w:rsid w:val="6E02688E"/>
    <w:rsid w:val="6E550418"/>
    <w:rsid w:val="6E560B0F"/>
    <w:rsid w:val="6EF74724"/>
    <w:rsid w:val="6EFF47BA"/>
    <w:rsid w:val="6F394D3C"/>
    <w:rsid w:val="6F657F39"/>
    <w:rsid w:val="6F6E3FD1"/>
    <w:rsid w:val="6F705600"/>
    <w:rsid w:val="6FC445FC"/>
    <w:rsid w:val="6FD61F1E"/>
    <w:rsid w:val="6FF46C64"/>
    <w:rsid w:val="708C17E3"/>
    <w:rsid w:val="70D24CB2"/>
    <w:rsid w:val="71B27028"/>
    <w:rsid w:val="724B2FD5"/>
    <w:rsid w:val="727C1767"/>
    <w:rsid w:val="72B86D8A"/>
    <w:rsid w:val="72C65FB9"/>
    <w:rsid w:val="72F86CBC"/>
    <w:rsid w:val="73C80D84"/>
    <w:rsid w:val="740B7313"/>
    <w:rsid w:val="746F0F41"/>
    <w:rsid w:val="74AF784E"/>
    <w:rsid w:val="74B80DF9"/>
    <w:rsid w:val="74C657DF"/>
    <w:rsid w:val="75091655"/>
    <w:rsid w:val="751C3136"/>
    <w:rsid w:val="75B97AF0"/>
    <w:rsid w:val="76150602"/>
    <w:rsid w:val="761738FD"/>
    <w:rsid w:val="7695679F"/>
    <w:rsid w:val="76D249F1"/>
    <w:rsid w:val="76D96E05"/>
    <w:rsid w:val="76FC7D28"/>
    <w:rsid w:val="77992DA9"/>
    <w:rsid w:val="782446B8"/>
    <w:rsid w:val="78532FC3"/>
    <w:rsid w:val="78E7601E"/>
    <w:rsid w:val="78EA778B"/>
    <w:rsid w:val="78F06C72"/>
    <w:rsid w:val="79C96773"/>
    <w:rsid w:val="79D61A12"/>
    <w:rsid w:val="7A195E96"/>
    <w:rsid w:val="7AA33F18"/>
    <w:rsid w:val="7AB14D88"/>
    <w:rsid w:val="7ADF7B23"/>
    <w:rsid w:val="7B191EC6"/>
    <w:rsid w:val="7B6A44CF"/>
    <w:rsid w:val="7BE10C35"/>
    <w:rsid w:val="7BEE3352"/>
    <w:rsid w:val="7C663B77"/>
    <w:rsid w:val="7C7535FD"/>
    <w:rsid w:val="7C7E6484"/>
    <w:rsid w:val="7C7F518D"/>
    <w:rsid w:val="7D1512CD"/>
    <w:rsid w:val="7DC26844"/>
    <w:rsid w:val="7E17693C"/>
    <w:rsid w:val="7E696DF4"/>
    <w:rsid w:val="7EBC6E92"/>
    <w:rsid w:val="7ED22AB7"/>
    <w:rsid w:val="7F1B7FBA"/>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adjustRightInd w:val="0"/>
      <w:snapToGrid w:val="0"/>
      <w:spacing w:line="440" w:lineRule="atLeast"/>
      <w:ind w:firstLine="573"/>
    </w:pPr>
    <w:rPr>
      <w:rFonts w:ascii="宋体"/>
    </w:rPr>
  </w:style>
  <w:style w:type="paragraph" w:styleId="5">
    <w:name w:val="List Number"/>
    <w:basedOn w:val="1"/>
    <w:autoRedefine/>
    <w:qFormat/>
    <w:uiPriority w:val="0"/>
    <w:pPr>
      <w:numPr>
        <w:ilvl w:val="0"/>
        <w:numId w:val="1"/>
      </w:numPr>
    </w:pPr>
  </w:style>
  <w:style w:type="paragraph" w:styleId="6">
    <w:name w:val="toa heading"/>
    <w:basedOn w:val="1"/>
    <w:next w:val="1"/>
    <w:autoRedefine/>
    <w:qFormat/>
    <w:uiPriority w:val="0"/>
    <w:pPr>
      <w:spacing w:before="120"/>
    </w:pPr>
    <w:rPr>
      <w:rFonts w:ascii="Arial" w:hAnsi="Arial" w:cs="Arial"/>
    </w:rPr>
  </w:style>
  <w:style w:type="paragraph" w:styleId="7">
    <w:name w:val="Body Text"/>
    <w:basedOn w:val="1"/>
    <w:autoRedefine/>
    <w:qFormat/>
    <w:uiPriority w:val="0"/>
    <w:pPr>
      <w:ind w:left="120"/>
    </w:pPr>
    <w:rPr>
      <w:rFonts w:ascii="宋体" w:hAnsi="宋体"/>
      <w:sz w:val="32"/>
      <w:szCs w:val="32"/>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eastAsia="宋体" w:cs="Times New Roman"/>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autoRedefine/>
    <w:qFormat/>
    <w:uiPriority w:val="0"/>
    <w:pPr>
      <w:ind w:left="2100"/>
    </w:pPr>
    <w:rPr>
      <w:rFonts w:ascii="楷体_GB2312" w:hAnsi="Calibri" w:eastAsia="楷体_GB2312"/>
    </w:rPr>
  </w:style>
  <w:style w:type="paragraph" w:styleId="13">
    <w:name w:val="table of figures"/>
    <w:basedOn w:val="1"/>
    <w:next w:val="1"/>
    <w:autoRedefine/>
    <w:qFormat/>
    <w:uiPriority w:val="0"/>
    <w:pPr>
      <w:ind w:left="200" w:leftChars="200" w:hanging="200" w:hanging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8"/>
    <w:next w:val="1"/>
    <w:autoRedefine/>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_Style 2"/>
    <w:basedOn w:val="1"/>
    <w:autoRedefine/>
    <w:qFormat/>
    <w:uiPriority w:val="34"/>
    <w:pPr>
      <w:ind w:firstLine="420" w:firstLineChars="200"/>
    </w:pPr>
  </w:style>
  <w:style w:type="paragraph" w:customStyle="1" w:styleId="20">
    <w:name w:val="简单回函地址"/>
    <w:basedOn w:val="1"/>
    <w:next w:val="21"/>
    <w:autoRedefine/>
    <w:qFormat/>
    <w:uiPriority w:val="0"/>
    <w:rPr>
      <w:szCs w:val="20"/>
    </w:rPr>
  </w:style>
  <w:style w:type="paragraph" w:customStyle="1" w:styleId="2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customStyle="1" w:styleId="22">
    <w:name w:val="常用样式（方正仿宋简）"/>
    <w:basedOn w:val="23"/>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3">
    <w:name w:val="正文1"/>
    <w:next w:val="2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文本1"/>
    <w:basedOn w:val="23"/>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7">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8">
    <w:name w:val="font21"/>
    <w:basedOn w:val="18"/>
    <w:autoRedefine/>
    <w:qFormat/>
    <w:uiPriority w:val="0"/>
    <w:rPr>
      <w:rFonts w:hint="eastAsia" w:ascii="宋体" w:hAnsi="宋体" w:eastAsia="宋体" w:cs="宋体"/>
      <w:color w:val="000000"/>
      <w:sz w:val="20"/>
      <w:szCs w:val="20"/>
      <w:u w:val="none"/>
    </w:rPr>
  </w:style>
  <w:style w:type="paragraph" w:customStyle="1" w:styleId="29">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0">
    <w:name w:val="font71"/>
    <w:basedOn w:val="18"/>
    <w:autoRedefine/>
    <w:qFormat/>
    <w:uiPriority w:val="0"/>
    <w:rPr>
      <w:rFonts w:hint="eastAsia" w:ascii="宋体" w:hAnsi="宋体" w:eastAsia="宋体" w:cs="宋体"/>
      <w:color w:val="000000"/>
      <w:sz w:val="22"/>
      <w:szCs w:val="22"/>
      <w:u w:val="none"/>
    </w:rPr>
  </w:style>
  <w:style w:type="paragraph" w:customStyle="1" w:styleId="31">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2">
    <w:name w:val="List Paragraph"/>
    <w:basedOn w:val="1"/>
    <w:autoRedefine/>
    <w:qFormat/>
    <w:uiPriority w:val="99"/>
    <w:pPr>
      <w:ind w:firstLine="420" w:firstLineChars="200"/>
    </w:pPr>
  </w:style>
  <w:style w:type="character" w:customStyle="1" w:styleId="33">
    <w:name w:val="font01"/>
    <w:basedOn w:val="18"/>
    <w:autoRedefine/>
    <w:qFormat/>
    <w:uiPriority w:val="0"/>
    <w:rPr>
      <w:rFonts w:hint="eastAsia" w:ascii="宋体" w:hAnsi="宋体" w:eastAsia="宋体" w:cs="宋体"/>
      <w:color w:val="000000"/>
      <w:sz w:val="16"/>
      <w:szCs w:val="16"/>
      <w:u w:val="none"/>
    </w:rPr>
  </w:style>
  <w:style w:type="paragraph" w:customStyle="1" w:styleId="34">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5">
    <w:name w:val="font11"/>
    <w:autoRedefine/>
    <w:qFormat/>
    <w:uiPriority w:val="0"/>
    <w:rPr>
      <w:rFonts w:ascii="宋体" w:eastAsia="宋体" w:cs="宋体"/>
      <w:color w:val="000000"/>
      <w:sz w:val="22"/>
      <w:szCs w:val="22"/>
      <w:u w:val="none"/>
      <w:lang w:bidi="ar-SA"/>
    </w:rPr>
  </w:style>
  <w:style w:type="paragraph" w:customStyle="1" w:styleId="36">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2054</Words>
  <Characters>2104</Characters>
  <Lines>0</Lines>
  <Paragraphs>0</Paragraphs>
  <TotalTime>1</TotalTime>
  <ScaleCrop>false</ScaleCrop>
  <LinksUpToDate>false</LinksUpToDate>
  <CharactersWithSpaces>2112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苟朝群</cp:lastModifiedBy>
  <cp:lastPrinted>2024-09-27T02:57:00Z</cp:lastPrinted>
  <dcterms:modified xsi:type="dcterms:W3CDTF">2024-10-10T06:45:29Z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770FC33594934BA7A1849BCD676E20C8_13</vt:lpwstr>
  </property>
</Properties>
</file>