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730CC4">
      <w:pPr>
        <w:spacing w:line="360" w:lineRule="auto"/>
        <w:rPr>
          <w:rFonts w:hint="eastAsia" w:ascii="仿宋" w:hAnsi="仿宋" w:eastAsia="仿宋" w:cs="Times New Roman"/>
          <w:sz w:val="36"/>
          <w:szCs w:val="36"/>
        </w:rPr>
      </w:pPr>
    </w:p>
    <w:p w14:paraId="12BD6431">
      <w:pPr>
        <w:spacing w:line="360" w:lineRule="auto"/>
        <w:rPr>
          <w:rFonts w:hint="eastAsia" w:ascii="仿宋" w:hAnsi="仿宋" w:eastAsia="仿宋" w:cs="Times New Roman"/>
          <w:sz w:val="36"/>
          <w:szCs w:val="36"/>
        </w:rPr>
      </w:pPr>
    </w:p>
    <w:p w14:paraId="06B96CFF">
      <w:pPr>
        <w:spacing w:line="360" w:lineRule="auto"/>
        <w:rPr>
          <w:rFonts w:hint="eastAsia" w:ascii="仿宋" w:hAnsi="仿宋" w:eastAsia="仿宋" w:cs="Times New Roman"/>
          <w:sz w:val="36"/>
          <w:szCs w:val="36"/>
        </w:rPr>
      </w:pPr>
    </w:p>
    <w:p w14:paraId="129717CE">
      <w:pPr>
        <w:spacing w:line="360" w:lineRule="auto"/>
        <w:jc w:val="center"/>
        <w:rPr>
          <w:rFonts w:eastAsia="方正小标宋_GBK" w:cs="Times New Roman"/>
          <w:sz w:val="72"/>
          <w:szCs w:val="72"/>
        </w:rPr>
      </w:pPr>
      <w:r>
        <w:rPr>
          <w:rFonts w:eastAsia="方正小标宋_GBK" w:cs="Times New Roman"/>
          <w:sz w:val="72"/>
          <w:szCs w:val="72"/>
        </w:rPr>
        <w:t>建设项目环境影响报告表</w:t>
      </w:r>
    </w:p>
    <w:p w14:paraId="18DECB71">
      <w:pPr>
        <w:jc w:val="center"/>
        <w:rPr>
          <w:rFonts w:eastAsia="楷体" w:cs="Times New Roman"/>
          <w:sz w:val="48"/>
          <w:szCs w:val="48"/>
        </w:rPr>
      </w:pPr>
      <w:r>
        <w:rPr>
          <w:rFonts w:eastAsia="楷体" w:cs="Times New Roman"/>
          <w:sz w:val="48"/>
          <w:szCs w:val="48"/>
        </w:rPr>
        <w:t>（</w:t>
      </w:r>
      <w:r>
        <w:rPr>
          <w:rFonts w:hint="eastAsia" w:eastAsia="楷体" w:cs="Times New Roman"/>
          <w:sz w:val="48"/>
          <w:szCs w:val="48"/>
        </w:rPr>
        <w:t>污染影响类</w:t>
      </w:r>
      <w:r>
        <w:rPr>
          <w:rFonts w:eastAsia="楷体" w:cs="Times New Roman"/>
          <w:sz w:val="48"/>
          <w:szCs w:val="48"/>
        </w:rPr>
        <w:t>）</w:t>
      </w:r>
    </w:p>
    <w:p w14:paraId="362F67E5">
      <w:pPr>
        <w:jc w:val="center"/>
        <w:rPr>
          <w:rFonts w:eastAsia="楷体" w:cs="Times New Roman"/>
          <w:sz w:val="44"/>
          <w:szCs w:val="44"/>
        </w:rPr>
      </w:pPr>
      <w:r>
        <w:rPr>
          <w:rFonts w:hint="eastAsia" w:eastAsia="楷体" w:cs="Times New Roman"/>
          <w:sz w:val="44"/>
          <w:szCs w:val="44"/>
        </w:rPr>
        <w:t>（公示本）</w:t>
      </w:r>
    </w:p>
    <w:p w14:paraId="3D07C147">
      <w:pPr>
        <w:spacing w:line="360" w:lineRule="auto"/>
        <w:rPr>
          <w:rFonts w:hint="eastAsia" w:ascii="仿宋" w:hAnsi="仿宋" w:eastAsia="仿宋" w:cs="Times New Roman"/>
          <w:b/>
          <w:sz w:val="36"/>
          <w:szCs w:val="36"/>
        </w:rPr>
      </w:pPr>
    </w:p>
    <w:p w14:paraId="53EE0EE2">
      <w:pPr>
        <w:spacing w:line="360" w:lineRule="auto"/>
        <w:rPr>
          <w:rFonts w:hint="eastAsia" w:ascii="仿宋" w:hAnsi="仿宋" w:eastAsia="仿宋" w:cs="Times New Roman"/>
          <w:b/>
          <w:sz w:val="36"/>
          <w:szCs w:val="36"/>
        </w:rPr>
      </w:pPr>
    </w:p>
    <w:p w14:paraId="5F296F91">
      <w:pPr>
        <w:spacing w:line="360" w:lineRule="auto"/>
        <w:rPr>
          <w:rFonts w:hint="eastAsia" w:ascii="仿宋" w:hAnsi="仿宋" w:eastAsia="仿宋" w:cs="Times New Roman"/>
          <w:b/>
          <w:sz w:val="36"/>
          <w:szCs w:val="36"/>
        </w:rPr>
      </w:pPr>
    </w:p>
    <w:p w14:paraId="53A9F91F">
      <w:pPr>
        <w:spacing w:line="360" w:lineRule="auto"/>
        <w:rPr>
          <w:rFonts w:hint="eastAsia" w:ascii="仿宋" w:hAnsi="仿宋" w:eastAsia="仿宋" w:cs="Times New Roman"/>
          <w:b/>
          <w:sz w:val="36"/>
          <w:szCs w:val="36"/>
        </w:rPr>
      </w:pPr>
    </w:p>
    <w:p w14:paraId="67E9D708">
      <w:pPr>
        <w:spacing w:line="360" w:lineRule="auto"/>
        <w:ind w:firstLine="540" w:firstLineChars="150"/>
        <w:rPr>
          <w:rFonts w:eastAsia="仿宋" w:cs="Times New Roman"/>
          <w:sz w:val="36"/>
          <w:szCs w:val="36"/>
          <w:u w:val="single"/>
        </w:rPr>
      </w:pPr>
      <w:r>
        <w:rPr>
          <w:rFonts w:eastAsia="仿宋" w:cs="Times New Roman"/>
          <w:sz w:val="36"/>
          <w:szCs w:val="36"/>
        </w:rPr>
        <w:t>项目名称：</w:t>
      </w:r>
      <w:r>
        <w:rPr>
          <w:rFonts w:hint="eastAsia" w:eastAsia="仿宋" w:cs="Times New Roman"/>
          <w:sz w:val="36"/>
          <w:szCs w:val="36"/>
          <w:u w:val="single"/>
        </w:rPr>
        <w:t>年产4000万只酒类及家电类环保塑料制</w:t>
      </w:r>
    </w:p>
    <w:p w14:paraId="3AC7063C">
      <w:pPr>
        <w:spacing w:line="360" w:lineRule="auto"/>
        <w:ind w:firstLine="2340" w:firstLineChars="650"/>
        <w:rPr>
          <w:rFonts w:eastAsia="仿宋" w:cs="Times New Roman"/>
          <w:sz w:val="36"/>
          <w:szCs w:val="36"/>
          <w:u w:val="single"/>
        </w:rPr>
      </w:pPr>
      <w:r>
        <w:rPr>
          <w:rFonts w:hint="eastAsia" w:eastAsia="仿宋" w:cs="Times New Roman"/>
          <w:sz w:val="36"/>
          <w:szCs w:val="36"/>
          <w:u w:val="single"/>
        </w:rPr>
        <w:t>品数字化生产线建设项目</w:t>
      </w:r>
    </w:p>
    <w:p w14:paraId="0046FBD3">
      <w:pPr>
        <w:spacing w:line="360" w:lineRule="auto"/>
        <w:ind w:firstLine="540" w:firstLineChars="150"/>
        <w:rPr>
          <w:rFonts w:eastAsia="仿宋" w:cs="Times New Roman"/>
          <w:sz w:val="36"/>
          <w:szCs w:val="36"/>
          <w:u w:val="single"/>
        </w:rPr>
      </w:pPr>
      <w:r>
        <w:rPr>
          <w:rFonts w:eastAsia="仿宋" w:cs="Times New Roman"/>
          <w:sz w:val="36"/>
          <w:szCs w:val="36"/>
        </w:rPr>
        <w:t>建设单位（盖章）：</w:t>
      </w:r>
      <w:r>
        <w:rPr>
          <w:rFonts w:hint="eastAsia" w:eastAsia="仿宋" w:cs="Times New Roman"/>
          <w:sz w:val="36"/>
          <w:szCs w:val="36"/>
          <w:u w:val="single"/>
        </w:rPr>
        <w:t xml:space="preserve">  四川圣拉斯包装制品有限公司 </w:t>
      </w:r>
    </w:p>
    <w:p w14:paraId="3E3780D4">
      <w:pPr>
        <w:spacing w:line="360" w:lineRule="auto"/>
        <w:ind w:firstLine="540" w:firstLineChars="150"/>
        <w:rPr>
          <w:rFonts w:eastAsia="仿宋" w:cs="Times New Roman"/>
          <w:sz w:val="36"/>
          <w:szCs w:val="36"/>
        </w:rPr>
      </w:pPr>
      <w:r>
        <w:rPr>
          <w:rFonts w:eastAsia="仿宋" w:cs="Times New Roman"/>
          <w:sz w:val="36"/>
          <w:szCs w:val="36"/>
        </w:rPr>
        <w:t>编制日期：</w:t>
      </w:r>
      <w:r>
        <w:rPr>
          <w:rFonts w:eastAsia="仿宋" w:cs="Times New Roman"/>
          <w:sz w:val="36"/>
          <w:szCs w:val="36"/>
          <w:u w:val="single"/>
        </w:rPr>
        <w:t xml:space="preserve">           </w:t>
      </w:r>
      <w:r>
        <w:rPr>
          <w:rFonts w:hint="eastAsia" w:eastAsia="仿宋" w:cs="Times New Roman"/>
          <w:sz w:val="36"/>
          <w:szCs w:val="36"/>
          <w:u w:val="single"/>
        </w:rPr>
        <w:t xml:space="preserve">  </w:t>
      </w:r>
      <w:r>
        <w:rPr>
          <w:rFonts w:eastAsia="仿宋" w:cs="Times New Roman"/>
          <w:sz w:val="36"/>
          <w:szCs w:val="36"/>
          <w:u w:val="single"/>
        </w:rPr>
        <w:t xml:space="preserve"> 202</w:t>
      </w:r>
      <w:r>
        <w:rPr>
          <w:rFonts w:hint="eastAsia" w:eastAsia="仿宋" w:cs="Times New Roman"/>
          <w:sz w:val="36"/>
          <w:szCs w:val="36"/>
          <w:u w:val="single"/>
        </w:rPr>
        <w:t>4</w:t>
      </w:r>
      <w:r>
        <w:rPr>
          <w:rFonts w:eastAsia="仿宋" w:cs="Times New Roman"/>
          <w:sz w:val="36"/>
          <w:szCs w:val="36"/>
          <w:u w:val="single"/>
        </w:rPr>
        <w:t>年</w:t>
      </w:r>
      <w:r>
        <w:rPr>
          <w:rFonts w:hint="eastAsia" w:eastAsia="仿宋" w:cs="Times New Roman"/>
          <w:sz w:val="36"/>
          <w:szCs w:val="36"/>
          <w:u w:val="single"/>
        </w:rPr>
        <w:t>10</w:t>
      </w:r>
      <w:r>
        <w:rPr>
          <w:rFonts w:eastAsia="仿宋" w:cs="Times New Roman"/>
          <w:sz w:val="36"/>
          <w:szCs w:val="36"/>
          <w:u w:val="single"/>
        </w:rPr>
        <w:t xml:space="preserve">月           </w:t>
      </w:r>
    </w:p>
    <w:p w14:paraId="7256212D">
      <w:pPr>
        <w:spacing w:line="360" w:lineRule="auto"/>
        <w:rPr>
          <w:rFonts w:hint="eastAsia" w:ascii="仿宋" w:hAnsi="仿宋" w:eastAsia="仿宋" w:cs="Times New Roman"/>
          <w:sz w:val="36"/>
          <w:szCs w:val="36"/>
        </w:rPr>
      </w:pPr>
    </w:p>
    <w:p w14:paraId="6D43B39B">
      <w:pPr>
        <w:spacing w:line="360" w:lineRule="auto"/>
        <w:rPr>
          <w:rFonts w:hint="eastAsia" w:ascii="仿宋" w:hAnsi="仿宋" w:eastAsia="仿宋" w:cs="Times New Roman"/>
          <w:sz w:val="36"/>
          <w:szCs w:val="36"/>
        </w:rPr>
      </w:pPr>
    </w:p>
    <w:p w14:paraId="594E2FAD">
      <w:pPr>
        <w:spacing w:line="360" w:lineRule="auto"/>
        <w:rPr>
          <w:rFonts w:hint="eastAsia" w:ascii="仿宋" w:hAnsi="仿宋" w:eastAsia="仿宋" w:cs="Times New Roman"/>
          <w:sz w:val="36"/>
          <w:szCs w:val="36"/>
        </w:rPr>
      </w:pPr>
    </w:p>
    <w:p w14:paraId="2787EF1E">
      <w:pPr>
        <w:spacing w:line="360" w:lineRule="auto"/>
        <w:rPr>
          <w:rFonts w:hint="eastAsia" w:ascii="仿宋" w:hAnsi="仿宋" w:eastAsia="仿宋" w:cs="Times New Roman"/>
          <w:sz w:val="36"/>
          <w:szCs w:val="36"/>
        </w:rPr>
      </w:pPr>
    </w:p>
    <w:p w14:paraId="24ED21A0">
      <w:pPr>
        <w:spacing w:line="360" w:lineRule="auto"/>
        <w:rPr>
          <w:rFonts w:hint="eastAsia" w:ascii="仿宋" w:hAnsi="仿宋" w:eastAsia="仿宋" w:cs="Times New Roman"/>
          <w:sz w:val="36"/>
          <w:szCs w:val="36"/>
        </w:rPr>
      </w:pPr>
    </w:p>
    <w:p w14:paraId="382FB4CB">
      <w:pPr>
        <w:spacing w:line="360" w:lineRule="auto"/>
        <w:rPr>
          <w:rFonts w:hint="eastAsia" w:ascii="仿宋" w:hAnsi="仿宋" w:eastAsia="仿宋" w:cs="Times New Roman"/>
          <w:sz w:val="36"/>
          <w:szCs w:val="36"/>
        </w:rPr>
      </w:pPr>
    </w:p>
    <w:p w14:paraId="19379608">
      <w:pPr>
        <w:spacing w:line="360" w:lineRule="auto"/>
        <w:jc w:val="center"/>
        <w:rPr>
          <w:rFonts w:hint="eastAsia" w:ascii="楷体" w:hAnsi="楷体" w:eastAsia="楷体"/>
          <w:sz w:val="36"/>
          <w:szCs w:val="36"/>
        </w:rPr>
      </w:pPr>
      <w:r>
        <w:rPr>
          <w:rFonts w:hint="eastAsia" w:ascii="楷体" w:hAnsi="楷体" w:eastAsia="楷体" w:cs="Times New Roman"/>
          <w:sz w:val="36"/>
          <w:szCs w:val="36"/>
        </w:rPr>
        <w:t>中华人民共和国生态环境部制</w:t>
      </w:r>
    </w:p>
    <w:p w14:paraId="048372EC">
      <w:pPr>
        <w:spacing w:line="360" w:lineRule="auto"/>
        <w:rPr>
          <w:rFonts w:cs="Times New Roman"/>
          <w:sz w:val="28"/>
          <w:szCs w:val="28"/>
        </w:rPr>
      </w:pPr>
    </w:p>
    <w:p w14:paraId="333FBA7A">
      <w:pPr>
        <w:spacing w:line="360" w:lineRule="auto"/>
        <w:rPr>
          <w:rFonts w:cs="Times New Roman"/>
          <w:sz w:val="28"/>
          <w:szCs w:val="28"/>
        </w:rPr>
        <w:sectPr>
          <w:pgSz w:w="11906" w:h="16838"/>
          <w:pgMar w:top="1134" w:right="1134" w:bottom="1134" w:left="1134" w:header="851" w:footer="992" w:gutter="0"/>
          <w:cols w:space="720" w:num="1"/>
          <w:docGrid w:type="lines" w:linePitch="312" w:charSpace="0"/>
        </w:sectPr>
      </w:pPr>
    </w:p>
    <w:p w14:paraId="4294F69C">
      <w:pPr>
        <w:spacing w:line="360" w:lineRule="auto"/>
        <w:rPr>
          <w:rFonts w:cs="Times New Roman"/>
          <w:sz w:val="24"/>
          <w:szCs w:val="24"/>
        </w:rPr>
      </w:pPr>
    </w:p>
    <w:p w14:paraId="67C588D9">
      <w:pPr>
        <w:spacing w:line="360" w:lineRule="auto"/>
        <w:jc w:val="center"/>
        <w:rPr>
          <w:rFonts w:cs="Times New Roman"/>
          <w:b/>
          <w:bCs/>
          <w:sz w:val="36"/>
          <w:szCs w:val="36"/>
        </w:rPr>
      </w:pPr>
      <w:r>
        <w:rPr>
          <w:rFonts w:hint="eastAsia" w:cs="Times New Roman"/>
          <w:b/>
          <w:bCs/>
          <w:sz w:val="36"/>
          <w:szCs w:val="36"/>
        </w:rPr>
        <w:t xml:space="preserve">目 </w:t>
      </w:r>
      <w:r>
        <w:rPr>
          <w:rFonts w:cs="Times New Roman"/>
          <w:b/>
          <w:bCs/>
          <w:sz w:val="36"/>
          <w:szCs w:val="36"/>
        </w:rPr>
        <w:t xml:space="preserve"> </w:t>
      </w:r>
      <w:r>
        <w:rPr>
          <w:rFonts w:hint="eastAsia" w:cs="Times New Roman"/>
          <w:b/>
          <w:bCs/>
          <w:sz w:val="36"/>
          <w:szCs w:val="36"/>
        </w:rPr>
        <w:t>录</w:t>
      </w:r>
    </w:p>
    <w:p w14:paraId="201FE64B">
      <w:pPr>
        <w:spacing w:line="360" w:lineRule="auto"/>
        <w:rPr>
          <w:rFonts w:cs="Times New Roman"/>
          <w:sz w:val="28"/>
          <w:szCs w:val="28"/>
        </w:rPr>
      </w:pPr>
    </w:p>
    <w:p w14:paraId="02D28F96">
      <w:pPr>
        <w:pStyle w:val="12"/>
        <w:tabs>
          <w:tab w:val="right" w:leader="dot" w:pos="9344"/>
        </w:tabs>
        <w:spacing w:line="360" w:lineRule="auto"/>
        <w:rPr>
          <w:rFonts w:cs="Times New Roman" w:eastAsiaTheme="minorEastAsia"/>
          <w:szCs w:val="21"/>
        </w:rPr>
      </w:pPr>
      <w:r>
        <w:rPr>
          <w:rFonts w:cs="Times New Roman" w:eastAsiaTheme="minorEastAsia"/>
          <w:szCs w:val="21"/>
        </w:rPr>
        <w:fldChar w:fldCharType="begin"/>
      </w:r>
      <w:r>
        <w:rPr>
          <w:rFonts w:cs="Times New Roman" w:eastAsiaTheme="minorEastAsia"/>
          <w:szCs w:val="21"/>
        </w:rPr>
        <w:instrText xml:space="preserve"> TOC \o "1-1" \h \z \u </w:instrText>
      </w:r>
      <w:r>
        <w:rPr>
          <w:rFonts w:cs="Times New Roman" w:eastAsiaTheme="minorEastAsia"/>
          <w:szCs w:val="21"/>
        </w:rPr>
        <w:fldChar w:fldCharType="separate"/>
      </w:r>
      <w:r>
        <w:fldChar w:fldCharType="begin"/>
      </w:r>
      <w:r>
        <w:instrText xml:space="preserve"> HYPERLINK \l "_Toc97040273" </w:instrText>
      </w:r>
      <w:r>
        <w:fldChar w:fldCharType="separate"/>
      </w:r>
      <w:r>
        <w:rPr>
          <w:rStyle w:val="19"/>
          <w:rFonts w:cs="Times New Roman" w:eastAsiaTheme="minorEastAsia"/>
          <w:color w:val="auto"/>
          <w:szCs w:val="21"/>
        </w:rPr>
        <w:t>一、建设项目基本情况</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_Toc97040273 \h </w:instrText>
      </w:r>
      <w:r>
        <w:rPr>
          <w:rFonts w:cs="Times New Roman" w:eastAsiaTheme="minorEastAsia"/>
          <w:szCs w:val="21"/>
        </w:rPr>
        <w:fldChar w:fldCharType="separate"/>
      </w:r>
      <w:r>
        <w:rPr>
          <w:rFonts w:cs="Times New Roman" w:eastAsiaTheme="minorEastAsia"/>
          <w:szCs w:val="21"/>
        </w:rPr>
        <w:t>1</w:t>
      </w:r>
      <w:r>
        <w:rPr>
          <w:rFonts w:cs="Times New Roman" w:eastAsiaTheme="minorEastAsia"/>
          <w:szCs w:val="21"/>
        </w:rPr>
        <w:fldChar w:fldCharType="end"/>
      </w:r>
      <w:r>
        <w:rPr>
          <w:rFonts w:cs="Times New Roman" w:eastAsiaTheme="minorEastAsia"/>
          <w:szCs w:val="21"/>
        </w:rPr>
        <w:fldChar w:fldCharType="end"/>
      </w:r>
    </w:p>
    <w:p w14:paraId="62DB13C7">
      <w:pPr>
        <w:pStyle w:val="12"/>
        <w:tabs>
          <w:tab w:val="right" w:leader="dot" w:pos="9344"/>
        </w:tabs>
        <w:spacing w:line="360" w:lineRule="auto"/>
        <w:rPr>
          <w:rFonts w:cs="Times New Roman" w:eastAsiaTheme="minorEastAsia"/>
          <w:szCs w:val="21"/>
        </w:rPr>
      </w:pPr>
      <w:r>
        <w:fldChar w:fldCharType="begin"/>
      </w:r>
      <w:r>
        <w:instrText xml:space="preserve"> HYPERLINK \l "_Toc97040274" </w:instrText>
      </w:r>
      <w:r>
        <w:fldChar w:fldCharType="separate"/>
      </w:r>
      <w:r>
        <w:rPr>
          <w:rStyle w:val="19"/>
          <w:rFonts w:cs="Times New Roman" w:eastAsiaTheme="minorEastAsia"/>
          <w:color w:val="auto"/>
          <w:szCs w:val="21"/>
        </w:rPr>
        <w:t>二、建设项目工程分析</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_Toc97040274 \h </w:instrText>
      </w:r>
      <w:r>
        <w:rPr>
          <w:rFonts w:cs="Times New Roman" w:eastAsiaTheme="minorEastAsia"/>
          <w:szCs w:val="21"/>
        </w:rPr>
        <w:fldChar w:fldCharType="separate"/>
      </w:r>
      <w:r>
        <w:rPr>
          <w:rFonts w:cs="Times New Roman" w:eastAsiaTheme="minorEastAsia"/>
          <w:szCs w:val="21"/>
        </w:rPr>
        <w:t>24</w:t>
      </w:r>
      <w:r>
        <w:rPr>
          <w:rFonts w:cs="Times New Roman" w:eastAsiaTheme="minorEastAsia"/>
          <w:szCs w:val="21"/>
        </w:rPr>
        <w:fldChar w:fldCharType="end"/>
      </w:r>
      <w:r>
        <w:rPr>
          <w:rFonts w:cs="Times New Roman" w:eastAsiaTheme="minorEastAsia"/>
          <w:szCs w:val="21"/>
        </w:rPr>
        <w:fldChar w:fldCharType="end"/>
      </w:r>
    </w:p>
    <w:p w14:paraId="0992B288">
      <w:pPr>
        <w:pStyle w:val="12"/>
        <w:tabs>
          <w:tab w:val="right" w:leader="dot" w:pos="9344"/>
        </w:tabs>
        <w:spacing w:line="360" w:lineRule="auto"/>
        <w:rPr>
          <w:rFonts w:cs="Times New Roman" w:eastAsiaTheme="minorEastAsia"/>
          <w:szCs w:val="21"/>
        </w:rPr>
      </w:pPr>
      <w:r>
        <w:fldChar w:fldCharType="begin"/>
      </w:r>
      <w:r>
        <w:instrText xml:space="preserve"> HYPERLINK \l "_Toc97040275" </w:instrText>
      </w:r>
      <w:r>
        <w:fldChar w:fldCharType="separate"/>
      </w:r>
      <w:r>
        <w:rPr>
          <w:rStyle w:val="19"/>
          <w:rFonts w:cs="Times New Roman" w:eastAsiaTheme="minorEastAsia"/>
          <w:color w:val="auto"/>
          <w:szCs w:val="21"/>
        </w:rPr>
        <w:t>三、区域环境质量现状、环境保护目标及评价标准</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_Toc97040275 \h </w:instrText>
      </w:r>
      <w:r>
        <w:rPr>
          <w:rFonts w:cs="Times New Roman" w:eastAsiaTheme="minorEastAsia"/>
          <w:szCs w:val="21"/>
        </w:rPr>
        <w:fldChar w:fldCharType="separate"/>
      </w:r>
      <w:r>
        <w:rPr>
          <w:rFonts w:cs="Times New Roman" w:eastAsiaTheme="minorEastAsia"/>
          <w:szCs w:val="21"/>
        </w:rPr>
        <w:t>52</w:t>
      </w:r>
      <w:r>
        <w:rPr>
          <w:rFonts w:cs="Times New Roman" w:eastAsiaTheme="minorEastAsia"/>
          <w:szCs w:val="21"/>
        </w:rPr>
        <w:fldChar w:fldCharType="end"/>
      </w:r>
      <w:r>
        <w:rPr>
          <w:rFonts w:cs="Times New Roman" w:eastAsiaTheme="minorEastAsia"/>
          <w:szCs w:val="21"/>
        </w:rPr>
        <w:fldChar w:fldCharType="end"/>
      </w:r>
    </w:p>
    <w:p w14:paraId="5BD7D1D6">
      <w:pPr>
        <w:pStyle w:val="12"/>
        <w:tabs>
          <w:tab w:val="right" w:leader="dot" w:pos="9344"/>
        </w:tabs>
        <w:spacing w:line="360" w:lineRule="auto"/>
        <w:rPr>
          <w:rFonts w:cs="Times New Roman" w:eastAsiaTheme="minorEastAsia"/>
          <w:szCs w:val="21"/>
        </w:rPr>
      </w:pPr>
      <w:r>
        <w:fldChar w:fldCharType="begin"/>
      </w:r>
      <w:r>
        <w:instrText xml:space="preserve"> HYPERLINK \l "_Toc97040276" </w:instrText>
      </w:r>
      <w:r>
        <w:fldChar w:fldCharType="separate"/>
      </w:r>
      <w:r>
        <w:rPr>
          <w:rStyle w:val="19"/>
          <w:rFonts w:cs="Times New Roman" w:eastAsiaTheme="minorEastAsia"/>
          <w:color w:val="auto"/>
          <w:szCs w:val="21"/>
        </w:rPr>
        <w:t>四、主要环境影响和保护措施</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_Toc97040276 \h </w:instrText>
      </w:r>
      <w:r>
        <w:rPr>
          <w:rFonts w:cs="Times New Roman" w:eastAsiaTheme="minorEastAsia"/>
          <w:szCs w:val="21"/>
        </w:rPr>
        <w:fldChar w:fldCharType="separate"/>
      </w:r>
      <w:r>
        <w:rPr>
          <w:rFonts w:cs="Times New Roman" w:eastAsiaTheme="minorEastAsia"/>
          <w:szCs w:val="21"/>
        </w:rPr>
        <w:t>60</w:t>
      </w:r>
      <w:r>
        <w:rPr>
          <w:rFonts w:cs="Times New Roman" w:eastAsiaTheme="minorEastAsia"/>
          <w:szCs w:val="21"/>
        </w:rPr>
        <w:fldChar w:fldCharType="end"/>
      </w:r>
      <w:r>
        <w:rPr>
          <w:rFonts w:cs="Times New Roman" w:eastAsiaTheme="minorEastAsia"/>
          <w:szCs w:val="21"/>
        </w:rPr>
        <w:fldChar w:fldCharType="end"/>
      </w:r>
    </w:p>
    <w:p w14:paraId="0199F50F">
      <w:pPr>
        <w:pStyle w:val="12"/>
        <w:tabs>
          <w:tab w:val="right" w:leader="dot" w:pos="9344"/>
        </w:tabs>
        <w:spacing w:line="360" w:lineRule="auto"/>
        <w:rPr>
          <w:rFonts w:cs="Times New Roman" w:eastAsiaTheme="minorEastAsia"/>
          <w:szCs w:val="21"/>
        </w:rPr>
      </w:pPr>
      <w:r>
        <w:fldChar w:fldCharType="begin"/>
      </w:r>
      <w:r>
        <w:instrText xml:space="preserve"> HYPERLINK \l "_Toc97040277" </w:instrText>
      </w:r>
      <w:r>
        <w:fldChar w:fldCharType="separate"/>
      </w:r>
      <w:r>
        <w:rPr>
          <w:rStyle w:val="19"/>
          <w:rFonts w:cs="Times New Roman" w:eastAsiaTheme="minorEastAsia"/>
          <w:color w:val="auto"/>
          <w:szCs w:val="21"/>
        </w:rPr>
        <w:t>五、环境保护措施监督检查清单</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_Toc97040277 \h </w:instrText>
      </w:r>
      <w:r>
        <w:rPr>
          <w:rFonts w:cs="Times New Roman" w:eastAsiaTheme="minorEastAsia"/>
          <w:szCs w:val="21"/>
        </w:rPr>
        <w:fldChar w:fldCharType="separate"/>
      </w:r>
      <w:r>
        <w:rPr>
          <w:rFonts w:cs="Times New Roman" w:eastAsiaTheme="minorEastAsia"/>
          <w:szCs w:val="21"/>
        </w:rPr>
        <w:t>95</w:t>
      </w:r>
      <w:r>
        <w:rPr>
          <w:rFonts w:cs="Times New Roman" w:eastAsiaTheme="minorEastAsia"/>
          <w:szCs w:val="21"/>
        </w:rPr>
        <w:fldChar w:fldCharType="end"/>
      </w:r>
      <w:r>
        <w:rPr>
          <w:rFonts w:cs="Times New Roman" w:eastAsiaTheme="minorEastAsia"/>
          <w:szCs w:val="21"/>
        </w:rPr>
        <w:fldChar w:fldCharType="end"/>
      </w:r>
    </w:p>
    <w:p w14:paraId="0A5AECA9">
      <w:pPr>
        <w:pStyle w:val="12"/>
        <w:tabs>
          <w:tab w:val="right" w:leader="dot" w:pos="9344"/>
        </w:tabs>
        <w:spacing w:line="360" w:lineRule="auto"/>
        <w:rPr>
          <w:rFonts w:cs="Times New Roman" w:eastAsiaTheme="minorEastAsia"/>
          <w:szCs w:val="21"/>
        </w:rPr>
      </w:pPr>
      <w:r>
        <w:fldChar w:fldCharType="begin"/>
      </w:r>
      <w:r>
        <w:instrText xml:space="preserve"> HYPERLINK \l "_Toc97040278" </w:instrText>
      </w:r>
      <w:r>
        <w:fldChar w:fldCharType="separate"/>
      </w:r>
      <w:r>
        <w:rPr>
          <w:rStyle w:val="19"/>
          <w:rFonts w:cs="Times New Roman" w:eastAsiaTheme="minorEastAsia"/>
          <w:color w:val="auto"/>
          <w:szCs w:val="21"/>
        </w:rPr>
        <w:t>六、结论</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_Toc97040278 \h </w:instrText>
      </w:r>
      <w:r>
        <w:rPr>
          <w:rFonts w:cs="Times New Roman" w:eastAsiaTheme="minorEastAsia"/>
          <w:szCs w:val="21"/>
        </w:rPr>
        <w:fldChar w:fldCharType="separate"/>
      </w:r>
      <w:r>
        <w:rPr>
          <w:rFonts w:cs="Times New Roman" w:eastAsiaTheme="minorEastAsia"/>
          <w:szCs w:val="21"/>
        </w:rPr>
        <w:t>97</w:t>
      </w:r>
      <w:r>
        <w:rPr>
          <w:rFonts w:cs="Times New Roman" w:eastAsiaTheme="minorEastAsia"/>
          <w:szCs w:val="21"/>
        </w:rPr>
        <w:fldChar w:fldCharType="end"/>
      </w:r>
      <w:r>
        <w:rPr>
          <w:rFonts w:cs="Times New Roman" w:eastAsiaTheme="minorEastAsia"/>
          <w:szCs w:val="21"/>
        </w:rPr>
        <w:fldChar w:fldCharType="end"/>
      </w:r>
    </w:p>
    <w:p w14:paraId="5D35C950">
      <w:pPr>
        <w:pStyle w:val="12"/>
        <w:tabs>
          <w:tab w:val="right" w:leader="dot" w:pos="9344"/>
        </w:tabs>
        <w:spacing w:line="360" w:lineRule="auto"/>
        <w:rPr>
          <w:rFonts w:cs="Times New Roman" w:eastAsiaTheme="minorEastAsia"/>
          <w:szCs w:val="21"/>
        </w:rPr>
      </w:pPr>
      <w:r>
        <w:fldChar w:fldCharType="begin"/>
      </w:r>
      <w:r>
        <w:instrText xml:space="preserve"> HYPERLINK \l "_Toc97040279" </w:instrText>
      </w:r>
      <w:r>
        <w:fldChar w:fldCharType="separate"/>
      </w:r>
      <w:r>
        <w:rPr>
          <w:rStyle w:val="19"/>
          <w:rFonts w:cs="Times New Roman" w:eastAsiaTheme="minorEastAsia"/>
          <w:color w:val="auto"/>
          <w:szCs w:val="21"/>
        </w:rPr>
        <w:t>附表</w:t>
      </w:r>
      <w:r>
        <w:rPr>
          <w:rFonts w:cs="Times New Roman" w:eastAsiaTheme="minorEastAsia"/>
          <w:szCs w:val="21"/>
        </w:rPr>
        <w:tab/>
      </w:r>
      <w:r>
        <w:rPr>
          <w:rFonts w:cs="Times New Roman" w:eastAsiaTheme="minorEastAsia"/>
          <w:szCs w:val="21"/>
        </w:rPr>
        <w:fldChar w:fldCharType="begin"/>
      </w:r>
      <w:r>
        <w:rPr>
          <w:rFonts w:cs="Times New Roman" w:eastAsiaTheme="minorEastAsia"/>
          <w:szCs w:val="21"/>
        </w:rPr>
        <w:instrText xml:space="preserve"> PAGEREF _Toc97040279 \h </w:instrText>
      </w:r>
      <w:r>
        <w:rPr>
          <w:rFonts w:cs="Times New Roman" w:eastAsiaTheme="minorEastAsia"/>
          <w:szCs w:val="21"/>
        </w:rPr>
        <w:fldChar w:fldCharType="separate"/>
      </w:r>
      <w:r>
        <w:rPr>
          <w:rFonts w:cs="Times New Roman" w:eastAsiaTheme="minorEastAsia"/>
          <w:szCs w:val="21"/>
        </w:rPr>
        <w:t>98</w:t>
      </w:r>
      <w:r>
        <w:rPr>
          <w:rFonts w:cs="Times New Roman" w:eastAsiaTheme="minorEastAsia"/>
          <w:szCs w:val="21"/>
        </w:rPr>
        <w:fldChar w:fldCharType="end"/>
      </w:r>
      <w:r>
        <w:rPr>
          <w:rFonts w:cs="Times New Roman" w:eastAsiaTheme="minorEastAsia"/>
          <w:szCs w:val="21"/>
        </w:rPr>
        <w:fldChar w:fldCharType="end"/>
      </w:r>
    </w:p>
    <w:p w14:paraId="7378F70F">
      <w:pPr>
        <w:spacing w:line="360" w:lineRule="auto"/>
        <w:rPr>
          <w:rFonts w:cs="Times New Roman"/>
          <w:sz w:val="24"/>
          <w:szCs w:val="24"/>
        </w:rPr>
      </w:pPr>
      <w:r>
        <w:rPr>
          <w:rFonts w:cs="Times New Roman" w:eastAsiaTheme="minorEastAsia"/>
          <w:szCs w:val="21"/>
        </w:rPr>
        <w:fldChar w:fldCharType="end"/>
      </w:r>
    </w:p>
    <w:p w14:paraId="02AAFFAD">
      <w:pPr>
        <w:spacing w:line="360" w:lineRule="auto"/>
        <w:rPr>
          <w:rFonts w:cs="Times New Roman"/>
          <w:sz w:val="24"/>
          <w:szCs w:val="24"/>
        </w:rPr>
      </w:pPr>
    </w:p>
    <w:p w14:paraId="1B6BAA47">
      <w:pPr>
        <w:spacing w:line="360" w:lineRule="auto"/>
        <w:rPr>
          <w:b/>
          <w:sz w:val="24"/>
          <w:szCs w:val="24"/>
        </w:rPr>
        <w:sectPr>
          <w:pgSz w:w="11906" w:h="16838"/>
          <w:pgMar w:top="1134" w:right="1134" w:bottom="1134" w:left="1134" w:header="851" w:footer="992" w:gutter="0"/>
          <w:cols w:space="720" w:num="1"/>
          <w:docGrid w:type="lines" w:linePitch="312" w:charSpace="0"/>
        </w:sectPr>
      </w:pPr>
    </w:p>
    <w:p w14:paraId="4B2D1B6A">
      <w:pPr>
        <w:pStyle w:val="40"/>
        <w:jc w:val="center"/>
        <w:rPr>
          <w:szCs w:val="24"/>
        </w:rPr>
      </w:pPr>
      <w:bookmarkStart w:id="0" w:name="_Toc97040273"/>
      <w:r>
        <w:rPr>
          <w:rFonts w:ascii="黑体" w:hAnsi="黑体" w:eastAsia="黑体"/>
          <w:b w:val="0"/>
          <w:sz w:val="30"/>
          <w:szCs w:val="30"/>
        </w:rPr>
        <w:t>一</w:t>
      </w:r>
      <w:r>
        <w:rPr>
          <w:rFonts w:hint="eastAsia" w:ascii="黑体" w:hAnsi="黑体" w:eastAsia="黑体"/>
          <w:b w:val="0"/>
          <w:sz w:val="30"/>
          <w:szCs w:val="30"/>
        </w:rPr>
        <w:t>、</w:t>
      </w:r>
      <w:r>
        <w:rPr>
          <w:rFonts w:ascii="黑体" w:hAnsi="黑体" w:eastAsia="黑体"/>
          <w:b w:val="0"/>
          <w:sz w:val="30"/>
          <w:szCs w:val="30"/>
        </w:rPr>
        <w:t>建设项目基本情况</w:t>
      </w:r>
      <w:bookmarkEnd w:id="0"/>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3287"/>
        <w:gridCol w:w="1494"/>
        <w:gridCol w:w="3733"/>
      </w:tblGrid>
      <w:tr w14:paraId="56F7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14:paraId="1C81814F">
            <w:pPr>
              <w:spacing w:line="360" w:lineRule="auto"/>
              <w:jc w:val="center"/>
              <w:rPr>
                <w:rFonts w:cs="Times New Roman"/>
                <w:sz w:val="24"/>
                <w:szCs w:val="24"/>
              </w:rPr>
            </w:pPr>
            <w:r>
              <w:rPr>
                <w:rFonts w:cs="Times New Roman"/>
                <w:sz w:val="24"/>
                <w:szCs w:val="24"/>
              </w:rPr>
              <w:t>建设项目名称</w:t>
            </w:r>
          </w:p>
        </w:tc>
        <w:tc>
          <w:tcPr>
            <w:tcW w:w="4320" w:type="pct"/>
            <w:gridSpan w:val="3"/>
            <w:vAlign w:val="center"/>
          </w:tcPr>
          <w:p w14:paraId="2F4A7856">
            <w:pPr>
              <w:spacing w:line="360" w:lineRule="auto"/>
              <w:jc w:val="center"/>
              <w:rPr>
                <w:rFonts w:cs="Times New Roman"/>
                <w:sz w:val="24"/>
                <w:szCs w:val="24"/>
              </w:rPr>
            </w:pPr>
            <w:bookmarkStart w:id="1" w:name="_Hlk170598314"/>
            <w:r>
              <w:rPr>
                <w:rFonts w:hint="eastAsia" w:cs="Times New Roman"/>
                <w:sz w:val="24"/>
                <w:szCs w:val="24"/>
              </w:rPr>
              <w:t>年产4000万只酒类及家电类环保塑料制品数字化生产线建设项目</w:t>
            </w:r>
            <w:bookmarkEnd w:id="1"/>
          </w:p>
        </w:tc>
      </w:tr>
      <w:tr w14:paraId="4D96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14:paraId="65FB812A">
            <w:pPr>
              <w:spacing w:line="360" w:lineRule="auto"/>
              <w:jc w:val="center"/>
              <w:rPr>
                <w:rFonts w:cs="Times New Roman"/>
                <w:sz w:val="24"/>
                <w:szCs w:val="24"/>
              </w:rPr>
            </w:pPr>
            <w:r>
              <w:rPr>
                <w:rFonts w:cs="Times New Roman"/>
                <w:sz w:val="24"/>
                <w:szCs w:val="24"/>
              </w:rPr>
              <w:t>项目代码</w:t>
            </w:r>
          </w:p>
        </w:tc>
        <w:tc>
          <w:tcPr>
            <w:tcW w:w="4320" w:type="pct"/>
            <w:gridSpan w:val="3"/>
            <w:vAlign w:val="center"/>
          </w:tcPr>
          <w:p w14:paraId="7C9725E9">
            <w:pPr>
              <w:spacing w:line="360" w:lineRule="auto"/>
              <w:jc w:val="center"/>
              <w:rPr>
                <w:rFonts w:cs="Times New Roman"/>
                <w:sz w:val="24"/>
                <w:szCs w:val="24"/>
              </w:rPr>
            </w:pPr>
            <w:r>
              <w:rPr>
                <w:rFonts w:hint="eastAsia" w:cs="Times New Roman"/>
                <w:sz w:val="24"/>
                <w:szCs w:val="24"/>
              </w:rPr>
              <w:t>2406-510923-04-01-802027</w:t>
            </w:r>
          </w:p>
        </w:tc>
      </w:tr>
      <w:tr w14:paraId="5C02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14:paraId="1A125F3E">
            <w:pPr>
              <w:spacing w:line="360" w:lineRule="auto"/>
              <w:jc w:val="center"/>
              <w:rPr>
                <w:rFonts w:cs="Times New Roman"/>
                <w:sz w:val="24"/>
                <w:szCs w:val="24"/>
              </w:rPr>
            </w:pPr>
            <w:r>
              <w:rPr>
                <w:rFonts w:cs="Times New Roman"/>
                <w:sz w:val="24"/>
                <w:szCs w:val="24"/>
              </w:rPr>
              <w:t>建设单位联系人</w:t>
            </w:r>
          </w:p>
        </w:tc>
        <w:tc>
          <w:tcPr>
            <w:tcW w:w="1668" w:type="pct"/>
            <w:vAlign w:val="center"/>
          </w:tcPr>
          <w:p w14:paraId="4DDC8F03">
            <w:pPr>
              <w:spacing w:line="360" w:lineRule="auto"/>
              <w:jc w:val="center"/>
              <w:rPr>
                <w:rFonts w:hint="eastAsia" w:cs="Times New Roman"/>
                <w:sz w:val="24"/>
                <w:szCs w:val="24"/>
              </w:rPr>
            </w:pPr>
            <w:r>
              <w:rPr>
                <w:rFonts w:hint="eastAsia" w:cs="Times New Roman"/>
                <w:sz w:val="24"/>
                <w:szCs w:val="24"/>
              </w:rPr>
              <w:t>***</w:t>
            </w:r>
          </w:p>
        </w:tc>
        <w:tc>
          <w:tcPr>
            <w:tcW w:w="758" w:type="pct"/>
            <w:vAlign w:val="center"/>
          </w:tcPr>
          <w:p w14:paraId="2167367D">
            <w:pPr>
              <w:spacing w:line="360" w:lineRule="auto"/>
              <w:jc w:val="center"/>
              <w:rPr>
                <w:rFonts w:cs="Times New Roman"/>
                <w:sz w:val="24"/>
                <w:szCs w:val="24"/>
              </w:rPr>
            </w:pPr>
            <w:r>
              <w:rPr>
                <w:rFonts w:cs="Times New Roman"/>
                <w:sz w:val="24"/>
                <w:szCs w:val="24"/>
              </w:rPr>
              <w:t>联系方式</w:t>
            </w:r>
          </w:p>
        </w:tc>
        <w:tc>
          <w:tcPr>
            <w:tcW w:w="1894" w:type="pct"/>
            <w:vAlign w:val="center"/>
          </w:tcPr>
          <w:p w14:paraId="0FA22F6E">
            <w:pPr>
              <w:spacing w:line="360" w:lineRule="auto"/>
              <w:jc w:val="center"/>
              <w:rPr>
                <w:rFonts w:cs="Times New Roman"/>
                <w:sz w:val="24"/>
                <w:szCs w:val="24"/>
              </w:rPr>
            </w:pPr>
            <w:r>
              <w:rPr>
                <w:rFonts w:cs="Times New Roman"/>
                <w:sz w:val="24"/>
                <w:szCs w:val="24"/>
              </w:rPr>
              <w:t>182</w:t>
            </w:r>
            <w:r>
              <w:rPr>
                <w:rFonts w:hint="eastAsia" w:cs="Times New Roman"/>
                <w:sz w:val="24"/>
                <w:szCs w:val="24"/>
              </w:rPr>
              <w:t>******</w:t>
            </w:r>
            <w:r>
              <w:rPr>
                <w:rFonts w:cs="Times New Roman"/>
                <w:sz w:val="24"/>
                <w:szCs w:val="24"/>
              </w:rPr>
              <w:t>05</w:t>
            </w:r>
          </w:p>
        </w:tc>
      </w:tr>
      <w:tr w14:paraId="5C53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14:paraId="60BDF1B3">
            <w:pPr>
              <w:spacing w:line="360" w:lineRule="auto"/>
              <w:jc w:val="center"/>
              <w:rPr>
                <w:rFonts w:cs="Times New Roman"/>
                <w:sz w:val="24"/>
                <w:szCs w:val="24"/>
              </w:rPr>
            </w:pPr>
            <w:r>
              <w:rPr>
                <w:rFonts w:cs="Times New Roman"/>
                <w:sz w:val="24"/>
                <w:szCs w:val="24"/>
              </w:rPr>
              <w:t>建设地点</w:t>
            </w:r>
          </w:p>
        </w:tc>
        <w:tc>
          <w:tcPr>
            <w:tcW w:w="4320" w:type="pct"/>
            <w:gridSpan w:val="3"/>
            <w:vAlign w:val="center"/>
          </w:tcPr>
          <w:p w14:paraId="71EE4182">
            <w:pPr>
              <w:spacing w:line="360" w:lineRule="auto"/>
              <w:jc w:val="center"/>
              <w:rPr>
                <w:rFonts w:cs="Times New Roman"/>
                <w:sz w:val="24"/>
                <w:szCs w:val="24"/>
              </w:rPr>
            </w:pPr>
            <w:r>
              <w:rPr>
                <w:rFonts w:hint="eastAsia" w:cs="Times New Roman"/>
                <w:sz w:val="24"/>
                <w:szCs w:val="24"/>
              </w:rPr>
              <w:t>四川省遂宁市</w:t>
            </w:r>
            <w:bookmarkStart w:id="2" w:name="_Hlk170598323"/>
            <w:r>
              <w:rPr>
                <w:rFonts w:hint="eastAsia" w:cs="Times New Roman"/>
                <w:sz w:val="24"/>
                <w:szCs w:val="24"/>
              </w:rPr>
              <w:t>大英县蓬莱镇采和大道261号附1号</w:t>
            </w:r>
            <w:bookmarkEnd w:id="2"/>
          </w:p>
        </w:tc>
      </w:tr>
      <w:tr w14:paraId="1BEF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pct"/>
            <w:vAlign w:val="center"/>
          </w:tcPr>
          <w:p w14:paraId="1D491307">
            <w:pPr>
              <w:spacing w:line="360" w:lineRule="auto"/>
              <w:jc w:val="center"/>
              <w:rPr>
                <w:rFonts w:cs="Times New Roman"/>
                <w:sz w:val="24"/>
                <w:szCs w:val="24"/>
              </w:rPr>
            </w:pPr>
            <w:r>
              <w:rPr>
                <w:rFonts w:cs="Times New Roman"/>
                <w:sz w:val="24"/>
                <w:szCs w:val="24"/>
              </w:rPr>
              <w:t>地理坐标</w:t>
            </w:r>
          </w:p>
        </w:tc>
        <w:tc>
          <w:tcPr>
            <w:tcW w:w="4320" w:type="pct"/>
            <w:gridSpan w:val="3"/>
            <w:vAlign w:val="center"/>
          </w:tcPr>
          <w:p w14:paraId="176BC19F">
            <w:pPr>
              <w:spacing w:line="360" w:lineRule="auto"/>
              <w:jc w:val="center"/>
              <w:rPr>
                <w:rFonts w:cs="Times New Roman"/>
                <w:sz w:val="24"/>
                <w:szCs w:val="24"/>
              </w:rPr>
            </w:pPr>
            <w:r>
              <w:rPr>
                <w:rFonts w:cs="Times New Roman"/>
                <w:sz w:val="24"/>
                <w:szCs w:val="24"/>
              </w:rPr>
              <w:t>东经10</w:t>
            </w:r>
            <w:r>
              <w:rPr>
                <w:rFonts w:hint="eastAsia" w:cs="Times New Roman"/>
                <w:sz w:val="24"/>
                <w:szCs w:val="24"/>
              </w:rPr>
              <w:t>5</w:t>
            </w:r>
            <w:r>
              <w:rPr>
                <w:rFonts w:cs="Times New Roman"/>
                <w:sz w:val="24"/>
                <w:szCs w:val="24"/>
              </w:rPr>
              <w:t>度</w:t>
            </w:r>
            <w:r>
              <w:rPr>
                <w:rFonts w:hint="eastAsia" w:cs="Times New Roman"/>
                <w:sz w:val="24"/>
                <w:szCs w:val="24"/>
              </w:rPr>
              <w:t>16</w:t>
            </w:r>
            <w:r>
              <w:rPr>
                <w:rFonts w:cs="Times New Roman"/>
                <w:sz w:val="24"/>
                <w:szCs w:val="24"/>
              </w:rPr>
              <w:t>分</w:t>
            </w:r>
            <w:r>
              <w:rPr>
                <w:rFonts w:hint="eastAsia" w:cs="Times New Roman"/>
                <w:sz w:val="24"/>
                <w:szCs w:val="24"/>
              </w:rPr>
              <w:t>47.702</w:t>
            </w:r>
            <w:r>
              <w:rPr>
                <w:rFonts w:cs="Times New Roman"/>
                <w:sz w:val="24"/>
                <w:szCs w:val="24"/>
              </w:rPr>
              <w:t>秒，北纬30度3</w:t>
            </w:r>
            <w:r>
              <w:rPr>
                <w:rFonts w:hint="eastAsia" w:cs="Times New Roman"/>
                <w:sz w:val="24"/>
                <w:szCs w:val="24"/>
              </w:rPr>
              <w:t>5</w:t>
            </w:r>
            <w:r>
              <w:rPr>
                <w:rFonts w:cs="Times New Roman"/>
                <w:sz w:val="24"/>
                <w:szCs w:val="24"/>
              </w:rPr>
              <w:t>分</w:t>
            </w:r>
            <w:r>
              <w:rPr>
                <w:rFonts w:hint="eastAsia" w:cs="Times New Roman"/>
                <w:sz w:val="24"/>
                <w:szCs w:val="24"/>
              </w:rPr>
              <w:t>26.227</w:t>
            </w:r>
            <w:r>
              <w:rPr>
                <w:rFonts w:cs="Times New Roman"/>
                <w:sz w:val="24"/>
                <w:szCs w:val="24"/>
              </w:rPr>
              <w:t>秒</w:t>
            </w:r>
          </w:p>
        </w:tc>
      </w:tr>
      <w:tr w14:paraId="509D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680" w:type="pct"/>
            <w:vAlign w:val="center"/>
          </w:tcPr>
          <w:p w14:paraId="550937FC">
            <w:pPr>
              <w:spacing w:line="360" w:lineRule="auto"/>
              <w:jc w:val="center"/>
              <w:rPr>
                <w:rFonts w:cs="Times New Roman"/>
                <w:sz w:val="24"/>
                <w:szCs w:val="24"/>
              </w:rPr>
            </w:pPr>
            <w:r>
              <w:rPr>
                <w:rFonts w:hint="eastAsia" w:cs="Times New Roman"/>
                <w:sz w:val="24"/>
                <w:szCs w:val="24"/>
              </w:rPr>
              <w:t>国民经济</w:t>
            </w:r>
          </w:p>
          <w:p w14:paraId="5DB59EAE">
            <w:pPr>
              <w:spacing w:line="360" w:lineRule="auto"/>
              <w:jc w:val="center"/>
              <w:rPr>
                <w:rFonts w:cs="Times New Roman"/>
                <w:sz w:val="24"/>
                <w:szCs w:val="24"/>
              </w:rPr>
            </w:pPr>
            <w:r>
              <w:rPr>
                <w:rFonts w:hint="eastAsia" w:cs="Times New Roman"/>
                <w:sz w:val="24"/>
                <w:szCs w:val="24"/>
              </w:rPr>
              <w:t>行业类别</w:t>
            </w:r>
          </w:p>
        </w:tc>
        <w:tc>
          <w:tcPr>
            <w:tcW w:w="1668" w:type="pct"/>
            <w:vAlign w:val="center"/>
          </w:tcPr>
          <w:p w14:paraId="4AE2086B">
            <w:pPr>
              <w:spacing w:line="360" w:lineRule="auto"/>
              <w:rPr>
                <w:rFonts w:cs="Times New Roman"/>
                <w:sz w:val="24"/>
                <w:szCs w:val="24"/>
              </w:rPr>
            </w:pPr>
            <w:r>
              <w:rPr>
                <w:rFonts w:hint="eastAsia" w:cs="Times New Roman"/>
                <w:sz w:val="24"/>
                <w:szCs w:val="24"/>
              </w:rPr>
              <w:t>2926 塑料包装箱及容器制造；2929</w:t>
            </w:r>
            <w:r>
              <w:rPr>
                <w:rFonts w:cs="Times New Roman"/>
                <w:sz w:val="24"/>
                <w:szCs w:val="24"/>
              </w:rPr>
              <w:t xml:space="preserve"> </w:t>
            </w:r>
            <w:r>
              <w:rPr>
                <w:rFonts w:hint="eastAsia" w:cs="Times New Roman"/>
                <w:sz w:val="24"/>
                <w:szCs w:val="24"/>
              </w:rPr>
              <w:t>塑料零件及其他塑料制品制造</w:t>
            </w:r>
          </w:p>
        </w:tc>
        <w:tc>
          <w:tcPr>
            <w:tcW w:w="758" w:type="pct"/>
            <w:vAlign w:val="center"/>
          </w:tcPr>
          <w:p w14:paraId="5C69DE91">
            <w:pPr>
              <w:spacing w:line="360" w:lineRule="auto"/>
              <w:jc w:val="center"/>
              <w:rPr>
                <w:rFonts w:cs="Times New Roman"/>
                <w:sz w:val="24"/>
                <w:szCs w:val="24"/>
              </w:rPr>
            </w:pPr>
            <w:r>
              <w:rPr>
                <w:rFonts w:hint="eastAsia" w:cs="Times New Roman"/>
                <w:sz w:val="24"/>
                <w:szCs w:val="24"/>
              </w:rPr>
              <w:t>建设项目</w:t>
            </w:r>
          </w:p>
          <w:p w14:paraId="648C3784">
            <w:pPr>
              <w:spacing w:line="360" w:lineRule="auto"/>
              <w:jc w:val="center"/>
              <w:rPr>
                <w:rFonts w:cs="Times New Roman"/>
                <w:sz w:val="24"/>
                <w:szCs w:val="24"/>
              </w:rPr>
            </w:pPr>
            <w:r>
              <w:rPr>
                <w:rFonts w:hint="eastAsia" w:cs="Times New Roman"/>
                <w:sz w:val="24"/>
                <w:szCs w:val="24"/>
              </w:rPr>
              <w:t>行业类别</w:t>
            </w:r>
          </w:p>
        </w:tc>
        <w:tc>
          <w:tcPr>
            <w:tcW w:w="1894" w:type="pct"/>
            <w:vAlign w:val="center"/>
          </w:tcPr>
          <w:p w14:paraId="723AB0CC">
            <w:pPr>
              <w:spacing w:line="360" w:lineRule="auto"/>
              <w:rPr>
                <w:rFonts w:cs="Times New Roman"/>
                <w:sz w:val="24"/>
                <w:szCs w:val="24"/>
              </w:rPr>
            </w:pPr>
            <w:r>
              <w:rPr>
                <w:rFonts w:hint="eastAsia" w:cs="Times New Roman"/>
                <w:sz w:val="24"/>
                <w:szCs w:val="24"/>
              </w:rPr>
              <w:t>三十六、橡胶和塑料制品业 29/</w:t>
            </w:r>
            <w:r>
              <w:rPr>
                <w:rFonts w:cs="Times New Roman"/>
                <w:sz w:val="24"/>
                <w:szCs w:val="24"/>
              </w:rPr>
              <w:t xml:space="preserve"> </w:t>
            </w:r>
            <w:r>
              <w:rPr>
                <w:rFonts w:hint="eastAsia" w:cs="Times New Roman"/>
                <w:sz w:val="24"/>
                <w:szCs w:val="24"/>
              </w:rPr>
              <w:t>53塑料制品业 292/其他</w:t>
            </w:r>
          </w:p>
        </w:tc>
      </w:tr>
      <w:tr w14:paraId="1B23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680" w:type="pct"/>
            <w:vAlign w:val="center"/>
          </w:tcPr>
          <w:p w14:paraId="4180F825">
            <w:pPr>
              <w:spacing w:line="360" w:lineRule="auto"/>
              <w:jc w:val="center"/>
              <w:rPr>
                <w:rFonts w:cs="Times New Roman"/>
                <w:sz w:val="24"/>
                <w:szCs w:val="24"/>
              </w:rPr>
            </w:pPr>
            <w:r>
              <w:rPr>
                <w:rFonts w:cs="Times New Roman"/>
                <w:sz w:val="24"/>
                <w:szCs w:val="24"/>
              </w:rPr>
              <w:t>建设性质</w:t>
            </w:r>
          </w:p>
        </w:tc>
        <w:tc>
          <w:tcPr>
            <w:tcW w:w="1668" w:type="pct"/>
            <w:vAlign w:val="center"/>
          </w:tcPr>
          <w:p w14:paraId="0BBC6994">
            <w:pPr>
              <w:spacing w:line="360" w:lineRule="auto"/>
              <w:rPr>
                <w:rFonts w:cs="Times New Roman"/>
                <w:sz w:val="24"/>
                <w:szCs w:val="24"/>
              </w:rPr>
            </w:pPr>
            <w:r>
              <w:rPr>
                <w:rFonts w:cs="Times New Roman" w:asciiTheme="minorEastAsia" w:hAnsiTheme="minorEastAsia" w:eastAsiaTheme="minorEastAsia"/>
                <w:sz w:val="24"/>
                <w:szCs w:val="24"/>
              </w:rPr>
              <w:t>□</w:t>
            </w:r>
            <w:r>
              <w:rPr>
                <w:rFonts w:cs="Times New Roman"/>
                <w:sz w:val="24"/>
                <w:szCs w:val="24"/>
              </w:rPr>
              <w:t>新建（迁建）</w:t>
            </w:r>
          </w:p>
          <w:p w14:paraId="562B06D7">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□改建</w:t>
            </w:r>
          </w:p>
          <w:p w14:paraId="4BB24929">
            <w:pPr>
              <w:spacing w:line="360" w:lineRule="auto"/>
              <w:rPr>
                <w:rFonts w:hint="eastAsia" w:cs="Times New Roman" w:asciiTheme="minorEastAsia" w:hAnsiTheme="minorEastAsia" w:eastAsiaTheme="minorEastAsia"/>
                <w:sz w:val="24"/>
                <w:szCs w:val="24"/>
              </w:rPr>
            </w:pPr>
            <w:r>
              <w:rPr>
                <w:rFonts w:cs="Times New Roman"/>
                <w:sz w:val="24"/>
                <w:szCs w:val="24"/>
              </w:rPr>
              <w:sym w:font="Wingdings 2" w:char="F052"/>
            </w:r>
            <w:r>
              <w:rPr>
                <w:rFonts w:cs="Times New Roman" w:asciiTheme="minorEastAsia" w:hAnsiTheme="minorEastAsia" w:eastAsiaTheme="minorEastAsia"/>
                <w:sz w:val="24"/>
                <w:szCs w:val="24"/>
              </w:rPr>
              <w:t>扩建</w:t>
            </w:r>
          </w:p>
          <w:p w14:paraId="11AD88AF">
            <w:pPr>
              <w:spacing w:line="360" w:lineRule="auto"/>
              <w:rPr>
                <w:rFonts w:cs="Times New Roman"/>
                <w:sz w:val="24"/>
                <w:szCs w:val="24"/>
              </w:rPr>
            </w:pPr>
            <w:r>
              <w:rPr>
                <w:rFonts w:cs="Times New Roman" w:asciiTheme="minorEastAsia" w:hAnsiTheme="minorEastAsia" w:eastAsiaTheme="minorEastAsia"/>
                <w:sz w:val="24"/>
                <w:szCs w:val="24"/>
              </w:rPr>
              <w:t>□技术改造</w:t>
            </w:r>
          </w:p>
        </w:tc>
        <w:tc>
          <w:tcPr>
            <w:tcW w:w="758" w:type="pct"/>
            <w:vAlign w:val="center"/>
          </w:tcPr>
          <w:p w14:paraId="49614C6F">
            <w:pPr>
              <w:spacing w:line="360" w:lineRule="auto"/>
              <w:jc w:val="center"/>
              <w:rPr>
                <w:rFonts w:cs="Times New Roman"/>
                <w:sz w:val="24"/>
                <w:szCs w:val="24"/>
              </w:rPr>
            </w:pPr>
            <w:r>
              <w:rPr>
                <w:rFonts w:cs="Times New Roman"/>
                <w:sz w:val="24"/>
                <w:szCs w:val="24"/>
              </w:rPr>
              <w:t>建设项目</w:t>
            </w:r>
          </w:p>
          <w:p w14:paraId="34BE1445">
            <w:pPr>
              <w:spacing w:line="360" w:lineRule="auto"/>
              <w:jc w:val="center"/>
              <w:rPr>
                <w:rFonts w:cs="Times New Roman"/>
                <w:sz w:val="24"/>
                <w:szCs w:val="24"/>
              </w:rPr>
            </w:pPr>
            <w:r>
              <w:rPr>
                <w:rFonts w:cs="Times New Roman"/>
                <w:sz w:val="24"/>
                <w:szCs w:val="24"/>
              </w:rPr>
              <w:t>申报情形</w:t>
            </w:r>
          </w:p>
        </w:tc>
        <w:tc>
          <w:tcPr>
            <w:tcW w:w="1894" w:type="pct"/>
            <w:vAlign w:val="center"/>
          </w:tcPr>
          <w:p w14:paraId="7B1C5BA7">
            <w:pPr>
              <w:spacing w:line="360" w:lineRule="auto"/>
              <w:rPr>
                <w:rFonts w:hint="eastAsia" w:cs="Times New Roman" w:asciiTheme="minorEastAsia" w:hAnsiTheme="minorEastAsia" w:eastAsiaTheme="minorEastAsia"/>
                <w:sz w:val="24"/>
                <w:szCs w:val="24"/>
              </w:rPr>
            </w:pPr>
            <w:r>
              <w:rPr>
                <w:rFonts w:cs="Times New Roman"/>
                <w:sz w:val="24"/>
                <w:szCs w:val="24"/>
              </w:rPr>
              <w:sym w:font="Wingdings 2" w:char="F052"/>
            </w:r>
            <w:r>
              <w:rPr>
                <w:rFonts w:cs="Times New Roman" w:asciiTheme="minorEastAsia" w:hAnsiTheme="minorEastAsia" w:eastAsiaTheme="minorEastAsia"/>
                <w:sz w:val="24"/>
                <w:szCs w:val="24"/>
              </w:rPr>
              <w:t>首次申报项目</w:t>
            </w:r>
          </w:p>
          <w:p w14:paraId="09F5058A">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□不予批准后再次申报项目</w:t>
            </w:r>
          </w:p>
          <w:p w14:paraId="17E239F4">
            <w:pPr>
              <w:spacing w:line="360" w:lineRule="auto"/>
              <w:rPr>
                <w:rFonts w:hint="eastAsia" w:cs="Times New Roman" w:asciiTheme="minorEastAsia" w:hAnsiTheme="minorEastAsia" w:eastAsiaTheme="minorEastAsia"/>
                <w:sz w:val="24"/>
                <w:szCs w:val="24"/>
              </w:rPr>
            </w:pPr>
            <w:r>
              <w:rPr>
                <w:rFonts w:cs="Times New Roman" w:asciiTheme="minorEastAsia" w:hAnsiTheme="minorEastAsia" w:eastAsiaTheme="minorEastAsia"/>
                <w:sz w:val="24"/>
                <w:szCs w:val="24"/>
              </w:rPr>
              <w:t>□超五年重新审核项目</w:t>
            </w:r>
          </w:p>
          <w:p w14:paraId="5CD60FAB">
            <w:pPr>
              <w:spacing w:line="360" w:lineRule="auto"/>
              <w:rPr>
                <w:rFonts w:cs="Times New Roman"/>
                <w:sz w:val="24"/>
                <w:szCs w:val="24"/>
              </w:rPr>
            </w:pPr>
            <w:r>
              <w:rPr>
                <w:rFonts w:cs="Times New Roman" w:asciiTheme="minorEastAsia" w:hAnsiTheme="minorEastAsia" w:eastAsiaTheme="minorEastAsia"/>
                <w:sz w:val="24"/>
                <w:szCs w:val="24"/>
              </w:rPr>
              <w:t>□重大变动重新报批项目</w:t>
            </w:r>
          </w:p>
        </w:tc>
      </w:tr>
      <w:tr w14:paraId="231C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680" w:type="pct"/>
            <w:vAlign w:val="center"/>
          </w:tcPr>
          <w:p w14:paraId="4EECCC84">
            <w:pPr>
              <w:spacing w:line="360" w:lineRule="auto"/>
              <w:jc w:val="center"/>
              <w:rPr>
                <w:rFonts w:cs="Times New Roman"/>
                <w:sz w:val="24"/>
                <w:szCs w:val="24"/>
              </w:rPr>
            </w:pPr>
            <w:r>
              <w:rPr>
                <w:rFonts w:hint="eastAsia" w:cs="Times New Roman"/>
                <w:sz w:val="24"/>
                <w:szCs w:val="24"/>
              </w:rPr>
              <w:t>项目审批（核准/备案）部门（选填）</w:t>
            </w:r>
          </w:p>
        </w:tc>
        <w:tc>
          <w:tcPr>
            <w:tcW w:w="1668" w:type="pct"/>
            <w:vAlign w:val="center"/>
          </w:tcPr>
          <w:p w14:paraId="6D6ED637">
            <w:pPr>
              <w:spacing w:line="360" w:lineRule="auto"/>
              <w:jc w:val="center"/>
              <w:rPr>
                <w:rFonts w:cs="Times New Roman"/>
                <w:sz w:val="24"/>
                <w:szCs w:val="24"/>
              </w:rPr>
            </w:pPr>
            <w:r>
              <w:rPr>
                <w:rFonts w:hint="eastAsia" w:cs="Times New Roman"/>
                <w:sz w:val="24"/>
                <w:szCs w:val="24"/>
              </w:rPr>
              <w:t>大英县发展和改革局</w:t>
            </w:r>
          </w:p>
        </w:tc>
        <w:tc>
          <w:tcPr>
            <w:tcW w:w="758" w:type="pct"/>
            <w:vAlign w:val="center"/>
          </w:tcPr>
          <w:p w14:paraId="501CFC42">
            <w:pPr>
              <w:spacing w:line="360" w:lineRule="auto"/>
              <w:jc w:val="center"/>
              <w:rPr>
                <w:rFonts w:cs="Times New Roman"/>
                <w:sz w:val="24"/>
                <w:szCs w:val="24"/>
              </w:rPr>
            </w:pPr>
            <w:r>
              <w:rPr>
                <w:rFonts w:hint="eastAsia" w:cs="Times New Roman"/>
                <w:sz w:val="24"/>
                <w:szCs w:val="24"/>
              </w:rPr>
              <w:t>项目审批（核准/备案）文号（选填）</w:t>
            </w:r>
          </w:p>
        </w:tc>
        <w:tc>
          <w:tcPr>
            <w:tcW w:w="1894" w:type="pct"/>
            <w:vAlign w:val="center"/>
          </w:tcPr>
          <w:p w14:paraId="0306489F">
            <w:pPr>
              <w:spacing w:line="360" w:lineRule="auto"/>
              <w:jc w:val="center"/>
              <w:rPr>
                <w:rFonts w:cs="Times New Roman"/>
                <w:sz w:val="24"/>
                <w:szCs w:val="24"/>
              </w:rPr>
            </w:pPr>
            <w:r>
              <w:rPr>
                <w:rFonts w:hint="eastAsia" w:cs="Times New Roman"/>
                <w:sz w:val="24"/>
                <w:szCs w:val="24"/>
              </w:rPr>
              <w:t>川投资备【2406-510923-04-01-802027】FGQB-0114号</w:t>
            </w:r>
          </w:p>
        </w:tc>
      </w:tr>
      <w:tr w14:paraId="2DA61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1DCC30BA">
            <w:pPr>
              <w:spacing w:line="360" w:lineRule="auto"/>
              <w:jc w:val="center"/>
              <w:rPr>
                <w:rFonts w:cs="Times New Roman"/>
                <w:sz w:val="24"/>
                <w:szCs w:val="24"/>
              </w:rPr>
            </w:pPr>
            <w:r>
              <w:rPr>
                <w:rFonts w:hint="eastAsia" w:cs="Times New Roman"/>
                <w:sz w:val="24"/>
                <w:szCs w:val="24"/>
              </w:rPr>
              <w:t>总投资（万元）</w:t>
            </w:r>
          </w:p>
        </w:tc>
        <w:tc>
          <w:tcPr>
            <w:tcW w:w="1668" w:type="pct"/>
            <w:vAlign w:val="center"/>
          </w:tcPr>
          <w:p w14:paraId="3D760871">
            <w:pPr>
              <w:spacing w:line="360" w:lineRule="auto"/>
              <w:jc w:val="center"/>
              <w:rPr>
                <w:rFonts w:cs="Times New Roman"/>
                <w:sz w:val="24"/>
                <w:szCs w:val="24"/>
              </w:rPr>
            </w:pPr>
            <w:r>
              <w:rPr>
                <w:rFonts w:hint="eastAsia" w:cs="Times New Roman"/>
                <w:sz w:val="24"/>
                <w:szCs w:val="24"/>
              </w:rPr>
              <w:t>2000</w:t>
            </w:r>
          </w:p>
        </w:tc>
        <w:tc>
          <w:tcPr>
            <w:tcW w:w="758" w:type="pct"/>
            <w:vAlign w:val="center"/>
          </w:tcPr>
          <w:p w14:paraId="742EABB8">
            <w:pPr>
              <w:spacing w:line="360" w:lineRule="auto"/>
              <w:jc w:val="center"/>
              <w:rPr>
                <w:rFonts w:cs="Times New Roman"/>
                <w:sz w:val="24"/>
                <w:szCs w:val="24"/>
              </w:rPr>
            </w:pPr>
            <w:r>
              <w:rPr>
                <w:rFonts w:hint="eastAsia" w:cs="Times New Roman"/>
                <w:sz w:val="24"/>
                <w:szCs w:val="24"/>
              </w:rPr>
              <w:t>环保投资</w:t>
            </w:r>
          </w:p>
          <w:p w14:paraId="3D7E956D">
            <w:pPr>
              <w:spacing w:line="360" w:lineRule="auto"/>
              <w:jc w:val="center"/>
              <w:rPr>
                <w:rFonts w:cs="Times New Roman"/>
                <w:sz w:val="24"/>
                <w:szCs w:val="24"/>
              </w:rPr>
            </w:pPr>
            <w:r>
              <w:rPr>
                <w:rFonts w:hint="eastAsia" w:cs="Times New Roman"/>
                <w:sz w:val="24"/>
                <w:szCs w:val="24"/>
              </w:rPr>
              <w:t>（万元）</w:t>
            </w:r>
          </w:p>
        </w:tc>
        <w:tc>
          <w:tcPr>
            <w:tcW w:w="1894" w:type="pct"/>
            <w:vAlign w:val="center"/>
          </w:tcPr>
          <w:p w14:paraId="3C373982">
            <w:pPr>
              <w:spacing w:line="360" w:lineRule="auto"/>
              <w:jc w:val="center"/>
              <w:rPr>
                <w:rFonts w:cs="Times New Roman"/>
                <w:sz w:val="24"/>
                <w:szCs w:val="24"/>
              </w:rPr>
            </w:pPr>
            <w:r>
              <w:rPr>
                <w:rFonts w:hint="eastAsia" w:cs="Times New Roman"/>
                <w:sz w:val="24"/>
                <w:szCs w:val="24"/>
              </w:rPr>
              <w:t>90</w:t>
            </w:r>
          </w:p>
        </w:tc>
      </w:tr>
      <w:tr w14:paraId="69F73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570AD244">
            <w:pPr>
              <w:spacing w:line="360" w:lineRule="auto"/>
              <w:rPr>
                <w:rFonts w:cs="Times New Roman"/>
                <w:sz w:val="24"/>
                <w:szCs w:val="24"/>
              </w:rPr>
            </w:pPr>
            <w:r>
              <w:rPr>
                <w:rFonts w:hint="eastAsia" w:cs="Times New Roman"/>
                <w:sz w:val="24"/>
                <w:szCs w:val="24"/>
              </w:rPr>
              <w:t>环保投资占比（%）</w:t>
            </w:r>
          </w:p>
        </w:tc>
        <w:tc>
          <w:tcPr>
            <w:tcW w:w="1668" w:type="pct"/>
            <w:vAlign w:val="center"/>
          </w:tcPr>
          <w:p w14:paraId="55316FBD">
            <w:pPr>
              <w:spacing w:line="360" w:lineRule="auto"/>
              <w:jc w:val="center"/>
              <w:rPr>
                <w:rFonts w:cs="Times New Roman"/>
                <w:sz w:val="24"/>
                <w:szCs w:val="24"/>
              </w:rPr>
            </w:pPr>
            <w:r>
              <w:rPr>
                <w:rFonts w:hint="eastAsia" w:cs="Times New Roman"/>
                <w:sz w:val="24"/>
                <w:szCs w:val="24"/>
              </w:rPr>
              <w:t>4.5</w:t>
            </w:r>
          </w:p>
        </w:tc>
        <w:tc>
          <w:tcPr>
            <w:tcW w:w="758" w:type="pct"/>
            <w:vAlign w:val="center"/>
          </w:tcPr>
          <w:p w14:paraId="64989B39">
            <w:pPr>
              <w:spacing w:line="360" w:lineRule="auto"/>
              <w:jc w:val="center"/>
              <w:rPr>
                <w:rFonts w:cs="Times New Roman"/>
                <w:sz w:val="24"/>
                <w:szCs w:val="24"/>
              </w:rPr>
            </w:pPr>
            <w:r>
              <w:rPr>
                <w:rFonts w:hint="eastAsia" w:cs="Times New Roman"/>
                <w:sz w:val="24"/>
                <w:szCs w:val="24"/>
              </w:rPr>
              <w:t>施工工期</w:t>
            </w:r>
          </w:p>
        </w:tc>
        <w:tc>
          <w:tcPr>
            <w:tcW w:w="1894" w:type="pct"/>
            <w:vAlign w:val="center"/>
          </w:tcPr>
          <w:p w14:paraId="4D87B352">
            <w:pPr>
              <w:spacing w:line="360" w:lineRule="auto"/>
              <w:jc w:val="center"/>
              <w:rPr>
                <w:rFonts w:cs="Times New Roman"/>
                <w:sz w:val="24"/>
                <w:szCs w:val="24"/>
              </w:rPr>
            </w:pPr>
            <w:r>
              <w:rPr>
                <w:rFonts w:hint="eastAsia" w:cs="Times New Roman"/>
                <w:sz w:val="24"/>
                <w:szCs w:val="24"/>
              </w:rPr>
              <w:t>11个月</w:t>
            </w:r>
          </w:p>
        </w:tc>
      </w:tr>
      <w:tr w14:paraId="674B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80" w:type="pct"/>
            <w:vAlign w:val="center"/>
          </w:tcPr>
          <w:p w14:paraId="4B8FA420">
            <w:pPr>
              <w:spacing w:line="360" w:lineRule="auto"/>
              <w:jc w:val="center"/>
              <w:rPr>
                <w:rFonts w:cs="Times New Roman"/>
                <w:sz w:val="24"/>
                <w:szCs w:val="24"/>
              </w:rPr>
            </w:pPr>
            <w:r>
              <w:rPr>
                <w:rFonts w:hint="eastAsia" w:cs="Times New Roman"/>
                <w:sz w:val="24"/>
                <w:szCs w:val="24"/>
              </w:rPr>
              <w:t>是否开工建设</w:t>
            </w:r>
          </w:p>
        </w:tc>
        <w:tc>
          <w:tcPr>
            <w:tcW w:w="1668" w:type="pct"/>
            <w:vAlign w:val="center"/>
          </w:tcPr>
          <w:p w14:paraId="60982CB9">
            <w:pPr>
              <w:spacing w:line="360" w:lineRule="auto"/>
              <w:rPr>
                <w:rFonts w:cs="Times New Roman"/>
                <w:sz w:val="24"/>
                <w:szCs w:val="24"/>
              </w:rPr>
            </w:pPr>
            <w:r>
              <w:rPr>
                <w:rFonts w:cs="Times New Roman"/>
                <w:sz w:val="24"/>
                <w:szCs w:val="24"/>
              </w:rPr>
              <w:sym w:font="Wingdings 2" w:char="F052"/>
            </w:r>
            <w:r>
              <w:rPr>
                <w:rFonts w:hint="eastAsia" w:cs="Times New Roman"/>
                <w:sz w:val="24"/>
                <w:szCs w:val="24"/>
              </w:rPr>
              <w:t>否</w:t>
            </w:r>
          </w:p>
          <w:p w14:paraId="48F8B1E3">
            <w:pPr>
              <w:spacing w:line="360" w:lineRule="auto"/>
              <w:rPr>
                <w:rFonts w:cs="Times New Roman"/>
                <w:sz w:val="24"/>
                <w:szCs w:val="24"/>
                <w:u w:val="single"/>
              </w:rPr>
            </w:pPr>
            <w:r>
              <w:rPr>
                <w:rFonts w:cs="Times New Roman" w:asciiTheme="minorEastAsia" w:hAnsiTheme="minorEastAsia" w:eastAsiaTheme="minorEastAsia"/>
                <w:sz w:val="24"/>
                <w:szCs w:val="24"/>
              </w:rPr>
              <w:t>□</w:t>
            </w:r>
            <w:r>
              <w:rPr>
                <w:rFonts w:hint="eastAsia" w:cs="Times New Roman"/>
                <w:sz w:val="24"/>
                <w:szCs w:val="24"/>
              </w:rPr>
              <w:t>是：</w:t>
            </w:r>
            <w:r>
              <w:rPr>
                <w:rFonts w:hint="eastAsia" w:cs="Times New Roman"/>
                <w:sz w:val="24"/>
                <w:szCs w:val="24"/>
                <w:u w:val="single"/>
              </w:rPr>
              <w:t xml:space="preserve"> </w:t>
            </w:r>
            <w:r>
              <w:rPr>
                <w:rFonts w:cs="Times New Roman"/>
                <w:sz w:val="24"/>
                <w:szCs w:val="24"/>
                <w:u w:val="single"/>
              </w:rPr>
              <w:t xml:space="preserve">            </w:t>
            </w:r>
            <w:r>
              <w:rPr>
                <w:rFonts w:hint="eastAsia" w:cs="Times New Roman"/>
                <w:sz w:val="24"/>
                <w:szCs w:val="24"/>
                <w:u w:val="single"/>
              </w:rPr>
              <w:t xml:space="preserve"> </w:t>
            </w:r>
          </w:p>
        </w:tc>
        <w:tc>
          <w:tcPr>
            <w:tcW w:w="758" w:type="pct"/>
            <w:vAlign w:val="center"/>
          </w:tcPr>
          <w:p w14:paraId="07CD34E6">
            <w:pPr>
              <w:spacing w:line="360" w:lineRule="auto"/>
              <w:rPr>
                <w:rFonts w:cs="Times New Roman"/>
                <w:sz w:val="24"/>
                <w:szCs w:val="24"/>
              </w:rPr>
            </w:pPr>
            <w:r>
              <w:rPr>
                <w:rFonts w:hint="eastAsia" w:cs="Times New Roman"/>
                <w:sz w:val="24"/>
                <w:szCs w:val="24"/>
              </w:rPr>
              <w:t>用地（用海）面积（m</w:t>
            </w:r>
            <w:r>
              <w:rPr>
                <w:rFonts w:hint="eastAsia" w:cs="Times New Roman"/>
                <w:sz w:val="24"/>
                <w:szCs w:val="24"/>
                <w:vertAlign w:val="superscript"/>
              </w:rPr>
              <w:t>2</w:t>
            </w:r>
            <w:r>
              <w:rPr>
                <w:rFonts w:hint="eastAsia" w:cs="Times New Roman"/>
                <w:sz w:val="24"/>
                <w:szCs w:val="24"/>
              </w:rPr>
              <w:t>）</w:t>
            </w:r>
          </w:p>
        </w:tc>
        <w:tc>
          <w:tcPr>
            <w:tcW w:w="1894" w:type="pct"/>
            <w:vAlign w:val="center"/>
          </w:tcPr>
          <w:p w14:paraId="66731074">
            <w:pPr>
              <w:spacing w:line="360" w:lineRule="auto"/>
              <w:jc w:val="center"/>
              <w:rPr>
                <w:rFonts w:cs="Times New Roman"/>
                <w:sz w:val="24"/>
                <w:szCs w:val="24"/>
              </w:rPr>
            </w:pPr>
            <w:r>
              <w:rPr>
                <w:rFonts w:cs="Times New Roman"/>
                <w:sz w:val="24"/>
                <w:szCs w:val="24"/>
              </w:rPr>
              <w:t>5252.52</w:t>
            </w:r>
          </w:p>
        </w:tc>
      </w:tr>
      <w:tr w14:paraId="73E2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680" w:type="pct"/>
            <w:vAlign w:val="center"/>
          </w:tcPr>
          <w:p w14:paraId="46761E14">
            <w:pPr>
              <w:spacing w:line="360" w:lineRule="auto"/>
              <w:jc w:val="center"/>
              <w:rPr>
                <w:rFonts w:cs="Times New Roman"/>
                <w:sz w:val="24"/>
                <w:szCs w:val="24"/>
              </w:rPr>
            </w:pPr>
            <w:r>
              <w:rPr>
                <w:rFonts w:hint="eastAsia" w:cs="Times New Roman"/>
                <w:sz w:val="24"/>
                <w:szCs w:val="24"/>
              </w:rPr>
              <w:t>专项评价设置情况</w:t>
            </w:r>
          </w:p>
        </w:tc>
        <w:tc>
          <w:tcPr>
            <w:tcW w:w="4320" w:type="pct"/>
            <w:gridSpan w:val="3"/>
            <w:vAlign w:val="center"/>
          </w:tcPr>
          <w:p w14:paraId="3C6CBA9C">
            <w:pPr>
              <w:spacing w:line="360" w:lineRule="auto"/>
              <w:ind w:firstLine="480" w:firstLineChars="200"/>
              <w:rPr>
                <w:rFonts w:cs="Times New Roman"/>
                <w:sz w:val="24"/>
                <w:szCs w:val="24"/>
              </w:rPr>
            </w:pPr>
            <w:r>
              <w:rPr>
                <w:rFonts w:cs="Times New Roman"/>
                <w:sz w:val="24"/>
                <w:szCs w:val="24"/>
              </w:rPr>
              <w:t>根据《建设项目环境影响报告表编制技术指南（污染影响类）（试行）》，</w:t>
            </w:r>
            <w:r>
              <w:rPr>
                <w:rFonts w:hint="eastAsia" w:cs="Times New Roman"/>
                <w:sz w:val="24"/>
                <w:szCs w:val="24"/>
              </w:rPr>
              <w:t>本项目专项评价设置情况见下表</w:t>
            </w:r>
            <w:r>
              <w:rPr>
                <w:rFonts w:cs="Times New Roman"/>
                <w:sz w:val="24"/>
                <w:szCs w:val="24"/>
              </w:rPr>
              <w:t>：</w:t>
            </w:r>
          </w:p>
          <w:p w14:paraId="235FAFEA">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专项评价设置表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
              <w:gridCol w:w="3759"/>
              <w:gridCol w:w="2494"/>
              <w:gridCol w:w="1016"/>
            </w:tblGrid>
            <w:tr w14:paraId="61E47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14:paraId="53F1B6A2">
                  <w:pPr>
                    <w:jc w:val="center"/>
                    <w:rPr>
                      <w:rFonts w:cs="Times New Roman"/>
                      <w:szCs w:val="21"/>
                    </w:rPr>
                  </w:pPr>
                  <w:r>
                    <w:rPr>
                      <w:rFonts w:cs="Times New Roman"/>
                      <w:szCs w:val="21"/>
                    </w:rPr>
                    <w:t>专项评价类别</w:t>
                  </w:r>
                </w:p>
              </w:tc>
              <w:tc>
                <w:tcPr>
                  <w:tcW w:w="2267" w:type="pct"/>
                  <w:vAlign w:val="center"/>
                </w:tcPr>
                <w:p w14:paraId="7AF842F5">
                  <w:pPr>
                    <w:jc w:val="center"/>
                    <w:rPr>
                      <w:rFonts w:cs="Times New Roman"/>
                      <w:szCs w:val="21"/>
                    </w:rPr>
                  </w:pPr>
                  <w:r>
                    <w:rPr>
                      <w:rFonts w:cs="Times New Roman"/>
                      <w:szCs w:val="21"/>
                    </w:rPr>
                    <w:t>设置原则</w:t>
                  </w:r>
                </w:p>
              </w:tc>
              <w:tc>
                <w:tcPr>
                  <w:tcW w:w="1504" w:type="pct"/>
                  <w:vAlign w:val="center"/>
                </w:tcPr>
                <w:p w14:paraId="212DB69A">
                  <w:pPr>
                    <w:jc w:val="center"/>
                    <w:rPr>
                      <w:rFonts w:cs="Times New Roman"/>
                      <w:szCs w:val="21"/>
                    </w:rPr>
                  </w:pPr>
                  <w:r>
                    <w:rPr>
                      <w:rFonts w:cs="Times New Roman"/>
                      <w:szCs w:val="21"/>
                    </w:rPr>
                    <w:t>本项目情况</w:t>
                  </w:r>
                </w:p>
              </w:tc>
              <w:tc>
                <w:tcPr>
                  <w:tcW w:w="613" w:type="pct"/>
                  <w:vAlign w:val="center"/>
                </w:tcPr>
                <w:p w14:paraId="71C306B0">
                  <w:pPr>
                    <w:jc w:val="center"/>
                    <w:rPr>
                      <w:rFonts w:cs="Times New Roman"/>
                      <w:szCs w:val="21"/>
                    </w:rPr>
                  </w:pPr>
                  <w:r>
                    <w:rPr>
                      <w:rFonts w:cs="Times New Roman"/>
                      <w:szCs w:val="21"/>
                    </w:rPr>
                    <w:t>是否专项评价</w:t>
                  </w:r>
                </w:p>
              </w:tc>
            </w:tr>
            <w:tr w14:paraId="689E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14:paraId="14EF1247">
                  <w:pPr>
                    <w:jc w:val="center"/>
                    <w:rPr>
                      <w:rFonts w:cs="Times New Roman"/>
                      <w:szCs w:val="21"/>
                    </w:rPr>
                  </w:pPr>
                  <w:r>
                    <w:rPr>
                      <w:rFonts w:cs="Times New Roman"/>
                      <w:szCs w:val="21"/>
                    </w:rPr>
                    <w:t>大气</w:t>
                  </w:r>
                </w:p>
              </w:tc>
              <w:tc>
                <w:tcPr>
                  <w:tcW w:w="2267" w:type="pct"/>
                  <w:vAlign w:val="center"/>
                </w:tcPr>
                <w:p w14:paraId="329CF07B">
                  <w:pPr>
                    <w:rPr>
                      <w:rFonts w:cs="Times New Roman"/>
                      <w:szCs w:val="21"/>
                    </w:rPr>
                  </w:pPr>
                  <w:r>
                    <w:rPr>
                      <w:rFonts w:cs="Times New Roman"/>
                      <w:szCs w:val="21"/>
                    </w:rPr>
                    <w:t>排放废气含有毒有害物、二噁英、苯并[a]芘、氰化物、氯气且厂界外500米范围内有环境空气保护目标的建设项目</w:t>
                  </w:r>
                </w:p>
              </w:tc>
              <w:tc>
                <w:tcPr>
                  <w:tcW w:w="1504" w:type="pct"/>
                  <w:vAlign w:val="center"/>
                </w:tcPr>
                <w:p w14:paraId="49C26B7C">
                  <w:pPr>
                    <w:rPr>
                      <w:rFonts w:cs="Times New Roman"/>
                      <w:szCs w:val="21"/>
                    </w:rPr>
                  </w:pPr>
                  <w:r>
                    <w:rPr>
                      <w:rFonts w:cs="Times New Roman"/>
                      <w:szCs w:val="21"/>
                    </w:rPr>
                    <w:t>排放废气</w:t>
                  </w:r>
                  <w:r>
                    <w:rPr>
                      <w:rFonts w:hint="eastAsia" w:cs="Times New Roman"/>
                      <w:szCs w:val="21"/>
                    </w:rPr>
                    <w:t>不涉及</w:t>
                  </w:r>
                  <w:r>
                    <w:rPr>
                      <w:rFonts w:cs="Times New Roman"/>
                      <w:szCs w:val="21"/>
                    </w:rPr>
                    <w:t>列入《有毒有害大气污染物名录（2018年）》中的</w:t>
                  </w:r>
                  <w:r>
                    <w:rPr>
                      <w:rFonts w:hint="eastAsia" w:cs="Times New Roman"/>
                      <w:szCs w:val="21"/>
                    </w:rPr>
                    <w:t>有毒有害物质</w:t>
                  </w:r>
                  <w:r>
                    <w:rPr>
                      <w:rFonts w:cs="Times New Roman"/>
                      <w:szCs w:val="21"/>
                    </w:rPr>
                    <w:t>、二噁英、苯并[a]芘、氰化物、氯气</w:t>
                  </w:r>
                  <w:r>
                    <w:rPr>
                      <w:rFonts w:hint="eastAsia" w:cs="Times New Roman"/>
                      <w:szCs w:val="21"/>
                    </w:rPr>
                    <w:t>。</w:t>
                  </w:r>
                </w:p>
              </w:tc>
              <w:tc>
                <w:tcPr>
                  <w:tcW w:w="613" w:type="pct"/>
                  <w:vAlign w:val="center"/>
                </w:tcPr>
                <w:p w14:paraId="42A254DB">
                  <w:pPr>
                    <w:jc w:val="center"/>
                    <w:rPr>
                      <w:rFonts w:cs="Times New Roman"/>
                      <w:szCs w:val="21"/>
                    </w:rPr>
                  </w:pPr>
                  <w:r>
                    <w:rPr>
                      <w:rFonts w:cs="Times New Roman"/>
                      <w:szCs w:val="21"/>
                    </w:rPr>
                    <w:t>否</w:t>
                  </w:r>
                </w:p>
              </w:tc>
            </w:tr>
            <w:tr w14:paraId="1E6D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restart"/>
                  <w:shd w:val="clear" w:color="auto" w:fill="auto"/>
                  <w:vAlign w:val="center"/>
                </w:tcPr>
                <w:p w14:paraId="15B5C2F0">
                  <w:pPr>
                    <w:jc w:val="center"/>
                    <w:rPr>
                      <w:rFonts w:cs="Times New Roman"/>
                      <w:szCs w:val="21"/>
                    </w:rPr>
                  </w:pPr>
                  <w:r>
                    <w:rPr>
                      <w:rFonts w:cs="Times New Roman"/>
                      <w:szCs w:val="21"/>
                    </w:rPr>
                    <w:t>地表水</w:t>
                  </w:r>
                </w:p>
              </w:tc>
              <w:tc>
                <w:tcPr>
                  <w:tcW w:w="2267" w:type="pct"/>
                  <w:vAlign w:val="center"/>
                </w:tcPr>
                <w:p w14:paraId="79043BE3">
                  <w:pPr>
                    <w:rPr>
                      <w:rFonts w:cs="Times New Roman"/>
                      <w:szCs w:val="21"/>
                    </w:rPr>
                  </w:pPr>
                  <w:r>
                    <w:rPr>
                      <w:rFonts w:cs="Times New Roman"/>
                      <w:szCs w:val="21"/>
                    </w:rPr>
                    <w:t>新增工业废水直排建设项目（槽罐车外送污水处理厂的除外）</w:t>
                  </w:r>
                </w:p>
              </w:tc>
              <w:tc>
                <w:tcPr>
                  <w:tcW w:w="1504" w:type="pct"/>
                  <w:vMerge w:val="restart"/>
                  <w:vAlign w:val="center"/>
                </w:tcPr>
                <w:p w14:paraId="327A7757">
                  <w:pPr>
                    <w:rPr>
                      <w:rFonts w:cs="Times New Roman"/>
                      <w:szCs w:val="21"/>
                    </w:rPr>
                  </w:pPr>
                  <w:r>
                    <w:rPr>
                      <w:rFonts w:cs="Times New Roman"/>
                      <w:szCs w:val="21"/>
                    </w:rPr>
                    <w:t>项目</w:t>
                  </w:r>
                  <w:r>
                    <w:rPr>
                      <w:rFonts w:hint="eastAsia" w:cs="Times New Roman"/>
                      <w:szCs w:val="21"/>
                    </w:rPr>
                    <w:t>污水</w:t>
                  </w:r>
                  <w:r>
                    <w:rPr>
                      <w:rFonts w:cs="Times New Roman"/>
                      <w:szCs w:val="21"/>
                    </w:rPr>
                    <w:t>经预处理后排入</w:t>
                  </w:r>
                  <w:r>
                    <w:rPr>
                      <w:rFonts w:hint="eastAsia" w:cs="Times New Roman"/>
                      <w:szCs w:val="21"/>
                    </w:rPr>
                    <w:t>市政</w:t>
                  </w:r>
                  <w:r>
                    <w:rPr>
                      <w:rFonts w:cs="Times New Roman"/>
                      <w:szCs w:val="21"/>
                    </w:rPr>
                    <w:t>污水管网，</w:t>
                  </w:r>
                  <w:r>
                    <w:rPr>
                      <w:rFonts w:hint="eastAsia" w:cs="Times New Roman"/>
                      <w:szCs w:val="21"/>
                    </w:rPr>
                    <w:t>排放方式为</w:t>
                  </w:r>
                  <w:r>
                    <w:rPr>
                      <w:rFonts w:cs="Times New Roman"/>
                      <w:szCs w:val="21"/>
                    </w:rPr>
                    <w:t>间接排放</w:t>
                  </w:r>
                  <w:r>
                    <w:rPr>
                      <w:rFonts w:hint="eastAsia" w:cs="Times New Roman"/>
                      <w:szCs w:val="21"/>
                    </w:rPr>
                    <w:t>。</w:t>
                  </w:r>
                </w:p>
              </w:tc>
              <w:tc>
                <w:tcPr>
                  <w:tcW w:w="613" w:type="pct"/>
                  <w:vMerge w:val="restart"/>
                  <w:vAlign w:val="center"/>
                </w:tcPr>
                <w:p w14:paraId="1F411275">
                  <w:pPr>
                    <w:jc w:val="center"/>
                    <w:rPr>
                      <w:rFonts w:cs="Times New Roman"/>
                      <w:szCs w:val="21"/>
                    </w:rPr>
                  </w:pPr>
                  <w:r>
                    <w:rPr>
                      <w:rFonts w:cs="Times New Roman"/>
                      <w:szCs w:val="21"/>
                    </w:rPr>
                    <w:t>否</w:t>
                  </w:r>
                </w:p>
              </w:tc>
            </w:tr>
            <w:tr w14:paraId="5E2D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vMerge w:val="continue"/>
                  <w:shd w:val="clear" w:color="auto" w:fill="auto"/>
                  <w:vAlign w:val="center"/>
                </w:tcPr>
                <w:p w14:paraId="787B6FDF">
                  <w:pPr>
                    <w:jc w:val="center"/>
                    <w:rPr>
                      <w:rFonts w:cs="Times New Roman"/>
                      <w:szCs w:val="21"/>
                    </w:rPr>
                  </w:pPr>
                </w:p>
              </w:tc>
              <w:tc>
                <w:tcPr>
                  <w:tcW w:w="2267" w:type="pct"/>
                  <w:vAlign w:val="center"/>
                </w:tcPr>
                <w:p w14:paraId="327FC363">
                  <w:pPr>
                    <w:rPr>
                      <w:rFonts w:cs="Times New Roman"/>
                      <w:szCs w:val="21"/>
                    </w:rPr>
                  </w:pPr>
                  <w:r>
                    <w:rPr>
                      <w:rFonts w:cs="Times New Roman"/>
                      <w:szCs w:val="21"/>
                    </w:rPr>
                    <w:t>新增废水直接排放的污水集中处理厂</w:t>
                  </w:r>
                </w:p>
              </w:tc>
              <w:tc>
                <w:tcPr>
                  <w:tcW w:w="1504" w:type="pct"/>
                  <w:vMerge w:val="continue"/>
                  <w:vAlign w:val="center"/>
                </w:tcPr>
                <w:p w14:paraId="6A776CBA">
                  <w:pPr>
                    <w:rPr>
                      <w:rFonts w:cs="Times New Roman"/>
                      <w:szCs w:val="21"/>
                    </w:rPr>
                  </w:pPr>
                </w:p>
              </w:tc>
              <w:tc>
                <w:tcPr>
                  <w:tcW w:w="613" w:type="pct"/>
                  <w:vMerge w:val="continue"/>
                  <w:vAlign w:val="center"/>
                </w:tcPr>
                <w:p w14:paraId="02930B84">
                  <w:pPr>
                    <w:jc w:val="center"/>
                    <w:rPr>
                      <w:rFonts w:cs="Times New Roman"/>
                      <w:szCs w:val="21"/>
                    </w:rPr>
                  </w:pPr>
                </w:p>
              </w:tc>
            </w:tr>
            <w:tr w14:paraId="488C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14:paraId="13E0C711">
                  <w:pPr>
                    <w:jc w:val="center"/>
                    <w:rPr>
                      <w:rFonts w:cs="Times New Roman"/>
                      <w:szCs w:val="21"/>
                    </w:rPr>
                  </w:pPr>
                  <w:r>
                    <w:rPr>
                      <w:rFonts w:cs="Times New Roman"/>
                      <w:szCs w:val="21"/>
                    </w:rPr>
                    <w:t>环境风险</w:t>
                  </w:r>
                </w:p>
              </w:tc>
              <w:tc>
                <w:tcPr>
                  <w:tcW w:w="2267" w:type="pct"/>
                  <w:vAlign w:val="center"/>
                </w:tcPr>
                <w:p w14:paraId="31419179">
                  <w:pPr>
                    <w:rPr>
                      <w:rFonts w:cs="Times New Roman"/>
                      <w:szCs w:val="21"/>
                    </w:rPr>
                  </w:pPr>
                  <w:r>
                    <w:rPr>
                      <w:rFonts w:cs="Times New Roman"/>
                      <w:szCs w:val="21"/>
                    </w:rPr>
                    <w:t>有毒有害和易燃易爆危险物质存储量超过临界量的建设项目</w:t>
                  </w:r>
                </w:p>
              </w:tc>
              <w:tc>
                <w:tcPr>
                  <w:tcW w:w="1504" w:type="pct"/>
                  <w:vAlign w:val="center"/>
                </w:tcPr>
                <w:p w14:paraId="3B768E92">
                  <w:pPr>
                    <w:rPr>
                      <w:rFonts w:cs="Times New Roman"/>
                      <w:szCs w:val="21"/>
                    </w:rPr>
                  </w:pPr>
                  <w:r>
                    <w:rPr>
                      <w:rFonts w:hint="eastAsia" w:cs="Times New Roman"/>
                      <w:szCs w:val="21"/>
                    </w:rPr>
                    <w:t>危险物质存储量未超过临界量。</w:t>
                  </w:r>
                </w:p>
              </w:tc>
              <w:tc>
                <w:tcPr>
                  <w:tcW w:w="613" w:type="pct"/>
                  <w:vAlign w:val="center"/>
                </w:tcPr>
                <w:p w14:paraId="4E48590B">
                  <w:pPr>
                    <w:jc w:val="center"/>
                    <w:rPr>
                      <w:rFonts w:cs="Times New Roman"/>
                      <w:szCs w:val="21"/>
                    </w:rPr>
                  </w:pPr>
                  <w:r>
                    <w:rPr>
                      <w:rFonts w:cs="Times New Roman"/>
                      <w:szCs w:val="21"/>
                    </w:rPr>
                    <w:t>否</w:t>
                  </w:r>
                </w:p>
              </w:tc>
            </w:tr>
            <w:tr w14:paraId="4B548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14:paraId="612C409D">
                  <w:pPr>
                    <w:jc w:val="center"/>
                    <w:rPr>
                      <w:rFonts w:cs="Times New Roman"/>
                      <w:szCs w:val="21"/>
                    </w:rPr>
                  </w:pPr>
                  <w:r>
                    <w:rPr>
                      <w:rFonts w:cs="Times New Roman"/>
                      <w:szCs w:val="21"/>
                    </w:rPr>
                    <w:t>生态</w:t>
                  </w:r>
                </w:p>
              </w:tc>
              <w:tc>
                <w:tcPr>
                  <w:tcW w:w="2267" w:type="pct"/>
                  <w:vAlign w:val="center"/>
                </w:tcPr>
                <w:p w14:paraId="79B7BE18">
                  <w:pPr>
                    <w:rPr>
                      <w:rFonts w:cs="Times New Roman"/>
                      <w:szCs w:val="21"/>
                    </w:rPr>
                  </w:pPr>
                  <w:r>
                    <w:rPr>
                      <w:rFonts w:cs="Times New Roman"/>
                      <w:szCs w:val="21"/>
                    </w:rPr>
                    <w:t>取水口下游500米范围内有重要水生生物的自然产卵场、索饵场、越冬场和洄游通道的新增河道取水的污染类建设项目</w:t>
                  </w:r>
                </w:p>
              </w:tc>
              <w:tc>
                <w:tcPr>
                  <w:tcW w:w="1504" w:type="pct"/>
                  <w:vAlign w:val="center"/>
                </w:tcPr>
                <w:p w14:paraId="1904909D">
                  <w:pPr>
                    <w:rPr>
                      <w:rFonts w:cs="Times New Roman"/>
                      <w:szCs w:val="21"/>
                    </w:rPr>
                  </w:pPr>
                  <w:r>
                    <w:rPr>
                      <w:rFonts w:cs="Times New Roman"/>
                      <w:szCs w:val="21"/>
                    </w:rPr>
                    <w:t>不涉及</w:t>
                  </w:r>
                  <w:r>
                    <w:rPr>
                      <w:rFonts w:hint="eastAsia" w:cs="Times New Roman"/>
                      <w:szCs w:val="21"/>
                    </w:rPr>
                    <w:t>。</w:t>
                  </w:r>
                </w:p>
              </w:tc>
              <w:tc>
                <w:tcPr>
                  <w:tcW w:w="613" w:type="pct"/>
                  <w:vAlign w:val="center"/>
                </w:tcPr>
                <w:p w14:paraId="5F2C8E1B">
                  <w:pPr>
                    <w:jc w:val="center"/>
                    <w:rPr>
                      <w:rFonts w:cs="Times New Roman"/>
                      <w:szCs w:val="21"/>
                    </w:rPr>
                  </w:pPr>
                  <w:r>
                    <w:rPr>
                      <w:rFonts w:cs="Times New Roman"/>
                      <w:szCs w:val="21"/>
                    </w:rPr>
                    <w:t>否</w:t>
                  </w:r>
                </w:p>
              </w:tc>
            </w:tr>
            <w:tr w14:paraId="15AA0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pct"/>
                  <w:shd w:val="clear" w:color="auto" w:fill="auto"/>
                  <w:vAlign w:val="center"/>
                </w:tcPr>
                <w:p w14:paraId="0600DF7C">
                  <w:pPr>
                    <w:jc w:val="center"/>
                    <w:rPr>
                      <w:rFonts w:cs="Times New Roman"/>
                      <w:szCs w:val="21"/>
                    </w:rPr>
                  </w:pPr>
                  <w:r>
                    <w:rPr>
                      <w:rFonts w:cs="Times New Roman"/>
                      <w:szCs w:val="21"/>
                    </w:rPr>
                    <w:t>海洋</w:t>
                  </w:r>
                </w:p>
              </w:tc>
              <w:tc>
                <w:tcPr>
                  <w:tcW w:w="2267" w:type="pct"/>
                  <w:vAlign w:val="center"/>
                </w:tcPr>
                <w:p w14:paraId="6A8A51E4">
                  <w:pPr>
                    <w:rPr>
                      <w:rFonts w:cs="Times New Roman"/>
                      <w:szCs w:val="21"/>
                    </w:rPr>
                  </w:pPr>
                  <w:r>
                    <w:rPr>
                      <w:rFonts w:cs="Times New Roman"/>
                      <w:szCs w:val="21"/>
                    </w:rPr>
                    <w:t>直接向海排放污染物的海洋工程建设项目</w:t>
                  </w:r>
                </w:p>
              </w:tc>
              <w:tc>
                <w:tcPr>
                  <w:tcW w:w="1504" w:type="pct"/>
                  <w:vAlign w:val="center"/>
                </w:tcPr>
                <w:p w14:paraId="57747A5C">
                  <w:pPr>
                    <w:rPr>
                      <w:rFonts w:cs="Times New Roman"/>
                      <w:szCs w:val="21"/>
                    </w:rPr>
                  </w:pPr>
                  <w:r>
                    <w:rPr>
                      <w:rFonts w:cs="Times New Roman"/>
                      <w:szCs w:val="21"/>
                    </w:rPr>
                    <w:t>不涉及</w:t>
                  </w:r>
                  <w:r>
                    <w:rPr>
                      <w:rFonts w:hint="eastAsia" w:cs="Times New Roman"/>
                      <w:szCs w:val="21"/>
                    </w:rPr>
                    <w:t>。</w:t>
                  </w:r>
                </w:p>
              </w:tc>
              <w:tc>
                <w:tcPr>
                  <w:tcW w:w="613" w:type="pct"/>
                  <w:vAlign w:val="center"/>
                </w:tcPr>
                <w:p w14:paraId="2A86EFCB">
                  <w:pPr>
                    <w:jc w:val="center"/>
                    <w:rPr>
                      <w:rFonts w:cs="Times New Roman"/>
                      <w:szCs w:val="21"/>
                    </w:rPr>
                  </w:pPr>
                  <w:r>
                    <w:rPr>
                      <w:rFonts w:cs="Times New Roman"/>
                      <w:szCs w:val="21"/>
                    </w:rPr>
                    <w:t>否</w:t>
                  </w:r>
                </w:p>
              </w:tc>
            </w:tr>
          </w:tbl>
          <w:p w14:paraId="36C66376">
            <w:pPr>
              <w:spacing w:line="360" w:lineRule="auto"/>
              <w:ind w:firstLine="480" w:firstLineChars="200"/>
              <w:rPr>
                <w:rFonts w:cs="Times New Roman"/>
                <w:sz w:val="24"/>
                <w:szCs w:val="24"/>
              </w:rPr>
            </w:pPr>
            <w:r>
              <w:rPr>
                <w:rFonts w:cs="Times New Roman"/>
                <w:sz w:val="24"/>
                <w:szCs w:val="24"/>
              </w:rPr>
              <w:t>因此，本项目不需开展专项评价工作。</w:t>
            </w:r>
          </w:p>
        </w:tc>
      </w:tr>
      <w:tr w14:paraId="3131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53331576">
            <w:pPr>
              <w:spacing w:line="360" w:lineRule="auto"/>
              <w:jc w:val="center"/>
              <w:rPr>
                <w:rFonts w:cs="Times New Roman"/>
                <w:sz w:val="24"/>
                <w:szCs w:val="24"/>
              </w:rPr>
            </w:pPr>
            <w:r>
              <w:rPr>
                <w:rFonts w:hint="eastAsia" w:cs="Times New Roman"/>
                <w:sz w:val="24"/>
                <w:szCs w:val="24"/>
              </w:rPr>
              <w:t>规划情况</w:t>
            </w:r>
          </w:p>
        </w:tc>
        <w:tc>
          <w:tcPr>
            <w:tcW w:w="4320" w:type="pct"/>
            <w:gridSpan w:val="3"/>
            <w:vAlign w:val="center"/>
          </w:tcPr>
          <w:p w14:paraId="69CB2402">
            <w:pPr>
              <w:spacing w:line="360" w:lineRule="auto"/>
              <w:ind w:firstLine="480" w:firstLineChars="200"/>
              <w:rPr>
                <w:rFonts w:cs="Times New Roman"/>
                <w:sz w:val="24"/>
                <w:szCs w:val="24"/>
              </w:rPr>
            </w:pPr>
            <w:r>
              <w:rPr>
                <w:rFonts w:hint="eastAsia" w:cs="Times New Roman"/>
                <w:sz w:val="24"/>
                <w:szCs w:val="24"/>
              </w:rPr>
              <w:t>《大英县国土空间总体规划（2021-2035年）》，四川省人民政府，《关于遂宁市射洪市等3个县（市）国土空间总体规划（2021-2035年）的批复》（川府函〔2</w:t>
            </w:r>
            <w:r>
              <w:rPr>
                <w:rFonts w:cs="Times New Roman"/>
                <w:sz w:val="24"/>
                <w:szCs w:val="24"/>
              </w:rPr>
              <w:t>0</w:t>
            </w:r>
            <w:r>
              <w:rPr>
                <w:rFonts w:hint="eastAsia" w:cs="Times New Roman"/>
                <w:sz w:val="24"/>
                <w:szCs w:val="24"/>
              </w:rPr>
              <w:t>24〕141号）。</w:t>
            </w:r>
          </w:p>
        </w:tc>
      </w:tr>
      <w:tr w14:paraId="50BC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4E467D4C">
            <w:pPr>
              <w:spacing w:line="360" w:lineRule="auto"/>
              <w:jc w:val="center"/>
              <w:rPr>
                <w:rFonts w:cs="Times New Roman"/>
                <w:sz w:val="24"/>
                <w:szCs w:val="24"/>
                <w:highlight w:val="yellow"/>
              </w:rPr>
            </w:pPr>
            <w:r>
              <w:rPr>
                <w:rFonts w:hint="eastAsia" w:cs="Times New Roman"/>
                <w:sz w:val="24"/>
                <w:szCs w:val="24"/>
              </w:rPr>
              <w:t>规划环境影响评价情况</w:t>
            </w:r>
          </w:p>
        </w:tc>
        <w:tc>
          <w:tcPr>
            <w:tcW w:w="4320" w:type="pct"/>
            <w:gridSpan w:val="3"/>
            <w:vAlign w:val="center"/>
          </w:tcPr>
          <w:p w14:paraId="4E593E6C">
            <w:pPr>
              <w:spacing w:line="360" w:lineRule="auto"/>
              <w:ind w:firstLine="480" w:firstLineChars="200"/>
              <w:rPr>
                <w:rFonts w:cs="Times New Roman"/>
                <w:sz w:val="24"/>
                <w:szCs w:val="24"/>
              </w:rPr>
            </w:pPr>
            <w:r>
              <w:rPr>
                <w:rFonts w:hint="eastAsia" w:cs="Times New Roman"/>
                <w:sz w:val="24"/>
                <w:szCs w:val="24"/>
              </w:rPr>
              <w:t>《四川大英经济开发区规划环境影响报告书》，四川省生态环境厅，《关于&lt;四川大英经济开发区规划环境影响报告书</w:t>
            </w:r>
            <w:r>
              <w:rPr>
                <w:rFonts w:cs="Times New Roman"/>
                <w:sz w:val="24"/>
                <w:szCs w:val="24"/>
              </w:rPr>
              <w:t>&gt;</w:t>
            </w:r>
            <w:r>
              <w:rPr>
                <w:rFonts w:hint="eastAsia" w:cs="Times New Roman"/>
                <w:sz w:val="24"/>
                <w:szCs w:val="24"/>
              </w:rPr>
              <w:t>的审查意见》（川环建函〔2019〕48号）。</w:t>
            </w:r>
          </w:p>
        </w:tc>
      </w:tr>
      <w:tr w14:paraId="7333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6F6D2AA5">
            <w:pPr>
              <w:spacing w:line="360" w:lineRule="auto"/>
              <w:jc w:val="center"/>
              <w:rPr>
                <w:rFonts w:cs="Times New Roman"/>
                <w:sz w:val="24"/>
                <w:szCs w:val="24"/>
              </w:rPr>
            </w:pPr>
            <w:r>
              <w:rPr>
                <w:rFonts w:hint="eastAsia" w:cs="Times New Roman"/>
                <w:sz w:val="24"/>
                <w:szCs w:val="24"/>
              </w:rPr>
              <w:t>规划及规划环境影响评价符合性分析</w:t>
            </w:r>
          </w:p>
        </w:tc>
        <w:tc>
          <w:tcPr>
            <w:tcW w:w="4320" w:type="pct"/>
            <w:gridSpan w:val="3"/>
            <w:vAlign w:val="center"/>
          </w:tcPr>
          <w:p w14:paraId="4A09EA4F">
            <w:pPr>
              <w:spacing w:line="360" w:lineRule="auto"/>
              <w:ind w:firstLine="482" w:firstLineChars="200"/>
              <w:rPr>
                <w:rFonts w:cs="Times New Roman"/>
                <w:b/>
                <w:sz w:val="24"/>
                <w:szCs w:val="24"/>
              </w:rPr>
            </w:pPr>
            <w:r>
              <w:rPr>
                <w:rFonts w:hint="eastAsia" w:cs="Times New Roman"/>
                <w:b/>
                <w:sz w:val="24"/>
                <w:szCs w:val="24"/>
              </w:rPr>
              <w:t>1、与《</w:t>
            </w:r>
            <w:r>
              <w:rPr>
                <w:rFonts w:hint="eastAsia"/>
                <w:b/>
                <w:bCs/>
                <w:sz w:val="24"/>
                <w:szCs w:val="24"/>
              </w:rPr>
              <w:t>大英县国土空间总体规划（2021-2035年）</w:t>
            </w:r>
            <w:r>
              <w:rPr>
                <w:rFonts w:hint="eastAsia" w:cs="Times New Roman"/>
                <w:b/>
                <w:sz w:val="24"/>
                <w:szCs w:val="24"/>
              </w:rPr>
              <w:t>》符合性</w:t>
            </w:r>
          </w:p>
          <w:p w14:paraId="4CA7242E">
            <w:pPr>
              <w:spacing w:line="360" w:lineRule="auto"/>
              <w:ind w:firstLine="480" w:firstLineChars="200"/>
              <w:rPr>
                <w:sz w:val="24"/>
                <w:szCs w:val="24"/>
              </w:rPr>
            </w:pPr>
            <w:r>
              <w:rPr>
                <w:rFonts w:hint="eastAsia"/>
                <w:sz w:val="24"/>
                <w:szCs w:val="24"/>
              </w:rPr>
              <w:t>根据《大英县国土空间总体规划（2021-2035年）》，大英县总体定位为建设西部绿色油气融合发展样板区、全国知名旅游度假目的地，重点发展能源化工、装备制造产业集群，发展现代旅游业，落实并划定永久基本农田保护面积262.96km</w:t>
            </w:r>
            <w:r>
              <w:rPr>
                <w:rFonts w:hint="eastAsia"/>
                <w:sz w:val="24"/>
                <w:szCs w:val="24"/>
                <w:vertAlign w:val="superscript"/>
              </w:rPr>
              <w:t>2</w:t>
            </w:r>
            <w:r>
              <w:rPr>
                <w:rFonts w:hint="eastAsia"/>
                <w:sz w:val="24"/>
                <w:szCs w:val="24"/>
              </w:rPr>
              <w:t>（39.44万亩），生态保护红线面积1.36km</w:t>
            </w:r>
            <w:r>
              <w:rPr>
                <w:rFonts w:hint="eastAsia"/>
                <w:sz w:val="24"/>
                <w:szCs w:val="24"/>
                <w:vertAlign w:val="superscript"/>
              </w:rPr>
              <w:t>2</w:t>
            </w:r>
            <w:r>
              <w:rPr>
                <w:rFonts w:hint="eastAsia"/>
                <w:sz w:val="24"/>
                <w:szCs w:val="24"/>
              </w:rPr>
              <w:t>（0.20万亩），城镇开发边界面积33.60km</w:t>
            </w:r>
            <w:r>
              <w:rPr>
                <w:rFonts w:hint="eastAsia"/>
                <w:sz w:val="24"/>
                <w:szCs w:val="24"/>
                <w:vertAlign w:val="superscript"/>
              </w:rPr>
              <w:t>2</w:t>
            </w:r>
            <w:r>
              <w:rPr>
                <w:rFonts w:hint="eastAsia"/>
                <w:sz w:val="24"/>
                <w:szCs w:val="24"/>
              </w:rPr>
              <w:t>（5.04万亩）。</w:t>
            </w:r>
          </w:p>
          <w:p w14:paraId="65BF86A5">
            <w:pPr>
              <w:spacing w:line="360" w:lineRule="auto"/>
              <w:ind w:firstLine="480" w:firstLineChars="200"/>
              <w:rPr>
                <w:sz w:val="24"/>
                <w:szCs w:val="24"/>
              </w:rPr>
            </w:pPr>
            <w:r>
              <w:rPr>
                <w:rFonts w:hint="eastAsia"/>
                <w:sz w:val="24"/>
                <w:szCs w:val="24"/>
              </w:rPr>
              <w:t>大英中心城区规划形成“一带两心多组团”的空间结构，其中工业组团以大英经开区（含460.44公顷的大英红旗化工园区）为核心，以能源化工、装备制造两大主导产业为主，以现代商贸物流、数字经济产业为辅的工业综合功能组团。</w:t>
            </w:r>
          </w:p>
          <w:p w14:paraId="2E5C8BBD">
            <w:pPr>
              <w:spacing w:line="360" w:lineRule="auto"/>
              <w:ind w:firstLine="480" w:firstLineChars="200"/>
              <w:rPr>
                <w:sz w:val="24"/>
                <w:szCs w:val="24"/>
              </w:rPr>
            </w:pPr>
            <w:r>
              <w:rPr>
                <w:sz w:val="24"/>
                <w:szCs w:val="24"/>
              </w:rPr>
              <w:t>本项目位于</w:t>
            </w:r>
            <w:r>
              <w:rPr>
                <w:rFonts w:hint="eastAsia" w:cs="Times New Roman"/>
                <w:sz w:val="24"/>
                <w:szCs w:val="24"/>
              </w:rPr>
              <w:t>遂宁市大英县蓬莱镇采和大道261号附1号</w:t>
            </w:r>
            <w:r>
              <w:rPr>
                <w:sz w:val="24"/>
                <w:szCs w:val="24"/>
              </w:rPr>
              <w:t>，</w:t>
            </w:r>
            <w:r>
              <w:rPr>
                <w:rFonts w:hint="eastAsia"/>
                <w:sz w:val="24"/>
                <w:szCs w:val="24"/>
              </w:rPr>
              <w:t>位于城镇开发边界以内，不涉及永久基本农田、生态保护红线。项目区属于大英县中心城区工业组团，根据《大英县中心城区土地利用规划图》可知，项目用地类型为工业用地，且已取得大英县自然资源和规划局出具的《不动产登记证明》（川（2024）大英县不动产证明第0004140号）。因此，本项目符合《大英县国土空间总体规划（2021-2035年）》。</w:t>
            </w:r>
          </w:p>
          <w:p w14:paraId="29FA44D2">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、与《四川大英经济开发区规划环境影响报告书》及审查意见符合性</w:t>
            </w:r>
          </w:p>
          <w:p w14:paraId="012EE9F6">
            <w:pPr>
              <w:spacing w:line="360" w:lineRule="auto"/>
              <w:ind w:firstLine="480" w:firstLineChars="200"/>
              <w:rPr>
                <w:rFonts w:cs="Times New Roman"/>
                <w:sz w:val="24"/>
                <w:szCs w:val="24"/>
              </w:rPr>
            </w:pPr>
            <w:r>
              <w:rPr>
                <w:rFonts w:hint="eastAsia" w:cs="Times New Roman"/>
                <w:sz w:val="24"/>
                <w:szCs w:val="24"/>
              </w:rPr>
              <w:t>四川大英经济开发区前身为大英县工业集中发展区，成立于2001年，于2019年1月经四川省人民政府批准设立省级经济开发区（川府函〔2019〕20号）。经开区位于大英县城东侧，西连射大路，东至隆盛镇打儿窝，南邻达成铁路，北至成南高速公路，规划面积16.0</w:t>
            </w:r>
            <w:r>
              <w:rPr>
                <w:rFonts w:hint="eastAsia"/>
                <w:sz w:val="24"/>
                <w:szCs w:val="24"/>
              </w:rPr>
              <w:t>km</w:t>
            </w:r>
            <w:r>
              <w:rPr>
                <w:rFonts w:hint="eastAsia"/>
                <w:sz w:val="24"/>
                <w:szCs w:val="24"/>
                <w:vertAlign w:val="superscript"/>
              </w:rPr>
              <w:t>2</w:t>
            </w:r>
            <w:r>
              <w:rPr>
                <w:rFonts w:hint="eastAsia"/>
                <w:sz w:val="24"/>
                <w:szCs w:val="24"/>
              </w:rPr>
              <w:t>，包括石油化工产业园（梁家坝和红花坝片区）、盐化工产业园（聂家坝片区）、机电轻纺产业园（马家坝片区和景家坝片区、梨子坝-尚家坝片区）、电子产业园（聂家坝片区）及配套居住组团，主导发展石化、纺织、机电产业</w:t>
            </w:r>
            <w:r>
              <w:rPr>
                <w:rFonts w:hint="eastAsia" w:cs="Times New Roman"/>
                <w:sz w:val="24"/>
                <w:szCs w:val="24"/>
              </w:rPr>
              <w:t>。</w:t>
            </w:r>
          </w:p>
          <w:p w14:paraId="7FD22248">
            <w:pPr>
              <w:spacing w:line="360" w:lineRule="auto"/>
              <w:ind w:firstLine="480" w:firstLineChars="200"/>
              <w:rPr>
                <w:sz w:val="24"/>
                <w:szCs w:val="24"/>
              </w:rPr>
            </w:pPr>
            <w:r>
              <w:rPr>
                <w:rFonts w:hint="eastAsia"/>
                <w:sz w:val="24"/>
                <w:szCs w:val="24"/>
              </w:rPr>
              <w:t>园区规划环评于2019年8月经四川省生态环境厅以《关于&lt;四川大英经济开发区规划环境影响报告书&gt;的</w:t>
            </w:r>
            <w:r>
              <w:rPr>
                <w:sz w:val="24"/>
                <w:szCs w:val="24"/>
              </w:rPr>
              <w:t>审查意见》</w:t>
            </w:r>
            <w:r>
              <w:rPr>
                <w:rFonts w:hint="eastAsia"/>
                <w:sz w:val="24"/>
                <w:szCs w:val="24"/>
              </w:rPr>
              <w:t>（川环建函〔2019〕48号）审查通过。根据《四川大英经济开发区规划环境影响报告书》及审查意见，本项目与园区符合性分析见下表。</w:t>
            </w:r>
          </w:p>
          <w:p w14:paraId="167B6B06">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项目与园区规划环评符合性</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771"/>
              <w:gridCol w:w="3897"/>
              <w:gridCol w:w="1873"/>
              <w:gridCol w:w="993"/>
            </w:tblGrid>
            <w:tr w14:paraId="3244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blHeader/>
              </w:trPr>
              <w:tc>
                <w:tcPr>
                  <w:tcW w:w="3271" w:type="pct"/>
                  <w:gridSpan w:val="3"/>
                  <w:shd w:val="clear" w:color="auto" w:fill="auto"/>
                  <w:vAlign w:val="center"/>
                </w:tcPr>
                <w:p w14:paraId="59FF619E">
                  <w:pPr>
                    <w:jc w:val="center"/>
                    <w:rPr>
                      <w:szCs w:val="21"/>
                    </w:rPr>
                  </w:pPr>
                  <w:r>
                    <w:rPr>
                      <w:szCs w:val="21"/>
                    </w:rPr>
                    <w:t>《</w:t>
                  </w:r>
                  <w:r>
                    <w:rPr>
                      <w:rFonts w:hint="eastAsia"/>
                      <w:szCs w:val="21"/>
                    </w:rPr>
                    <w:t>四川大英经济开发区规划环境影响报告书</w:t>
                  </w:r>
                  <w:r>
                    <w:rPr>
                      <w:szCs w:val="21"/>
                    </w:rPr>
                    <w:t>》要求</w:t>
                  </w:r>
                </w:p>
              </w:tc>
              <w:tc>
                <w:tcPr>
                  <w:tcW w:w="1130" w:type="pct"/>
                  <w:shd w:val="clear" w:color="auto" w:fill="auto"/>
                  <w:vAlign w:val="center"/>
                </w:tcPr>
                <w:p w14:paraId="3550CFDA">
                  <w:pPr>
                    <w:jc w:val="center"/>
                    <w:rPr>
                      <w:szCs w:val="21"/>
                    </w:rPr>
                  </w:pPr>
                  <w:r>
                    <w:rPr>
                      <w:szCs w:val="21"/>
                    </w:rPr>
                    <w:t>本项目情况</w:t>
                  </w:r>
                </w:p>
              </w:tc>
              <w:tc>
                <w:tcPr>
                  <w:tcW w:w="599" w:type="pct"/>
                  <w:shd w:val="clear" w:color="auto" w:fill="auto"/>
                  <w:vAlign w:val="center"/>
                </w:tcPr>
                <w:p w14:paraId="7842B5C9">
                  <w:pPr>
                    <w:jc w:val="center"/>
                    <w:rPr>
                      <w:szCs w:val="21"/>
                    </w:rPr>
                  </w:pPr>
                  <w:r>
                    <w:rPr>
                      <w:szCs w:val="21"/>
                    </w:rPr>
                    <w:t>符合性</w:t>
                  </w:r>
                </w:p>
              </w:tc>
            </w:tr>
            <w:tr w14:paraId="7D94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shd w:val="clear" w:color="auto" w:fill="auto"/>
                  <w:vAlign w:val="center"/>
                </w:tcPr>
                <w:p w14:paraId="138C4839">
                  <w:pPr>
                    <w:jc w:val="center"/>
                    <w:rPr>
                      <w:szCs w:val="21"/>
                    </w:rPr>
                  </w:pPr>
                  <w:r>
                    <w:rPr>
                      <w:rFonts w:hint="eastAsia"/>
                      <w:szCs w:val="21"/>
                    </w:rPr>
                    <w:t>空间管控清单</w:t>
                  </w:r>
                </w:p>
              </w:tc>
              <w:tc>
                <w:tcPr>
                  <w:tcW w:w="2816" w:type="pct"/>
                  <w:gridSpan w:val="2"/>
                  <w:shd w:val="clear" w:color="auto" w:fill="auto"/>
                  <w:vAlign w:val="center"/>
                </w:tcPr>
                <w:p w14:paraId="77DDC973">
                  <w:pPr>
                    <w:rPr>
                      <w:szCs w:val="21"/>
                    </w:rPr>
                  </w:pPr>
                  <w:r>
                    <w:rPr>
                      <w:rFonts w:hint="eastAsia"/>
                      <w:szCs w:val="21"/>
                    </w:rPr>
                    <w:t>红花坝、梁家坝、聂家坝片区，郪江北岸：北至沪蓉高速，南至规划区南侧边界，西至石油沟-红旗路，东至规划区东侧边界，新引入项目对周围受体的环境风险潜势不大于</w:t>
                  </w:r>
                  <w:r>
                    <w:rPr>
                      <w:rFonts w:hint="eastAsia"/>
                      <w:szCs w:val="21"/>
                      <w:lang w:eastAsia="zh-CN"/>
                    </w:rPr>
                    <w:t>Ⅳ级</w:t>
                  </w:r>
                  <w:r>
                    <w:rPr>
                      <w:rFonts w:hint="eastAsia"/>
                      <w:szCs w:val="21"/>
                    </w:rPr>
                    <w:t>且项目危险物质及生产工艺系统危险性分级应小于 P1。</w:t>
                  </w:r>
                </w:p>
              </w:tc>
              <w:tc>
                <w:tcPr>
                  <w:tcW w:w="1130" w:type="pct"/>
                  <w:shd w:val="clear" w:color="auto" w:fill="auto"/>
                  <w:vAlign w:val="center"/>
                </w:tcPr>
                <w:p w14:paraId="12862C4D">
                  <w:pPr>
                    <w:rPr>
                      <w:szCs w:val="21"/>
                    </w:rPr>
                  </w:pPr>
                  <w:r>
                    <w:rPr>
                      <w:rFonts w:hint="eastAsia"/>
                      <w:szCs w:val="21"/>
                    </w:rPr>
                    <w:t>项目环境风险潜势为I级。</w:t>
                  </w:r>
                </w:p>
              </w:tc>
              <w:tc>
                <w:tcPr>
                  <w:tcW w:w="599" w:type="pct"/>
                  <w:shd w:val="clear" w:color="auto" w:fill="auto"/>
                  <w:vAlign w:val="center"/>
                </w:tcPr>
                <w:p w14:paraId="405E52A0">
                  <w:pPr>
                    <w:jc w:val="center"/>
                    <w:rPr>
                      <w:szCs w:val="21"/>
                    </w:rPr>
                  </w:pPr>
                  <w:r>
                    <w:rPr>
                      <w:rFonts w:hint="eastAsia"/>
                      <w:szCs w:val="21"/>
                    </w:rPr>
                    <w:t>符合</w:t>
                  </w:r>
                </w:p>
              </w:tc>
            </w:tr>
            <w:tr w14:paraId="651C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vMerge w:val="restart"/>
                  <w:shd w:val="clear" w:color="auto" w:fill="auto"/>
                  <w:vAlign w:val="center"/>
                </w:tcPr>
                <w:p w14:paraId="48718A6E">
                  <w:pPr>
                    <w:jc w:val="center"/>
                    <w:rPr>
                      <w:szCs w:val="21"/>
                    </w:rPr>
                  </w:pPr>
                  <w:r>
                    <w:rPr>
                      <w:rFonts w:hint="eastAsia"/>
                      <w:szCs w:val="21"/>
                    </w:rPr>
                    <w:t>环境准入条件及负面清单</w:t>
                  </w:r>
                </w:p>
              </w:tc>
              <w:tc>
                <w:tcPr>
                  <w:tcW w:w="465" w:type="pct"/>
                  <w:shd w:val="clear" w:color="auto" w:fill="auto"/>
                  <w:vAlign w:val="center"/>
                </w:tcPr>
                <w:p w14:paraId="46D8770D">
                  <w:pPr>
                    <w:jc w:val="center"/>
                    <w:rPr>
                      <w:szCs w:val="21"/>
                    </w:rPr>
                  </w:pPr>
                  <w:r>
                    <w:rPr>
                      <w:rFonts w:hint="eastAsia"/>
                    </w:rPr>
                    <w:t>鼓励类</w:t>
                  </w:r>
                </w:p>
              </w:tc>
              <w:tc>
                <w:tcPr>
                  <w:tcW w:w="2351" w:type="pct"/>
                  <w:shd w:val="clear" w:color="auto" w:fill="auto"/>
                  <w:vAlign w:val="center"/>
                </w:tcPr>
                <w:p w14:paraId="2242D174">
                  <w:r>
                    <w:rPr>
                      <w:rFonts w:hint="eastAsia"/>
                    </w:rPr>
                    <w:t>（1）鼓励发展环境友好的化工新材料和机械制造产业。</w:t>
                  </w:r>
                </w:p>
                <w:p w14:paraId="795C066F">
                  <w:pPr>
                    <w:rPr>
                      <w:szCs w:val="21"/>
                    </w:rPr>
                  </w:pPr>
                  <w:r>
                    <w:rPr>
                      <w:rFonts w:hint="eastAsia"/>
                      <w:szCs w:val="21"/>
                    </w:rPr>
                    <w:t>（2）与规划区主导产业相配套产业，企业效益明显，对区域不造成明显污染，遵循清洁生产及循环经济的项目。</w:t>
                  </w:r>
                </w:p>
              </w:tc>
              <w:tc>
                <w:tcPr>
                  <w:tcW w:w="1130" w:type="pct"/>
                  <w:vMerge w:val="restart"/>
                  <w:shd w:val="clear" w:color="auto" w:fill="auto"/>
                  <w:vAlign w:val="center"/>
                </w:tcPr>
                <w:p w14:paraId="5A6FD2EC">
                  <w:pPr>
                    <w:rPr>
                      <w:szCs w:val="21"/>
                    </w:rPr>
                  </w:pPr>
                  <w:r>
                    <w:rPr>
                      <w:rFonts w:hint="eastAsia"/>
                      <w:szCs w:val="21"/>
                    </w:rPr>
                    <w:t>项目为塑料制品业，符合《产业结构调整指导目录（2024年本）》，不属于鼓励类项目，也未列入园区负面清单，为允许发展类，项目建设与主导产业不冲突，与规划区规划无明显冲突，不会影响规划区规划实施。</w:t>
                  </w:r>
                </w:p>
              </w:tc>
              <w:tc>
                <w:tcPr>
                  <w:tcW w:w="599" w:type="pct"/>
                  <w:vMerge w:val="restart"/>
                  <w:shd w:val="clear" w:color="auto" w:fill="auto"/>
                  <w:vAlign w:val="center"/>
                </w:tcPr>
                <w:p w14:paraId="0EFB98A8">
                  <w:pPr>
                    <w:jc w:val="center"/>
                    <w:rPr>
                      <w:szCs w:val="21"/>
                    </w:rPr>
                  </w:pPr>
                  <w:r>
                    <w:rPr>
                      <w:rFonts w:hint="eastAsia"/>
                      <w:szCs w:val="21"/>
                    </w:rPr>
                    <w:t>符合</w:t>
                  </w:r>
                </w:p>
              </w:tc>
            </w:tr>
            <w:tr w14:paraId="09B9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vMerge w:val="continue"/>
                  <w:shd w:val="clear" w:color="auto" w:fill="auto"/>
                  <w:vAlign w:val="center"/>
                </w:tcPr>
                <w:p w14:paraId="005B369F">
                  <w:pPr>
                    <w:jc w:val="center"/>
                    <w:rPr>
                      <w:szCs w:val="21"/>
                    </w:rPr>
                  </w:pPr>
                </w:p>
              </w:tc>
              <w:tc>
                <w:tcPr>
                  <w:tcW w:w="465" w:type="pct"/>
                  <w:vMerge w:val="restart"/>
                  <w:shd w:val="clear" w:color="auto" w:fill="auto"/>
                  <w:vAlign w:val="center"/>
                </w:tcPr>
                <w:p w14:paraId="464B19EC">
                  <w:pPr>
                    <w:jc w:val="center"/>
                    <w:rPr>
                      <w:szCs w:val="21"/>
                    </w:rPr>
                  </w:pPr>
                  <w:r>
                    <w:rPr>
                      <w:rFonts w:hint="eastAsia"/>
                    </w:rPr>
                    <w:t>环境准入负面清单</w:t>
                  </w:r>
                </w:p>
              </w:tc>
              <w:tc>
                <w:tcPr>
                  <w:tcW w:w="2351" w:type="pct"/>
                  <w:shd w:val="clear" w:color="auto" w:fill="auto"/>
                  <w:vAlign w:val="center"/>
                </w:tcPr>
                <w:p w14:paraId="0B69DCDE">
                  <w:r>
                    <w:rPr>
                      <w:rFonts w:hint="eastAsia"/>
                    </w:rPr>
                    <w:t>（1）不符合国家行业准入条件的项目，列入国家产能过剩的项目，列入产业结构指导目录限制及禁止类的项目。</w:t>
                  </w:r>
                </w:p>
                <w:p w14:paraId="774AD489">
                  <w:r>
                    <w:rPr>
                      <w:rFonts w:hint="eastAsia"/>
                    </w:rPr>
                    <w:t>（2）不符合国家环保法律法规、各类污染防治规划及要求的项目。</w:t>
                  </w:r>
                </w:p>
                <w:p w14:paraId="04B740E5">
                  <w:r>
                    <w:rPr>
                      <w:rFonts w:hint="eastAsia"/>
                    </w:rPr>
                    <w:t>（3）清洁生产水平不能达到行业清洁生产标准二级标准要求或低于全国同类企业先进清洁生产水平的项目。</w:t>
                  </w:r>
                </w:p>
                <w:p w14:paraId="341F43DB">
                  <w:r>
                    <w:rPr>
                      <w:rFonts w:hint="eastAsia"/>
                    </w:rPr>
                    <w:t>（4）与园区生活空间冲突或经环保论证与周边企业、规划用地等环境不相容，与居住区紧邻且存在重大危险源的项目。</w:t>
                  </w:r>
                </w:p>
                <w:p w14:paraId="3C82DDFB">
                  <w:r>
                    <w:rPr>
                      <w:rFonts w:hint="eastAsia"/>
                    </w:rPr>
                    <w:t>（5）禁止新建燃煤火电、金属冶炼、制浆（含废纸制浆）、屠宰、皮革鞣制、铅蓄电池制造、原油炼制、煤化工及发酵制药项目。</w:t>
                  </w:r>
                </w:p>
                <w:p w14:paraId="038AC9D8">
                  <w:r>
                    <w:rPr>
                      <w:rFonts w:hint="eastAsia"/>
                    </w:rPr>
                    <w:t>（6）禁止新引入印制电路板、集成电路制造、平板及柔性显示器件制造等耗、排水量大的项目。</w:t>
                  </w:r>
                </w:p>
                <w:p w14:paraId="4A2E5A5D">
                  <w:pPr>
                    <w:rPr>
                      <w:szCs w:val="21"/>
                    </w:rPr>
                  </w:pPr>
                  <w:r>
                    <w:rPr>
                      <w:rFonts w:hint="eastAsia"/>
                    </w:rPr>
                    <w:t>（7）其他与规划环评要求不符的项目。</w:t>
                  </w:r>
                </w:p>
              </w:tc>
              <w:tc>
                <w:tcPr>
                  <w:tcW w:w="1130" w:type="pct"/>
                  <w:vMerge w:val="continue"/>
                  <w:shd w:val="clear" w:color="auto" w:fill="auto"/>
                  <w:vAlign w:val="center"/>
                </w:tcPr>
                <w:p w14:paraId="6F4D6BA9">
                  <w:pPr>
                    <w:rPr>
                      <w:szCs w:val="21"/>
                    </w:rPr>
                  </w:pPr>
                </w:p>
              </w:tc>
              <w:tc>
                <w:tcPr>
                  <w:tcW w:w="599" w:type="pct"/>
                  <w:vMerge w:val="continue"/>
                  <w:shd w:val="clear" w:color="auto" w:fill="auto"/>
                  <w:vAlign w:val="center"/>
                </w:tcPr>
                <w:p w14:paraId="08283659">
                  <w:pPr>
                    <w:jc w:val="center"/>
                    <w:rPr>
                      <w:szCs w:val="21"/>
                    </w:rPr>
                  </w:pPr>
                </w:p>
              </w:tc>
            </w:tr>
            <w:tr w14:paraId="5E7E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vMerge w:val="continue"/>
                  <w:shd w:val="clear" w:color="auto" w:fill="auto"/>
                  <w:vAlign w:val="center"/>
                </w:tcPr>
                <w:p w14:paraId="31A9CA68">
                  <w:pPr>
                    <w:jc w:val="center"/>
                    <w:rPr>
                      <w:szCs w:val="21"/>
                    </w:rPr>
                  </w:pPr>
                </w:p>
              </w:tc>
              <w:tc>
                <w:tcPr>
                  <w:tcW w:w="465" w:type="pct"/>
                  <w:vMerge w:val="continue"/>
                  <w:shd w:val="clear" w:color="auto" w:fill="auto"/>
                  <w:vAlign w:val="center"/>
                </w:tcPr>
                <w:p w14:paraId="59C6D49E">
                  <w:pPr>
                    <w:jc w:val="center"/>
                    <w:rPr>
                      <w:szCs w:val="21"/>
                    </w:rPr>
                  </w:pPr>
                </w:p>
              </w:tc>
              <w:tc>
                <w:tcPr>
                  <w:tcW w:w="2351" w:type="pct"/>
                  <w:shd w:val="clear" w:color="auto" w:fill="auto"/>
                  <w:vAlign w:val="center"/>
                </w:tcPr>
                <w:p w14:paraId="3BD78D43">
                  <w:pPr>
                    <w:rPr>
                      <w:szCs w:val="21"/>
                    </w:rPr>
                  </w:pPr>
                  <w:r>
                    <w:rPr>
                      <w:rFonts w:hint="eastAsia"/>
                      <w:szCs w:val="21"/>
                    </w:rPr>
                    <w:t>规划区项目建设首先应符合《产业结构调整指导目录（2011年本）》（2013年修正）、《产业转移指导目录（2012年本）》、《外商投资产业指导目录（2015 年修订）》、《环境保护综合名录（2017 年版）》等国家产业政策的要求，其次要符合四川省及遂宁市制定的相关产业政策的要求。清单中包括两类，一类是禁止类，涉及的项目禁止新建、改扩建；另一类是限制类，意为有条件发展的项目，现状已建项目可保留发展，禁止新建该类项目。</w:t>
                  </w:r>
                </w:p>
              </w:tc>
              <w:tc>
                <w:tcPr>
                  <w:tcW w:w="1130" w:type="pct"/>
                  <w:vMerge w:val="continue"/>
                  <w:shd w:val="clear" w:color="auto" w:fill="auto"/>
                  <w:vAlign w:val="center"/>
                </w:tcPr>
                <w:p w14:paraId="57531157">
                  <w:pPr>
                    <w:rPr>
                      <w:szCs w:val="21"/>
                    </w:rPr>
                  </w:pPr>
                </w:p>
              </w:tc>
              <w:tc>
                <w:tcPr>
                  <w:tcW w:w="599" w:type="pct"/>
                  <w:vMerge w:val="continue"/>
                  <w:shd w:val="clear" w:color="auto" w:fill="auto"/>
                  <w:vAlign w:val="center"/>
                </w:tcPr>
                <w:p w14:paraId="28CD13D1">
                  <w:pPr>
                    <w:jc w:val="center"/>
                    <w:rPr>
                      <w:szCs w:val="21"/>
                    </w:rPr>
                  </w:pPr>
                </w:p>
              </w:tc>
            </w:tr>
            <w:tr w14:paraId="2797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vMerge w:val="continue"/>
                  <w:shd w:val="clear" w:color="auto" w:fill="auto"/>
                  <w:vAlign w:val="center"/>
                </w:tcPr>
                <w:p w14:paraId="25693D77">
                  <w:pPr>
                    <w:jc w:val="center"/>
                    <w:rPr>
                      <w:szCs w:val="21"/>
                    </w:rPr>
                  </w:pPr>
                </w:p>
              </w:tc>
              <w:tc>
                <w:tcPr>
                  <w:tcW w:w="465" w:type="pct"/>
                  <w:shd w:val="clear" w:color="auto" w:fill="auto"/>
                  <w:vAlign w:val="center"/>
                </w:tcPr>
                <w:p w14:paraId="5167B6F3">
                  <w:pPr>
                    <w:jc w:val="center"/>
                    <w:rPr>
                      <w:szCs w:val="21"/>
                    </w:rPr>
                  </w:pPr>
                  <w:r>
                    <w:rPr>
                      <w:rFonts w:hint="eastAsia"/>
                    </w:rPr>
                    <w:t>允许类</w:t>
                  </w:r>
                </w:p>
              </w:tc>
              <w:tc>
                <w:tcPr>
                  <w:tcW w:w="2351" w:type="pct"/>
                  <w:shd w:val="clear" w:color="auto" w:fill="auto"/>
                  <w:vAlign w:val="center"/>
                </w:tcPr>
                <w:p w14:paraId="253EFDAA">
                  <w:r>
                    <w:rPr>
                      <w:rFonts w:hint="eastAsia"/>
                    </w:rPr>
                    <w:t>原则上未被列入上述鼓励类、负面清单的属允许发展类，但在具体实施过程中切不可盲目引进项目，应注意按如下原则要求：</w:t>
                  </w:r>
                </w:p>
                <w:p w14:paraId="12E27560">
                  <w:r>
                    <w:rPr>
                      <w:rFonts w:hint="eastAsia"/>
                    </w:rPr>
                    <w:t>对于不属于规划区规划主导产业和重点发展方向的建设项目，若与规划区产业定位有互补作用，或属于规划区重要项目的下游企业，或属于高品质、高附加值、低污染的企业，或有利于规划区实现循环经济理念和可持续发展，这一类企业若在建设项目环评中经论证分析与规划区规划无明显冲突，不会影响规划区规划实施的，建议允许此类建设项目入驻。</w:t>
                  </w:r>
                </w:p>
              </w:tc>
              <w:tc>
                <w:tcPr>
                  <w:tcW w:w="1130" w:type="pct"/>
                  <w:vMerge w:val="continue"/>
                  <w:shd w:val="clear" w:color="auto" w:fill="auto"/>
                  <w:vAlign w:val="center"/>
                </w:tcPr>
                <w:p w14:paraId="14BDA956">
                  <w:pPr>
                    <w:rPr>
                      <w:szCs w:val="21"/>
                    </w:rPr>
                  </w:pPr>
                </w:p>
              </w:tc>
              <w:tc>
                <w:tcPr>
                  <w:tcW w:w="599" w:type="pct"/>
                  <w:vMerge w:val="continue"/>
                  <w:shd w:val="clear" w:color="auto" w:fill="auto"/>
                  <w:vAlign w:val="center"/>
                </w:tcPr>
                <w:p w14:paraId="4B160A54">
                  <w:pPr>
                    <w:jc w:val="center"/>
                    <w:rPr>
                      <w:szCs w:val="21"/>
                    </w:rPr>
                  </w:pPr>
                </w:p>
              </w:tc>
            </w:tr>
          </w:tbl>
          <w:p w14:paraId="46F9490D">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四川大英经济开发区主导产业负面清单</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322"/>
              <w:gridCol w:w="3919"/>
              <w:gridCol w:w="1333"/>
            </w:tblGrid>
            <w:tr w14:paraId="04A5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31" w:type="pct"/>
                  <w:vAlign w:val="center"/>
                </w:tcPr>
                <w:p w14:paraId="64F50EF5">
                  <w:pPr>
                    <w:pStyle w:val="31"/>
                  </w:pPr>
                  <w:r>
                    <w:rPr>
                      <w:rFonts w:hint="eastAsia"/>
                    </w:rPr>
                    <w:t>行业分类</w:t>
                  </w:r>
                </w:p>
              </w:tc>
              <w:tc>
                <w:tcPr>
                  <w:tcW w:w="1401" w:type="pct"/>
                  <w:vAlign w:val="center"/>
                </w:tcPr>
                <w:p w14:paraId="284BC1E5">
                  <w:pPr>
                    <w:pStyle w:val="31"/>
                  </w:pPr>
                  <w:r>
                    <w:rPr>
                      <w:rFonts w:hint="eastAsia"/>
                    </w:rPr>
                    <w:t>大/</w:t>
                  </w:r>
                  <w:r>
                    <w:t>中类</w:t>
                  </w:r>
                </w:p>
              </w:tc>
              <w:tc>
                <w:tcPr>
                  <w:tcW w:w="2364" w:type="pct"/>
                  <w:vAlign w:val="center"/>
                </w:tcPr>
                <w:p w14:paraId="7D5A2F73">
                  <w:pPr>
                    <w:pStyle w:val="31"/>
                  </w:pPr>
                  <w:r>
                    <w:t>禁止</w:t>
                  </w:r>
                  <w:r>
                    <w:rPr>
                      <w:rFonts w:hint="eastAsia"/>
                    </w:rPr>
                    <w:t>类</w:t>
                  </w:r>
                </w:p>
              </w:tc>
              <w:tc>
                <w:tcPr>
                  <w:tcW w:w="804" w:type="pct"/>
                  <w:vAlign w:val="center"/>
                </w:tcPr>
                <w:p w14:paraId="07DB5700">
                  <w:pPr>
                    <w:pStyle w:val="31"/>
                  </w:pPr>
                  <w:r>
                    <w:rPr>
                      <w:rFonts w:hint="eastAsia"/>
                    </w:rPr>
                    <w:t>限制类</w:t>
                  </w:r>
                </w:p>
              </w:tc>
            </w:tr>
            <w:tr w14:paraId="3286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Align w:val="center"/>
                </w:tcPr>
                <w:p w14:paraId="560DE0FD">
                  <w:pPr>
                    <w:pStyle w:val="31"/>
                    <w:rPr>
                      <w:bCs/>
                    </w:rPr>
                  </w:pPr>
                  <w:r>
                    <w:rPr>
                      <w:rFonts w:hint="eastAsia"/>
                      <w:bCs/>
                    </w:rPr>
                    <w:t>石化</w:t>
                  </w:r>
                </w:p>
              </w:tc>
              <w:tc>
                <w:tcPr>
                  <w:tcW w:w="1401" w:type="pct"/>
                  <w:vAlign w:val="center"/>
                </w:tcPr>
                <w:p w14:paraId="6D7D37FA">
                  <w:pPr>
                    <w:pStyle w:val="31"/>
                    <w:jc w:val="both"/>
                    <w:rPr>
                      <w:bCs/>
                    </w:rPr>
                  </w:pPr>
                  <w:r>
                    <w:rPr>
                      <w:rFonts w:hint="eastAsia"/>
                      <w:bCs/>
                    </w:rPr>
                    <w:t>251精炼石油产品制造</w:t>
                  </w:r>
                </w:p>
              </w:tc>
              <w:tc>
                <w:tcPr>
                  <w:tcW w:w="2364" w:type="pct"/>
                  <w:vAlign w:val="center"/>
                </w:tcPr>
                <w:p w14:paraId="77D96B80">
                  <w:pPr>
                    <w:pStyle w:val="31"/>
                    <w:jc w:val="both"/>
                    <w:rPr>
                      <w:bCs/>
                    </w:rPr>
                  </w:pPr>
                  <w:r>
                    <w:rPr>
                      <w:rFonts w:hint="eastAsia"/>
                      <w:bCs/>
                    </w:rPr>
                    <w:t>新建原油炼制、扩建燃料油炼制项目；</w:t>
                  </w:r>
                </w:p>
                <w:p w14:paraId="6AFE0D1A">
                  <w:pPr>
                    <w:pStyle w:val="31"/>
                    <w:jc w:val="both"/>
                    <w:rPr>
                      <w:bCs/>
                    </w:rPr>
                  </w:pPr>
                  <w:r>
                    <w:rPr>
                      <w:rFonts w:hint="eastAsia"/>
                      <w:bCs/>
                    </w:rPr>
                    <w:t>油品升级项目除外</w:t>
                  </w:r>
                </w:p>
              </w:tc>
              <w:tc>
                <w:tcPr>
                  <w:tcW w:w="804" w:type="pct"/>
                  <w:vAlign w:val="center"/>
                </w:tcPr>
                <w:p w14:paraId="2F49852C">
                  <w:pPr>
                    <w:pStyle w:val="31"/>
                    <w:rPr>
                      <w:bCs/>
                    </w:rPr>
                  </w:pPr>
                </w:p>
              </w:tc>
            </w:tr>
            <w:tr w14:paraId="0E45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restart"/>
                  <w:vAlign w:val="center"/>
                </w:tcPr>
                <w:p w14:paraId="771AE840">
                  <w:pPr>
                    <w:pStyle w:val="31"/>
                    <w:rPr>
                      <w:bCs/>
                    </w:rPr>
                  </w:pPr>
                  <w:r>
                    <w:rPr>
                      <w:rFonts w:hint="eastAsia"/>
                      <w:bCs/>
                    </w:rPr>
                    <w:t>化工</w:t>
                  </w:r>
                </w:p>
              </w:tc>
              <w:tc>
                <w:tcPr>
                  <w:tcW w:w="1401" w:type="pct"/>
                  <w:vAlign w:val="center"/>
                </w:tcPr>
                <w:p w14:paraId="5E4CE9CA">
                  <w:pPr>
                    <w:pStyle w:val="31"/>
                    <w:jc w:val="both"/>
                    <w:rPr>
                      <w:bCs/>
                    </w:rPr>
                  </w:pPr>
                  <w:r>
                    <w:rPr>
                      <w:rFonts w:hint="eastAsia"/>
                      <w:bCs/>
                    </w:rPr>
                    <w:t>261 基础化学原料制造</w:t>
                  </w:r>
                </w:p>
              </w:tc>
              <w:tc>
                <w:tcPr>
                  <w:tcW w:w="2364" w:type="pct"/>
                  <w:vAlign w:val="center"/>
                </w:tcPr>
                <w:p w14:paraId="47B1E50A">
                  <w:pPr>
                    <w:pStyle w:val="31"/>
                    <w:jc w:val="both"/>
                    <w:rPr>
                      <w:bCs/>
                    </w:rPr>
                  </w:pPr>
                  <w:r>
                    <w:rPr>
                      <w:rFonts w:hint="eastAsia"/>
                      <w:bCs/>
                    </w:rPr>
                    <w:t>“三酸两碱”（硫酸、盐酸、硝酸，烧碱、纯碱）项目；氯碱（PVC）项目</w:t>
                  </w:r>
                </w:p>
              </w:tc>
              <w:tc>
                <w:tcPr>
                  <w:tcW w:w="804" w:type="pct"/>
                  <w:vAlign w:val="center"/>
                </w:tcPr>
                <w:p w14:paraId="0EAC97BD">
                  <w:pPr>
                    <w:pStyle w:val="31"/>
                    <w:rPr>
                      <w:bCs/>
                    </w:rPr>
                  </w:pPr>
                </w:p>
              </w:tc>
            </w:tr>
            <w:tr w14:paraId="4164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297ED187">
                  <w:pPr>
                    <w:pStyle w:val="31"/>
                    <w:rPr>
                      <w:bCs/>
                    </w:rPr>
                  </w:pPr>
                </w:p>
              </w:tc>
              <w:tc>
                <w:tcPr>
                  <w:tcW w:w="1401" w:type="pct"/>
                  <w:vAlign w:val="center"/>
                </w:tcPr>
                <w:p w14:paraId="0138EBDB">
                  <w:pPr>
                    <w:pStyle w:val="31"/>
                    <w:jc w:val="both"/>
                    <w:rPr>
                      <w:bCs/>
                    </w:rPr>
                  </w:pPr>
                  <w:r>
                    <w:rPr>
                      <w:rFonts w:hint="eastAsia"/>
                      <w:bCs/>
                    </w:rPr>
                    <w:t>262 肥料制造</w:t>
                  </w:r>
                </w:p>
              </w:tc>
              <w:tc>
                <w:tcPr>
                  <w:tcW w:w="2364" w:type="pct"/>
                  <w:vAlign w:val="center"/>
                </w:tcPr>
                <w:p w14:paraId="7FBCF2CB">
                  <w:pPr>
                    <w:pStyle w:val="31"/>
                    <w:jc w:val="both"/>
                    <w:rPr>
                      <w:bCs/>
                    </w:rPr>
                  </w:pPr>
                  <w:r>
                    <w:rPr>
                      <w:rFonts w:hint="eastAsia"/>
                      <w:bCs/>
                    </w:rPr>
                    <w:t>除合成氨外的肥料制造项目</w:t>
                  </w:r>
                </w:p>
              </w:tc>
              <w:tc>
                <w:tcPr>
                  <w:tcW w:w="804" w:type="pct"/>
                  <w:vAlign w:val="center"/>
                </w:tcPr>
                <w:p w14:paraId="0EBB4578">
                  <w:pPr>
                    <w:pStyle w:val="31"/>
                    <w:rPr>
                      <w:bCs/>
                    </w:rPr>
                  </w:pPr>
                  <w:r>
                    <w:rPr>
                      <w:rFonts w:hint="eastAsia"/>
                      <w:bCs/>
                    </w:rPr>
                    <w:t>合成氨项目</w:t>
                  </w:r>
                </w:p>
              </w:tc>
            </w:tr>
            <w:tr w14:paraId="2D48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51E6FBAD">
                  <w:pPr>
                    <w:pStyle w:val="31"/>
                    <w:rPr>
                      <w:bCs/>
                    </w:rPr>
                  </w:pPr>
                </w:p>
              </w:tc>
              <w:tc>
                <w:tcPr>
                  <w:tcW w:w="1401" w:type="pct"/>
                  <w:vAlign w:val="center"/>
                </w:tcPr>
                <w:p w14:paraId="2551F1CB">
                  <w:pPr>
                    <w:pStyle w:val="31"/>
                    <w:jc w:val="both"/>
                    <w:rPr>
                      <w:bCs/>
                    </w:rPr>
                  </w:pPr>
                  <w:r>
                    <w:rPr>
                      <w:rFonts w:hint="eastAsia"/>
                      <w:bCs/>
                    </w:rPr>
                    <w:t>263 农药制造</w:t>
                  </w:r>
                </w:p>
              </w:tc>
              <w:tc>
                <w:tcPr>
                  <w:tcW w:w="2364" w:type="pct"/>
                  <w:vAlign w:val="center"/>
                </w:tcPr>
                <w:p w14:paraId="53B5B955">
                  <w:pPr>
                    <w:pStyle w:val="31"/>
                    <w:jc w:val="both"/>
                    <w:rPr>
                      <w:bCs/>
                    </w:rPr>
                  </w:pPr>
                  <w:r>
                    <w:rPr>
                      <w:rFonts w:hint="eastAsia"/>
                      <w:bCs/>
                    </w:rPr>
                    <w:t>全部</w:t>
                  </w:r>
                </w:p>
              </w:tc>
              <w:tc>
                <w:tcPr>
                  <w:tcW w:w="804" w:type="pct"/>
                  <w:vAlign w:val="center"/>
                </w:tcPr>
                <w:p w14:paraId="7D93E1BE">
                  <w:pPr>
                    <w:pStyle w:val="31"/>
                    <w:rPr>
                      <w:bCs/>
                    </w:rPr>
                  </w:pPr>
                </w:p>
              </w:tc>
            </w:tr>
            <w:tr w14:paraId="5534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476BF433">
                  <w:pPr>
                    <w:pStyle w:val="31"/>
                    <w:rPr>
                      <w:bCs/>
                    </w:rPr>
                  </w:pPr>
                </w:p>
              </w:tc>
              <w:tc>
                <w:tcPr>
                  <w:tcW w:w="1401" w:type="pct"/>
                  <w:vAlign w:val="center"/>
                </w:tcPr>
                <w:p w14:paraId="138411CF">
                  <w:pPr>
                    <w:pStyle w:val="31"/>
                    <w:jc w:val="both"/>
                    <w:rPr>
                      <w:bCs/>
                    </w:rPr>
                  </w:pPr>
                  <w:r>
                    <w:rPr>
                      <w:rFonts w:hint="eastAsia"/>
                      <w:bCs/>
                    </w:rPr>
                    <w:t>264 涂料、油墨、颜料及类似产品制造</w:t>
                  </w:r>
                </w:p>
              </w:tc>
              <w:tc>
                <w:tcPr>
                  <w:tcW w:w="2364" w:type="pct"/>
                  <w:vAlign w:val="center"/>
                </w:tcPr>
                <w:p w14:paraId="4CABFE67">
                  <w:pPr>
                    <w:pStyle w:val="31"/>
                    <w:jc w:val="both"/>
                    <w:rPr>
                      <w:bCs/>
                    </w:rPr>
                  </w:pPr>
                  <w:r>
                    <w:rPr>
                      <w:rFonts w:hint="eastAsia"/>
                      <w:bCs/>
                    </w:rPr>
                    <w:t>涉及有机溶剂使用和挥发性有机物排放的低固份油性涂料生产</w:t>
                  </w:r>
                </w:p>
              </w:tc>
              <w:tc>
                <w:tcPr>
                  <w:tcW w:w="804" w:type="pct"/>
                  <w:vAlign w:val="center"/>
                </w:tcPr>
                <w:p w14:paraId="7D4B84D7">
                  <w:pPr>
                    <w:pStyle w:val="31"/>
                    <w:rPr>
                      <w:bCs/>
                    </w:rPr>
                  </w:pPr>
                </w:p>
              </w:tc>
            </w:tr>
            <w:tr w14:paraId="2C3B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4AEE42F7">
                  <w:pPr>
                    <w:pStyle w:val="31"/>
                    <w:rPr>
                      <w:bCs/>
                    </w:rPr>
                  </w:pPr>
                </w:p>
              </w:tc>
              <w:tc>
                <w:tcPr>
                  <w:tcW w:w="1401" w:type="pct"/>
                  <w:vAlign w:val="center"/>
                </w:tcPr>
                <w:p w14:paraId="318BEB94">
                  <w:pPr>
                    <w:pStyle w:val="31"/>
                    <w:jc w:val="both"/>
                    <w:rPr>
                      <w:bCs/>
                    </w:rPr>
                  </w:pPr>
                  <w:r>
                    <w:rPr>
                      <w:rFonts w:hint="eastAsia"/>
                      <w:bCs/>
                    </w:rPr>
                    <w:t>265 合成材料</w:t>
                  </w:r>
                </w:p>
              </w:tc>
              <w:tc>
                <w:tcPr>
                  <w:tcW w:w="2364" w:type="pct"/>
                  <w:vAlign w:val="center"/>
                </w:tcPr>
                <w:p w14:paraId="5FD94B2E">
                  <w:pPr>
                    <w:pStyle w:val="31"/>
                    <w:jc w:val="both"/>
                    <w:rPr>
                      <w:bCs/>
                    </w:rPr>
                  </w:pPr>
                  <w:r>
                    <w:rPr>
                      <w:rFonts w:hint="eastAsia"/>
                      <w:bCs/>
                    </w:rPr>
                    <w:t>新建、改扩建溶剂型氯丁橡胶类、丁苯热塑性橡胶类、聚氨酯类和聚丙烯酸酯类等通用型胶粘剂生产项目；</w:t>
                  </w:r>
                </w:p>
                <w:p w14:paraId="2E260951">
                  <w:pPr>
                    <w:pStyle w:val="31"/>
                    <w:jc w:val="both"/>
                    <w:rPr>
                      <w:bCs/>
                    </w:rPr>
                  </w:pPr>
                  <w:r>
                    <w:rPr>
                      <w:rFonts w:hint="eastAsia"/>
                      <w:bCs/>
                    </w:rPr>
                    <w:t>石油化学合成材料制造（丙烯、C4馏分下游产品制造除外）</w:t>
                  </w:r>
                </w:p>
              </w:tc>
              <w:tc>
                <w:tcPr>
                  <w:tcW w:w="804" w:type="pct"/>
                  <w:vAlign w:val="center"/>
                </w:tcPr>
                <w:p w14:paraId="04402798">
                  <w:pPr>
                    <w:pStyle w:val="31"/>
                    <w:rPr>
                      <w:bCs/>
                    </w:rPr>
                  </w:pPr>
                </w:p>
              </w:tc>
            </w:tr>
            <w:tr w14:paraId="40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08058731">
                  <w:pPr>
                    <w:pStyle w:val="31"/>
                    <w:rPr>
                      <w:bCs/>
                    </w:rPr>
                  </w:pPr>
                </w:p>
              </w:tc>
              <w:tc>
                <w:tcPr>
                  <w:tcW w:w="1401" w:type="pct"/>
                  <w:vAlign w:val="center"/>
                </w:tcPr>
                <w:p w14:paraId="57201EBE">
                  <w:pPr>
                    <w:pStyle w:val="31"/>
                    <w:jc w:val="both"/>
                    <w:rPr>
                      <w:bCs/>
                    </w:rPr>
                  </w:pPr>
                  <w:r>
                    <w:rPr>
                      <w:rFonts w:hint="eastAsia"/>
                      <w:bCs/>
                    </w:rPr>
                    <w:t>266 专用化学产品制造</w:t>
                  </w:r>
                </w:p>
              </w:tc>
              <w:tc>
                <w:tcPr>
                  <w:tcW w:w="2364" w:type="pct"/>
                  <w:vAlign w:val="center"/>
                </w:tcPr>
                <w:p w14:paraId="064844DB">
                  <w:pPr>
                    <w:pStyle w:val="31"/>
                    <w:jc w:val="both"/>
                    <w:rPr>
                      <w:bCs/>
                    </w:rPr>
                  </w:pPr>
                  <w:r>
                    <w:rPr>
                      <w:rFonts w:hint="eastAsia"/>
                      <w:bCs/>
                    </w:rPr>
                    <w:t>动物胶制造</w:t>
                  </w:r>
                </w:p>
              </w:tc>
              <w:tc>
                <w:tcPr>
                  <w:tcW w:w="804" w:type="pct"/>
                  <w:vAlign w:val="center"/>
                </w:tcPr>
                <w:p w14:paraId="1D863344">
                  <w:pPr>
                    <w:pStyle w:val="31"/>
                    <w:rPr>
                      <w:bCs/>
                    </w:rPr>
                  </w:pPr>
                </w:p>
              </w:tc>
            </w:tr>
            <w:tr w14:paraId="64B5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2BDC205C">
                  <w:pPr>
                    <w:pStyle w:val="31"/>
                    <w:rPr>
                      <w:bCs/>
                    </w:rPr>
                  </w:pPr>
                </w:p>
              </w:tc>
              <w:tc>
                <w:tcPr>
                  <w:tcW w:w="1401" w:type="pct"/>
                  <w:vAlign w:val="center"/>
                </w:tcPr>
                <w:p w14:paraId="36D2412A">
                  <w:pPr>
                    <w:pStyle w:val="31"/>
                    <w:jc w:val="both"/>
                    <w:rPr>
                      <w:bCs/>
                    </w:rPr>
                  </w:pPr>
                  <w:r>
                    <w:rPr>
                      <w:rFonts w:hint="eastAsia"/>
                      <w:bCs/>
                    </w:rPr>
                    <w:t>267 炸药、火工及焰火产品制造</w:t>
                  </w:r>
                </w:p>
              </w:tc>
              <w:tc>
                <w:tcPr>
                  <w:tcW w:w="2364" w:type="pct"/>
                  <w:vAlign w:val="center"/>
                </w:tcPr>
                <w:p w14:paraId="3B1AB6A2">
                  <w:pPr>
                    <w:pStyle w:val="31"/>
                    <w:jc w:val="both"/>
                    <w:rPr>
                      <w:bCs/>
                    </w:rPr>
                  </w:pPr>
                  <w:r>
                    <w:rPr>
                      <w:rFonts w:hint="eastAsia"/>
                      <w:bCs/>
                    </w:rPr>
                    <w:t>全部</w:t>
                  </w:r>
                </w:p>
              </w:tc>
              <w:tc>
                <w:tcPr>
                  <w:tcW w:w="804" w:type="pct"/>
                  <w:vAlign w:val="center"/>
                </w:tcPr>
                <w:p w14:paraId="0ADD3E8B">
                  <w:pPr>
                    <w:pStyle w:val="31"/>
                    <w:rPr>
                      <w:bCs/>
                    </w:rPr>
                  </w:pPr>
                </w:p>
              </w:tc>
            </w:tr>
            <w:tr w14:paraId="26297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Align w:val="center"/>
                </w:tcPr>
                <w:p w14:paraId="13559F11">
                  <w:pPr>
                    <w:pStyle w:val="31"/>
                    <w:rPr>
                      <w:bCs/>
                    </w:rPr>
                  </w:pPr>
                  <w:r>
                    <w:rPr>
                      <w:rFonts w:hint="eastAsia"/>
                      <w:bCs/>
                    </w:rPr>
                    <w:t>纺织</w:t>
                  </w:r>
                </w:p>
              </w:tc>
              <w:tc>
                <w:tcPr>
                  <w:tcW w:w="1401" w:type="pct"/>
                  <w:vAlign w:val="center"/>
                </w:tcPr>
                <w:p w14:paraId="56C41CA7">
                  <w:pPr>
                    <w:pStyle w:val="31"/>
                    <w:jc w:val="both"/>
                    <w:rPr>
                      <w:bCs/>
                    </w:rPr>
                  </w:pPr>
                  <w:r>
                    <w:rPr>
                      <w:rFonts w:hint="eastAsia"/>
                      <w:bCs/>
                    </w:rPr>
                    <w:t>17 纺织业</w:t>
                  </w:r>
                </w:p>
              </w:tc>
              <w:tc>
                <w:tcPr>
                  <w:tcW w:w="2364" w:type="pct"/>
                  <w:vAlign w:val="center"/>
                </w:tcPr>
                <w:p w14:paraId="3C8C0577">
                  <w:pPr>
                    <w:pStyle w:val="31"/>
                    <w:jc w:val="both"/>
                    <w:rPr>
                      <w:bCs/>
                    </w:rPr>
                  </w:pPr>
                  <w:r>
                    <w:rPr>
                      <w:rFonts w:hint="eastAsia"/>
                      <w:bCs/>
                    </w:rPr>
                    <w:t>涉及印染、染整、脱胶工序或产生缫丝、精炼废水的项目</w:t>
                  </w:r>
                </w:p>
              </w:tc>
              <w:tc>
                <w:tcPr>
                  <w:tcW w:w="804" w:type="pct"/>
                  <w:vAlign w:val="center"/>
                </w:tcPr>
                <w:p w14:paraId="62BA750E">
                  <w:pPr>
                    <w:pStyle w:val="31"/>
                    <w:rPr>
                      <w:bCs/>
                    </w:rPr>
                  </w:pPr>
                </w:p>
              </w:tc>
            </w:tr>
            <w:tr w14:paraId="0C87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restart"/>
                  <w:vAlign w:val="center"/>
                </w:tcPr>
                <w:p w14:paraId="1FCF9715">
                  <w:pPr>
                    <w:pStyle w:val="31"/>
                    <w:rPr>
                      <w:bCs/>
                    </w:rPr>
                  </w:pPr>
                  <w:r>
                    <w:rPr>
                      <w:rFonts w:hint="eastAsia"/>
                      <w:bCs/>
                    </w:rPr>
                    <w:t>建材</w:t>
                  </w:r>
                </w:p>
              </w:tc>
              <w:tc>
                <w:tcPr>
                  <w:tcW w:w="1401" w:type="pct"/>
                  <w:vAlign w:val="center"/>
                </w:tcPr>
                <w:p w14:paraId="79E3BE24">
                  <w:pPr>
                    <w:pStyle w:val="31"/>
                    <w:jc w:val="both"/>
                    <w:rPr>
                      <w:bCs/>
                    </w:rPr>
                  </w:pPr>
                  <w:r>
                    <w:rPr>
                      <w:rFonts w:hint="eastAsia"/>
                      <w:bCs/>
                    </w:rPr>
                    <w:t>201 木材加工</w:t>
                  </w:r>
                </w:p>
              </w:tc>
              <w:tc>
                <w:tcPr>
                  <w:tcW w:w="2364" w:type="pct"/>
                  <w:vMerge w:val="restart"/>
                  <w:vAlign w:val="center"/>
                </w:tcPr>
                <w:p w14:paraId="31027027">
                  <w:pPr>
                    <w:pStyle w:val="31"/>
                    <w:jc w:val="both"/>
                    <w:rPr>
                      <w:bCs/>
                    </w:rPr>
                  </w:pPr>
                  <w:r>
                    <w:rPr>
                      <w:rFonts w:hint="eastAsia"/>
                      <w:bCs/>
                    </w:rPr>
                    <w:t>涉及有机溶剂使用和挥发性有机物排放的沥青类防水材料生产、人造板项目</w:t>
                  </w:r>
                </w:p>
              </w:tc>
              <w:tc>
                <w:tcPr>
                  <w:tcW w:w="804" w:type="pct"/>
                  <w:vMerge w:val="restart"/>
                  <w:vAlign w:val="center"/>
                </w:tcPr>
                <w:p w14:paraId="4595526C">
                  <w:pPr>
                    <w:pStyle w:val="31"/>
                    <w:rPr>
                      <w:bCs/>
                    </w:rPr>
                  </w:pPr>
                </w:p>
              </w:tc>
            </w:tr>
            <w:tr w14:paraId="5939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51C1F12F">
                  <w:pPr>
                    <w:pStyle w:val="31"/>
                    <w:rPr>
                      <w:bCs/>
                    </w:rPr>
                  </w:pPr>
                </w:p>
              </w:tc>
              <w:tc>
                <w:tcPr>
                  <w:tcW w:w="1401" w:type="pct"/>
                  <w:vAlign w:val="center"/>
                </w:tcPr>
                <w:p w14:paraId="184E8B77">
                  <w:pPr>
                    <w:pStyle w:val="31"/>
                    <w:jc w:val="both"/>
                    <w:rPr>
                      <w:bCs/>
                    </w:rPr>
                  </w:pPr>
                  <w:r>
                    <w:rPr>
                      <w:rFonts w:hint="eastAsia"/>
                      <w:bCs/>
                    </w:rPr>
                    <w:t>202 人造板制造</w:t>
                  </w:r>
                </w:p>
              </w:tc>
              <w:tc>
                <w:tcPr>
                  <w:tcW w:w="2364" w:type="pct"/>
                  <w:vMerge w:val="continue"/>
                  <w:vAlign w:val="center"/>
                </w:tcPr>
                <w:p w14:paraId="18492395">
                  <w:pPr>
                    <w:pStyle w:val="31"/>
                    <w:jc w:val="both"/>
                    <w:rPr>
                      <w:bCs/>
                    </w:rPr>
                  </w:pPr>
                </w:p>
              </w:tc>
              <w:tc>
                <w:tcPr>
                  <w:tcW w:w="804" w:type="pct"/>
                  <w:vMerge w:val="continue"/>
                  <w:vAlign w:val="center"/>
                </w:tcPr>
                <w:p w14:paraId="48E6CC51">
                  <w:pPr>
                    <w:pStyle w:val="31"/>
                    <w:rPr>
                      <w:bCs/>
                    </w:rPr>
                  </w:pPr>
                </w:p>
              </w:tc>
            </w:tr>
            <w:tr w14:paraId="39DC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Merge w:val="continue"/>
                  <w:vAlign w:val="center"/>
                </w:tcPr>
                <w:p w14:paraId="7EB35590">
                  <w:pPr>
                    <w:pStyle w:val="31"/>
                    <w:rPr>
                      <w:bCs/>
                    </w:rPr>
                  </w:pPr>
                </w:p>
              </w:tc>
              <w:tc>
                <w:tcPr>
                  <w:tcW w:w="1401" w:type="pct"/>
                  <w:vAlign w:val="center"/>
                </w:tcPr>
                <w:p w14:paraId="40E661BC">
                  <w:pPr>
                    <w:pStyle w:val="31"/>
                    <w:jc w:val="both"/>
                    <w:rPr>
                      <w:bCs/>
                    </w:rPr>
                  </w:pPr>
                  <w:r>
                    <w:rPr>
                      <w:rFonts w:hint="eastAsia"/>
                      <w:bCs/>
                    </w:rPr>
                    <w:t>203 木质制品制造</w:t>
                  </w:r>
                </w:p>
              </w:tc>
              <w:tc>
                <w:tcPr>
                  <w:tcW w:w="2364" w:type="pct"/>
                  <w:vAlign w:val="center"/>
                </w:tcPr>
                <w:p w14:paraId="61403CD7">
                  <w:pPr>
                    <w:pStyle w:val="31"/>
                    <w:jc w:val="both"/>
                    <w:rPr>
                      <w:bCs/>
                    </w:rPr>
                  </w:pPr>
                  <w:r>
                    <w:rPr>
                      <w:rFonts w:hint="eastAsia"/>
                      <w:bCs/>
                    </w:rPr>
                    <w:t>使用粉末喷涂、水性涂料及UV涂料以及进入共享喷涂中心的项目除外</w:t>
                  </w:r>
                </w:p>
              </w:tc>
              <w:tc>
                <w:tcPr>
                  <w:tcW w:w="804" w:type="pct"/>
                  <w:vAlign w:val="center"/>
                </w:tcPr>
                <w:p w14:paraId="786AF23F">
                  <w:pPr>
                    <w:pStyle w:val="31"/>
                    <w:rPr>
                      <w:bCs/>
                    </w:rPr>
                  </w:pPr>
                </w:p>
              </w:tc>
            </w:tr>
            <w:tr w14:paraId="3AEC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1" w:type="pct"/>
                  <w:vAlign w:val="center"/>
                </w:tcPr>
                <w:p w14:paraId="55B09253">
                  <w:pPr>
                    <w:pStyle w:val="31"/>
                    <w:rPr>
                      <w:bCs/>
                    </w:rPr>
                  </w:pPr>
                  <w:r>
                    <w:rPr>
                      <w:rFonts w:hint="eastAsia"/>
                      <w:bCs/>
                    </w:rPr>
                    <w:t>食品</w:t>
                  </w:r>
                </w:p>
              </w:tc>
              <w:tc>
                <w:tcPr>
                  <w:tcW w:w="1401" w:type="pct"/>
                  <w:vAlign w:val="center"/>
                </w:tcPr>
                <w:p w14:paraId="71EA6825">
                  <w:pPr>
                    <w:pStyle w:val="31"/>
                    <w:jc w:val="both"/>
                    <w:rPr>
                      <w:bCs/>
                    </w:rPr>
                  </w:pPr>
                  <w:r>
                    <w:rPr>
                      <w:rFonts w:hint="eastAsia"/>
                      <w:bCs/>
                    </w:rPr>
                    <w:t>食品制造业</w:t>
                  </w:r>
                </w:p>
              </w:tc>
              <w:tc>
                <w:tcPr>
                  <w:tcW w:w="2364" w:type="pct"/>
                  <w:vAlign w:val="center"/>
                </w:tcPr>
                <w:p w14:paraId="48AA4628">
                  <w:pPr>
                    <w:pStyle w:val="31"/>
                    <w:jc w:val="both"/>
                    <w:rPr>
                      <w:bCs/>
                    </w:rPr>
                  </w:pPr>
                  <w:r>
                    <w:rPr>
                      <w:rFonts w:hint="eastAsia"/>
                      <w:bCs/>
                    </w:rPr>
                    <w:t>全部</w:t>
                  </w:r>
                </w:p>
              </w:tc>
              <w:tc>
                <w:tcPr>
                  <w:tcW w:w="804" w:type="pct"/>
                  <w:vAlign w:val="center"/>
                </w:tcPr>
                <w:p w14:paraId="475249F7">
                  <w:pPr>
                    <w:pStyle w:val="31"/>
                    <w:rPr>
                      <w:bCs/>
                    </w:rPr>
                  </w:pPr>
                </w:p>
              </w:tc>
            </w:tr>
          </w:tbl>
          <w:p w14:paraId="3B8E96B2">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项目与园区规划环评审查意见符合性</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4668"/>
              <w:gridCol w:w="1873"/>
              <w:gridCol w:w="993"/>
            </w:tblGrid>
            <w:tr w14:paraId="72756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blHeader/>
              </w:trPr>
              <w:tc>
                <w:tcPr>
                  <w:tcW w:w="3271" w:type="pct"/>
                  <w:gridSpan w:val="2"/>
                  <w:shd w:val="clear" w:color="auto" w:fill="auto"/>
                  <w:vAlign w:val="center"/>
                </w:tcPr>
                <w:p w14:paraId="5C6BFFA1">
                  <w:pPr>
                    <w:jc w:val="center"/>
                    <w:rPr>
                      <w:szCs w:val="21"/>
                    </w:rPr>
                  </w:pPr>
                  <w:r>
                    <w:rPr>
                      <w:rFonts w:hint="eastAsia"/>
                      <w:szCs w:val="21"/>
                    </w:rPr>
                    <w:t>规划环评审查意见</w:t>
                  </w:r>
                  <w:r>
                    <w:rPr>
                      <w:szCs w:val="21"/>
                    </w:rPr>
                    <w:t>要求</w:t>
                  </w:r>
                </w:p>
              </w:tc>
              <w:tc>
                <w:tcPr>
                  <w:tcW w:w="1130" w:type="pct"/>
                  <w:shd w:val="clear" w:color="auto" w:fill="auto"/>
                  <w:vAlign w:val="center"/>
                </w:tcPr>
                <w:p w14:paraId="363AA7E5">
                  <w:pPr>
                    <w:jc w:val="center"/>
                    <w:rPr>
                      <w:szCs w:val="21"/>
                    </w:rPr>
                  </w:pPr>
                  <w:r>
                    <w:rPr>
                      <w:szCs w:val="21"/>
                    </w:rPr>
                    <w:t>本项目情况</w:t>
                  </w:r>
                </w:p>
              </w:tc>
              <w:tc>
                <w:tcPr>
                  <w:tcW w:w="599" w:type="pct"/>
                  <w:shd w:val="clear" w:color="auto" w:fill="auto"/>
                  <w:vAlign w:val="center"/>
                </w:tcPr>
                <w:p w14:paraId="0347BEF5">
                  <w:pPr>
                    <w:jc w:val="center"/>
                    <w:rPr>
                      <w:szCs w:val="21"/>
                    </w:rPr>
                  </w:pPr>
                  <w:r>
                    <w:rPr>
                      <w:szCs w:val="21"/>
                    </w:rPr>
                    <w:t>符合性</w:t>
                  </w:r>
                </w:p>
              </w:tc>
            </w:tr>
            <w:tr w14:paraId="4D72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55" w:type="pct"/>
                  <w:shd w:val="clear" w:color="auto" w:fill="auto"/>
                  <w:vAlign w:val="center"/>
                </w:tcPr>
                <w:p w14:paraId="1D801AD6">
                  <w:pPr>
                    <w:jc w:val="center"/>
                    <w:rPr>
                      <w:szCs w:val="21"/>
                    </w:rPr>
                  </w:pPr>
                  <w:r>
                    <w:rPr>
                      <w:rFonts w:hint="eastAsia"/>
                      <w:szCs w:val="21"/>
                    </w:rPr>
                    <w:t>生态环境准入要求</w:t>
                  </w:r>
                </w:p>
              </w:tc>
              <w:tc>
                <w:tcPr>
                  <w:tcW w:w="2816" w:type="pct"/>
                  <w:shd w:val="clear" w:color="auto" w:fill="auto"/>
                  <w:vAlign w:val="center"/>
                </w:tcPr>
                <w:p w14:paraId="64388E89">
                  <w:pPr>
                    <w:rPr>
                      <w:szCs w:val="21"/>
                    </w:rPr>
                  </w:pPr>
                  <w:r>
                    <w:rPr>
                      <w:rFonts w:hint="eastAsia"/>
                      <w:szCs w:val="21"/>
                    </w:rPr>
                    <w:t>（1）禁止引入不符合国家行业准入条件的项目，列入国家产能过剩类别的项目，列入产业结构指导目录限制及禁止类的项目。</w:t>
                  </w:r>
                </w:p>
                <w:p w14:paraId="68C10757">
                  <w:pPr>
                    <w:rPr>
                      <w:szCs w:val="21"/>
                    </w:rPr>
                  </w:pPr>
                  <w:r>
                    <w:rPr>
                      <w:rFonts w:hint="eastAsia"/>
                      <w:szCs w:val="21"/>
                    </w:rPr>
                    <w:t>（2）禁止引入不符合国家环保法律法规、各类污染防治规划及要求的项目。</w:t>
                  </w:r>
                </w:p>
                <w:p w14:paraId="4B4BFF66">
                  <w:pPr>
                    <w:rPr>
                      <w:szCs w:val="21"/>
                    </w:rPr>
                  </w:pPr>
                  <w:r>
                    <w:rPr>
                      <w:rFonts w:hint="eastAsia"/>
                      <w:szCs w:val="21"/>
                    </w:rPr>
                    <w:t>（3）禁止新建燃煤火电、金属冶炼、制浆（含废纸制浆）、屠宰、皮革鞣制、铅蓄电池制造、原油炼制、煤化工、印染项目，具体清单见《报告书》。</w:t>
                  </w:r>
                </w:p>
                <w:p w14:paraId="5692424E">
                  <w:pPr>
                    <w:rPr>
                      <w:szCs w:val="21"/>
                    </w:rPr>
                  </w:pPr>
                  <w:r>
                    <w:rPr>
                      <w:rFonts w:hint="eastAsia"/>
                      <w:szCs w:val="21"/>
                    </w:rPr>
                    <w:t>（4）经开区内现有盛马化工燃料油炼制规模不再扩大。</w:t>
                  </w:r>
                </w:p>
              </w:tc>
              <w:tc>
                <w:tcPr>
                  <w:tcW w:w="1130" w:type="pct"/>
                  <w:shd w:val="clear" w:color="auto" w:fill="auto"/>
                  <w:vAlign w:val="center"/>
                </w:tcPr>
                <w:p w14:paraId="44069DE0">
                  <w:pPr>
                    <w:rPr>
                      <w:szCs w:val="21"/>
                    </w:rPr>
                  </w:pPr>
                  <w:r>
                    <w:rPr>
                      <w:rFonts w:hint="eastAsia"/>
                      <w:szCs w:val="21"/>
                    </w:rPr>
                    <w:t>项目符合《产业结构调整指导目录（2024年本）》，未列入园区生态环境准入清单。</w:t>
                  </w:r>
                </w:p>
              </w:tc>
              <w:tc>
                <w:tcPr>
                  <w:tcW w:w="599" w:type="pct"/>
                  <w:shd w:val="clear" w:color="auto" w:fill="auto"/>
                  <w:vAlign w:val="center"/>
                </w:tcPr>
                <w:p w14:paraId="4CE377A9">
                  <w:pPr>
                    <w:jc w:val="center"/>
                    <w:rPr>
                      <w:szCs w:val="21"/>
                    </w:rPr>
                  </w:pPr>
                  <w:r>
                    <w:rPr>
                      <w:rFonts w:hint="eastAsia"/>
                      <w:szCs w:val="21"/>
                    </w:rPr>
                    <w:t>符合</w:t>
                  </w:r>
                </w:p>
              </w:tc>
            </w:tr>
          </w:tbl>
          <w:p w14:paraId="62E12ACC">
            <w:pPr>
              <w:spacing w:line="360" w:lineRule="auto"/>
              <w:ind w:firstLine="480" w:firstLineChars="200"/>
              <w:rPr>
                <w:rFonts w:cs="Times New Roman"/>
                <w:sz w:val="24"/>
                <w:szCs w:val="24"/>
              </w:rPr>
            </w:pPr>
            <w:r>
              <w:rPr>
                <w:rFonts w:hint="eastAsia"/>
                <w:sz w:val="24"/>
                <w:szCs w:val="24"/>
              </w:rPr>
              <w:t>综上分析，本项目符合</w:t>
            </w:r>
            <w:r>
              <w:rPr>
                <w:rFonts w:hint="eastAsia" w:cs="Times New Roman"/>
                <w:sz w:val="24"/>
                <w:szCs w:val="24"/>
              </w:rPr>
              <w:t>《四川大英经济开发区规划环境影响报告书》及其审查意见</w:t>
            </w:r>
            <w:r>
              <w:rPr>
                <w:rFonts w:hint="eastAsia"/>
                <w:sz w:val="24"/>
                <w:szCs w:val="24"/>
              </w:rPr>
              <w:t>的要求。</w:t>
            </w:r>
          </w:p>
        </w:tc>
      </w:tr>
      <w:tr w14:paraId="42BB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0" w:type="pct"/>
            <w:vAlign w:val="center"/>
          </w:tcPr>
          <w:p w14:paraId="21AD890E">
            <w:pPr>
              <w:spacing w:line="360" w:lineRule="auto"/>
              <w:jc w:val="center"/>
              <w:rPr>
                <w:rFonts w:cs="Times New Roman"/>
                <w:sz w:val="24"/>
                <w:szCs w:val="24"/>
              </w:rPr>
            </w:pPr>
            <w:r>
              <w:rPr>
                <w:rFonts w:hint="eastAsia" w:cs="Times New Roman"/>
                <w:sz w:val="24"/>
                <w:szCs w:val="24"/>
              </w:rPr>
              <w:t>其他符合性分析</w:t>
            </w:r>
          </w:p>
        </w:tc>
        <w:tc>
          <w:tcPr>
            <w:tcW w:w="4320" w:type="pct"/>
            <w:gridSpan w:val="3"/>
            <w:vAlign w:val="center"/>
          </w:tcPr>
          <w:p w14:paraId="196F95C3">
            <w:pPr>
              <w:spacing w:line="360" w:lineRule="auto"/>
              <w:ind w:firstLine="482" w:firstLineChars="200"/>
              <w:rPr>
                <w:rFonts w:cs="Times New Roman"/>
                <w:b/>
                <w:sz w:val="24"/>
                <w:szCs w:val="24"/>
              </w:rPr>
            </w:pPr>
            <w:r>
              <w:rPr>
                <w:rFonts w:hint="eastAsia" w:cs="Times New Roman"/>
                <w:b/>
                <w:sz w:val="24"/>
                <w:szCs w:val="24"/>
              </w:rPr>
              <w:t>1、产业政策符合性</w:t>
            </w:r>
          </w:p>
          <w:p w14:paraId="68D10BBD">
            <w:pPr>
              <w:spacing w:line="360" w:lineRule="auto"/>
              <w:ind w:firstLine="480" w:firstLineChars="200"/>
              <w:rPr>
                <w:rFonts w:cstheme="minorHAnsi"/>
                <w:sz w:val="24"/>
                <w:szCs w:val="24"/>
              </w:rPr>
            </w:pPr>
            <w:r>
              <w:rPr>
                <w:bCs/>
                <w:sz w:val="24"/>
              </w:rPr>
              <w:t>本项目</w:t>
            </w:r>
            <w:r>
              <w:rPr>
                <w:rFonts w:hint="eastAsia"/>
                <w:bCs/>
                <w:sz w:val="24"/>
              </w:rPr>
              <w:t>为塑料制品业</w:t>
            </w:r>
            <w:r>
              <w:rPr>
                <w:sz w:val="24"/>
              </w:rPr>
              <w:t>，不属于</w:t>
            </w:r>
            <w:r>
              <w:rPr>
                <w:rFonts w:hint="eastAsia"/>
                <w:sz w:val="24"/>
              </w:rPr>
              <w:t>国家发展和改革委员会令第7号</w:t>
            </w:r>
            <w:r>
              <w:rPr>
                <w:rFonts w:hint="eastAsia" w:cs="Times New Roman"/>
                <w:sz w:val="24"/>
                <w:szCs w:val="24"/>
              </w:rPr>
              <w:t>《产业结构调整指导目录（2024年本）》中鼓励类、限制类和淘汰类，根据《促进产业结构调整暂行规定》（国发〔2</w:t>
            </w:r>
            <w:r>
              <w:rPr>
                <w:rFonts w:cs="Times New Roman"/>
                <w:sz w:val="24"/>
                <w:szCs w:val="24"/>
              </w:rPr>
              <w:t>005</w:t>
            </w:r>
            <w:r>
              <w:rPr>
                <w:rFonts w:hint="eastAsia" w:cs="Times New Roman"/>
                <w:sz w:val="24"/>
                <w:szCs w:val="24"/>
              </w:rPr>
              <w:t>〕4</w:t>
            </w:r>
            <w:r>
              <w:rPr>
                <w:rFonts w:cs="Times New Roman"/>
                <w:sz w:val="24"/>
                <w:szCs w:val="24"/>
              </w:rPr>
              <w:t>0号</w:t>
            </w:r>
            <w:r>
              <w:rPr>
                <w:rFonts w:hint="eastAsia" w:cs="Times New Roman"/>
                <w:sz w:val="24"/>
                <w:szCs w:val="24"/>
              </w:rPr>
              <w:t>）的规定，项目为允许类</w:t>
            </w:r>
            <w:r>
              <w:rPr>
                <w:rFonts w:cstheme="minorHAnsi"/>
                <w:sz w:val="24"/>
                <w:szCs w:val="24"/>
              </w:rPr>
              <w:t>。</w:t>
            </w:r>
            <w:r>
              <w:rPr>
                <w:rFonts w:cstheme="minorHAnsi"/>
                <w:kern w:val="24"/>
                <w:sz w:val="24"/>
                <w:szCs w:val="20"/>
              </w:rPr>
              <w:t>同时，</w:t>
            </w:r>
            <w:r>
              <w:rPr>
                <w:rFonts w:hint="eastAsia" w:cstheme="minorHAnsi"/>
                <w:kern w:val="24"/>
                <w:sz w:val="24"/>
                <w:szCs w:val="20"/>
              </w:rPr>
              <w:t>大英县发展和改革局于2024年6月</w:t>
            </w:r>
            <w:r>
              <w:rPr>
                <w:rFonts w:cstheme="minorHAnsi"/>
                <w:kern w:val="24"/>
                <w:sz w:val="24"/>
                <w:szCs w:val="20"/>
              </w:rPr>
              <w:t>对该项目进行了备案（备案号：</w:t>
            </w:r>
            <w:r>
              <w:rPr>
                <w:rFonts w:hint="eastAsia"/>
                <w:sz w:val="24"/>
                <w:szCs w:val="24"/>
              </w:rPr>
              <w:t>川投资备【2406-510923-04-01-802027】FGQB-0114号</w:t>
            </w:r>
            <w:r>
              <w:rPr>
                <w:rFonts w:cstheme="minorHAnsi"/>
                <w:kern w:val="24"/>
                <w:sz w:val="24"/>
                <w:szCs w:val="20"/>
              </w:rPr>
              <w:t>）。</w:t>
            </w:r>
          </w:p>
          <w:p w14:paraId="36BC50D0">
            <w:pPr>
              <w:spacing w:line="360" w:lineRule="auto"/>
              <w:ind w:firstLine="480" w:firstLineChars="200"/>
              <w:rPr>
                <w:rFonts w:cstheme="minorHAnsi"/>
                <w:sz w:val="24"/>
                <w:szCs w:val="24"/>
              </w:rPr>
            </w:pPr>
            <w:r>
              <w:rPr>
                <w:rFonts w:cstheme="minorHAnsi"/>
                <w:sz w:val="24"/>
                <w:szCs w:val="24"/>
              </w:rPr>
              <w:t>因此，本项目符合国家现行产业政策。</w:t>
            </w:r>
          </w:p>
          <w:p w14:paraId="2B2113BE">
            <w:pPr>
              <w:spacing w:line="360" w:lineRule="auto"/>
              <w:ind w:firstLine="482" w:firstLineChars="200"/>
              <w:rPr>
                <w:rFonts w:cstheme="minorHAnsi"/>
                <w:sz w:val="24"/>
                <w:szCs w:val="24"/>
              </w:rPr>
            </w:pPr>
            <w:r>
              <w:rPr>
                <w:rFonts w:hint="eastAsia" w:cs="Times New Roman"/>
                <w:b/>
                <w:sz w:val="24"/>
                <w:szCs w:val="24"/>
              </w:rPr>
              <w:t>2、与《遂宁市“十四五”生态环境保护规划》符合性</w:t>
            </w:r>
          </w:p>
          <w:p w14:paraId="48296354">
            <w:pPr>
              <w:spacing w:line="360" w:lineRule="auto"/>
              <w:ind w:firstLine="480" w:firstLineChars="200"/>
              <w:rPr>
                <w:rFonts w:cstheme="minorHAnsi"/>
                <w:sz w:val="24"/>
                <w:szCs w:val="24"/>
              </w:rPr>
            </w:pPr>
            <w:r>
              <w:rPr>
                <w:rFonts w:hint="eastAsia" w:cstheme="minorHAnsi"/>
                <w:sz w:val="24"/>
                <w:szCs w:val="24"/>
              </w:rPr>
              <w:t>根据《遂宁市“十四五”生态环境保护规划》（遂府函〔2022〕38号）中有关要求，本项目符合性分析见下表。</w:t>
            </w:r>
          </w:p>
          <w:p w14:paraId="6D6FC58E">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项目与《遂宁市“十四五”生态环境保护规划》符合性</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4393"/>
              <w:gridCol w:w="1905"/>
              <w:gridCol w:w="897"/>
            </w:tblGrid>
            <w:tr w14:paraId="21E6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0" w:type="pct"/>
                  <w:vAlign w:val="center"/>
                </w:tcPr>
                <w:p w14:paraId="46B71B2A">
                  <w:pPr>
                    <w:pStyle w:val="31"/>
                  </w:pPr>
                  <w:r>
                    <w:rPr>
                      <w:rFonts w:hint="eastAsia"/>
                    </w:rPr>
                    <w:t>规划名称</w:t>
                  </w:r>
                </w:p>
              </w:tc>
              <w:tc>
                <w:tcPr>
                  <w:tcW w:w="2650" w:type="pct"/>
                  <w:vAlign w:val="center"/>
                </w:tcPr>
                <w:p w14:paraId="799A0447">
                  <w:pPr>
                    <w:pStyle w:val="31"/>
                  </w:pPr>
                  <w:r>
                    <w:rPr>
                      <w:rFonts w:hint="eastAsia"/>
                    </w:rPr>
                    <w:t>相关要求</w:t>
                  </w:r>
                </w:p>
              </w:tc>
              <w:tc>
                <w:tcPr>
                  <w:tcW w:w="1149" w:type="pct"/>
                  <w:vAlign w:val="center"/>
                </w:tcPr>
                <w:p w14:paraId="24A318D2">
                  <w:pPr>
                    <w:pStyle w:val="31"/>
                  </w:pPr>
                  <w:r>
                    <w:rPr>
                      <w:rFonts w:hint="eastAsia"/>
                    </w:rPr>
                    <w:t>本项目情况</w:t>
                  </w:r>
                </w:p>
              </w:tc>
              <w:tc>
                <w:tcPr>
                  <w:tcW w:w="541" w:type="pct"/>
                  <w:vAlign w:val="center"/>
                </w:tcPr>
                <w:p w14:paraId="1FFC020A">
                  <w:pPr>
                    <w:pStyle w:val="31"/>
                  </w:pPr>
                  <w:r>
                    <w:rPr>
                      <w:rFonts w:hint="eastAsia"/>
                    </w:rPr>
                    <w:t>符合性</w:t>
                  </w:r>
                </w:p>
              </w:tc>
            </w:tr>
            <w:tr w14:paraId="360E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7" w:hRule="atLeast"/>
                <w:jc w:val="center"/>
              </w:trPr>
              <w:tc>
                <w:tcPr>
                  <w:tcW w:w="660" w:type="pct"/>
                  <w:vMerge w:val="restart"/>
                  <w:vAlign w:val="center"/>
                </w:tcPr>
                <w:p w14:paraId="341D3198">
                  <w:pPr>
                    <w:pStyle w:val="31"/>
                  </w:pPr>
                  <w:r>
                    <w:rPr>
                      <w:rFonts w:hint="eastAsia"/>
                    </w:rPr>
                    <w:t>《</w:t>
                  </w:r>
                  <w:r>
                    <w:rPr>
                      <w:rFonts w:hint="eastAsia" w:cstheme="minorHAnsi"/>
                    </w:rPr>
                    <w:t>遂宁市“十四五”生态环境保护规划</w:t>
                  </w:r>
                  <w:r>
                    <w:rPr>
                      <w:rFonts w:hint="eastAsia"/>
                    </w:rPr>
                    <w:t>》</w:t>
                  </w:r>
                </w:p>
              </w:tc>
              <w:tc>
                <w:tcPr>
                  <w:tcW w:w="2650" w:type="pct"/>
                  <w:vAlign w:val="center"/>
                </w:tcPr>
                <w:p w14:paraId="5F046058">
                  <w:pPr>
                    <w:pStyle w:val="31"/>
                    <w:jc w:val="both"/>
                  </w:pPr>
                  <w:r>
                    <w:rPr>
                      <w:rFonts w:hint="eastAsia"/>
                    </w:rPr>
                    <w:t>严格控制新（改、扩）建高耗能、高排放项目，新建高耗能、高排放项目应按相关要求落实区域削减。精准聚焦重点行业，加快淘汰低效落后动能。进一步健全并严格落实环保、安全、技术、能耗、效益标准，各县（市、区）制定具体措施，重点围绕废旧塑料再生、砖瓦等行业，分类组织实施转移、压减、整合、关停任务，依法淘汰落后产能。</w:t>
                  </w:r>
                </w:p>
              </w:tc>
              <w:tc>
                <w:tcPr>
                  <w:tcW w:w="1149" w:type="pct"/>
                  <w:vAlign w:val="center"/>
                </w:tcPr>
                <w:p w14:paraId="45F0FECA">
                  <w:pPr>
                    <w:pStyle w:val="31"/>
                    <w:jc w:val="both"/>
                  </w:pPr>
                  <w:r>
                    <w:rPr>
                      <w:rFonts w:hint="eastAsia"/>
                    </w:rPr>
                    <w:t>项目不属于高耗能、高排放项目，不属于废旧塑料再生、砖瓦等行业和淘汰落后产能项目。</w:t>
                  </w:r>
                </w:p>
              </w:tc>
              <w:tc>
                <w:tcPr>
                  <w:tcW w:w="541" w:type="pct"/>
                  <w:vAlign w:val="center"/>
                </w:tcPr>
                <w:p w14:paraId="496B57A9">
                  <w:pPr>
                    <w:pStyle w:val="31"/>
                  </w:pPr>
                  <w:r>
                    <w:rPr>
                      <w:rFonts w:hint="eastAsia"/>
                    </w:rPr>
                    <w:t>符合</w:t>
                  </w:r>
                </w:p>
              </w:tc>
            </w:tr>
            <w:tr w14:paraId="04C8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vAlign w:val="center"/>
                </w:tcPr>
                <w:p w14:paraId="6FA03D6A">
                  <w:pPr>
                    <w:pStyle w:val="31"/>
                  </w:pPr>
                </w:p>
              </w:tc>
              <w:tc>
                <w:tcPr>
                  <w:tcW w:w="2650" w:type="pct"/>
                  <w:vAlign w:val="center"/>
                </w:tcPr>
                <w:p w14:paraId="71610903">
                  <w:pPr>
                    <w:pStyle w:val="31"/>
                    <w:jc w:val="both"/>
                  </w:pPr>
                  <w:r>
                    <w:rPr>
                      <w:rFonts w:hint="eastAsia"/>
                    </w:rPr>
                    <w:t>严格新增VOCs排放建设项目环境准入，更新、优化VOCs和NO</w:t>
                  </w:r>
                  <w:r>
                    <w:rPr>
                      <w:rFonts w:hint="eastAsia"/>
                      <w:vertAlign w:val="subscript"/>
                    </w:rPr>
                    <w:t>x</w:t>
                  </w:r>
                  <w:r>
                    <w:rPr>
                      <w:rFonts w:hint="eastAsia"/>
                    </w:rPr>
                    <w:t>排放清单，制定NO</w:t>
                  </w:r>
                  <w:r>
                    <w:rPr>
                      <w:rFonts w:hint="eastAsia"/>
                      <w:vertAlign w:val="subscript"/>
                    </w:rPr>
                    <w:t>x</w:t>
                  </w:r>
                  <w:r>
                    <w:rPr>
                      <w:rFonts w:hint="eastAsia"/>
                    </w:rPr>
                    <w:t>与VOCs协同减排计划，建立VOCs治理台账，加快推进整改。突出抓好化工、涂装、包装印刷、油品储运销等行业（领域）关键环节VOCs治理突出问题排查整治，推进建设高效治污设施，深入推行“一厂一策”，提高VOCs治理效率。</w:t>
                  </w:r>
                </w:p>
              </w:tc>
              <w:tc>
                <w:tcPr>
                  <w:tcW w:w="1149" w:type="pct"/>
                  <w:vAlign w:val="center"/>
                </w:tcPr>
                <w:p w14:paraId="32A39B85">
                  <w:pPr>
                    <w:pStyle w:val="31"/>
                    <w:jc w:val="both"/>
                  </w:pPr>
                  <w:r>
                    <w:rPr>
                      <w:rFonts w:hint="eastAsia"/>
                    </w:rPr>
                    <w:t>项目符合园区环境准入要求，VOCs采用1套</w:t>
                  </w:r>
                  <w:r>
                    <w:rPr>
                      <w:rFonts w:hint="eastAsia"/>
                      <w:bCs/>
                    </w:rPr>
                    <w:t>二级活性炭吸附装置进行处理</w:t>
                  </w:r>
                  <w:r>
                    <w:rPr>
                      <w:rFonts w:hint="eastAsia"/>
                    </w:rPr>
                    <w:t>。</w:t>
                  </w:r>
                </w:p>
              </w:tc>
              <w:tc>
                <w:tcPr>
                  <w:tcW w:w="541" w:type="pct"/>
                  <w:vAlign w:val="center"/>
                </w:tcPr>
                <w:p w14:paraId="499218A7">
                  <w:pPr>
                    <w:pStyle w:val="31"/>
                  </w:pPr>
                  <w:r>
                    <w:rPr>
                      <w:rFonts w:hint="eastAsia"/>
                    </w:rPr>
                    <w:t>符合</w:t>
                  </w:r>
                </w:p>
              </w:tc>
            </w:tr>
            <w:tr w14:paraId="134E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vMerge w:val="continue"/>
                  <w:vAlign w:val="center"/>
                </w:tcPr>
                <w:p w14:paraId="20F98918">
                  <w:pPr>
                    <w:pStyle w:val="31"/>
                  </w:pPr>
                </w:p>
              </w:tc>
              <w:tc>
                <w:tcPr>
                  <w:tcW w:w="2650" w:type="pct"/>
                  <w:vAlign w:val="center"/>
                </w:tcPr>
                <w:p w14:paraId="200D3370">
                  <w:pPr>
                    <w:pStyle w:val="31"/>
                    <w:jc w:val="both"/>
                  </w:pPr>
                  <w:r>
                    <w:rPr>
                      <w:rFonts w:hint="eastAsia"/>
                    </w:rPr>
                    <w:t>严格重点行业企业准入，新（改、扩）建项目应当按照国家有关环境标准和技术规范开展企业用地土壤调查，涉及有毒有害物质且可能造成土壤污染的建设项目，应提出并落实土壤和地下水污染防治要求。</w:t>
                  </w:r>
                </w:p>
              </w:tc>
              <w:tc>
                <w:tcPr>
                  <w:tcW w:w="1149" w:type="pct"/>
                  <w:vAlign w:val="center"/>
                </w:tcPr>
                <w:p w14:paraId="357B21BC">
                  <w:pPr>
                    <w:pStyle w:val="31"/>
                    <w:jc w:val="both"/>
                  </w:pPr>
                  <w:r>
                    <w:rPr>
                      <w:rFonts w:hint="eastAsia"/>
                    </w:rPr>
                    <w:t>项目为塑料制品业，不属于土壤污染重点行业企业，不涉及可能造成土壤污染的有毒有害物质使用。</w:t>
                  </w:r>
                </w:p>
              </w:tc>
              <w:tc>
                <w:tcPr>
                  <w:tcW w:w="541" w:type="pct"/>
                  <w:vAlign w:val="center"/>
                </w:tcPr>
                <w:p w14:paraId="4FC9FF2A">
                  <w:pPr>
                    <w:pStyle w:val="31"/>
                  </w:pPr>
                  <w:r>
                    <w:rPr>
                      <w:rFonts w:hint="eastAsia"/>
                    </w:rPr>
                    <w:t>符合</w:t>
                  </w:r>
                </w:p>
              </w:tc>
            </w:tr>
          </w:tbl>
          <w:p w14:paraId="1A129807">
            <w:pPr>
              <w:spacing w:line="360" w:lineRule="auto"/>
              <w:ind w:firstLine="480" w:firstLineChars="200"/>
              <w:rPr>
                <w:rFonts w:cstheme="minorHAnsi"/>
                <w:sz w:val="24"/>
                <w:szCs w:val="24"/>
              </w:rPr>
            </w:pPr>
            <w:r>
              <w:rPr>
                <w:rFonts w:hint="eastAsia" w:cstheme="minorHAnsi"/>
                <w:sz w:val="24"/>
                <w:szCs w:val="24"/>
              </w:rPr>
              <w:t>因此，本项目符合《遂宁市“十四五”生态环境保护规划》中相关要求。</w:t>
            </w:r>
          </w:p>
          <w:p w14:paraId="0A131B7F">
            <w:pPr>
              <w:spacing w:line="360" w:lineRule="auto"/>
              <w:ind w:firstLine="482" w:firstLineChars="200"/>
              <w:rPr>
                <w:rFonts w:cstheme="minorHAnsi"/>
                <w:sz w:val="24"/>
                <w:szCs w:val="24"/>
              </w:rPr>
            </w:pPr>
            <w:r>
              <w:rPr>
                <w:rFonts w:hint="eastAsia" w:cs="Times New Roman"/>
                <w:b/>
                <w:sz w:val="24"/>
                <w:szCs w:val="24"/>
              </w:rPr>
              <w:t>3、与《四川省、重庆市长江经济带发展负面清单实施细则（试行，2022年版）》符合性</w:t>
            </w:r>
          </w:p>
          <w:p w14:paraId="4D574230">
            <w:pPr>
              <w:spacing w:line="360" w:lineRule="auto"/>
              <w:ind w:firstLine="480" w:firstLineChars="200"/>
              <w:rPr>
                <w:rFonts w:cstheme="minorHAnsi"/>
                <w:sz w:val="24"/>
                <w:szCs w:val="24"/>
              </w:rPr>
            </w:pPr>
            <w:r>
              <w:rPr>
                <w:rFonts w:hint="eastAsia" w:cstheme="minorHAnsi"/>
                <w:sz w:val="24"/>
                <w:szCs w:val="24"/>
              </w:rPr>
              <w:t>根据《四川省、重庆市长江经济带发展负面清单实施细则（试行，2022年版）》（川长江办〔2022〕17号），本项目符合性分析见下表。</w:t>
            </w:r>
          </w:p>
          <w:p w14:paraId="331125B9">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项目与四川省、重庆市长江经济带发展负面清单实施细则符合性</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4934"/>
              <w:gridCol w:w="1597"/>
              <w:gridCol w:w="1035"/>
            </w:tblGrid>
            <w:tr w14:paraId="1441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2" w:type="pct"/>
                  <w:vAlign w:val="center"/>
                </w:tcPr>
                <w:p w14:paraId="683BBFE9">
                  <w:pPr>
                    <w:pStyle w:val="31"/>
                  </w:pPr>
                  <w:r>
                    <w:t>序号</w:t>
                  </w:r>
                </w:p>
              </w:tc>
              <w:tc>
                <w:tcPr>
                  <w:tcW w:w="2979" w:type="pct"/>
                  <w:vAlign w:val="center"/>
                </w:tcPr>
                <w:p w14:paraId="573E45D4">
                  <w:pPr>
                    <w:pStyle w:val="31"/>
                  </w:pPr>
                  <w:r>
                    <w:rPr>
                      <w:rFonts w:hint="eastAsia"/>
                    </w:rPr>
                    <w:t>《四川省、重庆市长江经济带发展负面清单实施细则（试行，2022年版）》相关</w:t>
                  </w:r>
                  <w:r>
                    <w:t>要求</w:t>
                  </w:r>
                </w:p>
              </w:tc>
              <w:tc>
                <w:tcPr>
                  <w:tcW w:w="964" w:type="pct"/>
                  <w:vAlign w:val="center"/>
                </w:tcPr>
                <w:p w14:paraId="0B09C8CF">
                  <w:pPr>
                    <w:pStyle w:val="31"/>
                  </w:pPr>
                  <w:r>
                    <w:t>本项目</w:t>
                  </w:r>
                  <w:r>
                    <w:rPr>
                      <w:rFonts w:hint="eastAsia"/>
                    </w:rPr>
                    <w:t>情况</w:t>
                  </w:r>
                </w:p>
              </w:tc>
              <w:tc>
                <w:tcPr>
                  <w:tcW w:w="625" w:type="pct"/>
                  <w:vAlign w:val="center"/>
                </w:tcPr>
                <w:p w14:paraId="11696B2B">
                  <w:pPr>
                    <w:pStyle w:val="31"/>
                  </w:pPr>
                  <w:r>
                    <w:t>符合性</w:t>
                  </w:r>
                </w:p>
              </w:tc>
            </w:tr>
            <w:tr w14:paraId="62E4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1E861667">
                  <w:pPr>
                    <w:pStyle w:val="31"/>
                  </w:pPr>
                  <w:r>
                    <w:t>1</w:t>
                  </w:r>
                </w:p>
              </w:tc>
              <w:tc>
                <w:tcPr>
                  <w:tcW w:w="2979" w:type="pct"/>
                  <w:vAlign w:val="center"/>
                </w:tcPr>
                <w:p w14:paraId="1916235E">
                  <w:pPr>
                    <w:pStyle w:val="31"/>
                    <w:jc w:val="both"/>
                  </w:pPr>
                  <w:r>
                    <w:t>禁止新建、改建和扩建不符合全国港口布局规划，以及《四川省内河水运发展规划》《泸州-宜宾-乐山港口群布局规划》《重庆港总体规划（2035年）》等省级港口布局规划及市级港口总体规划的码头项目。</w:t>
                  </w:r>
                </w:p>
              </w:tc>
              <w:tc>
                <w:tcPr>
                  <w:tcW w:w="964" w:type="pct"/>
                  <w:vAlign w:val="center"/>
                </w:tcPr>
                <w:p w14:paraId="01579E9A">
                  <w:pPr>
                    <w:pStyle w:val="31"/>
                    <w:jc w:val="both"/>
                  </w:pPr>
                  <w:r>
                    <w:t>项目</w:t>
                  </w:r>
                  <w:r>
                    <w:rPr>
                      <w:rFonts w:hint="eastAsia"/>
                    </w:rPr>
                    <w:t>不涉及。</w:t>
                  </w:r>
                </w:p>
              </w:tc>
              <w:tc>
                <w:tcPr>
                  <w:tcW w:w="625" w:type="pct"/>
                  <w:vAlign w:val="center"/>
                </w:tcPr>
                <w:p w14:paraId="196C1812">
                  <w:pPr>
                    <w:pStyle w:val="31"/>
                  </w:pPr>
                  <w:r>
                    <w:t>符合</w:t>
                  </w:r>
                </w:p>
              </w:tc>
            </w:tr>
            <w:tr w14:paraId="67184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647D1B55">
                  <w:pPr>
                    <w:pStyle w:val="31"/>
                  </w:pPr>
                  <w:r>
                    <w:t>2</w:t>
                  </w:r>
                </w:p>
              </w:tc>
              <w:tc>
                <w:tcPr>
                  <w:tcW w:w="2979" w:type="pct"/>
                  <w:vAlign w:val="center"/>
                </w:tcPr>
                <w:p w14:paraId="2E8E7109">
                  <w:pPr>
                    <w:pStyle w:val="31"/>
                    <w:jc w:val="both"/>
                  </w:pPr>
                  <w:r>
                    <w:t>禁止新建、改建和扩建不符合《长江干线过江通道布局规划（2020-2035年）》的过长江通道项目（含桥梁、隧道），国家发展改革委同意过长江通道线位调整的除外。</w:t>
                  </w:r>
                </w:p>
              </w:tc>
              <w:tc>
                <w:tcPr>
                  <w:tcW w:w="964" w:type="pct"/>
                  <w:vAlign w:val="center"/>
                </w:tcPr>
                <w:p w14:paraId="299321FD">
                  <w:pPr>
                    <w:pStyle w:val="31"/>
                    <w:jc w:val="both"/>
                  </w:pPr>
                  <w:r>
                    <w:t>项目</w:t>
                  </w:r>
                  <w:r>
                    <w:rPr>
                      <w:rFonts w:hint="eastAsia"/>
                    </w:rPr>
                    <w:t>不涉及。</w:t>
                  </w:r>
                </w:p>
              </w:tc>
              <w:tc>
                <w:tcPr>
                  <w:tcW w:w="625" w:type="pct"/>
                  <w:vAlign w:val="center"/>
                </w:tcPr>
                <w:p w14:paraId="0C8BB7D6">
                  <w:pPr>
                    <w:pStyle w:val="31"/>
                  </w:pPr>
                  <w:r>
                    <w:t>符合</w:t>
                  </w:r>
                </w:p>
              </w:tc>
            </w:tr>
            <w:tr w14:paraId="5F2F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29616AA3">
                  <w:pPr>
                    <w:pStyle w:val="31"/>
                  </w:pPr>
                  <w:r>
                    <w:t>3</w:t>
                  </w:r>
                </w:p>
              </w:tc>
              <w:tc>
                <w:tcPr>
                  <w:tcW w:w="2979" w:type="pct"/>
                  <w:vAlign w:val="center"/>
                </w:tcPr>
                <w:p w14:paraId="1944B739">
                  <w:pPr>
                    <w:pStyle w:val="31"/>
                    <w:jc w:val="both"/>
                  </w:pPr>
                  <w:r>
                    <w:t>禁止在自然保护区核心区、缓冲区的岸线和河段范围内投资建设旅游和生产经营项目。自然保护区的内部未分区的，依照核心区和缓冲区的规定管控。</w:t>
                  </w:r>
                </w:p>
              </w:tc>
              <w:tc>
                <w:tcPr>
                  <w:tcW w:w="964" w:type="pct"/>
                  <w:vAlign w:val="center"/>
                </w:tcPr>
                <w:p w14:paraId="7C35CE89">
                  <w:pPr>
                    <w:pStyle w:val="31"/>
                    <w:jc w:val="both"/>
                  </w:pPr>
                  <w:r>
                    <w:t>项目</w:t>
                  </w:r>
                  <w:r>
                    <w:rPr>
                      <w:rFonts w:hint="eastAsia"/>
                    </w:rPr>
                    <w:t>不涉及。</w:t>
                  </w:r>
                </w:p>
              </w:tc>
              <w:tc>
                <w:tcPr>
                  <w:tcW w:w="625" w:type="pct"/>
                  <w:vAlign w:val="center"/>
                </w:tcPr>
                <w:p w14:paraId="37414CE4">
                  <w:pPr>
                    <w:pStyle w:val="31"/>
                  </w:pPr>
                  <w:r>
                    <w:t>符合</w:t>
                  </w:r>
                </w:p>
              </w:tc>
            </w:tr>
            <w:tr w14:paraId="15D7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D9BBB2D">
                  <w:pPr>
                    <w:pStyle w:val="31"/>
                  </w:pPr>
                  <w:r>
                    <w:t>4</w:t>
                  </w:r>
                </w:p>
              </w:tc>
              <w:tc>
                <w:tcPr>
                  <w:tcW w:w="2979" w:type="pct"/>
                  <w:vAlign w:val="center"/>
                </w:tcPr>
                <w:p w14:paraId="1A689520">
                  <w:pPr>
                    <w:pStyle w:val="31"/>
                    <w:jc w:val="both"/>
                  </w:pPr>
                  <w:r>
                    <w:t>禁止违反风景名胜区规划、在风景名胜区内设立各类开发区。禁止在风景名胜区核心景区的岸线和河段范围内建设宾馆、招待所、培训中心、疗养院以及与风景名</w:t>
                  </w:r>
                  <w:r>
                    <w:rPr>
                      <w:rFonts w:hint="eastAsia"/>
                      <w:lang w:eastAsia="zh-CN"/>
                    </w:rPr>
                    <w:t>胜区</w:t>
                  </w:r>
                  <w:r>
                    <w:t>资源保护无关的项目。</w:t>
                  </w:r>
                </w:p>
              </w:tc>
              <w:tc>
                <w:tcPr>
                  <w:tcW w:w="964" w:type="pct"/>
                  <w:vAlign w:val="center"/>
                </w:tcPr>
                <w:p w14:paraId="392DB60E">
                  <w:pPr>
                    <w:pStyle w:val="31"/>
                    <w:jc w:val="both"/>
                  </w:pPr>
                  <w:r>
                    <w:t>项目</w:t>
                  </w:r>
                  <w:r>
                    <w:rPr>
                      <w:rFonts w:hint="eastAsia"/>
                    </w:rPr>
                    <w:t>不涉及。</w:t>
                  </w:r>
                </w:p>
              </w:tc>
              <w:tc>
                <w:tcPr>
                  <w:tcW w:w="625" w:type="pct"/>
                  <w:vAlign w:val="center"/>
                </w:tcPr>
                <w:p w14:paraId="29AE113A">
                  <w:pPr>
                    <w:pStyle w:val="31"/>
                  </w:pPr>
                  <w:r>
                    <w:t>符合</w:t>
                  </w:r>
                </w:p>
              </w:tc>
            </w:tr>
            <w:tr w14:paraId="3F07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0CEB7786">
                  <w:pPr>
                    <w:pStyle w:val="31"/>
                  </w:pPr>
                  <w:r>
                    <w:t>5</w:t>
                  </w:r>
                </w:p>
              </w:tc>
              <w:tc>
                <w:tcPr>
                  <w:tcW w:w="2979" w:type="pct"/>
                  <w:vAlign w:val="center"/>
                </w:tcPr>
                <w:p w14:paraId="4054F90A">
                  <w:pPr>
                    <w:pStyle w:val="31"/>
                    <w:jc w:val="both"/>
                  </w:pPr>
                  <w:r>
                    <w:t>禁止在饮用水水源准保护区的岸线和河段范围内新建、扩建对水体污染严重的建设项目，禁止改建增加排污量的建设项目。</w:t>
                  </w:r>
                </w:p>
              </w:tc>
              <w:tc>
                <w:tcPr>
                  <w:tcW w:w="964" w:type="pct"/>
                  <w:vAlign w:val="center"/>
                </w:tcPr>
                <w:p w14:paraId="16E2D8AA">
                  <w:pPr>
                    <w:pStyle w:val="31"/>
                    <w:jc w:val="both"/>
                  </w:pPr>
                  <w:r>
                    <w:t>项目</w:t>
                  </w:r>
                  <w:r>
                    <w:rPr>
                      <w:rFonts w:hint="eastAsia"/>
                    </w:rPr>
                    <w:t>不涉及。</w:t>
                  </w:r>
                </w:p>
              </w:tc>
              <w:tc>
                <w:tcPr>
                  <w:tcW w:w="625" w:type="pct"/>
                  <w:vAlign w:val="center"/>
                </w:tcPr>
                <w:p w14:paraId="179EB80B">
                  <w:pPr>
                    <w:pStyle w:val="31"/>
                  </w:pPr>
                  <w:r>
                    <w:t>符合</w:t>
                  </w:r>
                </w:p>
              </w:tc>
            </w:tr>
            <w:tr w14:paraId="361C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142F678B">
                  <w:pPr>
                    <w:pStyle w:val="31"/>
                  </w:pPr>
                  <w:r>
                    <w:t>6</w:t>
                  </w:r>
                </w:p>
              </w:tc>
              <w:tc>
                <w:tcPr>
                  <w:tcW w:w="2979" w:type="pct"/>
                  <w:vAlign w:val="center"/>
                </w:tcPr>
                <w:p w14:paraId="79A3F8AA">
                  <w:pPr>
                    <w:pStyle w:val="31"/>
                    <w:jc w:val="both"/>
                  </w:pPr>
                  <w:r>
                    <w:t>饮用水水源二级保护区的岸线和河段范围内，除遵守准保护区规定外）禁止新建、改建、扩建排放污染物的投资建设项目；禁止从事对水体有污染的水产养殖等活动。</w:t>
                  </w:r>
                </w:p>
              </w:tc>
              <w:tc>
                <w:tcPr>
                  <w:tcW w:w="964" w:type="pct"/>
                  <w:vAlign w:val="center"/>
                </w:tcPr>
                <w:p w14:paraId="2287824D">
                  <w:pPr>
                    <w:pStyle w:val="31"/>
                    <w:jc w:val="both"/>
                  </w:pPr>
                  <w:r>
                    <w:t>项目</w:t>
                  </w:r>
                  <w:r>
                    <w:rPr>
                      <w:rFonts w:hint="eastAsia"/>
                    </w:rPr>
                    <w:t>不涉及。</w:t>
                  </w:r>
                </w:p>
              </w:tc>
              <w:tc>
                <w:tcPr>
                  <w:tcW w:w="625" w:type="pct"/>
                  <w:vAlign w:val="center"/>
                </w:tcPr>
                <w:p w14:paraId="439E9738">
                  <w:pPr>
                    <w:pStyle w:val="31"/>
                  </w:pPr>
                  <w:r>
                    <w:t>符合</w:t>
                  </w:r>
                </w:p>
              </w:tc>
            </w:tr>
            <w:tr w14:paraId="14776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6DDC9ECE">
                  <w:pPr>
                    <w:pStyle w:val="31"/>
                  </w:pPr>
                  <w:r>
                    <w:t>7</w:t>
                  </w:r>
                </w:p>
              </w:tc>
              <w:tc>
                <w:tcPr>
                  <w:tcW w:w="2979" w:type="pct"/>
                  <w:vAlign w:val="center"/>
                </w:tcPr>
                <w:p w14:paraId="43C53ED2">
                  <w:pPr>
                    <w:pStyle w:val="31"/>
                    <w:jc w:val="both"/>
                  </w:pPr>
                  <w:r>
                    <w:t>饮用水水源一级保护区的岸线和河段施围内，除遵守二级保护区规定外，禁止新建、改建、扩建与供水设施和保护水源无关的项目，以及网箱养殖、畜禽养殖、旅游等可能污染饮用水水体的投资建设项目。</w:t>
                  </w:r>
                </w:p>
              </w:tc>
              <w:tc>
                <w:tcPr>
                  <w:tcW w:w="964" w:type="pct"/>
                  <w:vAlign w:val="center"/>
                </w:tcPr>
                <w:p w14:paraId="0107CD0B">
                  <w:pPr>
                    <w:pStyle w:val="31"/>
                    <w:jc w:val="both"/>
                  </w:pPr>
                  <w:r>
                    <w:t>项目</w:t>
                  </w:r>
                  <w:r>
                    <w:rPr>
                      <w:rFonts w:hint="eastAsia"/>
                    </w:rPr>
                    <w:t>不涉及。</w:t>
                  </w:r>
                </w:p>
              </w:tc>
              <w:tc>
                <w:tcPr>
                  <w:tcW w:w="625" w:type="pct"/>
                  <w:vAlign w:val="center"/>
                </w:tcPr>
                <w:p w14:paraId="2351CECD">
                  <w:pPr>
                    <w:pStyle w:val="31"/>
                  </w:pPr>
                  <w:r>
                    <w:t>符合</w:t>
                  </w:r>
                </w:p>
              </w:tc>
            </w:tr>
            <w:tr w14:paraId="004B7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4342E9BD">
                  <w:pPr>
                    <w:pStyle w:val="31"/>
                  </w:pPr>
                  <w:r>
                    <w:t>8</w:t>
                  </w:r>
                </w:p>
              </w:tc>
              <w:tc>
                <w:tcPr>
                  <w:tcW w:w="2979" w:type="pct"/>
                  <w:vAlign w:val="center"/>
                </w:tcPr>
                <w:p w14:paraId="790DC22C">
                  <w:pPr>
                    <w:pStyle w:val="31"/>
                    <w:jc w:val="both"/>
                  </w:pPr>
                  <w:r>
                    <w:t>禁止在水产种质资源保护区岸线和河段范围内新建围湖造田、围湖造地或挖沙采石等投资建设项目。</w:t>
                  </w:r>
                </w:p>
              </w:tc>
              <w:tc>
                <w:tcPr>
                  <w:tcW w:w="964" w:type="pct"/>
                  <w:vAlign w:val="center"/>
                </w:tcPr>
                <w:p w14:paraId="1FDF17A9">
                  <w:pPr>
                    <w:pStyle w:val="31"/>
                    <w:jc w:val="both"/>
                  </w:pPr>
                  <w:r>
                    <w:t>项目</w:t>
                  </w:r>
                  <w:r>
                    <w:rPr>
                      <w:rFonts w:hint="eastAsia"/>
                    </w:rPr>
                    <w:t>不涉及。</w:t>
                  </w:r>
                </w:p>
              </w:tc>
              <w:tc>
                <w:tcPr>
                  <w:tcW w:w="625" w:type="pct"/>
                  <w:vAlign w:val="center"/>
                </w:tcPr>
                <w:p w14:paraId="4C9B63AB">
                  <w:pPr>
                    <w:pStyle w:val="31"/>
                  </w:pPr>
                  <w:r>
                    <w:t>符合</w:t>
                  </w:r>
                </w:p>
              </w:tc>
            </w:tr>
            <w:tr w14:paraId="3221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6A10F556">
                  <w:pPr>
                    <w:pStyle w:val="31"/>
                  </w:pPr>
                  <w:r>
                    <w:t>9</w:t>
                  </w:r>
                </w:p>
              </w:tc>
              <w:tc>
                <w:tcPr>
                  <w:tcW w:w="2979" w:type="pct"/>
                  <w:vAlign w:val="center"/>
                </w:tcPr>
                <w:p w14:paraId="27A0E1D3">
                  <w:pPr>
                    <w:pStyle w:val="31"/>
                    <w:jc w:val="both"/>
                  </w:pPr>
                  <w:r>
                    <w:t>禁止在国家湿地公园的岸线和河段范围内开（围）垦填埋或者排干</w:t>
                  </w:r>
                  <w:r>
                    <w:rPr>
                      <w:rFonts w:hint="eastAsia"/>
                    </w:rPr>
                    <w:t>湿地</w:t>
                  </w:r>
                  <w:r>
                    <w:t>，截断湿地水源，挖沙、采矿，倾倒有毒有害物质、废弃物、垃圾，从事房地产、度假村、高尔夫球场、风力发电、光伏发电等任何不符合主体功能定位的建设项目和开发活动，破坏野生动物栖息地和迁徙通</w:t>
                  </w:r>
                  <w:r>
                    <w:rPr>
                      <w:rFonts w:hint="eastAsia"/>
                    </w:rPr>
                    <w:t>道</w:t>
                  </w:r>
                  <w:r>
                    <w:t>、鱼类洄游通道。</w:t>
                  </w:r>
                </w:p>
              </w:tc>
              <w:tc>
                <w:tcPr>
                  <w:tcW w:w="964" w:type="pct"/>
                  <w:vAlign w:val="center"/>
                </w:tcPr>
                <w:p w14:paraId="62042DFF">
                  <w:pPr>
                    <w:pStyle w:val="31"/>
                    <w:jc w:val="both"/>
                  </w:pPr>
                  <w:r>
                    <w:t>项目</w:t>
                  </w:r>
                  <w:r>
                    <w:rPr>
                      <w:rFonts w:hint="eastAsia"/>
                    </w:rPr>
                    <w:t>不涉及。</w:t>
                  </w:r>
                </w:p>
              </w:tc>
              <w:tc>
                <w:tcPr>
                  <w:tcW w:w="625" w:type="pct"/>
                  <w:vAlign w:val="center"/>
                </w:tcPr>
                <w:p w14:paraId="55658160">
                  <w:pPr>
                    <w:pStyle w:val="31"/>
                  </w:pPr>
                  <w:r>
                    <w:t>符合</w:t>
                  </w:r>
                </w:p>
              </w:tc>
            </w:tr>
            <w:tr w14:paraId="4BB0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F1762C9">
                  <w:pPr>
                    <w:pStyle w:val="31"/>
                  </w:pPr>
                  <w:r>
                    <w:t>10</w:t>
                  </w:r>
                </w:p>
              </w:tc>
              <w:tc>
                <w:tcPr>
                  <w:tcW w:w="2979" w:type="pct"/>
                  <w:vAlign w:val="center"/>
                </w:tcPr>
                <w:p w14:paraId="7F358BA9">
                  <w:pPr>
                    <w:pStyle w:val="31"/>
                    <w:jc w:val="both"/>
                  </w:pPr>
                  <w:r>
                    <w:t>禁止违法利用、占用长江</w:t>
                  </w:r>
                  <w:r>
                    <w:rPr>
                      <w:rFonts w:hint="eastAsia"/>
                    </w:rPr>
                    <w:t>流域</w:t>
                  </w:r>
                  <w:r>
                    <w:t>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964" w:type="pct"/>
                  <w:vAlign w:val="center"/>
                </w:tcPr>
                <w:p w14:paraId="443BE002">
                  <w:pPr>
                    <w:pStyle w:val="31"/>
                    <w:jc w:val="both"/>
                  </w:pPr>
                  <w:r>
                    <w:t>项目</w:t>
                  </w:r>
                  <w:r>
                    <w:rPr>
                      <w:rFonts w:hint="eastAsia"/>
                    </w:rPr>
                    <w:t>不涉及。</w:t>
                  </w:r>
                </w:p>
              </w:tc>
              <w:tc>
                <w:tcPr>
                  <w:tcW w:w="625" w:type="pct"/>
                  <w:vAlign w:val="center"/>
                </w:tcPr>
                <w:p w14:paraId="480D9241">
                  <w:pPr>
                    <w:pStyle w:val="31"/>
                  </w:pPr>
                  <w:r>
                    <w:t>符合</w:t>
                  </w:r>
                </w:p>
              </w:tc>
            </w:tr>
            <w:tr w14:paraId="2875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52E3C8AA">
                  <w:pPr>
                    <w:pStyle w:val="31"/>
                  </w:pPr>
                  <w:r>
                    <w:t>11</w:t>
                  </w:r>
                </w:p>
              </w:tc>
              <w:tc>
                <w:tcPr>
                  <w:tcW w:w="2979" w:type="pct"/>
                  <w:vAlign w:val="center"/>
                </w:tcPr>
                <w:p w14:paraId="07960411">
                  <w:pPr>
                    <w:pStyle w:val="31"/>
                    <w:jc w:val="both"/>
                  </w:pPr>
                  <w:r>
                    <w:t>禁止在《全国重要江河湖泊水功能区划》划定的河段及湖泊保护区、保留区内投资建设不利于水资源及自然生态保护的项目。</w:t>
                  </w:r>
                </w:p>
              </w:tc>
              <w:tc>
                <w:tcPr>
                  <w:tcW w:w="964" w:type="pct"/>
                  <w:vAlign w:val="center"/>
                </w:tcPr>
                <w:p w14:paraId="2126BFA4">
                  <w:pPr>
                    <w:pStyle w:val="31"/>
                    <w:jc w:val="both"/>
                  </w:pPr>
                  <w:r>
                    <w:t>项目</w:t>
                  </w:r>
                  <w:r>
                    <w:rPr>
                      <w:rFonts w:hint="eastAsia"/>
                    </w:rPr>
                    <w:t>不涉及。</w:t>
                  </w:r>
                </w:p>
              </w:tc>
              <w:tc>
                <w:tcPr>
                  <w:tcW w:w="625" w:type="pct"/>
                  <w:vAlign w:val="center"/>
                </w:tcPr>
                <w:p w14:paraId="6692CAA5">
                  <w:pPr>
                    <w:pStyle w:val="31"/>
                  </w:pPr>
                  <w:r>
                    <w:t>符合</w:t>
                  </w:r>
                </w:p>
              </w:tc>
            </w:tr>
            <w:tr w14:paraId="7FD9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2EA0564E">
                  <w:pPr>
                    <w:pStyle w:val="31"/>
                  </w:pPr>
                  <w:r>
                    <w:t>12</w:t>
                  </w:r>
                </w:p>
              </w:tc>
              <w:tc>
                <w:tcPr>
                  <w:tcW w:w="2979" w:type="pct"/>
                  <w:vAlign w:val="center"/>
                </w:tcPr>
                <w:p w14:paraId="581BC613">
                  <w:pPr>
                    <w:pStyle w:val="31"/>
                    <w:jc w:val="both"/>
                  </w:pPr>
                  <w:r>
                    <w:t>禁止在长江流域江河、湖泊新设、改设或者扩大排污口，经有管辖权的生态环境主管部门或者长江流域生态</w:t>
                  </w:r>
                  <w:r>
                    <w:rPr>
                      <w:rFonts w:hint="eastAsia"/>
                    </w:rPr>
                    <w:t>环境</w:t>
                  </w:r>
                  <w:r>
                    <w:t>监督管理机构同意的除外。</w:t>
                  </w:r>
                </w:p>
              </w:tc>
              <w:tc>
                <w:tcPr>
                  <w:tcW w:w="964" w:type="pct"/>
                  <w:vAlign w:val="center"/>
                </w:tcPr>
                <w:p w14:paraId="3C8ABBA4">
                  <w:pPr>
                    <w:pStyle w:val="31"/>
                    <w:jc w:val="both"/>
                  </w:pPr>
                  <w:r>
                    <w:t>项目</w:t>
                  </w:r>
                  <w:r>
                    <w:rPr>
                      <w:rFonts w:hint="eastAsia"/>
                    </w:rPr>
                    <w:t>不涉及。</w:t>
                  </w:r>
                </w:p>
              </w:tc>
              <w:tc>
                <w:tcPr>
                  <w:tcW w:w="625" w:type="pct"/>
                  <w:vAlign w:val="center"/>
                </w:tcPr>
                <w:p w14:paraId="314D5C45">
                  <w:pPr>
                    <w:pStyle w:val="31"/>
                  </w:pPr>
                  <w:r>
                    <w:t>符合</w:t>
                  </w:r>
                </w:p>
              </w:tc>
            </w:tr>
            <w:tr w14:paraId="2C31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5715481A">
                  <w:pPr>
                    <w:pStyle w:val="31"/>
                  </w:pPr>
                  <w:r>
                    <w:t>13</w:t>
                  </w:r>
                </w:p>
              </w:tc>
              <w:tc>
                <w:tcPr>
                  <w:tcW w:w="2979" w:type="pct"/>
                  <w:vAlign w:val="center"/>
                </w:tcPr>
                <w:p w14:paraId="667C015B">
                  <w:pPr>
                    <w:pStyle w:val="31"/>
                    <w:jc w:val="both"/>
                  </w:pPr>
                  <w:r>
                    <w:t>禁止在长江干流、大渡河、岷江、赤水河、沱江、嘉陵江、乌江、汉江和51个（四川省45个、重庆市6个）水生生物保护区开展生产性捕捞。</w:t>
                  </w:r>
                </w:p>
              </w:tc>
              <w:tc>
                <w:tcPr>
                  <w:tcW w:w="964" w:type="pct"/>
                  <w:vAlign w:val="center"/>
                </w:tcPr>
                <w:p w14:paraId="3E4D0030">
                  <w:pPr>
                    <w:pStyle w:val="31"/>
                    <w:jc w:val="both"/>
                  </w:pPr>
                  <w:r>
                    <w:t>项目</w:t>
                  </w:r>
                  <w:r>
                    <w:rPr>
                      <w:rFonts w:hint="eastAsia"/>
                    </w:rPr>
                    <w:t>不涉及。</w:t>
                  </w:r>
                </w:p>
              </w:tc>
              <w:tc>
                <w:tcPr>
                  <w:tcW w:w="625" w:type="pct"/>
                  <w:vAlign w:val="center"/>
                </w:tcPr>
                <w:p w14:paraId="2B0CFC25">
                  <w:pPr>
                    <w:pStyle w:val="31"/>
                  </w:pPr>
                  <w:r>
                    <w:t>符合</w:t>
                  </w:r>
                </w:p>
              </w:tc>
            </w:tr>
            <w:tr w14:paraId="4AC6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0DCF44B6">
                  <w:pPr>
                    <w:pStyle w:val="31"/>
                  </w:pPr>
                  <w:r>
                    <w:t>14</w:t>
                  </w:r>
                </w:p>
              </w:tc>
              <w:tc>
                <w:tcPr>
                  <w:tcW w:w="2979" w:type="pct"/>
                  <w:vAlign w:val="center"/>
                </w:tcPr>
                <w:p w14:paraId="638BA307">
                  <w:pPr>
                    <w:pStyle w:val="31"/>
                    <w:jc w:val="both"/>
                  </w:pPr>
                  <w:r>
                    <w:t>禁止在长江干支流、重要湖泊岸线一公里范围内新建、扩建化工园区和化工项目。</w:t>
                  </w:r>
                </w:p>
              </w:tc>
              <w:tc>
                <w:tcPr>
                  <w:tcW w:w="964" w:type="pct"/>
                  <w:vAlign w:val="center"/>
                </w:tcPr>
                <w:p w14:paraId="7EFA241F">
                  <w:pPr>
                    <w:pStyle w:val="31"/>
                    <w:jc w:val="both"/>
                  </w:pPr>
                  <w:r>
                    <w:t>项目不</w:t>
                  </w:r>
                  <w:r>
                    <w:rPr>
                      <w:rFonts w:hint="eastAsia"/>
                    </w:rPr>
                    <w:t>属于化工项目。</w:t>
                  </w:r>
                </w:p>
              </w:tc>
              <w:tc>
                <w:tcPr>
                  <w:tcW w:w="625" w:type="pct"/>
                  <w:vAlign w:val="center"/>
                </w:tcPr>
                <w:p w14:paraId="5D48BEA2">
                  <w:pPr>
                    <w:pStyle w:val="31"/>
                  </w:pPr>
                  <w:r>
                    <w:t>符合</w:t>
                  </w:r>
                </w:p>
              </w:tc>
            </w:tr>
            <w:tr w14:paraId="3A08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09E90C4">
                  <w:pPr>
                    <w:pStyle w:val="31"/>
                  </w:pPr>
                  <w:r>
                    <w:t>15</w:t>
                  </w:r>
                </w:p>
              </w:tc>
              <w:tc>
                <w:tcPr>
                  <w:tcW w:w="2979" w:type="pct"/>
                  <w:vAlign w:val="center"/>
                </w:tcPr>
                <w:p w14:paraId="4E2470EA">
                  <w:pPr>
                    <w:pStyle w:val="31"/>
                    <w:jc w:val="both"/>
                  </w:pPr>
                  <w:r>
                    <w:t>禁止在长江干流岸线三公里范围内和重要支流岸线一公里范围内新建、改建、扩建尾矿库、冶炼渣库、磷石膏库，以提升安全、生态环境保护水平为目的的改建除外。</w:t>
                  </w:r>
                </w:p>
              </w:tc>
              <w:tc>
                <w:tcPr>
                  <w:tcW w:w="964" w:type="pct"/>
                  <w:vAlign w:val="center"/>
                </w:tcPr>
                <w:p w14:paraId="670CA64F">
                  <w:pPr>
                    <w:pStyle w:val="31"/>
                    <w:jc w:val="both"/>
                  </w:pPr>
                  <w:r>
                    <w:t>项目不</w:t>
                  </w:r>
                  <w:r>
                    <w:rPr>
                      <w:rFonts w:hint="eastAsia"/>
                    </w:rPr>
                    <w:t>属于</w:t>
                  </w:r>
                  <w:r>
                    <w:t>尾矿库、冶炼渣库、磷石膏库</w:t>
                  </w:r>
                  <w:r>
                    <w:rPr>
                      <w:rFonts w:hint="eastAsia"/>
                    </w:rPr>
                    <w:t>。</w:t>
                  </w:r>
                </w:p>
              </w:tc>
              <w:tc>
                <w:tcPr>
                  <w:tcW w:w="625" w:type="pct"/>
                  <w:vAlign w:val="center"/>
                </w:tcPr>
                <w:p w14:paraId="6B5514B7">
                  <w:pPr>
                    <w:pStyle w:val="31"/>
                  </w:pPr>
                  <w:r>
                    <w:t>符合</w:t>
                  </w:r>
                </w:p>
              </w:tc>
            </w:tr>
            <w:tr w14:paraId="256E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77DCB902">
                  <w:pPr>
                    <w:pStyle w:val="31"/>
                  </w:pPr>
                  <w:r>
                    <w:t>16</w:t>
                  </w:r>
                </w:p>
              </w:tc>
              <w:tc>
                <w:tcPr>
                  <w:tcW w:w="2979" w:type="pct"/>
                  <w:vAlign w:val="center"/>
                </w:tcPr>
                <w:p w14:paraId="69B2800E">
                  <w:pPr>
                    <w:pStyle w:val="31"/>
                    <w:jc w:val="both"/>
                  </w:pPr>
                  <w:r>
                    <w:t>禁止在生态保护红线区域、永久基本农田集中区域和其他需要特别保护的区域内选址建设尾矿库、冶炼渣库、磷石膏库。</w:t>
                  </w:r>
                </w:p>
              </w:tc>
              <w:tc>
                <w:tcPr>
                  <w:tcW w:w="964" w:type="pct"/>
                  <w:vAlign w:val="center"/>
                </w:tcPr>
                <w:p w14:paraId="7FE77C83">
                  <w:pPr>
                    <w:pStyle w:val="31"/>
                    <w:jc w:val="both"/>
                  </w:pPr>
                  <w:r>
                    <w:t>项目不涉及</w:t>
                  </w:r>
                  <w:r>
                    <w:rPr>
                      <w:rFonts w:hint="eastAsia"/>
                    </w:rPr>
                    <w:t>生态保护红线、永久基本农田，</w:t>
                  </w:r>
                  <w:r>
                    <w:t>不</w:t>
                  </w:r>
                  <w:r>
                    <w:rPr>
                      <w:rFonts w:hint="eastAsia"/>
                    </w:rPr>
                    <w:t>属于</w:t>
                  </w:r>
                  <w:r>
                    <w:t>尾矿库、冶炼渣库、磷石膏库</w:t>
                  </w:r>
                  <w:r>
                    <w:rPr>
                      <w:rFonts w:hint="eastAsia"/>
                    </w:rPr>
                    <w:t>。</w:t>
                  </w:r>
                </w:p>
              </w:tc>
              <w:tc>
                <w:tcPr>
                  <w:tcW w:w="625" w:type="pct"/>
                  <w:vAlign w:val="center"/>
                </w:tcPr>
                <w:p w14:paraId="6EA0AF37">
                  <w:pPr>
                    <w:pStyle w:val="31"/>
                  </w:pPr>
                  <w:r>
                    <w:t>符合</w:t>
                  </w:r>
                </w:p>
              </w:tc>
            </w:tr>
            <w:tr w14:paraId="4F27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23007C00">
                  <w:pPr>
                    <w:pStyle w:val="31"/>
                  </w:pPr>
                  <w:r>
                    <w:t>17</w:t>
                  </w:r>
                </w:p>
              </w:tc>
              <w:tc>
                <w:tcPr>
                  <w:tcW w:w="2979" w:type="pct"/>
                  <w:vAlign w:val="center"/>
                </w:tcPr>
                <w:p w14:paraId="64A1E011">
                  <w:pPr>
                    <w:pStyle w:val="31"/>
                    <w:jc w:val="both"/>
                  </w:pPr>
                  <w:r>
                    <w:t>禁止在合规园区外新建、扩建钢铁、石化、化工、焦化、建材、有色、制浆造纸等高污染项目。</w:t>
                  </w:r>
                </w:p>
              </w:tc>
              <w:tc>
                <w:tcPr>
                  <w:tcW w:w="964" w:type="pct"/>
                  <w:vAlign w:val="center"/>
                </w:tcPr>
                <w:p w14:paraId="311DE4BD">
                  <w:pPr>
                    <w:pStyle w:val="31"/>
                    <w:jc w:val="both"/>
                  </w:pPr>
                  <w:r>
                    <w:t>项目</w:t>
                  </w:r>
                  <w:r>
                    <w:rPr>
                      <w:rFonts w:hint="eastAsia"/>
                    </w:rPr>
                    <w:t>不属于</w:t>
                  </w:r>
                  <w:r>
                    <w:t>钢铁、化工等高污染项目。</w:t>
                  </w:r>
                </w:p>
              </w:tc>
              <w:tc>
                <w:tcPr>
                  <w:tcW w:w="625" w:type="pct"/>
                  <w:vAlign w:val="center"/>
                </w:tcPr>
                <w:p w14:paraId="62DCE419">
                  <w:pPr>
                    <w:pStyle w:val="31"/>
                  </w:pPr>
                  <w:r>
                    <w:t>符合</w:t>
                  </w:r>
                </w:p>
              </w:tc>
            </w:tr>
            <w:tr w14:paraId="2E6B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BF9ACD0">
                  <w:pPr>
                    <w:pStyle w:val="31"/>
                  </w:pPr>
                  <w:r>
                    <w:t>18</w:t>
                  </w:r>
                </w:p>
              </w:tc>
              <w:tc>
                <w:tcPr>
                  <w:tcW w:w="2979" w:type="pct"/>
                  <w:vAlign w:val="center"/>
                </w:tcPr>
                <w:p w14:paraId="74678140">
                  <w:pPr>
                    <w:pStyle w:val="31"/>
                    <w:jc w:val="both"/>
                  </w:pPr>
                  <w:r>
                    <w:t>禁止新建、扩建不符合</w:t>
                  </w:r>
                  <w:r>
                    <w:rPr>
                      <w:rFonts w:hint="eastAsia"/>
                    </w:rPr>
                    <w:t>国家</w:t>
                  </w:r>
                  <w:r>
                    <w:t>石化、现代煤化工等产业布局规划的项目。</w:t>
                  </w:r>
                </w:p>
                <w:p w14:paraId="41D65E59">
                  <w:pPr>
                    <w:pStyle w:val="31"/>
                    <w:jc w:val="both"/>
                  </w:pPr>
                  <w:r>
                    <w:rPr>
                      <w:rFonts w:hint="eastAsia"/>
                    </w:rPr>
                    <w:t>（1）</w:t>
                  </w:r>
                  <w:r>
                    <w:t>严格控制新增炼油产能，未列入《石化产业规划布局方案（修订版）》的新增炼油产能一律不得建设。</w:t>
                  </w:r>
                </w:p>
                <w:p w14:paraId="57EE5DF6">
                  <w:pPr>
                    <w:pStyle w:val="31"/>
                    <w:jc w:val="both"/>
                  </w:pPr>
                  <w:r>
                    <w:rPr>
                      <w:rFonts w:hint="eastAsia"/>
                    </w:rPr>
                    <w:t>（2）</w:t>
                  </w:r>
                  <w:r>
                    <w:t>新建煤制烯烃、煤制芳烃项目必须列入《现代煤化工产业创新发展布局方案》，必须符合《现代煤化工建设项目环境准入条件（试行）》要求。</w:t>
                  </w:r>
                </w:p>
              </w:tc>
              <w:tc>
                <w:tcPr>
                  <w:tcW w:w="964" w:type="pct"/>
                  <w:vAlign w:val="center"/>
                </w:tcPr>
                <w:p w14:paraId="6E979A34">
                  <w:pPr>
                    <w:pStyle w:val="31"/>
                    <w:jc w:val="both"/>
                  </w:pPr>
                  <w:r>
                    <w:t>项目</w:t>
                  </w:r>
                  <w:r>
                    <w:rPr>
                      <w:rFonts w:hint="eastAsia"/>
                    </w:rPr>
                    <w:t>不属于</w:t>
                  </w:r>
                  <w:r>
                    <w:t>石化、现代煤化工</w:t>
                  </w:r>
                  <w:r>
                    <w:rPr>
                      <w:rFonts w:hint="eastAsia"/>
                    </w:rPr>
                    <w:t>产业。</w:t>
                  </w:r>
                </w:p>
              </w:tc>
              <w:tc>
                <w:tcPr>
                  <w:tcW w:w="625" w:type="pct"/>
                  <w:vAlign w:val="center"/>
                </w:tcPr>
                <w:p w14:paraId="4903B60D">
                  <w:pPr>
                    <w:pStyle w:val="31"/>
                  </w:pPr>
                  <w:r>
                    <w:t>符合</w:t>
                  </w:r>
                </w:p>
              </w:tc>
            </w:tr>
            <w:tr w14:paraId="395A1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7B6EBADD">
                  <w:pPr>
                    <w:pStyle w:val="31"/>
                  </w:pPr>
                  <w:r>
                    <w:t>19</w:t>
                  </w:r>
                </w:p>
              </w:tc>
              <w:tc>
                <w:tcPr>
                  <w:tcW w:w="2979" w:type="pct"/>
                  <w:vAlign w:val="center"/>
                </w:tcPr>
                <w:p w14:paraId="6203A3E6">
                  <w:pPr>
                    <w:pStyle w:val="31"/>
                    <w:jc w:val="both"/>
                  </w:pPr>
                  <w:r>
                    <w:t>禁止新建、扩建法律法规和相关政策明令禁止的落后产能项目。对《产业结构调整指导目录》中淘汰类项目，禁止投资；限制类的新建项目，禁止投资，对属于限制类的现有生产能力，允许企业在</w:t>
                  </w:r>
                  <w:r>
                    <w:rPr>
                      <w:rFonts w:hint="eastAsia"/>
                    </w:rPr>
                    <w:t>一</w:t>
                  </w:r>
                  <w:r>
                    <w:t>定期限内采取措施改造升级</w:t>
                  </w:r>
                  <w:r>
                    <w:rPr>
                      <w:rFonts w:hint="eastAsia"/>
                    </w:rPr>
                    <w:t>。</w:t>
                  </w:r>
                </w:p>
              </w:tc>
              <w:tc>
                <w:tcPr>
                  <w:tcW w:w="964" w:type="pct"/>
                  <w:vAlign w:val="center"/>
                </w:tcPr>
                <w:p w14:paraId="40B392E2">
                  <w:pPr>
                    <w:pStyle w:val="31"/>
                    <w:jc w:val="both"/>
                  </w:pPr>
                  <w:r>
                    <w:t>项目</w:t>
                  </w:r>
                  <w:r>
                    <w:rPr>
                      <w:rFonts w:hint="eastAsia"/>
                    </w:rPr>
                    <w:t>不属于</w:t>
                  </w:r>
                  <w:r>
                    <w:t>明令禁止的落后产能项目</w:t>
                  </w:r>
                  <w:r>
                    <w:rPr>
                      <w:rFonts w:hint="eastAsia"/>
                    </w:rPr>
                    <w:t>，不属于《产业结构调整指导目录（2024年本）》淘汰类、限制类。</w:t>
                  </w:r>
                </w:p>
              </w:tc>
              <w:tc>
                <w:tcPr>
                  <w:tcW w:w="625" w:type="pct"/>
                  <w:vAlign w:val="center"/>
                </w:tcPr>
                <w:p w14:paraId="4416CA42">
                  <w:pPr>
                    <w:pStyle w:val="31"/>
                  </w:pPr>
                  <w:r>
                    <w:t>符合</w:t>
                  </w:r>
                </w:p>
              </w:tc>
            </w:tr>
            <w:tr w14:paraId="7BD4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5138A9F6">
                  <w:pPr>
                    <w:pStyle w:val="31"/>
                  </w:pPr>
                  <w:r>
                    <w:t>20</w:t>
                  </w:r>
                </w:p>
              </w:tc>
              <w:tc>
                <w:tcPr>
                  <w:tcW w:w="2979" w:type="pct"/>
                  <w:vAlign w:val="center"/>
                </w:tcPr>
                <w:p w14:paraId="05DD13D1">
                  <w:pPr>
                    <w:pStyle w:val="31"/>
                    <w:jc w:val="both"/>
                  </w:pPr>
                  <w:r>
                    <w:t>禁止新建、扩建不符合国家产能置换要求的</w:t>
                  </w:r>
                  <w:r>
                    <w:rPr>
                      <w:rFonts w:hint="eastAsia"/>
                    </w:rPr>
                    <w:t>严</w:t>
                  </w:r>
                  <w:r>
                    <w:t>重过剩产能行业的项目，</w:t>
                  </w:r>
                  <w:r>
                    <w:rPr>
                      <w:rFonts w:hint="eastAsia"/>
                    </w:rPr>
                    <w:t>对于</w:t>
                  </w:r>
                  <w:r>
                    <w:t>不符合国家产能置换要求的严重过剩产能行业，不得以其他任何名义、任何方式备案新增产能项目。</w:t>
                  </w:r>
                </w:p>
              </w:tc>
              <w:tc>
                <w:tcPr>
                  <w:tcW w:w="964" w:type="pct"/>
                  <w:vAlign w:val="center"/>
                </w:tcPr>
                <w:p w14:paraId="0D4DFD6A">
                  <w:pPr>
                    <w:pStyle w:val="31"/>
                    <w:jc w:val="both"/>
                  </w:pPr>
                  <w:r>
                    <w:t>项目不</w:t>
                  </w:r>
                  <w:r>
                    <w:rPr>
                      <w:rFonts w:hint="eastAsia"/>
                    </w:rPr>
                    <w:t>属于严重</w:t>
                  </w:r>
                  <w:r>
                    <w:t>过剩产能行业</w:t>
                  </w:r>
                  <w:r>
                    <w:rPr>
                      <w:rFonts w:hint="eastAsia"/>
                    </w:rPr>
                    <w:t>。</w:t>
                  </w:r>
                </w:p>
              </w:tc>
              <w:tc>
                <w:tcPr>
                  <w:tcW w:w="625" w:type="pct"/>
                  <w:vAlign w:val="center"/>
                </w:tcPr>
                <w:p w14:paraId="03FF7FBD">
                  <w:pPr>
                    <w:pStyle w:val="31"/>
                  </w:pPr>
                  <w:r>
                    <w:t>符合</w:t>
                  </w:r>
                </w:p>
              </w:tc>
            </w:tr>
            <w:tr w14:paraId="6949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12F36FA5">
                  <w:pPr>
                    <w:pStyle w:val="31"/>
                  </w:pPr>
                  <w:r>
                    <w:t>21</w:t>
                  </w:r>
                </w:p>
              </w:tc>
              <w:tc>
                <w:tcPr>
                  <w:tcW w:w="2979" w:type="pct"/>
                  <w:vAlign w:val="center"/>
                </w:tcPr>
                <w:p w14:paraId="200EB8A0">
                  <w:pPr>
                    <w:pStyle w:val="31"/>
                    <w:jc w:val="both"/>
                  </w:pPr>
                  <w:r>
                    <w:t>禁止建设以下燃油汽车投资项目（不在中国境内销售产品的投资项目除外）：</w:t>
                  </w:r>
                </w:p>
                <w:p w14:paraId="6FCDA7FD">
                  <w:pPr>
                    <w:pStyle w:val="31"/>
                    <w:jc w:val="both"/>
                  </w:pPr>
                  <w:r>
                    <w:t>（</w:t>
                  </w:r>
                  <w:r>
                    <w:rPr>
                      <w:rFonts w:hint="eastAsia"/>
                    </w:rPr>
                    <w:t>1</w:t>
                  </w:r>
                  <w:r>
                    <w:t>）新建独立燃油汽车企业；</w:t>
                  </w:r>
                </w:p>
                <w:p w14:paraId="3FB29B42">
                  <w:pPr>
                    <w:pStyle w:val="31"/>
                    <w:jc w:val="both"/>
                  </w:pPr>
                  <w:r>
                    <w:t>（</w:t>
                  </w:r>
                  <w:r>
                    <w:rPr>
                      <w:rFonts w:hint="eastAsia"/>
                    </w:rPr>
                    <w:t>2</w:t>
                  </w:r>
                  <w:r>
                    <w:t>）现有汽车企业跨乘用车、商用车类别建设燃油汽车生产能力；</w:t>
                  </w:r>
                </w:p>
                <w:p w14:paraId="41FB00AD">
                  <w:pPr>
                    <w:pStyle w:val="31"/>
                    <w:jc w:val="both"/>
                  </w:pPr>
                  <w:r>
                    <w:t>（</w:t>
                  </w:r>
                  <w:r>
                    <w:rPr>
                      <w:rFonts w:hint="eastAsia"/>
                    </w:rPr>
                    <w:t>3</w:t>
                  </w:r>
                  <w:r>
                    <w:t>）外省现有燃油汽车企业整体搬迁至本省（列入国家级区域发展规划或不改变企业股权结构的项目除外）；</w:t>
                  </w:r>
                </w:p>
                <w:p w14:paraId="5555D48C">
                  <w:pPr>
                    <w:pStyle w:val="31"/>
                    <w:jc w:val="both"/>
                  </w:pPr>
                  <w:r>
                    <w:t>（</w:t>
                  </w:r>
                  <w:r>
                    <w:rPr>
                      <w:rFonts w:hint="eastAsia"/>
                    </w:rPr>
                    <w:t>4</w:t>
                  </w:r>
                  <w:r>
                    <w:t>）对行业管理部门特别公示的燃油汽车企业进行投资（企业原有股东投资或将该企业转为非独立法人的投资项目除外）。</w:t>
                  </w:r>
                </w:p>
              </w:tc>
              <w:tc>
                <w:tcPr>
                  <w:tcW w:w="964" w:type="pct"/>
                  <w:vAlign w:val="center"/>
                </w:tcPr>
                <w:p w14:paraId="58C7E7AF">
                  <w:pPr>
                    <w:pStyle w:val="31"/>
                    <w:jc w:val="both"/>
                  </w:pPr>
                  <w:r>
                    <w:t>项目不</w:t>
                  </w:r>
                  <w:r>
                    <w:rPr>
                      <w:rFonts w:hint="eastAsia"/>
                    </w:rPr>
                    <w:t>属于汽车制造。</w:t>
                  </w:r>
                </w:p>
              </w:tc>
              <w:tc>
                <w:tcPr>
                  <w:tcW w:w="625" w:type="pct"/>
                  <w:vAlign w:val="center"/>
                </w:tcPr>
                <w:p w14:paraId="081002D6">
                  <w:pPr>
                    <w:pStyle w:val="31"/>
                  </w:pPr>
                  <w:r>
                    <w:t>符合</w:t>
                  </w:r>
                </w:p>
              </w:tc>
            </w:tr>
            <w:tr w14:paraId="76F3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4687F7A6">
                  <w:pPr>
                    <w:pStyle w:val="31"/>
                  </w:pPr>
                  <w:r>
                    <w:t>22</w:t>
                  </w:r>
                </w:p>
              </w:tc>
              <w:tc>
                <w:tcPr>
                  <w:tcW w:w="2979" w:type="pct"/>
                  <w:vAlign w:val="center"/>
                </w:tcPr>
                <w:p w14:paraId="69347FA2">
                  <w:pPr>
                    <w:pStyle w:val="31"/>
                    <w:jc w:val="both"/>
                  </w:pPr>
                  <w:r>
                    <w:t>禁止新建、扩建不符合要求的高耗能、高排放、低水平项目。</w:t>
                  </w:r>
                </w:p>
              </w:tc>
              <w:tc>
                <w:tcPr>
                  <w:tcW w:w="964" w:type="pct"/>
                  <w:vAlign w:val="center"/>
                </w:tcPr>
                <w:p w14:paraId="1E114C03">
                  <w:pPr>
                    <w:pStyle w:val="31"/>
                    <w:jc w:val="both"/>
                  </w:pPr>
                  <w:r>
                    <w:t>项目不</w:t>
                  </w:r>
                  <w:r>
                    <w:rPr>
                      <w:rFonts w:hint="eastAsia"/>
                    </w:rPr>
                    <w:t>属于</w:t>
                  </w:r>
                  <w:r>
                    <w:t>高耗能、高排放、低水平项目。</w:t>
                  </w:r>
                </w:p>
              </w:tc>
              <w:tc>
                <w:tcPr>
                  <w:tcW w:w="625" w:type="pct"/>
                  <w:vAlign w:val="center"/>
                </w:tcPr>
                <w:p w14:paraId="189DC09F">
                  <w:pPr>
                    <w:pStyle w:val="31"/>
                  </w:pPr>
                  <w:r>
                    <w:t>符合</w:t>
                  </w:r>
                </w:p>
              </w:tc>
            </w:tr>
          </w:tbl>
          <w:p w14:paraId="4E6C4465">
            <w:pPr>
              <w:spacing w:line="360" w:lineRule="auto"/>
              <w:ind w:firstLine="480" w:firstLineChars="200"/>
              <w:rPr>
                <w:rFonts w:cstheme="minorHAnsi"/>
                <w:sz w:val="24"/>
                <w:szCs w:val="24"/>
              </w:rPr>
            </w:pPr>
            <w:r>
              <w:rPr>
                <w:rFonts w:hint="eastAsia" w:cstheme="minorHAnsi"/>
                <w:sz w:val="24"/>
                <w:szCs w:val="24"/>
              </w:rPr>
              <w:t>因此，本项目未列入《四川省、重庆市长江经济带发展负面清单实施细则（试行，2022年版）》，符合相关要求。</w:t>
            </w:r>
          </w:p>
          <w:p w14:paraId="6E539D34">
            <w:pPr>
              <w:spacing w:line="360" w:lineRule="auto"/>
              <w:ind w:firstLine="482" w:firstLineChars="200"/>
              <w:rPr>
                <w:rFonts w:cstheme="minorHAnsi"/>
                <w:sz w:val="24"/>
                <w:szCs w:val="24"/>
              </w:rPr>
            </w:pPr>
            <w:r>
              <w:rPr>
                <w:rFonts w:hint="eastAsia" w:cs="Times New Roman"/>
                <w:b/>
                <w:sz w:val="24"/>
                <w:szCs w:val="24"/>
              </w:rPr>
              <w:t>4、与《四川省嘉陵江流域生态环境保护条例》符合性</w:t>
            </w:r>
          </w:p>
          <w:p w14:paraId="66FD64D0">
            <w:pPr>
              <w:spacing w:line="360" w:lineRule="auto"/>
              <w:ind w:firstLine="480" w:firstLineChars="200"/>
              <w:rPr>
                <w:rFonts w:cstheme="minorHAnsi"/>
                <w:sz w:val="24"/>
                <w:szCs w:val="24"/>
              </w:rPr>
            </w:pPr>
            <w:r>
              <w:rPr>
                <w:rFonts w:hint="eastAsia" w:cstheme="minorHAnsi"/>
                <w:sz w:val="24"/>
                <w:szCs w:val="24"/>
              </w:rPr>
              <w:t>根据《四川省嘉陵江流域生态环境保护条例》，本项目符合性分析见下表。</w:t>
            </w:r>
          </w:p>
          <w:p w14:paraId="22116252">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项目与四川省嘉陵江流域生态环境保护条例符合性</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5078"/>
              <w:gridCol w:w="1452"/>
              <w:gridCol w:w="1036"/>
            </w:tblGrid>
            <w:tr w14:paraId="379E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2" w:type="pct"/>
                  <w:vAlign w:val="center"/>
                </w:tcPr>
                <w:p w14:paraId="0FF5A6B4">
                  <w:pPr>
                    <w:pStyle w:val="31"/>
                  </w:pPr>
                  <w:r>
                    <w:t>序号</w:t>
                  </w:r>
                </w:p>
              </w:tc>
              <w:tc>
                <w:tcPr>
                  <w:tcW w:w="3066" w:type="pct"/>
                  <w:vAlign w:val="center"/>
                </w:tcPr>
                <w:p w14:paraId="5E0902BB">
                  <w:pPr>
                    <w:pStyle w:val="31"/>
                  </w:pPr>
                  <w:r>
                    <w:rPr>
                      <w:rFonts w:hint="eastAsia"/>
                    </w:rPr>
                    <w:t>《四川省嘉陵江流域生态环境保护条例》相关</w:t>
                  </w:r>
                  <w:r>
                    <w:t>要求</w:t>
                  </w:r>
                </w:p>
              </w:tc>
              <w:tc>
                <w:tcPr>
                  <w:tcW w:w="877" w:type="pct"/>
                  <w:vAlign w:val="center"/>
                </w:tcPr>
                <w:p w14:paraId="1ABABABE">
                  <w:pPr>
                    <w:pStyle w:val="31"/>
                  </w:pPr>
                  <w:r>
                    <w:t>本项目</w:t>
                  </w:r>
                  <w:r>
                    <w:rPr>
                      <w:rFonts w:hint="eastAsia"/>
                    </w:rPr>
                    <w:t>情况</w:t>
                  </w:r>
                </w:p>
              </w:tc>
              <w:tc>
                <w:tcPr>
                  <w:tcW w:w="625" w:type="pct"/>
                  <w:vAlign w:val="center"/>
                </w:tcPr>
                <w:p w14:paraId="089AD9B4">
                  <w:pPr>
                    <w:pStyle w:val="31"/>
                  </w:pPr>
                  <w:r>
                    <w:t>符合性</w:t>
                  </w:r>
                </w:p>
              </w:tc>
            </w:tr>
            <w:tr w14:paraId="3CA4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5550C5AF">
                  <w:pPr>
                    <w:pStyle w:val="31"/>
                  </w:pPr>
                  <w:r>
                    <w:t>1</w:t>
                  </w:r>
                </w:p>
              </w:tc>
              <w:tc>
                <w:tcPr>
                  <w:tcW w:w="3066" w:type="pct"/>
                  <w:vAlign w:val="center"/>
                </w:tcPr>
                <w:p w14:paraId="16BCADB5">
                  <w:pPr>
                    <w:pStyle w:val="31"/>
                    <w:jc w:val="both"/>
                  </w:pPr>
                  <w:r>
                    <w:rPr>
                      <w:rFonts w:hint="eastAsia"/>
                    </w:rPr>
                    <w:t>第十七条 ...禁止在嘉陵江干支流岸线一公里范围内新建、扩建化工园区和化工项目。</w:t>
                  </w:r>
                </w:p>
              </w:tc>
              <w:tc>
                <w:tcPr>
                  <w:tcW w:w="877" w:type="pct"/>
                  <w:vAlign w:val="center"/>
                </w:tcPr>
                <w:p w14:paraId="5F60B824">
                  <w:pPr>
                    <w:pStyle w:val="31"/>
                    <w:jc w:val="both"/>
                  </w:pPr>
                  <w:r>
                    <w:t>项目</w:t>
                  </w:r>
                  <w:r>
                    <w:rPr>
                      <w:rFonts w:hint="eastAsia"/>
                    </w:rPr>
                    <w:t>不属于化工项目。</w:t>
                  </w:r>
                </w:p>
              </w:tc>
              <w:tc>
                <w:tcPr>
                  <w:tcW w:w="625" w:type="pct"/>
                  <w:vAlign w:val="center"/>
                </w:tcPr>
                <w:p w14:paraId="1C85308C">
                  <w:pPr>
                    <w:pStyle w:val="31"/>
                  </w:pPr>
                  <w:r>
                    <w:t>符合</w:t>
                  </w:r>
                </w:p>
              </w:tc>
            </w:tr>
            <w:tr w14:paraId="68C6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386AC6C6">
                  <w:pPr>
                    <w:pStyle w:val="31"/>
                  </w:pPr>
                  <w:r>
                    <w:rPr>
                      <w:rFonts w:hint="eastAsia"/>
                    </w:rPr>
                    <w:t>2</w:t>
                  </w:r>
                </w:p>
              </w:tc>
              <w:tc>
                <w:tcPr>
                  <w:tcW w:w="3066" w:type="pct"/>
                  <w:vAlign w:val="center"/>
                </w:tcPr>
                <w:p w14:paraId="735862AF">
                  <w:pPr>
                    <w:pStyle w:val="31"/>
                    <w:jc w:val="both"/>
                  </w:pPr>
                  <w:r>
                    <w:rPr>
                      <w:rFonts w:hint="eastAsia"/>
                    </w:rPr>
                    <w:t>第四十一条 ...禁止在嘉陵江流域水土流失严重、生态脆弱的区域开展可能造成水土流失的生产建设活动。确因国家发展战略和国计民生需要建设的，应当经科学论证，并依法办理审批手续。</w:t>
                  </w:r>
                </w:p>
              </w:tc>
              <w:tc>
                <w:tcPr>
                  <w:tcW w:w="877" w:type="pct"/>
                  <w:vAlign w:val="center"/>
                </w:tcPr>
                <w:p w14:paraId="20CEBBBA">
                  <w:pPr>
                    <w:pStyle w:val="31"/>
                    <w:jc w:val="both"/>
                  </w:pPr>
                  <w:r>
                    <w:rPr>
                      <w:rFonts w:hint="eastAsia"/>
                    </w:rPr>
                    <w:t>项目不在水土流失严重、生态脆弱的区域。</w:t>
                  </w:r>
                </w:p>
              </w:tc>
              <w:tc>
                <w:tcPr>
                  <w:tcW w:w="625" w:type="pct"/>
                  <w:vAlign w:val="center"/>
                </w:tcPr>
                <w:p w14:paraId="360494A1">
                  <w:pPr>
                    <w:pStyle w:val="31"/>
                  </w:pPr>
                  <w:r>
                    <w:t>符合</w:t>
                  </w:r>
                </w:p>
              </w:tc>
            </w:tr>
            <w:tr w14:paraId="2F56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086CCE32">
                  <w:pPr>
                    <w:pStyle w:val="31"/>
                  </w:pPr>
                  <w:r>
                    <w:rPr>
                      <w:rFonts w:hint="eastAsia"/>
                    </w:rPr>
                    <w:t>3</w:t>
                  </w:r>
                </w:p>
              </w:tc>
              <w:tc>
                <w:tcPr>
                  <w:tcW w:w="3066" w:type="pct"/>
                  <w:vAlign w:val="center"/>
                </w:tcPr>
                <w:p w14:paraId="512F137A">
                  <w:pPr>
                    <w:pStyle w:val="31"/>
                    <w:jc w:val="both"/>
                  </w:pPr>
                  <w:r>
                    <w:rPr>
                      <w:rFonts w:hint="eastAsia"/>
                    </w:rPr>
                    <w:t>第五十八条 ...公共污水管网覆盖区域内，从事工业、建筑、餐饮、医疗、洗车、洗衣、洗浴、美容美发等活动的企业事业单位和其他生产经营者排放污水的，应当将雨水、污水分别排入公共雨水、污水管网及其附属设施，有关主管部门应当推动行业经营者设置隔油池等污水预处理设施。</w:t>
                  </w:r>
                </w:p>
              </w:tc>
              <w:tc>
                <w:tcPr>
                  <w:tcW w:w="877" w:type="pct"/>
                  <w:vAlign w:val="center"/>
                </w:tcPr>
                <w:p w14:paraId="160B1BD2">
                  <w:pPr>
                    <w:pStyle w:val="31"/>
                    <w:jc w:val="both"/>
                  </w:pPr>
                  <w:r>
                    <w:rPr>
                      <w:rFonts w:hint="eastAsia"/>
                    </w:rPr>
                    <w:t>项目排水采用雨、污分流制，雨水排入园区雨水管网，污水经预处理达标后排入园区污水管网。</w:t>
                  </w:r>
                </w:p>
              </w:tc>
              <w:tc>
                <w:tcPr>
                  <w:tcW w:w="625" w:type="pct"/>
                  <w:vAlign w:val="center"/>
                </w:tcPr>
                <w:p w14:paraId="4336FB5D">
                  <w:pPr>
                    <w:pStyle w:val="31"/>
                  </w:pPr>
                  <w:r>
                    <w:t>符合</w:t>
                  </w:r>
                </w:p>
              </w:tc>
            </w:tr>
            <w:tr w14:paraId="079E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29A47291">
                  <w:pPr>
                    <w:pStyle w:val="31"/>
                  </w:pPr>
                  <w:r>
                    <w:rPr>
                      <w:rFonts w:hint="eastAsia"/>
                    </w:rPr>
                    <w:t>4</w:t>
                  </w:r>
                </w:p>
              </w:tc>
              <w:tc>
                <w:tcPr>
                  <w:tcW w:w="3066" w:type="pct"/>
                  <w:vAlign w:val="center"/>
                </w:tcPr>
                <w:p w14:paraId="24CBEDE2">
                  <w:pPr>
                    <w:pStyle w:val="31"/>
                    <w:jc w:val="both"/>
                  </w:pPr>
                  <w:r>
                    <w:rPr>
                      <w:rFonts w:hint="eastAsia"/>
                    </w:rPr>
                    <w:t>第六十七条 嘉陵江流域县级以上地方人民政府应当根据国土空间规划和本行政区域的资源环境承载能力与水环境质量改善目标等要求，合理规划工业布局，引导现有工业企业入驻工业集聚区。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排污单位对污水进行预处理后向污水集中处理设施排放的，应当符合污水集中处理设施的接纳标准。</w:t>
                  </w:r>
                </w:p>
              </w:tc>
              <w:tc>
                <w:tcPr>
                  <w:tcW w:w="877" w:type="pct"/>
                  <w:vAlign w:val="center"/>
                </w:tcPr>
                <w:p w14:paraId="3E71BC56">
                  <w:pPr>
                    <w:pStyle w:val="31"/>
                    <w:jc w:val="both"/>
                  </w:pPr>
                  <w:r>
                    <w:rPr>
                      <w:rFonts w:hint="eastAsia"/>
                    </w:rPr>
                    <w:t>项目位于四川大英经济开发区，不属于高污染项目，污水经预处理后符合园区污水处理厂接纳标准。</w:t>
                  </w:r>
                </w:p>
              </w:tc>
              <w:tc>
                <w:tcPr>
                  <w:tcW w:w="625" w:type="pct"/>
                  <w:vAlign w:val="center"/>
                </w:tcPr>
                <w:p w14:paraId="2C5302CA">
                  <w:pPr>
                    <w:pStyle w:val="31"/>
                  </w:pPr>
                  <w:r>
                    <w:t>符合</w:t>
                  </w:r>
                </w:p>
              </w:tc>
            </w:tr>
            <w:tr w14:paraId="652DB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vAlign w:val="center"/>
                </w:tcPr>
                <w:p w14:paraId="6A20B569">
                  <w:pPr>
                    <w:pStyle w:val="31"/>
                  </w:pPr>
                  <w:r>
                    <w:rPr>
                      <w:rFonts w:hint="eastAsia"/>
                    </w:rPr>
                    <w:t>5</w:t>
                  </w:r>
                </w:p>
              </w:tc>
              <w:tc>
                <w:tcPr>
                  <w:tcW w:w="3066" w:type="pct"/>
                  <w:vAlign w:val="center"/>
                </w:tcPr>
                <w:p w14:paraId="03DC78EE">
                  <w:pPr>
                    <w:pStyle w:val="31"/>
                    <w:jc w:val="both"/>
                  </w:pPr>
                  <w:r>
                    <w:rPr>
                      <w:rFonts w:hint="eastAsia"/>
                    </w:rPr>
                    <w:t>第七十三条 嘉陵江流域县级以上地方人民政府应当加强对固体废物非法转移和倾倒的管控。禁止在嘉陵江流域河湖管理范围内倾倒、填埋、堆放、弃置、处理固体废物。</w:t>
                  </w:r>
                </w:p>
              </w:tc>
              <w:tc>
                <w:tcPr>
                  <w:tcW w:w="877" w:type="pct"/>
                  <w:vAlign w:val="center"/>
                </w:tcPr>
                <w:p w14:paraId="3C17F8A2">
                  <w:pPr>
                    <w:pStyle w:val="31"/>
                    <w:jc w:val="both"/>
                  </w:pPr>
                  <w:r>
                    <w:rPr>
                      <w:rFonts w:hint="eastAsia"/>
                    </w:rPr>
                    <w:t>项目不涉及。</w:t>
                  </w:r>
                </w:p>
              </w:tc>
              <w:tc>
                <w:tcPr>
                  <w:tcW w:w="625" w:type="pct"/>
                  <w:vAlign w:val="center"/>
                </w:tcPr>
                <w:p w14:paraId="7EAA4533">
                  <w:pPr>
                    <w:pStyle w:val="31"/>
                  </w:pPr>
                  <w:r>
                    <w:t>符合</w:t>
                  </w:r>
                </w:p>
              </w:tc>
            </w:tr>
            <w:tr w14:paraId="7992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2" w:type="pct"/>
                  <w:vAlign w:val="center"/>
                </w:tcPr>
                <w:p w14:paraId="55ACBBEE">
                  <w:pPr>
                    <w:pStyle w:val="31"/>
                  </w:pPr>
                  <w:r>
                    <w:rPr>
                      <w:rFonts w:hint="eastAsia"/>
                    </w:rPr>
                    <w:t>6</w:t>
                  </w:r>
                </w:p>
              </w:tc>
              <w:tc>
                <w:tcPr>
                  <w:tcW w:w="3066" w:type="pct"/>
                  <w:vAlign w:val="center"/>
                </w:tcPr>
                <w:p w14:paraId="5EB274A6">
                  <w:pPr>
                    <w:pStyle w:val="31"/>
                    <w:jc w:val="both"/>
                  </w:pPr>
                  <w:r>
                    <w:rPr>
                      <w:rFonts w:hint="eastAsia"/>
                    </w:rPr>
                    <w:t>第七十七条 嘉陵江流域县级以上地方人民政府应当按照长江流域发展规划、国土空间规划的要求，调整产业结构，优化产业布局，推进嘉陵江流域绿色发展。...禁止在嘉陵江流域重点生态功能区布局对生态系统有严重影响的产业。禁止重污染企业和项目向嘉陵江流域转移。</w:t>
                  </w:r>
                </w:p>
              </w:tc>
              <w:tc>
                <w:tcPr>
                  <w:tcW w:w="877" w:type="pct"/>
                  <w:vAlign w:val="center"/>
                </w:tcPr>
                <w:p w14:paraId="7F31E050">
                  <w:pPr>
                    <w:pStyle w:val="31"/>
                    <w:jc w:val="both"/>
                  </w:pPr>
                  <w:r>
                    <w:rPr>
                      <w:rFonts w:hint="eastAsia"/>
                    </w:rPr>
                    <w:t>项目符合《大英县国土空间总体规划（2021-2035年）》，不属于重点生态功能区和重污染企业。</w:t>
                  </w:r>
                </w:p>
              </w:tc>
              <w:tc>
                <w:tcPr>
                  <w:tcW w:w="625" w:type="pct"/>
                  <w:vAlign w:val="center"/>
                </w:tcPr>
                <w:p w14:paraId="37775F5D">
                  <w:pPr>
                    <w:pStyle w:val="31"/>
                  </w:pPr>
                  <w:r>
                    <w:t>符合</w:t>
                  </w:r>
                </w:p>
              </w:tc>
            </w:tr>
            <w:tr w14:paraId="2086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2" w:type="pct"/>
                  <w:vAlign w:val="center"/>
                </w:tcPr>
                <w:p w14:paraId="2A71E60D">
                  <w:pPr>
                    <w:pStyle w:val="31"/>
                  </w:pPr>
                  <w:r>
                    <w:rPr>
                      <w:rFonts w:hint="eastAsia"/>
                    </w:rPr>
                    <w:t>7</w:t>
                  </w:r>
                </w:p>
              </w:tc>
              <w:tc>
                <w:tcPr>
                  <w:tcW w:w="3066" w:type="pct"/>
                  <w:vAlign w:val="center"/>
                </w:tcPr>
                <w:p w14:paraId="6E933E29">
                  <w:pPr>
                    <w:pStyle w:val="31"/>
                    <w:jc w:val="both"/>
                  </w:pPr>
                  <w:r>
                    <w:rPr>
                      <w:rFonts w:hint="eastAsia"/>
                    </w:rPr>
                    <w:t>第八十条 嘉陵江流域县级以上地方人民政府应当依法依规限期淘汰严重污染水环境的落后工艺和设备。</w:t>
                  </w:r>
                </w:p>
              </w:tc>
              <w:tc>
                <w:tcPr>
                  <w:tcW w:w="877" w:type="pct"/>
                  <w:vAlign w:val="center"/>
                </w:tcPr>
                <w:p w14:paraId="21C4A900">
                  <w:pPr>
                    <w:pStyle w:val="31"/>
                    <w:jc w:val="both"/>
                  </w:pPr>
                  <w:r>
                    <w:rPr>
                      <w:rFonts w:hint="eastAsia"/>
                    </w:rPr>
                    <w:t>项目不涉及落后的工艺和设备。</w:t>
                  </w:r>
                </w:p>
              </w:tc>
              <w:tc>
                <w:tcPr>
                  <w:tcW w:w="625" w:type="pct"/>
                  <w:vAlign w:val="center"/>
                </w:tcPr>
                <w:p w14:paraId="10943374">
                  <w:pPr>
                    <w:pStyle w:val="31"/>
                  </w:pPr>
                  <w:r>
                    <w:t>符合</w:t>
                  </w:r>
                </w:p>
              </w:tc>
            </w:tr>
            <w:tr w14:paraId="658C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32" w:type="pct"/>
                  <w:vAlign w:val="center"/>
                </w:tcPr>
                <w:p w14:paraId="46BD652F">
                  <w:pPr>
                    <w:pStyle w:val="31"/>
                  </w:pPr>
                  <w:r>
                    <w:rPr>
                      <w:rFonts w:hint="eastAsia"/>
                    </w:rPr>
                    <w:t>8</w:t>
                  </w:r>
                </w:p>
              </w:tc>
              <w:tc>
                <w:tcPr>
                  <w:tcW w:w="3066" w:type="pct"/>
                  <w:vAlign w:val="center"/>
                </w:tcPr>
                <w:p w14:paraId="6ADF91A4">
                  <w:pPr>
                    <w:pStyle w:val="31"/>
                    <w:jc w:val="both"/>
                  </w:pPr>
                  <w:r>
                    <w:rPr>
                      <w:rFonts w:hint="eastAsia"/>
                    </w:rPr>
                    <w:t>第八十一条 ...鼓励企业事业单位和其他生产经营者配套建设工业用水回收利用设施和中水回用管网设施，采取循环用水、综合利用以及废水处理回用等措施，提高水的重复利用率。</w:t>
                  </w:r>
                </w:p>
              </w:tc>
              <w:tc>
                <w:tcPr>
                  <w:tcW w:w="877" w:type="pct"/>
                  <w:vAlign w:val="center"/>
                </w:tcPr>
                <w:p w14:paraId="1DE32B0E">
                  <w:pPr>
                    <w:pStyle w:val="31"/>
                    <w:jc w:val="both"/>
                  </w:pPr>
                  <w:r>
                    <w:rPr>
                      <w:rFonts w:hint="eastAsia"/>
                    </w:rPr>
                    <w:t>项目冷却水循环使用，定期补充新鲜水。</w:t>
                  </w:r>
                </w:p>
              </w:tc>
              <w:tc>
                <w:tcPr>
                  <w:tcW w:w="625" w:type="pct"/>
                  <w:vAlign w:val="center"/>
                </w:tcPr>
                <w:p w14:paraId="2EF76FE9">
                  <w:pPr>
                    <w:pStyle w:val="31"/>
                  </w:pPr>
                  <w:r>
                    <w:t>符合</w:t>
                  </w:r>
                </w:p>
              </w:tc>
            </w:tr>
          </w:tbl>
          <w:p w14:paraId="5A75D13B">
            <w:pPr>
              <w:spacing w:line="360" w:lineRule="auto"/>
              <w:ind w:firstLine="480" w:firstLineChars="200"/>
              <w:rPr>
                <w:rFonts w:cstheme="minorHAnsi"/>
                <w:sz w:val="24"/>
                <w:szCs w:val="24"/>
              </w:rPr>
            </w:pPr>
            <w:r>
              <w:rPr>
                <w:rFonts w:hint="eastAsia" w:cstheme="minorHAnsi"/>
                <w:sz w:val="24"/>
                <w:szCs w:val="24"/>
              </w:rPr>
              <w:t>因此，本项目符合《四川省嘉陵江流域生态环境保护条例》中相关要求。</w:t>
            </w:r>
          </w:p>
          <w:p w14:paraId="3C54DE5C">
            <w:pPr>
              <w:spacing w:line="360" w:lineRule="auto"/>
              <w:ind w:firstLine="482" w:firstLineChars="200"/>
              <w:rPr>
                <w:rFonts w:cstheme="minorHAnsi"/>
                <w:sz w:val="24"/>
                <w:szCs w:val="24"/>
              </w:rPr>
            </w:pPr>
            <w:r>
              <w:rPr>
                <w:rFonts w:hint="eastAsia" w:cs="Times New Roman"/>
                <w:b/>
                <w:sz w:val="24"/>
                <w:szCs w:val="24"/>
              </w:rPr>
              <w:t>5、与大气污染防治相关法律、政策符合性</w:t>
            </w:r>
          </w:p>
          <w:p w14:paraId="3C3BB5B3">
            <w:pPr>
              <w:spacing w:line="360" w:lineRule="auto"/>
              <w:ind w:firstLine="480" w:firstLineChars="200"/>
              <w:rPr>
                <w:rFonts w:cstheme="minorHAnsi"/>
                <w:sz w:val="24"/>
                <w:szCs w:val="24"/>
              </w:rPr>
            </w:pPr>
            <w:r>
              <w:rPr>
                <w:rFonts w:hint="eastAsia" w:cstheme="minorHAnsi"/>
                <w:sz w:val="24"/>
                <w:szCs w:val="24"/>
              </w:rPr>
              <w:t>根据《中华人民共和国大气污染防治法》、《空气质量持续改善行动计划》（国发〔2023〕24号）、《挥发性有机物（VOCs）污染防治技术政策》（公告2013年第31号）、《重点行业挥发性有机物综合治理方案》（环大气〔2019〕53号）、《挥发性有机物无组织排放控制标准》（</w:t>
            </w:r>
            <w:r>
              <w:rPr>
                <w:rFonts w:cstheme="minorHAnsi"/>
                <w:sz w:val="24"/>
                <w:szCs w:val="24"/>
              </w:rPr>
              <w:t>GB37822</w:t>
            </w:r>
            <w:r>
              <w:rPr>
                <w:rFonts w:hint="eastAsia" w:cstheme="minorHAnsi"/>
                <w:sz w:val="24"/>
                <w:szCs w:val="24"/>
              </w:rPr>
              <w:t>-</w:t>
            </w:r>
            <w:r>
              <w:rPr>
                <w:rFonts w:cstheme="minorHAnsi"/>
                <w:sz w:val="24"/>
                <w:szCs w:val="24"/>
              </w:rPr>
              <w:t>2019</w:t>
            </w:r>
            <w:r>
              <w:rPr>
                <w:rFonts w:hint="eastAsia" w:cstheme="minorHAnsi"/>
                <w:sz w:val="24"/>
                <w:szCs w:val="24"/>
              </w:rPr>
              <w:t>）、《四川省打赢蓝天保卫战实施方案》（川府发〔2019〕4号）、《四川省空气质量持续改善行动计划实施方案》（川府发〔2024〕15号）等大气污染防治相关法律、政策的有关要求，本项目符合性分析见下表。</w:t>
            </w:r>
          </w:p>
          <w:p w14:paraId="47D02B15">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项目与大气污染防治相关法律、政策符合性</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3631"/>
              <w:gridCol w:w="2323"/>
              <w:gridCol w:w="897"/>
            </w:tblGrid>
            <w:tr w14:paraId="0523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14:paraId="04E1B937">
                  <w:pPr>
                    <w:jc w:val="center"/>
                    <w:rPr>
                      <w:szCs w:val="21"/>
                    </w:rPr>
                  </w:pPr>
                  <w:r>
                    <w:rPr>
                      <w:rFonts w:hint="eastAsia"/>
                      <w:szCs w:val="21"/>
                    </w:rPr>
                    <w:t>法律、政策</w:t>
                  </w:r>
                </w:p>
              </w:tc>
              <w:tc>
                <w:tcPr>
                  <w:tcW w:w="2190" w:type="pct"/>
                  <w:vAlign w:val="center"/>
                </w:tcPr>
                <w:p w14:paraId="628B1FDC">
                  <w:pPr>
                    <w:jc w:val="center"/>
                    <w:rPr>
                      <w:szCs w:val="21"/>
                    </w:rPr>
                  </w:pPr>
                  <w:r>
                    <w:rPr>
                      <w:rFonts w:hint="eastAsia"/>
                      <w:szCs w:val="21"/>
                    </w:rPr>
                    <w:t>相关要求</w:t>
                  </w:r>
                </w:p>
              </w:tc>
              <w:tc>
                <w:tcPr>
                  <w:tcW w:w="1401" w:type="pct"/>
                  <w:vAlign w:val="center"/>
                </w:tcPr>
                <w:p w14:paraId="0E52338F">
                  <w:pPr>
                    <w:jc w:val="center"/>
                    <w:rPr>
                      <w:szCs w:val="21"/>
                    </w:rPr>
                  </w:pPr>
                  <w:r>
                    <w:rPr>
                      <w:rFonts w:hint="eastAsia"/>
                      <w:szCs w:val="21"/>
                    </w:rPr>
                    <w:t>本项目情况</w:t>
                  </w:r>
                </w:p>
              </w:tc>
              <w:tc>
                <w:tcPr>
                  <w:tcW w:w="541" w:type="pct"/>
                  <w:vAlign w:val="center"/>
                </w:tcPr>
                <w:p w14:paraId="0290B95D">
                  <w:pPr>
                    <w:jc w:val="center"/>
                    <w:rPr>
                      <w:szCs w:val="21"/>
                    </w:rPr>
                  </w:pPr>
                  <w:r>
                    <w:rPr>
                      <w:rFonts w:hint="eastAsia"/>
                      <w:szCs w:val="21"/>
                    </w:rPr>
                    <w:t>符合性</w:t>
                  </w:r>
                </w:p>
              </w:tc>
            </w:tr>
            <w:tr w14:paraId="747E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Align w:val="center"/>
                </w:tcPr>
                <w:p w14:paraId="4A3DBEBF">
                  <w:pPr>
                    <w:jc w:val="center"/>
                    <w:rPr>
                      <w:szCs w:val="21"/>
                    </w:rPr>
                  </w:pPr>
                  <w:r>
                    <w:rPr>
                      <w:rFonts w:hint="eastAsia"/>
                      <w:szCs w:val="21"/>
                    </w:rPr>
                    <w:t>《中华人民共和国大气污染防治法》</w:t>
                  </w:r>
                </w:p>
              </w:tc>
              <w:tc>
                <w:tcPr>
                  <w:tcW w:w="2190" w:type="pct"/>
                  <w:vAlign w:val="center"/>
                </w:tcPr>
                <w:p w14:paraId="3DCB928C">
                  <w:pPr>
                    <w:rPr>
                      <w:szCs w:val="21"/>
                    </w:rPr>
                  </w:pPr>
                  <w:r>
                    <w:rPr>
                      <w:rFonts w:hint="eastAsia"/>
                      <w:bCs/>
                    </w:rPr>
                    <w:t>第四十五条 产生含挥发性有机物废气的生产和服务活动，应当在密闭空间或者设备中进行，并按照规定安装、使用污染防治设施；无法密闭的，应当采取措施减少废气排放。</w:t>
                  </w:r>
                </w:p>
              </w:tc>
              <w:tc>
                <w:tcPr>
                  <w:tcW w:w="1401" w:type="pct"/>
                  <w:vAlign w:val="center"/>
                </w:tcPr>
                <w:p w14:paraId="45C1E85D">
                  <w:pPr>
                    <w:rPr>
                      <w:szCs w:val="21"/>
                    </w:rPr>
                  </w:pPr>
                  <w:r>
                    <w:rPr>
                      <w:rFonts w:hint="eastAsia"/>
                      <w:szCs w:val="21"/>
                    </w:rPr>
                    <w:t>项目丝印/热转印设于密闭印刷间，设负压抽风系统收集；注塑成型机上方设集气罩+软帘收集，挥发性有机物废气采取1套二级活性炭吸附装置处理。</w:t>
                  </w:r>
                </w:p>
              </w:tc>
              <w:tc>
                <w:tcPr>
                  <w:tcW w:w="541" w:type="pct"/>
                  <w:vAlign w:val="center"/>
                </w:tcPr>
                <w:p w14:paraId="3AFC1A04">
                  <w:pPr>
                    <w:jc w:val="center"/>
                    <w:rPr>
                      <w:szCs w:val="21"/>
                    </w:rPr>
                  </w:pPr>
                  <w:r>
                    <w:rPr>
                      <w:rFonts w:hint="eastAsia"/>
                      <w:szCs w:val="21"/>
                    </w:rPr>
                    <w:t>符合</w:t>
                  </w:r>
                </w:p>
              </w:tc>
            </w:tr>
            <w:tr w14:paraId="30155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14:paraId="1F101D54">
                  <w:pPr>
                    <w:jc w:val="center"/>
                    <w:rPr>
                      <w:szCs w:val="21"/>
                    </w:rPr>
                  </w:pPr>
                  <w:r>
                    <w:rPr>
                      <w:rFonts w:hint="eastAsia"/>
                    </w:rPr>
                    <w:t>《空气质量持续改善行动计划》</w:t>
                  </w:r>
                </w:p>
              </w:tc>
              <w:tc>
                <w:tcPr>
                  <w:tcW w:w="2190" w:type="pct"/>
                  <w:vAlign w:val="center"/>
                </w:tcPr>
                <w:p w14:paraId="4841F143">
                  <w:pPr>
                    <w:rPr>
                      <w:bCs/>
                    </w:rPr>
                  </w:pPr>
                  <w:r>
                    <w:rPr>
                      <w:rFonts w:hint="eastAsia"/>
                      <w:bCs/>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401" w:type="pct"/>
                  <w:vAlign w:val="center"/>
                </w:tcPr>
                <w:p w14:paraId="24D177B3">
                  <w:pPr>
                    <w:rPr>
                      <w:szCs w:val="21"/>
                    </w:rPr>
                  </w:pPr>
                  <w:r>
                    <w:rPr>
                      <w:rFonts w:hint="eastAsia"/>
                    </w:rPr>
                    <w:t>项目不属于</w:t>
                  </w:r>
                  <w:r>
                    <w:rPr>
                      <w:rFonts w:hint="eastAsia"/>
                      <w:bCs/>
                    </w:rPr>
                    <w:t>高耗能、高排放、低水平项目。</w:t>
                  </w:r>
                </w:p>
              </w:tc>
              <w:tc>
                <w:tcPr>
                  <w:tcW w:w="541" w:type="pct"/>
                  <w:vAlign w:val="center"/>
                </w:tcPr>
                <w:p w14:paraId="12E9D822">
                  <w:pPr>
                    <w:jc w:val="center"/>
                    <w:rPr>
                      <w:szCs w:val="21"/>
                    </w:rPr>
                  </w:pPr>
                  <w:r>
                    <w:rPr>
                      <w:rFonts w:hint="eastAsia"/>
                    </w:rPr>
                    <w:t>符合</w:t>
                  </w:r>
                </w:p>
              </w:tc>
            </w:tr>
            <w:tr w14:paraId="5780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1FCA99F4">
                  <w:pPr>
                    <w:jc w:val="center"/>
                    <w:rPr>
                      <w:szCs w:val="21"/>
                    </w:rPr>
                  </w:pPr>
                </w:p>
              </w:tc>
              <w:tc>
                <w:tcPr>
                  <w:tcW w:w="2190" w:type="pct"/>
                  <w:vAlign w:val="center"/>
                </w:tcPr>
                <w:p w14:paraId="3A80F25E">
                  <w:pPr>
                    <w:rPr>
                      <w:bCs/>
                    </w:rPr>
                  </w:pPr>
                  <w:r>
                    <w:rPr>
                      <w:rFonts w:hint="eastAsia"/>
                      <w:bCs/>
                    </w:rPr>
                    <w:t>加快退出重点行业落后产能。修订《产业结构调整指导目录》，研究将污染物或温室气体排放明显高出行业平均水平、能效和清洁生产水平低的工艺和装备纳入淘汰类和限制类名单。</w:t>
                  </w:r>
                </w:p>
              </w:tc>
              <w:tc>
                <w:tcPr>
                  <w:tcW w:w="1401" w:type="pct"/>
                  <w:vAlign w:val="center"/>
                </w:tcPr>
                <w:p w14:paraId="7FDED9FC">
                  <w:pPr>
                    <w:rPr>
                      <w:szCs w:val="21"/>
                    </w:rPr>
                  </w:pPr>
                  <w:r>
                    <w:rPr>
                      <w:rFonts w:hint="eastAsia"/>
                    </w:rPr>
                    <w:t>项目不属于</w:t>
                  </w:r>
                  <w:r>
                    <w:rPr>
                      <w:rFonts w:hint="eastAsia"/>
                      <w:bCs/>
                    </w:rPr>
                    <w:t>落后产能，不属于《产业结构调整指导目录（2024年本）》中淘汰类和限制类</w:t>
                  </w:r>
                  <w:r>
                    <w:rPr>
                      <w:rFonts w:hint="eastAsia"/>
                    </w:rPr>
                    <w:t>。</w:t>
                  </w:r>
                </w:p>
              </w:tc>
              <w:tc>
                <w:tcPr>
                  <w:tcW w:w="541" w:type="pct"/>
                  <w:vAlign w:val="center"/>
                </w:tcPr>
                <w:p w14:paraId="235D9096">
                  <w:pPr>
                    <w:jc w:val="center"/>
                    <w:rPr>
                      <w:szCs w:val="21"/>
                    </w:rPr>
                  </w:pPr>
                  <w:r>
                    <w:rPr>
                      <w:rFonts w:hint="eastAsia"/>
                    </w:rPr>
                    <w:t>符合</w:t>
                  </w:r>
                </w:p>
              </w:tc>
            </w:tr>
            <w:tr w14:paraId="392D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747354AA">
                  <w:pPr>
                    <w:jc w:val="center"/>
                    <w:rPr>
                      <w:szCs w:val="21"/>
                    </w:rPr>
                  </w:pPr>
                </w:p>
              </w:tc>
              <w:tc>
                <w:tcPr>
                  <w:tcW w:w="2190" w:type="pct"/>
                  <w:vAlign w:val="center"/>
                </w:tcPr>
                <w:p w14:paraId="0783FF8A">
                  <w:pPr>
                    <w:rPr>
                      <w:bCs/>
                    </w:rPr>
                  </w:pPr>
                  <w:r>
                    <w:rPr>
                      <w:rFonts w:hint="eastAsia"/>
                      <w:bCs/>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1401" w:type="pct"/>
                  <w:vAlign w:val="center"/>
                </w:tcPr>
                <w:p w14:paraId="6DEEF552">
                  <w:pPr>
                    <w:rPr>
                      <w:szCs w:val="21"/>
                    </w:rPr>
                  </w:pPr>
                  <w:r>
                    <w:rPr>
                      <w:rFonts w:hint="eastAsia"/>
                    </w:rPr>
                    <w:t>项目为塑料制品业，丝印/热转印全部使用UV油墨，油墨VOCs含量满足《油墨中可挥发性有机化合物（VOCs）含量的限值》（GB38507-2020）。</w:t>
                  </w:r>
                </w:p>
              </w:tc>
              <w:tc>
                <w:tcPr>
                  <w:tcW w:w="541" w:type="pct"/>
                  <w:vAlign w:val="center"/>
                </w:tcPr>
                <w:p w14:paraId="034640BB">
                  <w:pPr>
                    <w:jc w:val="center"/>
                    <w:rPr>
                      <w:szCs w:val="21"/>
                    </w:rPr>
                  </w:pPr>
                  <w:r>
                    <w:rPr>
                      <w:rFonts w:hint="eastAsia"/>
                    </w:rPr>
                    <w:t>符合</w:t>
                  </w:r>
                </w:p>
              </w:tc>
            </w:tr>
            <w:tr w14:paraId="34AA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67" w:type="pct"/>
                  <w:vMerge w:val="restart"/>
                  <w:vAlign w:val="center"/>
                </w:tcPr>
                <w:p w14:paraId="478A7E4A">
                  <w:pPr>
                    <w:jc w:val="center"/>
                    <w:rPr>
                      <w:szCs w:val="21"/>
                    </w:rPr>
                  </w:pPr>
                  <w:r>
                    <w:rPr>
                      <w:rFonts w:hint="eastAsia"/>
                      <w:szCs w:val="21"/>
                    </w:rPr>
                    <w:t>《挥发性有机物（VOCs）污染防治技术政策》</w:t>
                  </w:r>
                </w:p>
              </w:tc>
              <w:tc>
                <w:tcPr>
                  <w:tcW w:w="2190" w:type="pct"/>
                  <w:vAlign w:val="center"/>
                </w:tcPr>
                <w:p w14:paraId="271BA650">
                  <w:pPr>
                    <w:rPr>
                      <w:szCs w:val="21"/>
                    </w:rPr>
                  </w:pPr>
                  <w:r>
                    <w:rPr>
                      <w:rFonts w:hint="eastAsia"/>
                      <w:szCs w:val="21"/>
                    </w:rPr>
                    <w:t>含VOCs产品的使用过程中，应采取废气收集措施，提高废气收集效率，减少废气的无组织排放与逸散，并对收集后的废气进行回收或处理后达标排放。</w:t>
                  </w:r>
                </w:p>
              </w:tc>
              <w:tc>
                <w:tcPr>
                  <w:tcW w:w="1401" w:type="pct"/>
                  <w:vMerge w:val="restart"/>
                  <w:vAlign w:val="center"/>
                </w:tcPr>
                <w:p w14:paraId="6AC82533">
                  <w:pPr>
                    <w:rPr>
                      <w:szCs w:val="21"/>
                    </w:rPr>
                  </w:pPr>
                  <w:r>
                    <w:rPr>
                      <w:rFonts w:hint="eastAsia"/>
                      <w:szCs w:val="21"/>
                    </w:rPr>
                    <w:t>项目丝印/热转印设于密闭印刷间，设负压抽风系统收集；注塑成型机上方设集气罩+软帘收集，挥发性有机物废气采取1套二级活性炭吸附装置处理。</w:t>
                  </w:r>
                </w:p>
              </w:tc>
              <w:tc>
                <w:tcPr>
                  <w:tcW w:w="541" w:type="pct"/>
                  <w:vMerge w:val="restart"/>
                  <w:vAlign w:val="center"/>
                </w:tcPr>
                <w:p w14:paraId="1B480313">
                  <w:pPr>
                    <w:jc w:val="center"/>
                    <w:rPr>
                      <w:szCs w:val="21"/>
                    </w:rPr>
                  </w:pPr>
                  <w:r>
                    <w:rPr>
                      <w:szCs w:val="21"/>
                    </w:rPr>
                    <w:t>符合</w:t>
                  </w:r>
                </w:p>
              </w:tc>
            </w:tr>
            <w:tr w14:paraId="0F49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14866CAB">
                  <w:pPr>
                    <w:jc w:val="center"/>
                    <w:rPr>
                      <w:szCs w:val="21"/>
                    </w:rPr>
                  </w:pPr>
                </w:p>
              </w:tc>
              <w:tc>
                <w:tcPr>
                  <w:tcW w:w="2190" w:type="pct"/>
                  <w:vAlign w:val="center"/>
                </w:tcPr>
                <w:p w14:paraId="0403918D">
                  <w:pPr>
                    <w:rPr>
                      <w:szCs w:val="21"/>
                    </w:rPr>
                  </w:pPr>
                  <w:r>
                    <w:rPr>
                      <w:rFonts w:hint="eastAsia"/>
                      <w:szCs w:val="21"/>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401" w:type="pct"/>
                  <w:vMerge w:val="continue"/>
                  <w:vAlign w:val="center"/>
                </w:tcPr>
                <w:p w14:paraId="17F36EE5">
                  <w:pPr>
                    <w:rPr>
                      <w:szCs w:val="21"/>
                    </w:rPr>
                  </w:pPr>
                </w:p>
              </w:tc>
              <w:tc>
                <w:tcPr>
                  <w:tcW w:w="541" w:type="pct"/>
                  <w:vMerge w:val="continue"/>
                  <w:vAlign w:val="center"/>
                </w:tcPr>
                <w:p w14:paraId="70F20228">
                  <w:pPr>
                    <w:jc w:val="center"/>
                    <w:rPr>
                      <w:szCs w:val="21"/>
                    </w:rPr>
                  </w:pPr>
                </w:p>
              </w:tc>
            </w:tr>
            <w:tr w14:paraId="6F56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14:paraId="19F8F95B">
                  <w:pPr>
                    <w:jc w:val="center"/>
                    <w:rPr>
                      <w:szCs w:val="21"/>
                    </w:rPr>
                  </w:pPr>
                  <w:r>
                    <w:rPr>
                      <w:rFonts w:hint="eastAsia"/>
                      <w:szCs w:val="21"/>
                    </w:rPr>
                    <w:t>《重点行业挥发性有机物综合治理方案》</w:t>
                  </w:r>
                </w:p>
              </w:tc>
              <w:tc>
                <w:tcPr>
                  <w:tcW w:w="2190" w:type="pct"/>
                  <w:vAlign w:val="center"/>
                </w:tcPr>
                <w:p w14:paraId="7F82CCF4">
                  <w:pPr>
                    <w:rPr>
                      <w:szCs w:val="21"/>
                    </w:rPr>
                  </w:pPr>
                  <w:r>
                    <w:rPr>
                      <w:rFonts w:hint="eastAsia"/>
                      <w:szCs w:val="21"/>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401" w:type="pct"/>
                  <w:vAlign w:val="center"/>
                </w:tcPr>
                <w:p w14:paraId="57FDB5FC">
                  <w:pPr>
                    <w:rPr>
                      <w:szCs w:val="21"/>
                    </w:rPr>
                  </w:pPr>
                  <w:r>
                    <w:rPr>
                      <w:rFonts w:hint="eastAsia"/>
                      <w:szCs w:val="21"/>
                    </w:rPr>
                    <w:t>项目</w:t>
                  </w:r>
                  <w:r>
                    <w:rPr>
                      <w:rFonts w:hint="eastAsia"/>
                    </w:rPr>
                    <w:t>丝印/热转印全部使用</w:t>
                  </w:r>
                  <w:r>
                    <w:rPr>
                      <w:rFonts w:hint="eastAsia"/>
                      <w:szCs w:val="21"/>
                    </w:rPr>
                    <w:t>低VOCs含量的UV油墨。</w:t>
                  </w:r>
                </w:p>
              </w:tc>
              <w:tc>
                <w:tcPr>
                  <w:tcW w:w="541" w:type="pct"/>
                  <w:vAlign w:val="center"/>
                </w:tcPr>
                <w:p w14:paraId="3B3B5C70">
                  <w:pPr>
                    <w:jc w:val="center"/>
                    <w:rPr>
                      <w:szCs w:val="21"/>
                    </w:rPr>
                  </w:pPr>
                  <w:r>
                    <w:rPr>
                      <w:szCs w:val="21"/>
                    </w:rPr>
                    <w:t>符合</w:t>
                  </w:r>
                </w:p>
              </w:tc>
            </w:tr>
            <w:tr w14:paraId="21F53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53D6FE72">
                  <w:pPr>
                    <w:jc w:val="center"/>
                    <w:rPr>
                      <w:szCs w:val="21"/>
                    </w:rPr>
                  </w:pPr>
                </w:p>
              </w:tc>
              <w:tc>
                <w:tcPr>
                  <w:tcW w:w="2190" w:type="pct"/>
                  <w:vAlign w:val="center"/>
                </w:tcPr>
                <w:p w14:paraId="79EC4655">
                  <w:pPr>
                    <w:rPr>
                      <w:szCs w:val="21"/>
                    </w:rPr>
                  </w:pPr>
                  <w:r>
                    <w:rPr>
                      <w:rFonts w:hint="eastAsia"/>
                      <w:szCs w:val="21"/>
                    </w:rPr>
                    <w:t>加强油墨、稀释剂、胶粘剂、涂布液、清洗剂等含VOCs物料储存、调配、输送、使用等工艺环节VOCs无组织逸散控制。含VOCs物料储存和输送过程应保持密闭。...涂布、印刷、覆膜、复合、上光、清洗等含VOCs物料使用过程应采用密闭设备或在密闭空间内操作；无法密闭的，应采取局部气体收集措施，废气排至VOCs废气收集系统。</w:t>
                  </w:r>
                </w:p>
              </w:tc>
              <w:tc>
                <w:tcPr>
                  <w:tcW w:w="1401" w:type="pct"/>
                  <w:vAlign w:val="center"/>
                </w:tcPr>
                <w:p w14:paraId="785332CC">
                  <w:pPr>
                    <w:rPr>
                      <w:szCs w:val="21"/>
                    </w:rPr>
                  </w:pPr>
                  <w:r>
                    <w:rPr>
                      <w:rFonts w:hint="eastAsia"/>
                      <w:szCs w:val="21"/>
                    </w:rPr>
                    <w:t>项目UV油墨非取用状态保持密闭，丝印/热转印设于密闭印刷间，设负压抽风系统收集后引至1套二级活性炭吸附装置处理。</w:t>
                  </w:r>
                </w:p>
              </w:tc>
              <w:tc>
                <w:tcPr>
                  <w:tcW w:w="541" w:type="pct"/>
                  <w:vAlign w:val="center"/>
                </w:tcPr>
                <w:p w14:paraId="2AD0A922">
                  <w:pPr>
                    <w:jc w:val="center"/>
                    <w:rPr>
                      <w:szCs w:val="21"/>
                    </w:rPr>
                  </w:pPr>
                  <w:r>
                    <w:rPr>
                      <w:rFonts w:hint="eastAsia"/>
                      <w:szCs w:val="21"/>
                    </w:rPr>
                    <w:t>符合</w:t>
                  </w:r>
                </w:p>
              </w:tc>
            </w:tr>
            <w:tr w14:paraId="3B1D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867" w:type="pct"/>
                  <w:vMerge w:val="restart"/>
                  <w:vAlign w:val="center"/>
                </w:tcPr>
                <w:p w14:paraId="2A9423CF">
                  <w:pPr>
                    <w:jc w:val="center"/>
                    <w:rPr>
                      <w:szCs w:val="21"/>
                    </w:rPr>
                  </w:pPr>
                  <w:r>
                    <w:rPr>
                      <w:rFonts w:hint="eastAsia"/>
                      <w:szCs w:val="21"/>
                    </w:rPr>
                    <w:t>《挥发性有机物无组织排放控制标准》</w:t>
                  </w:r>
                </w:p>
              </w:tc>
              <w:tc>
                <w:tcPr>
                  <w:tcW w:w="2190" w:type="pct"/>
                  <w:vAlign w:val="center"/>
                </w:tcPr>
                <w:p w14:paraId="102E936B">
                  <w:pPr>
                    <w:rPr>
                      <w:szCs w:val="21"/>
                    </w:rPr>
                  </w:pPr>
                  <w:r>
                    <w:rPr>
                      <w:rFonts w:hint="eastAsia"/>
                      <w:szCs w:val="2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401" w:type="pct"/>
                  <w:vMerge w:val="restart"/>
                  <w:vAlign w:val="center"/>
                </w:tcPr>
                <w:p w14:paraId="65DA33D4">
                  <w:pPr>
                    <w:rPr>
                      <w:szCs w:val="21"/>
                    </w:rPr>
                  </w:pPr>
                  <w:r>
                    <w:rPr>
                      <w:rFonts w:hint="eastAsia"/>
                      <w:szCs w:val="21"/>
                    </w:rPr>
                    <w:t>项目废气收集处理系统与工艺设备同步运行，当废气收集处理系统故障或检修时，立即停止生产；集气罩设置符合标准要求，废气收集管道密闭，污染物排放符合地方标准要求；项目设1套二级活性炭吸附装置（处理效率90%），VOCs废气经处理后由15m高排气筒排放；环评要求建设单位应建立台账，记录收集处理系统运行、维护信息，台账保存期不少于3年。</w:t>
                  </w:r>
                </w:p>
              </w:tc>
              <w:tc>
                <w:tcPr>
                  <w:tcW w:w="541" w:type="pct"/>
                  <w:vMerge w:val="restart"/>
                  <w:vAlign w:val="center"/>
                </w:tcPr>
                <w:p w14:paraId="7F03428C">
                  <w:pPr>
                    <w:jc w:val="center"/>
                    <w:rPr>
                      <w:szCs w:val="21"/>
                    </w:rPr>
                  </w:pPr>
                  <w:r>
                    <w:rPr>
                      <w:rFonts w:hint="eastAsia"/>
                      <w:szCs w:val="21"/>
                    </w:rPr>
                    <w:t>符合</w:t>
                  </w:r>
                </w:p>
              </w:tc>
            </w:tr>
            <w:tr w14:paraId="7B56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62FD6105">
                  <w:pPr>
                    <w:jc w:val="center"/>
                    <w:rPr>
                      <w:szCs w:val="21"/>
                    </w:rPr>
                  </w:pPr>
                </w:p>
              </w:tc>
              <w:tc>
                <w:tcPr>
                  <w:tcW w:w="2190" w:type="pct"/>
                  <w:vAlign w:val="center"/>
                </w:tcPr>
                <w:p w14:paraId="2D7FEE69">
                  <w:pPr>
                    <w:rPr>
                      <w:szCs w:val="21"/>
                    </w:rPr>
                  </w:pPr>
                  <w:r>
                    <w:rPr>
                      <w:rFonts w:hint="eastAsia"/>
                      <w:szCs w:val="21"/>
                    </w:rPr>
                    <w:t>废气收集系统排风罩（集气罩）的设置应符合GB/T16758的规定。</w:t>
                  </w:r>
                </w:p>
              </w:tc>
              <w:tc>
                <w:tcPr>
                  <w:tcW w:w="1401" w:type="pct"/>
                  <w:vMerge w:val="continue"/>
                  <w:vAlign w:val="center"/>
                </w:tcPr>
                <w:p w14:paraId="1FE9F3B6">
                  <w:pPr>
                    <w:rPr>
                      <w:szCs w:val="21"/>
                    </w:rPr>
                  </w:pPr>
                </w:p>
              </w:tc>
              <w:tc>
                <w:tcPr>
                  <w:tcW w:w="541" w:type="pct"/>
                  <w:vMerge w:val="continue"/>
                  <w:vAlign w:val="center"/>
                </w:tcPr>
                <w:p w14:paraId="6D373E1E">
                  <w:pPr>
                    <w:jc w:val="center"/>
                    <w:rPr>
                      <w:szCs w:val="21"/>
                    </w:rPr>
                  </w:pPr>
                </w:p>
              </w:tc>
            </w:tr>
            <w:tr w14:paraId="15EC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533AD5E6">
                  <w:pPr>
                    <w:jc w:val="center"/>
                    <w:rPr>
                      <w:szCs w:val="21"/>
                    </w:rPr>
                  </w:pPr>
                </w:p>
              </w:tc>
              <w:tc>
                <w:tcPr>
                  <w:tcW w:w="2190" w:type="pct"/>
                  <w:vAlign w:val="center"/>
                </w:tcPr>
                <w:p w14:paraId="132CC7D4">
                  <w:pPr>
                    <w:rPr>
                      <w:szCs w:val="21"/>
                    </w:rPr>
                  </w:pPr>
                  <w:r>
                    <w:rPr>
                      <w:rFonts w:hint="eastAsia"/>
                      <w:szCs w:val="21"/>
                    </w:rPr>
                    <w:t>废气收集系统的输送管道应密闭。</w:t>
                  </w:r>
                </w:p>
              </w:tc>
              <w:tc>
                <w:tcPr>
                  <w:tcW w:w="1401" w:type="pct"/>
                  <w:vMerge w:val="continue"/>
                  <w:vAlign w:val="center"/>
                </w:tcPr>
                <w:p w14:paraId="37FAB960">
                  <w:pPr>
                    <w:rPr>
                      <w:szCs w:val="21"/>
                    </w:rPr>
                  </w:pPr>
                </w:p>
              </w:tc>
              <w:tc>
                <w:tcPr>
                  <w:tcW w:w="541" w:type="pct"/>
                  <w:vMerge w:val="continue"/>
                  <w:vAlign w:val="center"/>
                </w:tcPr>
                <w:p w14:paraId="28A67BE8">
                  <w:pPr>
                    <w:jc w:val="center"/>
                    <w:rPr>
                      <w:szCs w:val="21"/>
                    </w:rPr>
                  </w:pPr>
                </w:p>
              </w:tc>
            </w:tr>
            <w:tr w14:paraId="2B91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226931B1">
                  <w:pPr>
                    <w:jc w:val="center"/>
                    <w:rPr>
                      <w:szCs w:val="21"/>
                    </w:rPr>
                  </w:pPr>
                </w:p>
              </w:tc>
              <w:tc>
                <w:tcPr>
                  <w:tcW w:w="2190" w:type="pct"/>
                  <w:vAlign w:val="center"/>
                </w:tcPr>
                <w:p w14:paraId="38A407C0">
                  <w:pPr>
                    <w:rPr>
                      <w:szCs w:val="21"/>
                    </w:rPr>
                  </w:pPr>
                  <w:r>
                    <w:rPr>
                      <w:rFonts w:hint="eastAsia"/>
                      <w:szCs w:val="21"/>
                    </w:rPr>
                    <w:t>VOCs废气收集处理系统污染物排放应符合GB16297或相关行业排放标准的规定。</w:t>
                  </w:r>
                </w:p>
              </w:tc>
              <w:tc>
                <w:tcPr>
                  <w:tcW w:w="1401" w:type="pct"/>
                  <w:vMerge w:val="continue"/>
                  <w:vAlign w:val="center"/>
                </w:tcPr>
                <w:p w14:paraId="07CA304A">
                  <w:pPr>
                    <w:rPr>
                      <w:szCs w:val="21"/>
                    </w:rPr>
                  </w:pPr>
                </w:p>
              </w:tc>
              <w:tc>
                <w:tcPr>
                  <w:tcW w:w="541" w:type="pct"/>
                  <w:vMerge w:val="continue"/>
                  <w:vAlign w:val="center"/>
                </w:tcPr>
                <w:p w14:paraId="72AB2AB2">
                  <w:pPr>
                    <w:jc w:val="center"/>
                    <w:rPr>
                      <w:szCs w:val="21"/>
                    </w:rPr>
                  </w:pPr>
                </w:p>
              </w:tc>
            </w:tr>
            <w:tr w14:paraId="2A72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1782D80A">
                  <w:pPr>
                    <w:jc w:val="center"/>
                    <w:rPr>
                      <w:szCs w:val="21"/>
                    </w:rPr>
                  </w:pPr>
                </w:p>
              </w:tc>
              <w:tc>
                <w:tcPr>
                  <w:tcW w:w="2190" w:type="pct"/>
                  <w:vAlign w:val="center"/>
                </w:tcPr>
                <w:p w14:paraId="11A6A4E5">
                  <w:pPr>
                    <w:rPr>
                      <w:szCs w:val="21"/>
                    </w:rPr>
                  </w:pPr>
                  <w:r>
                    <w:rPr>
                      <w:rFonts w:cs="Times New Roman"/>
                      <w:szCs w:val="21"/>
                    </w:rPr>
                    <w:t>对于重点地区，收集的废气中NMHC初始排放速率≥2kg/h时，应配置VOCs处理设施，处理效率不应低于80%</w:t>
                  </w:r>
                </w:p>
              </w:tc>
              <w:tc>
                <w:tcPr>
                  <w:tcW w:w="1401" w:type="pct"/>
                  <w:vMerge w:val="continue"/>
                  <w:vAlign w:val="center"/>
                </w:tcPr>
                <w:p w14:paraId="41108D94">
                  <w:pPr>
                    <w:rPr>
                      <w:szCs w:val="21"/>
                    </w:rPr>
                  </w:pPr>
                </w:p>
              </w:tc>
              <w:tc>
                <w:tcPr>
                  <w:tcW w:w="541" w:type="pct"/>
                  <w:vMerge w:val="continue"/>
                  <w:vAlign w:val="center"/>
                </w:tcPr>
                <w:p w14:paraId="33143CEF">
                  <w:pPr>
                    <w:jc w:val="center"/>
                    <w:rPr>
                      <w:szCs w:val="21"/>
                    </w:rPr>
                  </w:pPr>
                </w:p>
              </w:tc>
            </w:tr>
            <w:tr w14:paraId="22D97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039870EF">
                  <w:pPr>
                    <w:jc w:val="center"/>
                    <w:rPr>
                      <w:szCs w:val="21"/>
                    </w:rPr>
                  </w:pPr>
                </w:p>
              </w:tc>
              <w:tc>
                <w:tcPr>
                  <w:tcW w:w="2190" w:type="pct"/>
                  <w:vAlign w:val="center"/>
                </w:tcPr>
                <w:p w14:paraId="0A313CB2">
                  <w:pPr>
                    <w:rPr>
                      <w:szCs w:val="21"/>
                    </w:rPr>
                  </w:pPr>
                  <w:r>
                    <w:rPr>
                      <w:rFonts w:hint="eastAsia" w:cs="Times New Roman"/>
                      <w:szCs w:val="21"/>
                    </w:rPr>
                    <w:t>排气筒高度不低于15m（因安全考虑或有特殊工艺要求的除外），具体高度以及与周围建筑物的相对高度关系应根据环境影响评价文件确定。</w:t>
                  </w:r>
                </w:p>
              </w:tc>
              <w:tc>
                <w:tcPr>
                  <w:tcW w:w="1401" w:type="pct"/>
                  <w:vMerge w:val="continue"/>
                  <w:vAlign w:val="center"/>
                </w:tcPr>
                <w:p w14:paraId="1DF2312A">
                  <w:pPr>
                    <w:rPr>
                      <w:szCs w:val="21"/>
                    </w:rPr>
                  </w:pPr>
                </w:p>
              </w:tc>
              <w:tc>
                <w:tcPr>
                  <w:tcW w:w="541" w:type="pct"/>
                  <w:vMerge w:val="continue"/>
                  <w:vAlign w:val="center"/>
                </w:tcPr>
                <w:p w14:paraId="6F54CA15">
                  <w:pPr>
                    <w:jc w:val="center"/>
                    <w:rPr>
                      <w:szCs w:val="21"/>
                    </w:rPr>
                  </w:pPr>
                </w:p>
              </w:tc>
            </w:tr>
            <w:tr w14:paraId="13C63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14:paraId="02977CA4">
                  <w:pPr>
                    <w:jc w:val="center"/>
                    <w:rPr>
                      <w:szCs w:val="21"/>
                    </w:rPr>
                  </w:pPr>
                  <w:r>
                    <w:rPr>
                      <w:rFonts w:hint="eastAsia"/>
                      <w:szCs w:val="21"/>
                    </w:rPr>
                    <w:t>《四川省打赢蓝天保卫战实施方案》</w:t>
                  </w:r>
                </w:p>
              </w:tc>
              <w:tc>
                <w:tcPr>
                  <w:tcW w:w="2190" w:type="pct"/>
                  <w:vAlign w:val="center"/>
                </w:tcPr>
                <w:p w14:paraId="08955A8D">
                  <w:pPr>
                    <w:rPr>
                      <w:szCs w:val="21"/>
                    </w:rPr>
                  </w:pPr>
                  <w:r>
                    <w:rPr>
                      <w:rFonts w:hint="eastAsia"/>
                      <w:bCs/>
                    </w:rPr>
                    <w:t>强化挥发性有机物综合治理。严格涉及V0Cs排放</w:t>
                  </w:r>
                  <w:r>
                    <w:rPr>
                      <w:rFonts w:cs="Times New Roman"/>
                      <w:bCs/>
                    </w:rPr>
                    <w:t>的建设项目环境准入，加强源头控制。提高涉及VOCs排放行业环保准入门槛，新建涉及V0Cs排放的工业企业入园区</w:t>
                  </w:r>
                  <w:r>
                    <w:rPr>
                      <w:rFonts w:hint="eastAsia" w:cs="Times New Roman"/>
                      <w:bCs/>
                    </w:rPr>
                    <w:t>，</w:t>
                  </w:r>
                  <w:r>
                    <w:rPr>
                      <w:rFonts w:cs="Times New Roman"/>
                      <w:bCs/>
                    </w:rPr>
                    <w:t>实行区域内 VOCs排放等量或倍量削减替代。</w:t>
                  </w:r>
                </w:p>
              </w:tc>
              <w:tc>
                <w:tcPr>
                  <w:tcW w:w="1401" w:type="pct"/>
                  <w:vAlign w:val="center"/>
                </w:tcPr>
                <w:p w14:paraId="64BF84D3">
                  <w:pPr>
                    <w:rPr>
                      <w:szCs w:val="21"/>
                    </w:rPr>
                  </w:pPr>
                  <w:r>
                    <w:rPr>
                      <w:rFonts w:hint="eastAsia"/>
                    </w:rPr>
                    <w:t>项目位于四川大英经济开发区，符合园区环境准入要求，VOCs排放量实行倍量削减替代。</w:t>
                  </w:r>
                </w:p>
              </w:tc>
              <w:tc>
                <w:tcPr>
                  <w:tcW w:w="541" w:type="pct"/>
                  <w:vAlign w:val="center"/>
                </w:tcPr>
                <w:p w14:paraId="22578CEE">
                  <w:pPr>
                    <w:jc w:val="center"/>
                    <w:rPr>
                      <w:szCs w:val="21"/>
                    </w:rPr>
                  </w:pPr>
                  <w:r>
                    <w:rPr>
                      <w:rFonts w:hint="eastAsia"/>
                    </w:rPr>
                    <w:t>符合</w:t>
                  </w:r>
                </w:p>
              </w:tc>
            </w:tr>
            <w:tr w14:paraId="37891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36E2FB46">
                  <w:pPr>
                    <w:jc w:val="center"/>
                    <w:rPr>
                      <w:szCs w:val="21"/>
                    </w:rPr>
                  </w:pPr>
                </w:p>
              </w:tc>
              <w:tc>
                <w:tcPr>
                  <w:tcW w:w="2190" w:type="pct"/>
                  <w:vAlign w:val="center"/>
                </w:tcPr>
                <w:p w14:paraId="3CCE8020">
                  <w:pPr>
                    <w:rPr>
                      <w:szCs w:val="21"/>
                    </w:rPr>
                  </w:pPr>
                  <w:r>
                    <w:rPr>
                      <w:rFonts w:hint="eastAsia"/>
                      <w:bCs/>
                    </w:rPr>
                    <w:t>新、改、扩建涉及VOCs排放项目，从原辅材料和工艺过程大力推广使用低（无）VOCs含量的涂料、有机溶剂、胶黏剂、油墨等原辅材料，配套改进生产工艺。</w:t>
                  </w:r>
                </w:p>
              </w:tc>
              <w:tc>
                <w:tcPr>
                  <w:tcW w:w="1401" w:type="pct"/>
                  <w:vAlign w:val="center"/>
                </w:tcPr>
                <w:p w14:paraId="59162157">
                  <w:pPr>
                    <w:rPr>
                      <w:szCs w:val="21"/>
                    </w:rPr>
                  </w:pPr>
                  <w:r>
                    <w:rPr>
                      <w:rFonts w:hint="eastAsia"/>
                    </w:rPr>
                    <w:t>项目丝印/热转印全部使用</w:t>
                  </w:r>
                  <w:r>
                    <w:rPr>
                      <w:rFonts w:hint="eastAsia"/>
                      <w:szCs w:val="21"/>
                    </w:rPr>
                    <w:t>低VOCs含量的UV油墨</w:t>
                  </w:r>
                  <w:r>
                    <w:rPr>
                      <w:rFonts w:hint="eastAsia"/>
                      <w:bCs/>
                    </w:rPr>
                    <w:t>。</w:t>
                  </w:r>
                </w:p>
              </w:tc>
              <w:tc>
                <w:tcPr>
                  <w:tcW w:w="541" w:type="pct"/>
                  <w:vAlign w:val="center"/>
                </w:tcPr>
                <w:p w14:paraId="4109FF04">
                  <w:pPr>
                    <w:jc w:val="center"/>
                    <w:rPr>
                      <w:szCs w:val="21"/>
                    </w:rPr>
                  </w:pPr>
                  <w:r>
                    <w:rPr>
                      <w:rFonts w:hint="eastAsia"/>
                    </w:rPr>
                    <w:t>符合</w:t>
                  </w:r>
                </w:p>
              </w:tc>
            </w:tr>
            <w:tr w14:paraId="2872D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2090B3C6">
                  <w:pPr>
                    <w:jc w:val="center"/>
                    <w:rPr>
                      <w:szCs w:val="21"/>
                    </w:rPr>
                  </w:pPr>
                </w:p>
              </w:tc>
              <w:tc>
                <w:tcPr>
                  <w:tcW w:w="2190" w:type="pct"/>
                  <w:vAlign w:val="center"/>
                </w:tcPr>
                <w:p w14:paraId="6A4D808E">
                  <w:pPr>
                    <w:rPr>
                      <w:szCs w:val="21"/>
                    </w:rPr>
                  </w:pPr>
                  <w:r>
                    <w:rPr>
                      <w:rFonts w:hint="eastAsia"/>
                      <w:bCs/>
                    </w:rPr>
                    <w:t>加强VOCs的收集和治理，严格控制生产、储存、装卸等环节的排放。</w:t>
                  </w:r>
                </w:p>
              </w:tc>
              <w:tc>
                <w:tcPr>
                  <w:tcW w:w="1401" w:type="pct"/>
                  <w:vAlign w:val="center"/>
                </w:tcPr>
                <w:p w14:paraId="3A49A852">
                  <w:pPr>
                    <w:rPr>
                      <w:szCs w:val="21"/>
                    </w:rPr>
                  </w:pPr>
                  <w:r>
                    <w:rPr>
                      <w:rFonts w:hint="eastAsia"/>
                    </w:rPr>
                    <w:t>项目产生VOCs的区域均采取收集治理措施。</w:t>
                  </w:r>
                </w:p>
              </w:tc>
              <w:tc>
                <w:tcPr>
                  <w:tcW w:w="541" w:type="pct"/>
                  <w:vAlign w:val="center"/>
                </w:tcPr>
                <w:p w14:paraId="36CB185F">
                  <w:pPr>
                    <w:jc w:val="center"/>
                    <w:rPr>
                      <w:szCs w:val="21"/>
                    </w:rPr>
                  </w:pPr>
                  <w:r>
                    <w:rPr>
                      <w:rFonts w:hint="eastAsia"/>
                    </w:rPr>
                    <w:t>符合</w:t>
                  </w:r>
                </w:p>
              </w:tc>
            </w:tr>
            <w:tr w14:paraId="7FED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restart"/>
                  <w:vAlign w:val="center"/>
                </w:tcPr>
                <w:p w14:paraId="57FE5D62">
                  <w:pPr>
                    <w:jc w:val="center"/>
                    <w:rPr>
                      <w:szCs w:val="21"/>
                    </w:rPr>
                  </w:pPr>
                  <w:r>
                    <w:rPr>
                      <w:rFonts w:hint="eastAsia"/>
                      <w:szCs w:val="21"/>
                    </w:rPr>
                    <w:t>《四川省空气质量持续改善行动计划实施方案》</w:t>
                  </w:r>
                </w:p>
              </w:tc>
              <w:tc>
                <w:tcPr>
                  <w:tcW w:w="2190" w:type="pct"/>
                  <w:vAlign w:val="center"/>
                </w:tcPr>
                <w:p w14:paraId="545159A2">
                  <w:pPr>
                    <w:rPr>
                      <w:rFonts w:eastAsiaTheme="minorEastAsia"/>
                      <w:szCs w:val="21"/>
                    </w:rPr>
                  </w:pPr>
                  <w:r>
                    <w:rPr>
                      <w:rFonts w:hint="eastAsia"/>
                      <w:szCs w:val="21"/>
                    </w:rPr>
                    <w:t>坚决遏制高耗能、高排放、低水平项目盲目上马。</w:t>
                  </w:r>
                </w:p>
              </w:tc>
              <w:tc>
                <w:tcPr>
                  <w:tcW w:w="1401" w:type="pct"/>
                  <w:vAlign w:val="center"/>
                </w:tcPr>
                <w:p w14:paraId="4FE87E4F">
                  <w:pPr>
                    <w:rPr>
                      <w:szCs w:val="21"/>
                    </w:rPr>
                  </w:pPr>
                  <w:r>
                    <w:rPr>
                      <w:rFonts w:hint="eastAsia"/>
                      <w:szCs w:val="21"/>
                    </w:rPr>
                    <w:t>项目不属于高耗能、高排放、低水平项目。</w:t>
                  </w:r>
                </w:p>
              </w:tc>
              <w:tc>
                <w:tcPr>
                  <w:tcW w:w="541" w:type="pct"/>
                  <w:vAlign w:val="center"/>
                </w:tcPr>
                <w:p w14:paraId="25426A1A">
                  <w:pPr>
                    <w:jc w:val="center"/>
                    <w:rPr>
                      <w:szCs w:val="21"/>
                    </w:rPr>
                  </w:pPr>
                  <w:r>
                    <w:rPr>
                      <w:rFonts w:hint="eastAsia"/>
                      <w:szCs w:val="21"/>
                    </w:rPr>
                    <w:t>符合</w:t>
                  </w:r>
                </w:p>
              </w:tc>
            </w:tr>
            <w:tr w14:paraId="112A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pct"/>
                  <w:vMerge w:val="continue"/>
                  <w:vAlign w:val="center"/>
                </w:tcPr>
                <w:p w14:paraId="49D4D760">
                  <w:pPr>
                    <w:jc w:val="center"/>
                    <w:rPr>
                      <w:szCs w:val="21"/>
                    </w:rPr>
                  </w:pPr>
                </w:p>
              </w:tc>
              <w:tc>
                <w:tcPr>
                  <w:tcW w:w="2190" w:type="pct"/>
                  <w:vAlign w:val="center"/>
                </w:tcPr>
                <w:p w14:paraId="05575AB7">
                  <w:pPr>
                    <w:rPr>
                      <w:rFonts w:eastAsiaTheme="minorEastAsia"/>
                      <w:szCs w:val="21"/>
                    </w:rPr>
                  </w:pPr>
                  <w:r>
                    <w:rPr>
                      <w:rFonts w:hint="eastAsia"/>
                      <w:szCs w:val="21"/>
                    </w:rPr>
                    <w:t>严格控制生产和使用高VOCs含量涂料、油墨、胶粘剂、清洗剂等建设项目。</w:t>
                  </w:r>
                </w:p>
              </w:tc>
              <w:tc>
                <w:tcPr>
                  <w:tcW w:w="1401" w:type="pct"/>
                  <w:vAlign w:val="center"/>
                </w:tcPr>
                <w:p w14:paraId="033FD3FC">
                  <w:pPr>
                    <w:rPr>
                      <w:szCs w:val="21"/>
                    </w:rPr>
                  </w:pPr>
                  <w:r>
                    <w:rPr>
                      <w:rFonts w:hint="eastAsia"/>
                      <w:szCs w:val="21"/>
                    </w:rPr>
                    <w:t>项目使用低VOCs含量的UV油墨。</w:t>
                  </w:r>
                </w:p>
              </w:tc>
              <w:tc>
                <w:tcPr>
                  <w:tcW w:w="541" w:type="pct"/>
                  <w:vAlign w:val="center"/>
                </w:tcPr>
                <w:p w14:paraId="42B4122F">
                  <w:pPr>
                    <w:jc w:val="center"/>
                    <w:rPr>
                      <w:szCs w:val="21"/>
                    </w:rPr>
                  </w:pPr>
                  <w:r>
                    <w:rPr>
                      <w:rFonts w:hint="eastAsia"/>
                      <w:szCs w:val="21"/>
                    </w:rPr>
                    <w:t>符合</w:t>
                  </w:r>
                </w:p>
              </w:tc>
            </w:tr>
          </w:tbl>
          <w:p w14:paraId="4ADC6D1A">
            <w:pPr>
              <w:spacing w:line="360" w:lineRule="auto"/>
              <w:ind w:firstLine="480" w:firstLineChars="200"/>
              <w:rPr>
                <w:rFonts w:cstheme="minorHAnsi"/>
                <w:sz w:val="24"/>
                <w:szCs w:val="24"/>
              </w:rPr>
            </w:pPr>
            <w:r>
              <w:rPr>
                <w:rFonts w:hint="eastAsia" w:cstheme="minorHAnsi"/>
                <w:sz w:val="24"/>
                <w:szCs w:val="24"/>
              </w:rPr>
              <w:t>因此，本项目符合大气污染防治相关法律、政策要求。</w:t>
            </w:r>
          </w:p>
          <w:p w14:paraId="2C7DD3A4">
            <w:pPr>
              <w:spacing w:line="360" w:lineRule="auto"/>
              <w:ind w:firstLine="482" w:firstLineChars="200"/>
              <w:rPr>
                <w:rFonts w:cs="Times New Roman"/>
                <w:b/>
                <w:sz w:val="24"/>
                <w:szCs w:val="24"/>
              </w:rPr>
            </w:pPr>
            <w:r>
              <w:rPr>
                <w:rFonts w:hint="eastAsia" w:cs="Times New Roman"/>
                <w:b/>
                <w:sz w:val="24"/>
                <w:szCs w:val="24"/>
              </w:rPr>
              <w:t>6、选址合理性</w:t>
            </w:r>
          </w:p>
          <w:p w14:paraId="722D0EA5">
            <w:pPr>
              <w:spacing w:line="360" w:lineRule="auto"/>
              <w:ind w:firstLine="480" w:firstLineChars="200"/>
              <w:rPr>
                <w:rFonts w:cstheme="minorHAnsi"/>
                <w:sz w:val="24"/>
                <w:szCs w:val="24"/>
              </w:rPr>
            </w:pPr>
            <w:r>
              <w:rPr>
                <w:rFonts w:hint="eastAsia" w:cs="Times New Roman"/>
                <w:sz w:val="24"/>
                <w:szCs w:val="24"/>
              </w:rPr>
              <w:t>本项目位于遂宁市大英县蓬莱镇采和大道261号附1号，</w:t>
            </w:r>
            <w:r>
              <w:rPr>
                <w:rFonts w:hint="eastAsia" w:cstheme="minorHAnsi"/>
                <w:sz w:val="24"/>
                <w:szCs w:val="24"/>
              </w:rPr>
              <w:t>根据现场踏勘，项目周边外环境关系如下：</w:t>
            </w:r>
          </w:p>
          <w:p w14:paraId="4597C880">
            <w:pPr>
              <w:spacing w:line="360" w:lineRule="auto"/>
              <w:ind w:firstLine="482" w:firstLineChars="200"/>
              <w:rPr>
                <w:rFonts w:cstheme="minorHAnsi"/>
                <w:sz w:val="24"/>
                <w:szCs w:val="24"/>
              </w:rPr>
            </w:pPr>
            <w:r>
              <w:rPr>
                <w:rFonts w:hint="eastAsia" w:cstheme="minorHAnsi"/>
                <w:b/>
                <w:bCs/>
                <w:sz w:val="24"/>
                <w:szCs w:val="24"/>
              </w:rPr>
              <w:t>北侧</w:t>
            </w:r>
            <w:r>
              <w:rPr>
                <w:rFonts w:hint="eastAsia" w:cstheme="minorHAnsi"/>
                <w:sz w:val="24"/>
                <w:szCs w:val="24"/>
              </w:rPr>
              <w:t>：紧邻林地，约247m为大英三路机械制造有限公司（筑路机械制造）。</w:t>
            </w:r>
          </w:p>
          <w:p w14:paraId="6AF3BA61">
            <w:pPr>
              <w:spacing w:line="360" w:lineRule="auto"/>
              <w:ind w:firstLine="482" w:firstLineChars="200"/>
              <w:rPr>
                <w:rFonts w:cstheme="minorHAnsi"/>
                <w:sz w:val="24"/>
                <w:szCs w:val="24"/>
              </w:rPr>
            </w:pPr>
            <w:r>
              <w:rPr>
                <w:rFonts w:hint="eastAsia" w:cstheme="minorHAnsi"/>
                <w:b/>
                <w:bCs/>
                <w:sz w:val="24"/>
                <w:szCs w:val="24"/>
              </w:rPr>
              <w:t>东北侧</w:t>
            </w:r>
            <w:r>
              <w:rPr>
                <w:rFonts w:hint="eastAsia" w:cstheme="minorHAnsi"/>
                <w:sz w:val="24"/>
                <w:szCs w:val="24"/>
              </w:rPr>
              <w:t>：紧邻林地，约302m为四川浩石模块化房屋科技有限公司（模块化房屋制造）。</w:t>
            </w:r>
          </w:p>
          <w:p w14:paraId="2341F9F3">
            <w:pPr>
              <w:spacing w:line="360" w:lineRule="auto"/>
              <w:ind w:firstLine="482" w:firstLineChars="200"/>
              <w:rPr>
                <w:rFonts w:cstheme="minorHAnsi"/>
                <w:sz w:val="24"/>
                <w:szCs w:val="24"/>
              </w:rPr>
            </w:pPr>
            <w:r>
              <w:rPr>
                <w:rFonts w:hint="eastAsia" w:cstheme="minorHAnsi"/>
                <w:b/>
                <w:bCs/>
                <w:sz w:val="24"/>
                <w:szCs w:val="24"/>
              </w:rPr>
              <w:t>东侧</w:t>
            </w:r>
            <w:r>
              <w:rPr>
                <w:rFonts w:hint="eastAsia" w:cstheme="minorHAnsi"/>
                <w:sz w:val="24"/>
                <w:szCs w:val="24"/>
              </w:rPr>
              <w:t>：紧邻林地，约220m为四川雷得云母有限公司（云母板制造）。</w:t>
            </w:r>
          </w:p>
          <w:p w14:paraId="351EA988">
            <w:pPr>
              <w:spacing w:line="360" w:lineRule="auto"/>
              <w:ind w:firstLine="482" w:firstLineChars="200"/>
              <w:rPr>
                <w:rFonts w:cstheme="minorHAnsi"/>
                <w:sz w:val="24"/>
                <w:szCs w:val="24"/>
              </w:rPr>
            </w:pPr>
            <w:r>
              <w:rPr>
                <w:rFonts w:hint="eastAsia" w:cstheme="minorHAnsi"/>
                <w:b/>
                <w:bCs/>
                <w:sz w:val="24"/>
                <w:szCs w:val="24"/>
              </w:rPr>
              <w:t>东南侧</w:t>
            </w:r>
            <w:r>
              <w:rPr>
                <w:rFonts w:hint="eastAsia" w:cstheme="minorHAnsi"/>
                <w:sz w:val="24"/>
                <w:szCs w:val="24"/>
              </w:rPr>
              <w:t>：约149m为遂宁市瓶盖厂（瓶盖制造），约283m为四川智华碳循环科技有限公司（塑料颗粒制造），约342m为四川六族半导体材料有限公司（电子专用材料制造），约366m为四川鑫西岭建材科技有限公司（建筑材料制造），约485m为郪江。</w:t>
            </w:r>
          </w:p>
          <w:p w14:paraId="745AA078">
            <w:pPr>
              <w:spacing w:line="360" w:lineRule="auto"/>
              <w:ind w:firstLine="482" w:firstLineChars="200"/>
              <w:rPr>
                <w:rFonts w:cstheme="minorHAnsi"/>
                <w:sz w:val="24"/>
                <w:szCs w:val="24"/>
              </w:rPr>
            </w:pPr>
            <w:r>
              <w:rPr>
                <w:rFonts w:hint="eastAsia" w:cstheme="minorHAnsi"/>
                <w:b/>
                <w:bCs/>
                <w:sz w:val="24"/>
                <w:szCs w:val="24"/>
              </w:rPr>
              <w:t>南侧</w:t>
            </w:r>
            <w:r>
              <w:rPr>
                <w:rFonts w:hint="eastAsia" w:cstheme="minorHAnsi"/>
                <w:sz w:val="24"/>
                <w:szCs w:val="24"/>
              </w:rPr>
              <w:t>：紧邻四川厚裕粮油发展有限责任公司（油脂加工），约23m为大英县渝能化纤厂（纤维制造），约232m为四川万勃石油机械制造有限公司（石油机械制造），约287m为四川飞亚动力科技股份有限公司（机械制造），约450m为郪江。</w:t>
            </w:r>
          </w:p>
          <w:p w14:paraId="53CB022B">
            <w:pPr>
              <w:spacing w:line="360" w:lineRule="auto"/>
              <w:ind w:firstLine="482" w:firstLineChars="200"/>
              <w:rPr>
                <w:rFonts w:cstheme="minorHAnsi"/>
                <w:sz w:val="24"/>
                <w:szCs w:val="24"/>
              </w:rPr>
            </w:pPr>
            <w:r>
              <w:rPr>
                <w:rFonts w:hint="eastAsia" w:cstheme="minorHAnsi"/>
                <w:b/>
                <w:bCs/>
                <w:sz w:val="24"/>
                <w:szCs w:val="24"/>
              </w:rPr>
              <w:t>西南侧</w:t>
            </w:r>
            <w:r>
              <w:rPr>
                <w:rFonts w:hint="eastAsia" w:cstheme="minorHAnsi"/>
                <w:sz w:val="24"/>
                <w:szCs w:val="24"/>
              </w:rPr>
              <w:t>：约224m为川中特纺（遂宁）科技有限公司（纺织加工），约357m为四川达盛源化纤有限公司（化纤制造）。</w:t>
            </w:r>
          </w:p>
          <w:p w14:paraId="2E1F1F16">
            <w:pPr>
              <w:spacing w:line="360" w:lineRule="auto"/>
              <w:ind w:firstLine="482" w:firstLineChars="200"/>
              <w:rPr>
                <w:rFonts w:cstheme="minorHAnsi"/>
                <w:sz w:val="24"/>
                <w:szCs w:val="24"/>
              </w:rPr>
            </w:pPr>
            <w:r>
              <w:rPr>
                <w:rFonts w:hint="eastAsia" w:cstheme="minorHAnsi"/>
                <w:b/>
                <w:bCs/>
                <w:sz w:val="24"/>
                <w:szCs w:val="24"/>
              </w:rPr>
              <w:t>西侧</w:t>
            </w:r>
            <w:r>
              <w:rPr>
                <w:rFonts w:hint="eastAsia" w:cstheme="minorHAnsi"/>
                <w:sz w:val="24"/>
                <w:szCs w:val="24"/>
              </w:rPr>
              <w:t>：紧邻林地，约329m为四川圣海包装有限公司（包装制品制造）。</w:t>
            </w:r>
          </w:p>
          <w:p w14:paraId="7AF8654E">
            <w:pPr>
              <w:spacing w:line="360" w:lineRule="auto"/>
              <w:ind w:firstLine="480" w:firstLineChars="200"/>
              <w:rPr>
                <w:rFonts w:cs="Times New Roman"/>
                <w:sz w:val="24"/>
                <w:szCs w:val="24"/>
              </w:rPr>
            </w:pPr>
            <w:r>
              <w:rPr>
                <w:rFonts w:hint="eastAsia"/>
                <w:sz w:val="24"/>
              </w:rPr>
              <w:t>由以上描述可知，项目厂界</w:t>
            </w:r>
            <w:r>
              <w:rPr>
                <w:sz w:val="24"/>
              </w:rPr>
              <w:t>500</w:t>
            </w:r>
            <w:r>
              <w:rPr>
                <w:rFonts w:hint="eastAsia"/>
                <w:sz w:val="24"/>
              </w:rPr>
              <w:t>m范围内</w:t>
            </w:r>
            <w:r>
              <w:rPr>
                <w:rFonts w:hint="eastAsia" w:cstheme="minorHAnsi"/>
                <w:sz w:val="24"/>
                <w:szCs w:val="24"/>
              </w:rPr>
              <w:t>以生产型企业为主，外环境关系较简单。</w:t>
            </w:r>
            <w:r>
              <w:rPr>
                <w:rFonts w:cstheme="minorHAnsi"/>
                <w:sz w:val="24"/>
                <w:szCs w:val="24"/>
              </w:rPr>
              <w:t>项目周边</w:t>
            </w:r>
            <w:r>
              <w:rPr>
                <w:rFonts w:hint="eastAsia" w:cstheme="minorHAnsi"/>
                <w:sz w:val="24"/>
                <w:szCs w:val="24"/>
              </w:rPr>
              <w:t>无</w:t>
            </w:r>
            <w:r>
              <w:rPr>
                <w:rFonts w:hint="eastAsia" w:cs="Times New Roman"/>
                <w:sz w:val="24"/>
                <w:szCs w:val="24"/>
              </w:rPr>
              <w:t>自然保护区、风景名胜区、居住区、文化区和农村地区中人群较集中的区域，无地下水集中式饮用水水源和热水、矿泉水、温泉等特殊地下水资源以及生态环境敏感区分布。周边工业企业均与本项目相容，无相互制约影响；运营期针对各类废气均采取相应治理措施，经治理后可有效削减污染物排放，减轻对周围环境造成影响，不会对周围环境敏感目标造成明显影响。因此，项目选址与外环境相容。</w:t>
            </w:r>
          </w:p>
          <w:p w14:paraId="18EBEAFA">
            <w:pPr>
              <w:spacing w:line="360" w:lineRule="auto"/>
              <w:ind w:firstLine="482" w:firstLineChars="200"/>
              <w:rPr>
                <w:rFonts w:cstheme="minorHAnsi"/>
                <w:sz w:val="24"/>
                <w:szCs w:val="24"/>
              </w:rPr>
            </w:pPr>
            <w:r>
              <w:rPr>
                <w:rFonts w:hint="eastAsia" w:cs="Times New Roman"/>
                <w:b/>
                <w:sz w:val="24"/>
                <w:szCs w:val="24"/>
              </w:rPr>
              <w:t>7、与生态环境分区管控符合性</w:t>
            </w:r>
          </w:p>
          <w:p w14:paraId="2DA23776">
            <w:pPr>
              <w:adjustRightInd w:val="0"/>
              <w:spacing w:line="360" w:lineRule="auto"/>
              <w:ind w:firstLine="480" w:firstLineChars="200"/>
              <w:textAlignment w:val="baseline"/>
              <w:rPr>
                <w:sz w:val="24"/>
              </w:rPr>
            </w:pPr>
            <w:r>
              <w:rPr>
                <w:rFonts w:hint="eastAsia"/>
                <w:sz w:val="24"/>
              </w:rPr>
              <w:t>根据四川省生态环境厅办公室《关于印发&lt;产业园区规划环评生态环境分区管控符合性分析技术要点（试行）&gt;和&lt;项目环评生态环境分区管控符合性分析技术要点（试行）&gt;的通知》（川环办函〔2021〕469号），本项目与生态环境分区管控符合性分析如下：</w:t>
            </w:r>
          </w:p>
          <w:p w14:paraId="43367E03">
            <w:pPr>
              <w:adjustRightInd w:val="0"/>
              <w:spacing w:line="360" w:lineRule="auto"/>
              <w:ind w:firstLine="482" w:firstLineChars="200"/>
              <w:textAlignment w:val="baseline"/>
              <w:rPr>
                <w:b/>
                <w:sz w:val="24"/>
              </w:rPr>
            </w:pPr>
            <w:r>
              <w:rPr>
                <w:b/>
                <w:sz w:val="24"/>
              </w:rPr>
              <w:t>（</w:t>
            </w:r>
            <w:r>
              <w:rPr>
                <w:rFonts w:hint="eastAsia"/>
                <w:b/>
                <w:sz w:val="24"/>
              </w:rPr>
              <w:t>1）环境管控单元</w:t>
            </w:r>
          </w:p>
          <w:p w14:paraId="1C8D1242">
            <w:pPr>
              <w:adjustRightInd w:val="0"/>
              <w:spacing w:line="360" w:lineRule="auto"/>
              <w:ind w:firstLine="470" w:firstLineChars="196"/>
              <w:textAlignment w:val="baseline"/>
              <w:rPr>
                <w:sz w:val="24"/>
              </w:rPr>
            </w:pPr>
            <w:r>
              <w:rPr>
                <w:sz w:val="24"/>
              </w:rPr>
              <w:t>根据</w:t>
            </w:r>
            <w:r>
              <w:rPr>
                <w:rFonts w:hint="eastAsia"/>
                <w:sz w:val="24"/>
              </w:rPr>
              <w:t>遂宁市生态环境保护委员会《关于印发遂宁市2023年生态环境分区管控动态更新成果的通知》（遂环委〔2024〕2号），遂宁市共划定环境管控单元47个，其中优先保护单元19个、重点管控单元26个、一般管控单元2个。本项目位于遂宁市大英县蓬莱镇采和大道261号附1号，根据四川政务服务网生态环境分区管控符合性分析系统查询结果，涉及环境管控单元如下：</w:t>
            </w:r>
          </w:p>
          <w:p w14:paraId="521954BD">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项目涉及环境管控单元表</w:t>
            </w:r>
          </w:p>
          <w:tbl>
            <w:tblPr>
              <w:tblStyle w:val="17"/>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192"/>
              <w:gridCol w:w="1601"/>
              <w:gridCol w:w="1014"/>
              <w:gridCol w:w="1016"/>
              <w:gridCol w:w="1162"/>
              <w:gridCol w:w="1615"/>
            </w:tblGrid>
            <w:tr w14:paraId="203D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4CAA66B9">
                  <w:pPr>
                    <w:pStyle w:val="31"/>
                  </w:pPr>
                  <w:r>
                    <w:t>序号</w:t>
                  </w:r>
                </w:p>
              </w:tc>
              <w:tc>
                <w:tcPr>
                  <w:tcW w:w="719" w:type="pct"/>
                  <w:vAlign w:val="center"/>
                </w:tcPr>
                <w:p w14:paraId="4033B86D">
                  <w:pPr>
                    <w:pStyle w:val="31"/>
                  </w:pPr>
                  <w:r>
                    <w:t>管控单元编码</w:t>
                  </w:r>
                </w:p>
              </w:tc>
              <w:tc>
                <w:tcPr>
                  <w:tcW w:w="966" w:type="pct"/>
                  <w:vAlign w:val="center"/>
                </w:tcPr>
                <w:p w14:paraId="1B36F2AF">
                  <w:pPr>
                    <w:pStyle w:val="31"/>
                  </w:pPr>
                  <w:r>
                    <w:t>管控单元名称</w:t>
                  </w:r>
                </w:p>
              </w:tc>
              <w:tc>
                <w:tcPr>
                  <w:tcW w:w="612" w:type="pct"/>
                  <w:vAlign w:val="center"/>
                </w:tcPr>
                <w:p w14:paraId="2608E92F">
                  <w:pPr>
                    <w:pStyle w:val="31"/>
                  </w:pPr>
                  <w:r>
                    <w:t>所属城市</w:t>
                  </w:r>
                </w:p>
              </w:tc>
              <w:tc>
                <w:tcPr>
                  <w:tcW w:w="613" w:type="pct"/>
                  <w:vAlign w:val="center"/>
                </w:tcPr>
                <w:p w14:paraId="3EE68019">
                  <w:pPr>
                    <w:pStyle w:val="31"/>
                  </w:pPr>
                  <w:r>
                    <w:t>所属区县</w:t>
                  </w:r>
                </w:p>
              </w:tc>
              <w:tc>
                <w:tcPr>
                  <w:tcW w:w="701" w:type="pct"/>
                  <w:vAlign w:val="center"/>
                </w:tcPr>
                <w:p w14:paraId="2BCD189F">
                  <w:pPr>
                    <w:pStyle w:val="31"/>
                  </w:pPr>
                  <w:r>
                    <w:t>准入清单类型</w:t>
                  </w:r>
                </w:p>
              </w:tc>
              <w:tc>
                <w:tcPr>
                  <w:tcW w:w="974" w:type="pct"/>
                  <w:vAlign w:val="center"/>
                </w:tcPr>
                <w:p w14:paraId="763667EC">
                  <w:pPr>
                    <w:pStyle w:val="31"/>
                  </w:pPr>
                  <w:r>
                    <w:t>管控类型</w:t>
                  </w:r>
                </w:p>
              </w:tc>
            </w:tr>
            <w:tr w14:paraId="7EB6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79F9D778">
                  <w:pPr>
                    <w:pStyle w:val="31"/>
                  </w:pPr>
                  <w:r>
                    <w:t>1</w:t>
                  </w:r>
                </w:p>
              </w:tc>
              <w:tc>
                <w:tcPr>
                  <w:tcW w:w="719" w:type="pct"/>
                  <w:vAlign w:val="center"/>
                </w:tcPr>
                <w:p w14:paraId="2233D8AB">
                  <w:pPr>
                    <w:pStyle w:val="31"/>
                  </w:pPr>
                  <w:r>
                    <w:rPr>
                      <w:kern w:val="2"/>
                    </w:rPr>
                    <w:t>ZH510923</w:t>
                  </w:r>
                </w:p>
                <w:p w14:paraId="319EB5C1">
                  <w:pPr>
                    <w:pStyle w:val="31"/>
                  </w:pPr>
                  <w:r>
                    <w:rPr>
                      <w:kern w:val="2"/>
                    </w:rPr>
                    <w:t>20002</w:t>
                  </w:r>
                </w:p>
              </w:tc>
              <w:tc>
                <w:tcPr>
                  <w:tcW w:w="966" w:type="pct"/>
                  <w:vAlign w:val="center"/>
                </w:tcPr>
                <w:p w14:paraId="30AF86E1">
                  <w:pPr>
                    <w:pStyle w:val="31"/>
                  </w:pPr>
                  <w:r>
                    <w:rPr>
                      <w:kern w:val="2"/>
                    </w:rPr>
                    <w:t>大英县工业集中发展区</w:t>
                  </w:r>
                  <w:r>
                    <w:t>（</w:t>
                  </w:r>
                  <w:r>
                    <w:rPr>
                      <w:kern w:val="2"/>
                    </w:rPr>
                    <w:t>含经开区</w:t>
                  </w:r>
                  <w:r>
                    <w:t>）</w:t>
                  </w:r>
                </w:p>
              </w:tc>
              <w:tc>
                <w:tcPr>
                  <w:tcW w:w="612" w:type="pct"/>
                  <w:vAlign w:val="center"/>
                </w:tcPr>
                <w:p w14:paraId="58D63BF1">
                  <w:pPr>
                    <w:pStyle w:val="31"/>
                  </w:pPr>
                  <w:r>
                    <w:rPr>
                      <w:kern w:val="2"/>
                    </w:rPr>
                    <w:t>遂宁市</w:t>
                  </w:r>
                </w:p>
              </w:tc>
              <w:tc>
                <w:tcPr>
                  <w:tcW w:w="613" w:type="pct"/>
                  <w:vAlign w:val="center"/>
                </w:tcPr>
                <w:p w14:paraId="2DC678B6">
                  <w:pPr>
                    <w:pStyle w:val="31"/>
                  </w:pPr>
                  <w:r>
                    <w:rPr>
                      <w:kern w:val="2"/>
                    </w:rPr>
                    <w:t>大英县</w:t>
                  </w:r>
                </w:p>
              </w:tc>
              <w:tc>
                <w:tcPr>
                  <w:tcW w:w="701" w:type="pct"/>
                  <w:vAlign w:val="center"/>
                </w:tcPr>
                <w:p w14:paraId="3211AC58">
                  <w:pPr>
                    <w:pStyle w:val="31"/>
                  </w:pPr>
                  <w:r>
                    <w:rPr>
                      <w:kern w:val="2"/>
                    </w:rPr>
                    <w:t>环境综合管控单元</w:t>
                  </w:r>
                </w:p>
              </w:tc>
              <w:tc>
                <w:tcPr>
                  <w:tcW w:w="974" w:type="pct"/>
                  <w:vAlign w:val="center"/>
                </w:tcPr>
                <w:p w14:paraId="6B0D77B8">
                  <w:pPr>
                    <w:pStyle w:val="31"/>
                  </w:pPr>
                  <w:r>
                    <w:rPr>
                      <w:kern w:val="2"/>
                    </w:rPr>
                    <w:t>环境综合管控单元工业重点管控单元</w:t>
                  </w:r>
                </w:p>
              </w:tc>
            </w:tr>
            <w:tr w14:paraId="3FCF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43F7AC1B">
                  <w:pPr>
                    <w:pStyle w:val="31"/>
                  </w:pPr>
                  <w:r>
                    <w:t>2</w:t>
                  </w:r>
                </w:p>
              </w:tc>
              <w:tc>
                <w:tcPr>
                  <w:tcW w:w="719" w:type="pct"/>
                  <w:vAlign w:val="center"/>
                </w:tcPr>
                <w:p w14:paraId="3A220A83">
                  <w:pPr>
                    <w:pStyle w:val="31"/>
                  </w:pPr>
                  <w:r>
                    <w:rPr>
                      <w:kern w:val="2"/>
                    </w:rPr>
                    <w:t>YS510923</w:t>
                  </w:r>
                </w:p>
                <w:p w14:paraId="7F065FF9">
                  <w:pPr>
                    <w:pStyle w:val="31"/>
                  </w:pPr>
                  <w:r>
                    <w:rPr>
                      <w:kern w:val="2"/>
                    </w:rPr>
                    <w:t>2310001</w:t>
                  </w:r>
                </w:p>
              </w:tc>
              <w:tc>
                <w:tcPr>
                  <w:tcW w:w="966" w:type="pct"/>
                  <w:vAlign w:val="center"/>
                </w:tcPr>
                <w:p w14:paraId="329CC187">
                  <w:pPr>
                    <w:pStyle w:val="31"/>
                  </w:pPr>
                  <w:r>
                    <w:rPr>
                      <w:kern w:val="2"/>
                    </w:rPr>
                    <w:t>大英县工业集中发展区</w:t>
                  </w:r>
                  <w:r>
                    <w:t>（</w:t>
                  </w:r>
                  <w:r>
                    <w:rPr>
                      <w:kern w:val="2"/>
                    </w:rPr>
                    <w:t>含经开区</w:t>
                  </w:r>
                  <w:r>
                    <w:t>）</w:t>
                  </w:r>
                </w:p>
              </w:tc>
              <w:tc>
                <w:tcPr>
                  <w:tcW w:w="612" w:type="pct"/>
                  <w:vAlign w:val="center"/>
                </w:tcPr>
                <w:p w14:paraId="42B92B70">
                  <w:pPr>
                    <w:pStyle w:val="31"/>
                  </w:pPr>
                  <w:r>
                    <w:rPr>
                      <w:kern w:val="2"/>
                    </w:rPr>
                    <w:t>遂宁市</w:t>
                  </w:r>
                </w:p>
              </w:tc>
              <w:tc>
                <w:tcPr>
                  <w:tcW w:w="613" w:type="pct"/>
                  <w:vAlign w:val="center"/>
                </w:tcPr>
                <w:p w14:paraId="54C447E5">
                  <w:pPr>
                    <w:pStyle w:val="31"/>
                  </w:pPr>
                  <w:r>
                    <w:rPr>
                      <w:kern w:val="2"/>
                    </w:rPr>
                    <w:t>大英县</w:t>
                  </w:r>
                </w:p>
              </w:tc>
              <w:tc>
                <w:tcPr>
                  <w:tcW w:w="701" w:type="pct"/>
                  <w:vAlign w:val="center"/>
                </w:tcPr>
                <w:p w14:paraId="0906FEBA">
                  <w:pPr>
                    <w:pStyle w:val="31"/>
                  </w:pPr>
                  <w:r>
                    <w:rPr>
                      <w:kern w:val="2"/>
                    </w:rPr>
                    <w:t>大气环境管控分区</w:t>
                  </w:r>
                </w:p>
              </w:tc>
              <w:tc>
                <w:tcPr>
                  <w:tcW w:w="974" w:type="pct"/>
                  <w:vAlign w:val="center"/>
                </w:tcPr>
                <w:p w14:paraId="6C66D393">
                  <w:pPr>
                    <w:pStyle w:val="31"/>
                  </w:pPr>
                  <w:r>
                    <w:rPr>
                      <w:kern w:val="2"/>
                    </w:rPr>
                    <w:t>大气环境高排放重点管控区</w:t>
                  </w:r>
                </w:p>
              </w:tc>
            </w:tr>
            <w:tr w14:paraId="50B1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1AB2A15B">
                  <w:pPr>
                    <w:pStyle w:val="31"/>
                  </w:pPr>
                  <w:r>
                    <w:t>3</w:t>
                  </w:r>
                </w:p>
              </w:tc>
              <w:tc>
                <w:tcPr>
                  <w:tcW w:w="719" w:type="pct"/>
                  <w:vAlign w:val="center"/>
                </w:tcPr>
                <w:p w14:paraId="01F4D168">
                  <w:pPr>
                    <w:pStyle w:val="31"/>
                  </w:pPr>
                  <w:r>
                    <w:rPr>
                      <w:kern w:val="2"/>
                    </w:rPr>
                    <w:t>YS510923</w:t>
                  </w:r>
                </w:p>
                <w:p w14:paraId="53885573">
                  <w:pPr>
                    <w:pStyle w:val="31"/>
                  </w:pPr>
                  <w:r>
                    <w:rPr>
                      <w:kern w:val="2"/>
                    </w:rPr>
                    <w:t>2530001</w:t>
                  </w:r>
                </w:p>
              </w:tc>
              <w:tc>
                <w:tcPr>
                  <w:tcW w:w="966" w:type="pct"/>
                  <w:vAlign w:val="center"/>
                </w:tcPr>
                <w:p w14:paraId="3042F126">
                  <w:pPr>
                    <w:pStyle w:val="31"/>
                  </w:pPr>
                  <w:r>
                    <w:rPr>
                      <w:kern w:val="2"/>
                    </w:rPr>
                    <w:t>大英县城镇开发边界</w:t>
                  </w:r>
                </w:p>
              </w:tc>
              <w:tc>
                <w:tcPr>
                  <w:tcW w:w="612" w:type="pct"/>
                  <w:vAlign w:val="center"/>
                </w:tcPr>
                <w:p w14:paraId="132A0684">
                  <w:pPr>
                    <w:pStyle w:val="31"/>
                  </w:pPr>
                  <w:r>
                    <w:rPr>
                      <w:kern w:val="2"/>
                    </w:rPr>
                    <w:t>遂宁市</w:t>
                  </w:r>
                </w:p>
              </w:tc>
              <w:tc>
                <w:tcPr>
                  <w:tcW w:w="613" w:type="pct"/>
                  <w:vAlign w:val="center"/>
                </w:tcPr>
                <w:p w14:paraId="4E48A2E9">
                  <w:pPr>
                    <w:pStyle w:val="31"/>
                  </w:pPr>
                  <w:r>
                    <w:rPr>
                      <w:kern w:val="2"/>
                    </w:rPr>
                    <w:t>大英县</w:t>
                  </w:r>
                </w:p>
              </w:tc>
              <w:tc>
                <w:tcPr>
                  <w:tcW w:w="701" w:type="pct"/>
                  <w:vAlign w:val="center"/>
                </w:tcPr>
                <w:p w14:paraId="539E9DE2">
                  <w:pPr>
                    <w:pStyle w:val="31"/>
                  </w:pPr>
                  <w:r>
                    <w:rPr>
                      <w:kern w:val="2"/>
                    </w:rPr>
                    <w:t>资源管控分区</w:t>
                  </w:r>
                </w:p>
              </w:tc>
              <w:tc>
                <w:tcPr>
                  <w:tcW w:w="974" w:type="pct"/>
                  <w:vAlign w:val="center"/>
                </w:tcPr>
                <w:p w14:paraId="071BCDC2">
                  <w:pPr>
                    <w:pStyle w:val="31"/>
                  </w:pPr>
                  <w:r>
                    <w:rPr>
                      <w:kern w:val="2"/>
                    </w:rPr>
                    <w:t>土地资源重点管控区</w:t>
                  </w:r>
                </w:p>
              </w:tc>
            </w:tr>
            <w:tr w14:paraId="248E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39E8B267">
                  <w:pPr>
                    <w:pStyle w:val="31"/>
                  </w:pPr>
                  <w:r>
                    <w:t>4</w:t>
                  </w:r>
                </w:p>
              </w:tc>
              <w:tc>
                <w:tcPr>
                  <w:tcW w:w="719" w:type="pct"/>
                  <w:vAlign w:val="center"/>
                </w:tcPr>
                <w:p w14:paraId="5F02E4C7">
                  <w:pPr>
                    <w:pStyle w:val="31"/>
                  </w:pPr>
                  <w:r>
                    <w:rPr>
                      <w:kern w:val="2"/>
                    </w:rPr>
                    <w:t>YS510923</w:t>
                  </w:r>
                </w:p>
                <w:p w14:paraId="34ADA68D">
                  <w:pPr>
                    <w:pStyle w:val="31"/>
                  </w:pPr>
                  <w:r>
                    <w:rPr>
                      <w:kern w:val="2"/>
                    </w:rPr>
                    <w:t>2540002</w:t>
                  </w:r>
                </w:p>
              </w:tc>
              <w:tc>
                <w:tcPr>
                  <w:tcW w:w="966" w:type="pct"/>
                  <w:vAlign w:val="center"/>
                </w:tcPr>
                <w:p w14:paraId="04DB4120">
                  <w:pPr>
                    <w:pStyle w:val="31"/>
                  </w:pPr>
                  <w:r>
                    <w:rPr>
                      <w:kern w:val="2"/>
                    </w:rPr>
                    <w:t>四川大英经济开发区</w:t>
                  </w:r>
                </w:p>
              </w:tc>
              <w:tc>
                <w:tcPr>
                  <w:tcW w:w="612" w:type="pct"/>
                  <w:vAlign w:val="center"/>
                </w:tcPr>
                <w:p w14:paraId="6A5E0A31">
                  <w:pPr>
                    <w:pStyle w:val="31"/>
                  </w:pPr>
                  <w:r>
                    <w:rPr>
                      <w:kern w:val="2"/>
                    </w:rPr>
                    <w:t>遂宁市</w:t>
                  </w:r>
                </w:p>
              </w:tc>
              <w:tc>
                <w:tcPr>
                  <w:tcW w:w="613" w:type="pct"/>
                  <w:vAlign w:val="center"/>
                </w:tcPr>
                <w:p w14:paraId="34B9E207">
                  <w:pPr>
                    <w:pStyle w:val="31"/>
                  </w:pPr>
                  <w:r>
                    <w:rPr>
                      <w:kern w:val="2"/>
                    </w:rPr>
                    <w:t>大英县</w:t>
                  </w:r>
                </w:p>
              </w:tc>
              <w:tc>
                <w:tcPr>
                  <w:tcW w:w="701" w:type="pct"/>
                  <w:vAlign w:val="center"/>
                </w:tcPr>
                <w:p w14:paraId="5A20F36B">
                  <w:pPr>
                    <w:pStyle w:val="31"/>
                  </w:pPr>
                  <w:r>
                    <w:rPr>
                      <w:kern w:val="2"/>
                    </w:rPr>
                    <w:t>资源管控分区</w:t>
                  </w:r>
                </w:p>
              </w:tc>
              <w:tc>
                <w:tcPr>
                  <w:tcW w:w="974" w:type="pct"/>
                  <w:vAlign w:val="center"/>
                </w:tcPr>
                <w:p w14:paraId="3D2737A6">
                  <w:pPr>
                    <w:pStyle w:val="31"/>
                  </w:pPr>
                  <w:r>
                    <w:rPr>
                      <w:kern w:val="2"/>
                    </w:rPr>
                    <w:t>高污染燃料禁燃区</w:t>
                  </w:r>
                </w:p>
              </w:tc>
            </w:tr>
            <w:tr w14:paraId="4015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 w:type="pct"/>
                  <w:vAlign w:val="center"/>
                </w:tcPr>
                <w:p w14:paraId="0F529A70">
                  <w:pPr>
                    <w:pStyle w:val="31"/>
                  </w:pPr>
                  <w:r>
                    <w:t>5</w:t>
                  </w:r>
                </w:p>
              </w:tc>
              <w:tc>
                <w:tcPr>
                  <w:tcW w:w="719" w:type="pct"/>
                  <w:vAlign w:val="center"/>
                </w:tcPr>
                <w:p w14:paraId="280C5A82">
                  <w:pPr>
                    <w:pStyle w:val="31"/>
                  </w:pPr>
                  <w:r>
                    <w:rPr>
                      <w:kern w:val="2"/>
                    </w:rPr>
                    <w:t>YS510923</w:t>
                  </w:r>
                </w:p>
                <w:p w14:paraId="41B210EB">
                  <w:pPr>
                    <w:pStyle w:val="31"/>
                  </w:pPr>
                  <w:r>
                    <w:rPr>
                      <w:kern w:val="2"/>
                    </w:rPr>
                    <w:t>2550001</w:t>
                  </w:r>
                </w:p>
              </w:tc>
              <w:tc>
                <w:tcPr>
                  <w:tcW w:w="966" w:type="pct"/>
                  <w:vAlign w:val="center"/>
                </w:tcPr>
                <w:p w14:paraId="673FD72B">
                  <w:pPr>
                    <w:pStyle w:val="31"/>
                  </w:pPr>
                  <w:r>
                    <w:rPr>
                      <w:kern w:val="2"/>
                    </w:rPr>
                    <w:t>大英县自然资源重点管控区</w:t>
                  </w:r>
                </w:p>
              </w:tc>
              <w:tc>
                <w:tcPr>
                  <w:tcW w:w="612" w:type="pct"/>
                  <w:vAlign w:val="center"/>
                </w:tcPr>
                <w:p w14:paraId="172E779F">
                  <w:pPr>
                    <w:pStyle w:val="31"/>
                  </w:pPr>
                  <w:r>
                    <w:rPr>
                      <w:kern w:val="2"/>
                    </w:rPr>
                    <w:t>遂宁市</w:t>
                  </w:r>
                </w:p>
              </w:tc>
              <w:tc>
                <w:tcPr>
                  <w:tcW w:w="613" w:type="pct"/>
                  <w:vAlign w:val="center"/>
                </w:tcPr>
                <w:p w14:paraId="6CAFD0EC">
                  <w:pPr>
                    <w:pStyle w:val="31"/>
                  </w:pPr>
                  <w:r>
                    <w:rPr>
                      <w:kern w:val="2"/>
                    </w:rPr>
                    <w:t>大英县</w:t>
                  </w:r>
                </w:p>
              </w:tc>
              <w:tc>
                <w:tcPr>
                  <w:tcW w:w="701" w:type="pct"/>
                  <w:vAlign w:val="center"/>
                </w:tcPr>
                <w:p w14:paraId="2FEED67C">
                  <w:pPr>
                    <w:pStyle w:val="31"/>
                  </w:pPr>
                  <w:r>
                    <w:rPr>
                      <w:kern w:val="2"/>
                    </w:rPr>
                    <w:t>资源管控分区</w:t>
                  </w:r>
                </w:p>
              </w:tc>
              <w:tc>
                <w:tcPr>
                  <w:tcW w:w="974" w:type="pct"/>
                  <w:vAlign w:val="center"/>
                </w:tcPr>
                <w:p w14:paraId="78A72A7C">
                  <w:pPr>
                    <w:pStyle w:val="31"/>
                  </w:pPr>
                  <w:r>
                    <w:rPr>
                      <w:kern w:val="2"/>
                    </w:rPr>
                    <w:t>自然资源重点管控区</w:t>
                  </w:r>
                </w:p>
              </w:tc>
            </w:tr>
          </w:tbl>
          <w:p w14:paraId="20CA25C1">
            <w:pPr>
              <w:adjustRightInd w:val="0"/>
              <w:spacing w:line="360" w:lineRule="auto"/>
              <w:jc w:val="center"/>
              <w:textAlignment w:val="baseline"/>
              <w:rPr>
                <w:sz w:val="24"/>
              </w:rPr>
            </w:pPr>
            <w:r>
              <w:drawing>
                <wp:inline distT="0" distB="0" distL="0" distR="0">
                  <wp:extent cx="4679315" cy="3895725"/>
                  <wp:effectExtent l="0" t="0" r="6985" b="0"/>
                  <wp:docPr id="416736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36234" name="图片 1"/>
                          <pic:cNvPicPr>
                            <a:picLocks noChangeAspect="1"/>
                          </pic:cNvPicPr>
                        </pic:nvPicPr>
                        <pic:blipFill>
                          <a:blip r:embed="rId5"/>
                          <a:stretch>
                            <a:fillRect/>
                          </a:stretch>
                        </pic:blipFill>
                        <pic:spPr>
                          <a:xfrm>
                            <a:off x="0" y="0"/>
                            <a:ext cx="4718161" cy="3928047"/>
                          </a:xfrm>
                          <a:prstGeom prst="rect">
                            <a:avLst/>
                          </a:prstGeom>
                        </pic:spPr>
                      </pic:pic>
                    </a:graphicData>
                  </a:graphic>
                </wp:inline>
              </w:drawing>
            </w:r>
          </w:p>
          <w:p w14:paraId="5D6BC670">
            <w:pPr>
              <w:pStyle w:val="51"/>
              <w:numPr>
                <w:ilvl w:val="0"/>
                <w:numId w:val="2"/>
              </w:numPr>
              <w:spacing w:line="360" w:lineRule="auto"/>
              <w:ind w:firstLineChars="0"/>
              <w:jc w:val="center"/>
              <w:rPr>
                <w:rFonts w:eastAsia="黑体" w:cs="Times New Roman"/>
                <w:szCs w:val="21"/>
              </w:rPr>
            </w:pPr>
            <w:r>
              <w:rPr>
                <w:rFonts w:hint="eastAsia" w:eastAsia="黑体"/>
                <w:szCs w:val="21"/>
              </w:rPr>
              <w:t>生态环境分区管控符合性分析查询结果</w:t>
            </w:r>
          </w:p>
          <w:p w14:paraId="423130FF">
            <w:pPr>
              <w:adjustRightInd w:val="0"/>
              <w:spacing w:line="360" w:lineRule="auto"/>
              <w:ind w:firstLine="470" w:firstLineChars="196"/>
              <w:textAlignment w:val="baseline"/>
              <w:rPr>
                <w:sz w:val="24"/>
              </w:rPr>
            </w:pPr>
            <w:r>
              <w:rPr>
                <w:rFonts w:hint="eastAsia"/>
                <w:sz w:val="24"/>
              </w:rPr>
              <w:t>由以上分析</w:t>
            </w:r>
            <w:r>
              <w:rPr>
                <w:rFonts w:hint="eastAsia"/>
                <w:sz w:val="24"/>
                <w:lang w:eastAsia="zh-CN"/>
              </w:rPr>
              <w:t>可知</w:t>
            </w:r>
            <w:r>
              <w:rPr>
                <w:rFonts w:hint="eastAsia"/>
                <w:sz w:val="24"/>
              </w:rPr>
              <w:t>，项目所在地为工业重点管控单元（管控单元名称：大英县工业集中发展区（含经开区），管控单元编号：ZH51092320002），项目与管控单元相对位置如下图所示</w:t>
            </w:r>
            <w:r>
              <w:rPr>
                <w:rFonts w:hint="eastAsia"/>
                <w:szCs w:val="24"/>
              </w:rPr>
              <w:t>（图中</w:t>
            </w:r>
            <w:r>
              <w:drawing>
                <wp:inline distT="0" distB="0" distL="0" distR="0">
                  <wp:extent cx="116840" cy="116840"/>
                  <wp:effectExtent l="0" t="0" r="0" b="0"/>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6"/>
                          <a:stretch>
                            <a:fillRect/>
                          </a:stretch>
                        </pic:blipFill>
                        <pic:spPr>
                          <a:xfrm>
                            <a:off x="0" y="0"/>
                            <a:ext cx="116840" cy="116840"/>
                          </a:xfrm>
                          <a:prstGeom prst="rect">
                            <a:avLst/>
                          </a:prstGeom>
                        </pic:spPr>
                      </pic:pic>
                    </a:graphicData>
                  </a:graphic>
                </wp:inline>
              </w:drawing>
            </w:r>
            <w:r>
              <w:rPr>
                <w:rFonts w:hint="eastAsia"/>
                <w:szCs w:val="24"/>
              </w:rPr>
              <w:t>表示项目位置）</w:t>
            </w:r>
            <w:r>
              <w:rPr>
                <w:rFonts w:hint="eastAsia"/>
                <w:sz w:val="24"/>
              </w:rPr>
              <w:t>。</w:t>
            </w:r>
          </w:p>
          <w:p w14:paraId="74317A8E">
            <w:pPr>
              <w:adjustRightInd w:val="0"/>
              <w:spacing w:line="360" w:lineRule="auto"/>
              <w:jc w:val="center"/>
              <w:textAlignment w:val="baseline"/>
              <w:rPr>
                <w:sz w:val="24"/>
              </w:rPr>
            </w:pPr>
            <w:r>
              <w:rPr>
                <w:rFonts w:ascii="Helvetica" w:hAnsi="Helvetica" w:cs="Helvetica"/>
                <w:sz w:val="28"/>
                <w:szCs w:val="28"/>
              </w:rPr>
              <w:drawing>
                <wp:inline distT="0" distB="0" distL="0" distR="0">
                  <wp:extent cx="4417695" cy="3124200"/>
                  <wp:effectExtent l="19050" t="19050" r="20955" b="19050"/>
                  <wp:docPr id="16083078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0789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91008" cy="3175887"/>
                          </a:xfrm>
                          <a:prstGeom prst="rect">
                            <a:avLst/>
                          </a:prstGeom>
                          <a:noFill/>
                          <a:ln>
                            <a:solidFill>
                              <a:schemeClr val="bg1">
                                <a:lumMod val="75000"/>
                              </a:schemeClr>
                            </a:solidFill>
                          </a:ln>
                        </pic:spPr>
                      </pic:pic>
                    </a:graphicData>
                  </a:graphic>
                </wp:inline>
              </w:drawing>
            </w:r>
          </w:p>
          <w:p w14:paraId="06C522C2">
            <w:pPr>
              <w:pStyle w:val="51"/>
              <w:numPr>
                <w:ilvl w:val="0"/>
                <w:numId w:val="2"/>
              </w:numPr>
              <w:spacing w:line="360" w:lineRule="auto"/>
              <w:ind w:firstLineChars="0"/>
              <w:jc w:val="center"/>
              <w:rPr>
                <w:rFonts w:eastAsia="黑体" w:cs="Times New Roman"/>
                <w:szCs w:val="21"/>
              </w:rPr>
            </w:pPr>
            <w:r>
              <w:rPr>
                <w:rFonts w:hint="eastAsia" w:eastAsia="黑体"/>
                <w:szCs w:val="21"/>
              </w:rPr>
              <w:t>项目与环境管控单元相对位置图</w:t>
            </w:r>
          </w:p>
          <w:p w14:paraId="1ED75906">
            <w:pPr>
              <w:adjustRightInd w:val="0"/>
              <w:spacing w:line="360" w:lineRule="auto"/>
              <w:ind w:firstLine="482" w:firstLineChars="200"/>
              <w:textAlignment w:val="baseline"/>
              <w:rPr>
                <w:b/>
                <w:sz w:val="24"/>
              </w:rPr>
            </w:pPr>
            <w:r>
              <w:rPr>
                <w:b/>
                <w:sz w:val="24"/>
              </w:rPr>
              <w:t>（2</w:t>
            </w:r>
            <w:r>
              <w:rPr>
                <w:rFonts w:hint="eastAsia"/>
                <w:b/>
                <w:sz w:val="24"/>
              </w:rPr>
              <w:t>）生态环境分区管控符合性</w:t>
            </w:r>
          </w:p>
          <w:p w14:paraId="3B741320">
            <w:pPr>
              <w:adjustRightInd w:val="0"/>
              <w:spacing w:line="360" w:lineRule="auto"/>
              <w:ind w:firstLine="470" w:firstLineChars="196"/>
              <w:textAlignment w:val="baseline"/>
              <w:rPr>
                <w:sz w:val="24"/>
              </w:rPr>
            </w:pPr>
            <w:r>
              <w:rPr>
                <w:sz w:val="24"/>
              </w:rPr>
              <w:t>根据</w:t>
            </w:r>
            <w:r>
              <w:rPr>
                <w:rFonts w:hint="eastAsia"/>
                <w:sz w:val="24"/>
              </w:rPr>
              <w:t>遂宁市生态环境保护委员会《关于印发遂宁市2023年生态环境分区管控动态更新成果的通知》（遂环委〔2024〕2号），本项目与遂宁市生态环境总体管控要求符合性分析见下表。</w:t>
            </w:r>
          </w:p>
          <w:p w14:paraId="260EC1C9">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项目与遂宁市生态环境总体管控要求符合性</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4787"/>
              <w:gridCol w:w="1704"/>
              <w:gridCol w:w="1016"/>
            </w:tblGrid>
            <w:tr w14:paraId="2C67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1" w:type="pct"/>
                  <w:vAlign w:val="center"/>
                </w:tcPr>
                <w:p w14:paraId="06533C0B">
                  <w:pPr>
                    <w:jc w:val="center"/>
                    <w:rPr>
                      <w:szCs w:val="21"/>
                    </w:rPr>
                  </w:pPr>
                  <w:r>
                    <w:rPr>
                      <w:rFonts w:hint="eastAsia"/>
                      <w:szCs w:val="21"/>
                    </w:rPr>
                    <w:t>区域</w:t>
                  </w:r>
                </w:p>
              </w:tc>
              <w:tc>
                <w:tcPr>
                  <w:tcW w:w="2888" w:type="pct"/>
                  <w:vAlign w:val="center"/>
                </w:tcPr>
                <w:p w14:paraId="4233288B">
                  <w:pPr>
                    <w:jc w:val="center"/>
                    <w:rPr>
                      <w:szCs w:val="21"/>
                    </w:rPr>
                  </w:pPr>
                  <w:r>
                    <w:rPr>
                      <w:szCs w:val="21"/>
                    </w:rPr>
                    <w:t>总体管控要求</w:t>
                  </w:r>
                </w:p>
              </w:tc>
              <w:tc>
                <w:tcPr>
                  <w:tcW w:w="1028" w:type="pct"/>
                  <w:vAlign w:val="center"/>
                </w:tcPr>
                <w:p w14:paraId="3FA73F54">
                  <w:pPr>
                    <w:jc w:val="center"/>
                    <w:rPr>
                      <w:szCs w:val="21"/>
                    </w:rPr>
                  </w:pPr>
                  <w:r>
                    <w:rPr>
                      <w:szCs w:val="21"/>
                    </w:rPr>
                    <w:t>本项目</w:t>
                  </w:r>
                </w:p>
              </w:tc>
              <w:tc>
                <w:tcPr>
                  <w:tcW w:w="613" w:type="pct"/>
                  <w:vAlign w:val="center"/>
                </w:tcPr>
                <w:p w14:paraId="0E354366">
                  <w:pPr>
                    <w:jc w:val="center"/>
                    <w:rPr>
                      <w:szCs w:val="21"/>
                    </w:rPr>
                  </w:pPr>
                  <w:r>
                    <w:rPr>
                      <w:szCs w:val="21"/>
                    </w:rPr>
                    <w:t>符合性</w:t>
                  </w:r>
                </w:p>
              </w:tc>
            </w:tr>
            <w:tr w14:paraId="4CCA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71" w:type="pct"/>
                  <w:vAlign w:val="center"/>
                </w:tcPr>
                <w:p w14:paraId="138C139D">
                  <w:pPr>
                    <w:jc w:val="center"/>
                    <w:rPr>
                      <w:szCs w:val="21"/>
                    </w:rPr>
                  </w:pPr>
                  <w:r>
                    <w:rPr>
                      <w:rFonts w:hint="eastAsia"/>
                      <w:szCs w:val="21"/>
                    </w:rPr>
                    <w:t>遂宁市</w:t>
                  </w:r>
                </w:p>
              </w:tc>
              <w:tc>
                <w:tcPr>
                  <w:tcW w:w="2888" w:type="pct"/>
                  <w:vAlign w:val="center"/>
                </w:tcPr>
                <w:p w14:paraId="41A2A48A">
                  <w:pPr>
                    <w:rPr>
                      <w:rFonts w:cs="Times New Roman"/>
                      <w:szCs w:val="21"/>
                    </w:rPr>
                  </w:pPr>
                  <w:r>
                    <w:rPr>
                      <w:rFonts w:hint="eastAsia" w:cs="Times New Roman"/>
                      <w:szCs w:val="21"/>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178F0858">
                  <w:pPr>
                    <w:rPr>
                      <w:rFonts w:cs="Times New Roman"/>
                      <w:szCs w:val="21"/>
                    </w:rPr>
                  </w:pPr>
                  <w:r>
                    <w:rPr>
                      <w:rFonts w:hint="eastAsia" w:cs="Times New Roman"/>
                      <w:szCs w:val="21"/>
                    </w:rPr>
                    <w:t>（2）锂电产业中锂离子电池行业引入，参考执行其行业资源环境绩效指标准入要求。</w:t>
                  </w:r>
                </w:p>
                <w:p w14:paraId="653FD303">
                  <w:pPr>
                    <w:rPr>
                      <w:rFonts w:cs="Times New Roman"/>
                      <w:szCs w:val="21"/>
                    </w:rPr>
                  </w:pPr>
                  <w:r>
                    <w:rPr>
                      <w:rFonts w:hint="eastAsia" w:cs="Times New Roman"/>
                      <w:szCs w:val="21"/>
                    </w:rPr>
                    <w:t>（3）全市大气污染物排放执行《四川省生态环境厅关于执行大气污染物特别排放限值的公告》相关要求。</w:t>
                  </w:r>
                </w:p>
                <w:p w14:paraId="5C8EF906">
                  <w:pPr>
                    <w:rPr>
                      <w:rFonts w:cs="Times New Roman"/>
                      <w:szCs w:val="21"/>
                    </w:rPr>
                  </w:pPr>
                  <w:r>
                    <w:rPr>
                      <w:rFonts w:hint="eastAsia" w:cs="Times New Roman"/>
                      <w:szCs w:val="21"/>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73F43A56">
                  <w:pPr>
                    <w:rPr>
                      <w:rFonts w:cs="Times New Roman"/>
                      <w:szCs w:val="21"/>
                    </w:rPr>
                  </w:pPr>
                  <w:r>
                    <w:rPr>
                      <w:rFonts w:hint="eastAsia" w:cs="Times New Roman"/>
                      <w:szCs w:val="21"/>
                    </w:rPr>
                    <w:t>（5）优化中心城区园区布局。</w:t>
                  </w:r>
                </w:p>
                <w:p w14:paraId="7FD9392F">
                  <w:pPr>
                    <w:rPr>
                      <w:rFonts w:cs="Times New Roman"/>
                      <w:szCs w:val="21"/>
                    </w:rPr>
                  </w:pPr>
                  <w:r>
                    <w:rPr>
                      <w:rFonts w:hint="eastAsia" w:cs="Times New Roman"/>
                      <w:szCs w:val="21"/>
                    </w:rPr>
                    <w:t>（6）深化成都平原、川南、川东北地区大气污染联防联控工作机制，加强川渝地区联防联控。强化重污染天气区域应急联动机制，深化区域重污染天气联合应对。</w:t>
                  </w:r>
                </w:p>
              </w:tc>
              <w:tc>
                <w:tcPr>
                  <w:tcW w:w="1028" w:type="pct"/>
                  <w:vAlign w:val="center"/>
                </w:tcPr>
                <w:p w14:paraId="4B73C765">
                  <w:pPr>
                    <w:rPr>
                      <w:rFonts w:cs="Times New Roman"/>
                      <w:szCs w:val="21"/>
                    </w:rPr>
                  </w:pPr>
                  <w:r>
                    <w:rPr>
                      <w:rFonts w:hint="eastAsia"/>
                      <w:szCs w:val="21"/>
                    </w:rPr>
                    <w:t>项目为塑料制品业</w:t>
                  </w:r>
                  <w:r>
                    <w:rPr>
                      <w:szCs w:val="21"/>
                    </w:rPr>
                    <w:t>，</w:t>
                  </w:r>
                  <w:r>
                    <w:rPr>
                      <w:rFonts w:hint="eastAsia"/>
                      <w:szCs w:val="21"/>
                    </w:rPr>
                    <w:t>不属于</w:t>
                  </w:r>
                  <w:r>
                    <w:rPr>
                      <w:rFonts w:hint="eastAsia" w:cs="Times New Roman"/>
                      <w:szCs w:val="21"/>
                    </w:rPr>
                    <w:t>重点重金属污染物排放的建设项目以及有色冶炼、电镀、采选、化工、铅蓄电池制造业、皮革等涉重企业</w:t>
                  </w:r>
                  <w:r>
                    <w:rPr>
                      <w:rFonts w:hint="eastAsia"/>
                      <w:szCs w:val="21"/>
                    </w:rPr>
                    <w:t>，也不属于</w:t>
                  </w:r>
                  <w:r>
                    <w:rPr>
                      <w:rFonts w:hint="eastAsia" w:cs="Times New Roman"/>
                      <w:szCs w:val="21"/>
                    </w:rPr>
                    <w:t>锂电产业；项目大气污染物排放执行特别排放限值。</w:t>
                  </w:r>
                </w:p>
              </w:tc>
              <w:tc>
                <w:tcPr>
                  <w:tcW w:w="613" w:type="pct"/>
                  <w:vAlign w:val="center"/>
                </w:tcPr>
                <w:p w14:paraId="33B54954">
                  <w:pPr>
                    <w:jc w:val="center"/>
                    <w:rPr>
                      <w:szCs w:val="21"/>
                    </w:rPr>
                  </w:pPr>
                  <w:r>
                    <w:rPr>
                      <w:szCs w:val="21"/>
                    </w:rPr>
                    <w:t>符合</w:t>
                  </w:r>
                </w:p>
              </w:tc>
            </w:tr>
            <w:tr w14:paraId="1D2A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6" w:hRule="atLeast"/>
              </w:trPr>
              <w:tc>
                <w:tcPr>
                  <w:tcW w:w="471" w:type="pct"/>
                  <w:vAlign w:val="center"/>
                </w:tcPr>
                <w:p w14:paraId="4A51714C">
                  <w:pPr>
                    <w:jc w:val="center"/>
                    <w:rPr>
                      <w:szCs w:val="21"/>
                    </w:rPr>
                  </w:pPr>
                  <w:r>
                    <w:rPr>
                      <w:rFonts w:hint="eastAsia"/>
                      <w:szCs w:val="21"/>
                    </w:rPr>
                    <w:t>大英县</w:t>
                  </w:r>
                </w:p>
              </w:tc>
              <w:tc>
                <w:tcPr>
                  <w:tcW w:w="2888" w:type="pct"/>
                  <w:vAlign w:val="center"/>
                </w:tcPr>
                <w:p w14:paraId="4D3F219F">
                  <w:pPr>
                    <w:rPr>
                      <w:szCs w:val="21"/>
                    </w:rPr>
                  </w:pPr>
                  <w:r>
                    <w:rPr>
                      <w:rFonts w:hint="eastAsia" w:cs="Times New Roman"/>
                      <w:szCs w:val="21"/>
                    </w:rPr>
                    <w:t>（1）</w:t>
                  </w:r>
                  <w:r>
                    <w:rPr>
                      <w:rFonts w:hint="eastAsia"/>
                      <w:szCs w:val="21"/>
                    </w:rPr>
                    <w:t>加强郪江流域污染治理、农业面源污染治理，严格控制化肥农药使用量，科学划定禁养区，积极推广畜禽清洁养殖和畜禽粪污无害化、资源化处理技术。</w:t>
                  </w:r>
                </w:p>
                <w:p w14:paraId="09F9A0F0">
                  <w:pPr>
                    <w:rPr>
                      <w:szCs w:val="21"/>
                    </w:rPr>
                  </w:pPr>
                  <w:r>
                    <w:rPr>
                      <w:rFonts w:hint="eastAsia" w:cs="Times New Roman"/>
                      <w:szCs w:val="21"/>
                    </w:rPr>
                    <w:t>（2）</w:t>
                  </w:r>
                  <w:r>
                    <w:rPr>
                      <w:rFonts w:hint="eastAsia"/>
                      <w:szCs w:val="21"/>
                    </w:rPr>
                    <w:t>现有涉及五类重金属排放的企业，严控污染物排放。</w:t>
                  </w:r>
                </w:p>
                <w:p w14:paraId="31744BA6">
                  <w:pPr>
                    <w:rPr>
                      <w:szCs w:val="21"/>
                    </w:rPr>
                  </w:pPr>
                  <w:r>
                    <w:rPr>
                      <w:rFonts w:hint="eastAsia" w:cs="Times New Roman"/>
                      <w:szCs w:val="21"/>
                    </w:rPr>
                    <w:t>（3）</w:t>
                  </w:r>
                  <w:r>
                    <w:rPr>
                      <w:rFonts w:hint="eastAsia"/>
                      <w:szCs w:val="21"/>
                    </w:rPr>
                    <w:t>加强污染地块环境风险防控管理。</w:t>
                  </w:r>
                </w:p>
              </w:tc>
              <w:tc>
                <w:tcPr>
                  <w:tcW w:w="1028" w:type="pct"/>
                  <w:vAlign w:val="center"/>
                </w:tcPr>
                <w:p w14:paraId="5586ED61">
                  <w:pPr>
                    <w:rPr>
                      <w:szCs w:val="21"/>
                    </w:rPr>
                  </w:pPr>
                  <w:r>
                    <w:rPr>
                      <w:rFonts w:hint="eastAsia"/>
                      <w:szCs w:val="21"/>
                    </w:rPr>
                    <w:t>项目厂界距郪江约450m，不属于畜禽养殖、涉及五类重金属排放的企业，拟建地块未列入污染地块。</w:t>
                  </w:r>
                </w:p>
              </w:tc>
              <w:tc>
                <w:tcPr>
                  <w:tcW w:w="613" w:type="pct"/>
                  <w:vAlign w:val="center"/>
                </w:tcPr>
                <w:p w14:paraId="344D866B">
                  <w:pPr>
                    <w:jc w:val="center"/>
                    <w:rPr>
                      <w:szCs w:val="21"/>
                    </w:rPr>
                  </w:pPr>
                  <w:r>
                    <w:rPr>
                      <w:rFonts w:hint="eastAsia"/>
                      <w:szCs w:val="21"/>
                    </w:rPr>
                    <w:t>符合</w:t>
                  </w:r>
                </w:p>
              </w:tc>
            </w:tr>
          </w:tbl>
          <w:p w14:paraId="236E67D4">
            <w:pPr>
              <w:spacing w:line="360" w:lineRule="auto"/>
              <w:ind w:firstLine="480" w:firstLineChars="200"/>
              <w:rPr>
                <w:rFonts w:cs="Times New Roman"/>
                <w:sz w:val="24"/>
                <w:szCs w:val="24"/>
              </w:rPr>
            </w:pPr>
          </w:p>
          <w:p w14:paraId="5D91E2AA">
            <w:pPr>
              <w:spacing w:line="360" w:lineRule="auto"/>
              <w:ind w:firstLine="480" w:firstLineChars="200"/>
              <w:rPr>
                <w:rFonts w:cs="Times New Roman"/>
                <w:sz w:val="24"/>
                <w:szCs w:val="24"/>
              </w:rPr>
            </w:pPr>
          </w:p>
          <w:p w14:paraId="40B18BDE">
            <w:pPr>
              <w:spacing w:line="360" w:lineRule="auto"/>
              <w:ind w:firstLine="480" w:firstLineChars="200"/>
              <w:rPr>
                <w:rFonts w:cs="Times New Roman"/>
                <w:sz w:val="24"/>
                <w:szCs w:val="24"/>
              </w:rPr>
            </w:pPr>
          </w:p>
          <w:p w14:paraId="764FA401">
            <w:pPr>
              <w:spacing w:line="360" w:lineRule="auto"/>
              <w:ind w:firstLine="480" w:firstLineChars="200"/>
              <w:rPr>
                <w:rFonts w:cs="Times New Roman"/>
                <w:sz w:val="24"/>
                <w:szCs w:val="24"/>
              </w:rPr>
            </w:pPr>
          </w:p>
          <w:p w14:paraId="21BE188E">
            <w:pPr>
              <w:spacing w:line="360" w:lineRule="auto"/>
              <w:ind w:firstLine="480" w:firstLineChars="200"/>
              <w:rPr>
                <w:rFonts w:cs="Times New Roman"/>
                <w:sz w:val="24"/>
                <w:szCs w:val="24"/>
              </w:rPr>
            </w:pPr>
          </w:p>
          <w:p w14:paraId="6AC6FA7F">
            <w:pPr>
              <w:spacing w:line="360" w:lineRule="auto"/>
              <w:ind w:firstLine="480" w:firstLineChars="200"/>
              <w:rPr>
                <w:rFonts w:cs="Times New Roman"/>
                <w:sz w:val="24"/>
                <w:szCs w:val="24"/>
              </w:rPr>
            </w:pPr>
          </w:p>
          <w:p w14:paraId="75CDDA8F">
            <w:pPr>
              <w:spacing w:line="360" w:lineRule="auto"/>
              <w:ind w:firstLine="480" w:firstLineChars="200"/>
              <w:rPr>
                <w:rFonts w:cs="Times New Roman"/>
                <w:sz w:val="24"/>
                <w:szCs w:val="24"/>
              </w:rPr>
            </w:pPr>
          </w:p>
          <w:p w14:paraId="3094D443">
            <w:pPr>
              <w:spacing w:line="360" w:lineRule="auto"/>
              <w:ind w:firstLine="480" w:firstLineChars="200"/>
              <w:rPr>
                <w:rFonts w:cs="Times New Roman"/>
                <w:sz w:val="24"/>
                <w:szCs w:val="24"/>
              </w:rPr>
            </w:pPr>
          </w:p>
          <w:p w14:paraId="08420DE8">
            <w:pPr>
              <w:spacing w:line="360" w:lineRule="auto"/>
              <w:ind w:firstLine="480" w:firstLineChars="200"/>
              <w:rPr>
                <w:rFonts w:cs="Times New Roman"/>
                <w:sz w:val="24"/>
                <w:szCs w:val="24"/>
              </w:rPr>
            </w:pPr>
          </w:p>
          <w:p w14:paraId="78D51C2A">
            <w:pPr>
              <w:spacing w:line="360" w:lineRule="auto"/>
              <w:ind w:firstLine="480" w:firstLineChars="200"/>
              <w:rPr>
                <w:rFonts w:cs="Times New Roman"/>
                <w:sz w:val="24"/>
                <w:szCs w:val="24"/>
              </w:rPr>
            </w:pPr>
          </w:p>
          <w:p w14:paraId="653C52E4">
            <w:pPr>
              <w:spacing w:line="360" w:lineRule="auto"/>
              <w:ind w:firstLine="480" w:firstLineChars="200"/>
              <w:rPr>
                <w:rFonts w:cs="Times New Roman"/>
                <w:sz w:val="24"/>
                <w:szCs w:val="24"/>
              </w:rPr>
            </w:pPr>
          </w:p>
          <w:p w14:paraId="2BA1C64D">
            <w:pPr>
              <w:spacing w:line="360" w:lineRule="auto"/>
              <w:ind w:firstLine="480" w:firstLineChars="200"/>
              <w:rPr>
                <w:rFonts w:cs="Times New Roman"/>
                <w:sz w:val="24"/>
                <w:szCs w:val="24"/>
              </w:rPr>
            </w:pPr>
          </w:p>
          <w:p w14:paraId="78210174">
            <w:pPr>
              <w:spacing w:line="360" w:lineRule="auto"/>
              <w:ind w:firstLine="480" w:firstLineChars="200"/>
              <w:rPr>
                <w:rFonts w:cs="Times New Roman"/>
                <w:sz w:val="24"/>
                <w:szCs w:val="24"/>
              </w:rPr>
            </w:pPr>
          </w:p>
          <w:p w14:paraId="1B0F1489">
            <w:pPr>
              <w:spacing w:line="360" w:lineRule="auto"/>
              <w:ind w:firstLine="480" w:firstLineChars="200"/>
              <w:rPr>
                <w:rFonts w:cs="Times New Roman"/>
                <w:sz w:val="24"/>
                <w:szCs w:val="24"/>
              </w:rPr>
            </w:pPr>
          </w:p>
          <w:p w14:paraId="34D83F47">
            <w:pPr>
              <w:spacing w:line="360" w:lineRule="auto"/>
              <w:ind w:firstLine="480" w:firstLineChars="200"/>
              <w:rPr>
                <w:rFonts w:cs="Times New Roman"/>
                <w:sz w:val="24"/>
                <w:szCs w:val="24"/>
              </w:rPr>
            </w:pPr>
          </w:p>
          <w:p w14:paraId="15A1ABDA">
            <w:pPr>
              <w:spacing w:line="360" w:lineRule="auto"/>
              <w:ind w:firstLine="480" w:firstLineChars="200"/>
              <w:rPr>
                <w:rFonts w:cs="Times New Roman"/>
                <w:sz w:val="24"/>
                <w:szCs w:val="24"/>
              </w:rPr>
            </w:pPr>
          </w:p>
          <w:p w14:paraId="256A62A3">
            <w:pPr>
              <w:spacing w:line="360" w:lineRule="auto"/>
              <w:ind w:firstLine="480" w:firstLineChars="200"/>
              <w:rPr>
                <w:rFonts w:cs="Times New Roman"/>
                <w:sz w:val="24"/>
                <w:szCs w:val="24"/>
              </w:rPr>
            </w:pPr>
          </w:p>
          <w:p w14:paraId="06F3BF8F">
            <w:pPr>
              <w:spacing w:line="360" w:lineRule="auto"/>
              <w:ind w:firstLine="480" w:firstLineChars="200"/>
              <w:rPr>
                <w:rFonts w:cs="Times New Roman"/>
                <w:sz w:val="24"/>
                <w:szCs w:val="24"/>
              </w:rPr>
            </w:pPr>
          </w:p>
          <w:p w14:paraId="3FEC4BE6">
            <w:pPr>
              <w:spacing w:line="360" w:lineRule="auto"/>
              <w:ind w:firstLine="480" w:firstLineChars="200"/>
              <w:rPr>
                <w:rFonts w:cs="Times New Roman"/>
                <w:sz w:val="24"/>
                <w:szCs w:val="24"/>
              </w:rPr>
            </w:pPr>
          </w:p>
          <w:p w14:paraId="1A35647F">
            <w:pPr>
              <w:spacing w:line="360" w:lineRule="auto"/>
              <w:ind w:firstLine="480" w:firstLineChars="200"/>
              <w:rPr>
                <w:rFonts w:cs="Times New Roman"/>
                <w:sz w:val="24"/>
                <w:szCs w:val="24"/>
              </w:rPr>
            </w:pPr>
          </w:p>
          <w:p w14:paraId="46B9A55F">
            <w:pPr>
              <w:spacing w:line="360" w:lineRule="auto"/>
              <w:ind w:firstLine="480" w:firstLineChars="200"/>
              <w:rPr>
                <w:rFonts w:cs="Times New Roman"/>
                <w:sz w:val="24"/>
                <w:szCs w:val="24"/>
              </w:rPr>
            </w:pPr>
          </w:p>
          <w:p w14:paraId="29338B9B">
            <w:pPr>
              <w:spacing w:line="360" w:lineRule="auto"/>
              <w:ind w:firstLine="480" w:firstLineChars="200"/>
              <w:rPr>
                <w:rFonts w:cs="Times New Roman"/>
                <w:sz w:val="24"/>
                <w:szCs w:val="24"/>
              </w:rPr>
            </w:pPr>
          </w:p>
          <w:p w14:paraId="7068AB4E">
            <w:pPr>
              <w:spacing w:line="360" w:lineRule="auto"/>
              <w:ind w:firstLine="480" w:firstLineChars="200"/>
              <w:rPr>
                <w:rFonts w:cs="Times New Roman"/>
                <w:sz w:val="24"/>
                <w:szCs w:val="24"/>
              </w:rPr>
            </w:pPr>
          </w:p>
          <w:p w14:paraId="36AD20A9">
            <w:pPr>
              <w:spacing w:line="360" w:lineRule="auto"/>
              <w:ind w:firstLine="480" w:firstLineChars="200"/>
              <w:rPr>
                <w:rFonts w:cs="Times New Roman"/>
                <w:sz w:val="24"/>
                <w:szCs w:val="24"/>
              </w:rPr>
            </w:pPr>
          </w:p>
          <w:p w14:paraId="14C0C7BF">
            <w:pPr>
              <w:spacing w:line="360" w:lineRule="auto"/>
              <w:ind w:firstLine="480" w:firstLineChars="200"/>
              <w:rPr>
                <w:rFonts w:cs="Times New Roman"/>
                <w:sz w:val="24"/>
                <w:szCs w:val="24"/>
              </w:rPr>
            </w:pPr>
          </w:p>
        </w:tc>
      </w:tr>
    </w:tbl>
    <w:p w14:paraId="3C7B9E98">
      <w:pPr>
        <w:tabs>
          <w:tab w:val="left" w:pos="2040"/>
        </w:tabs>
        <w:spacing w:line="360" w:lineRule="auto"/>
        <w:rPr>
          <w:b/>
          <w:sz w:val="28"/>
          <w:szCs w:val="28"/>
        </w:rPr>
        <w:sectPr>
          <w:footerReference r:id="rId3" w:type="default"/>
          <w:pgSz w:w="11906" w:h="16838"/>
          <w:pgMar w:top="1134" w:right="1134" w:bottom="1134" w:left="1134" w:header="851" w:footer="992" w:gutter="0"/>
          <w:pgNumType w:start="1"/>
          <w:cols w:space="720"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0"/>
      </w:tblGrid>
      <w:tr w14:paraId="1379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14:paraId="5325D45B">
            <w:pPr>
              <w:pStyle w:val="51"/>
              <w:numPr>
                <w:ilvl w:val="0"/>
                <w:numId w:val="1"/>
              </w:numPr>
              <w:spacing w:line="360" w:lineRule="auto"/>
              <w:ind w:firstLineChars="0"/>
              <w:jc w:val="center"/>
              <w:rPr>
                <w:rFonts w:eastAsia="黑体" w:cs="Times New Roman"/>
                <w:szCs w:val="21"/>
              </w:rPr>
            </w:pPr>
            <w:r>
              <w:rPr>
                <w:rFonts w:hint="eastAsia" w:eastAsia="黑体" w:cs="Times New Roman"/>
                <w:szCs w:val="21"/>
              </w:rPr>
              <w:t>项目与生态环境分区管控要求的符合性</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732"/>
              <w:gridCol w:w="816"/>
              <w:gridCol w:w="1123"/>
              <w:gridCol w:w="6864"/>
              <w:gridCol w:w="2646"/>
              <w:gridCol w:w="992"/>
            </w:tblGrid>
            <w:tr w14:paraId="6715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6" w:type="dxa"/>
                  <w:gridSpan w:val="5"/>
                  <w:vAlign w:val="center"/>
                </w:tcPr>
                <w:p w14:paraId="5FDFDABF">
                  <w:pPr>
                    <w:jc w:val="center"/>
                    <w:rPr>
                      <w:szCs w:val="21"/>
                    </w:rPr>
                  </w:pPr>
                  <w:r>
                    <w:rPr>
                      <w:rFonts w:hint="eastAsia"/>
                      <w:szCs w:val="21"/>
                    </w:rPr>
                    <w:t>生态环境分区管控的具体要求</w:t>
                  </w:r>
                </w:p>
              </w:tc>
              <w:tc>
                <w:tcPr>
                  <w:tcW w:w="2646" w:type="dxa"/>
                  <w:vMerge w:val="restart"/>
                  <w:vAlign w:val="center"/>
                </w:tcPr>
                <w:p w14:paraId="29D7B8A4">
                  <w:pPr>
                    <w:jc w:val="center"/>
                    <w:rPr>
                      <w:szCs w:val="21"/>
                    </w:rPr>
                  </w:pPr>
                  <w:r>
                    <w:rPr>
                      <w:rFonts w:hint="eastAsia"/>
                      <w:szCs w:val="21"/>
                    </w:rPr>
                    <w:t>项目对应情况介绍</w:t>
                  </w:r>
                </w:p>
              </w:tc>
              <w:tc>
                <w:tcPr>
                  <w:tcW w:w="992" w:type="dxa"/>
                  <w:vMerge w:val="restart"/>
                  <w:vAlign w:val="center"/>
                </w:tcPr>
                <w:p w14:paraId="53D32A98">
                  <w:pPr>
                    <w:jc w:val="center"/>
                    <w:rPr>
                      <w:szCs w:val="21"/>
                    </w:rPr>
                  </w:pPr>
                  <w:r>
                    <w:rPr>
                      <w:rFonts w:hint="eastAsia"/>
                      <w:szCs w:val="21"/>
                    </w:rPr>
                    <w:t>符合性分析</w:t>
                  </w:r>
                </w:p>
              </w:tc>
            </w:tr>
            <w:tr w14:paraId="396E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9" w:type="dxa"/>
                  <w:gridSpan w:val="3"/>
                  <w:vAlign w:val="center"/>
                </w:tcPr>
                <w:p w14:paraId="4C52F807">
                  <w:pPr>
                    <w:jc w:val="center"/>
                    <w:rPr>
                      <w:szCs w:val="21"/>
                    </w:rPr>
                  </w:pPr>
                  <w:r>
                    <w:rPr>
                      <w:rFonts w:hint="eastAsia"/>
                      <w:szCs w:val="21"/>
                    </w:rPr>
                    <w:t>类别</w:t>
                  </w:r>
                </w:p>
              </w:tc>
              <w:tc>
                <w:tcPr>
                  <w:tcW w:w="7987" w:type="dxa"/>
                  <w:gridSpan w:val="2"/>
                  <w:vAlign w:val="center"/>
                </w:tcPr>
                <w:p w14:paraId="2602061A">
                  <w:pPr>
                    <w:jc w:val="center"/>
                    <w:rPr>
                      <w:szCs w:val="21"/>
                    </w:rPr>
                  </w:pPr>
                  <w:r>
                    <w:rPr>
                      <w:rFonts w:hint="eastAsia"/>
                      <w:szCs w:val="21"/>
                    </w:rPr>
                    <w:t>对应管控要求</w:t>
                  </w:r>
                </w:p>
              </w:tc>
              <w:tc>
                <w:tcPr>
                  <w:tcW w:w="2646" w:type="dxa"/>
                  <w:vMerge w:val="continue"/>
                  <w:vAlign w:val="center"/>
                </w:tcPr>
                <w:p w14:paraId="36B0D9F4">
                  <w:pPr>
                    <w:jc w:val="center"/>
                    <w:rPr>
                      <w:szCs w:val="21"/>
                    </w:rPr>
                  </w:pPr>
                </w:p>
              </w:tc>
              <w:tc>
                <w:tcPr>
                  <w:tcW w:w="992" w:type="dxa"/>
                  <w:vMerge w:val="continue"/>
                  <w:vAlign w:val="center"/>
                </w:tcPr>
                <w:p w14:paraId="39A63C8F">
                  <w:pPr>
                    <w:jc w:val="center"/>
                    <w:rPr>
                      <w:szCs w:val="21"/>
                    </w:rPr>
                  </w:pPr>
                </w:p>
              </w:tc>
            </w:tr>
            <w:tr w14:paraId="373C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161" w:type="dxa"/>
                  <w:vMerge w:val="restart"/>
                  <w:vAlign w:val="center"/>
                </w:tcPr>
                <w:p w14:paraId="0D994F9B">
                  <w:pPr>
                    <w:pStyle w:val="31"/>
                  </w:pPr>
                  <w:r>
                    <w:rPr>
                      <w:rFonts w:hint="eastAsia"/>
                    </w:rPr>
                    <w:t>工业重点管控单元、</w:t>
                  </w:r>
                  <w:r>
                    <w:rPr>
                      <w:kern w:val="2"/>
                    </w:rPr>
                    <w:t>ZH510923</w:t>
                  </w:r>
                </w:p>
                <w:p w14:paraId="6DC55918">
                  <w:pPr>
                    <w:jc w:val="center"/>
                    <w:rPr>
                      <w:szCs w:val="21"/>
                    </w:rPr>
                  </w:pPr>
                  <w:r>
                    <w:t>20002</w:t>
                  </w:r>
                  <w:r>
                    <w:rPr>
                      <w:rFonts w:hint="eastAsia"/>
                      <w:szCs w:val="21"/>
                    </w:rPr>
                    <w:t>、</w:t>
                  </w:r>
                  <w:r>
                    <w:t>大英县工业集中发展区（含经开区）</w:t>
                  </w:r>
                </w:p>
              </w:tc>
              <w:tc>
                <w:tcPr>
                  <w:tcW w:w="732" w:type="dxa"/>
                  <w:vMerge w:val="restart"/>
                  <w:vAlign w:val="center"/>
                </w:tcPr>
                <w:p w14:paraId="46F7CFBA">
                  <w:pPr>
                    <w:jc w:val="center"/>
                    <w:rPr>
                      <w:szCs w:val="21"/>
                    </w:rPr>
                  </w:pPr>
                  <w:r>
                    <w:rPr>
                      <w:rFonts w:hint="eastAsia"/>
                      <w:szCs w:val="21"/>
                    </w:rPr>
                    <w:t>普适性清单管控要求</w:t>
                  </w:r>
                </w:p>
              </w:tc>
              <w:tc>
                <w:tcPr>
                  <w:tcW w:w="816" w:type="dxa"/>
                  <w:vMerge w:val="restart"/>
                  <w:vAlign w:val="center"/>
                </w:tcPr>
                <w:p w14:paraId="2BE8DC87">
                  <w:pPr>
                    <w:jc w:val="center"/>
                    <w:rPr>
                      <w:szCs w:val="21"/>
                    </w:rPr>
                  </w:pPr>
                  <w:r>
                    <w:rPr>
                      <w:szCs w:val="21"/>
                    </w:rPr>
                    <w:t>空间布局约束</w:t>
                  </w:r>
                </w:p>
              </w:tc>
              <w:tc>
                <w:tcPr>
                  <w:tcW w:w="1123" w:type="dxa"/>
                  <w:vAlign w:val="center"/>
                </w:tcPr>
                <w:p w14:paraId="1F60E53C">
                  <w:pPr>
                    <w:jc w:val="center"/>
                    <w:rPr>
                      <w:szCs w:val="21"/>
                    </w:rPr>
                  </w:pPr>
                  <w:r>
                    <w:rPr>
                      <w:rFonts w:hint="eastAsia"/>
                      <w:szCs w:val="21"/>
                    </w:rPr>
                    <w:t>禁止开发建设活动的要求</w:t>
                  </w:r>
                </w:p>
              </w:tc>
              <w:tc>
                <w:tcPr>
                  <w:tcW w:w="6864" w:type="dxa"/>
                  <w:vAlign w:val="center"/>
                </w:tcPr>
                <w:p w14:paraId="6346FF7E">
                  <w:pPr>
                    <w:rPr>
                      <w:szCs w:val="21"/>
                    </w:rPr>
                  </w:pPr>
                  <w:r>
                    <w:rPr>
                      <w:rFonts w:hint="eastAsia"/>
                      <w:szCs w:val="21"/>
                    </w:rPr>
                    <w:t>（1）禁止引入不符合园区用地性质或产业规划的工业企业。</w:t>
                  </w:r>
                </w:p>
                <w:p w14:paraId="35C476AA">
                  <w:pPr>
                    <w:rPr>
                      <w:szCs w:val="21"/>
                    </w:rPr>
                  </w:pPr>
                  <w:r>
                    <w:rPr>
                      <w:rFonts w:hint="eastAsia"/>
                      <w:szCs w:val="21"/>
                    </w:rPr>
                    <w:t>（2）禁止在长江干支流、重要湖泊岸线一公里范围内新建、扩建化工园区和化工项目。</w:t>
                  </w:r>
                </w:p>
                <w:p w14:paraId="4D093531">
                  <w:pPr>
                    <w:rPr>
                      <w:szCs w:val="21"/>
                    </w:rPr>
                  </w:pPr>
                  <w:r>
                    <w:rPr>
                      <w:rFonts w:hint="eastAsia"/>
                      <w:szCs w:val="21"/>
                    </w:rPr>
                    <w:t>（3）禁止在长江流域河湖管理范围内倾倒、填埋、堆放、弃置、处理固体废物。</w:t>
                  </w:r>
                </w:p>
                <w:p w14:paraId="71B287CD">
                  <w:pPr>
                    <w:rPr>
                      <w:szCs w:val="21"/>
                    </w:rPr>
                  </w:pPr>
                  <w:r>
                    <w:rPr>
                      <w:rFonts w:hint="eastAsia"/>
                      <w:szCs w:val="21"/>
                    </w:rPr>
                    <w:t>（4）未通过认定的化工园区，不得新建、改扩建化工项目（安全、环保、节能和智能化改造项目除外），按属地原则依法依规妥善做好未通过认定化工园区及园内企业的转型、关闭、处置及监管工作。</w:t>
                  </w:r>
                </w:p>
              </w:tc>
              <w:tc>
                <w:tcPr>
                  <w:tcW w:w="2646" w:type="dxa"/>
                  <w:vAlign w:val="center"/>
                </w:tcPr>
                <w:p w14:paraId="6910B9C8">
                  <w:pPr>
                    <w:rPr>
                      <w:szCs w:val="21"/>
                    </w:rPr>
                  </w:pPr>
                  <w:r>
                    <w:rPr>
                      <w:rFonts w:hint="eastAsia"/>
                      <w:szCs w:val="21"/>
                    </w:rPr>
                    <w:t>项目为塑料制品业，用地性质为工业用地，符合园区用地性质和产业规划，不属于化工项目，不在河湖管理范围内倾倒、填埋、堆放、弃置、处理固体废物。</w:t>
                  </w:r>
                </w:p>
              </w:tc>
              <w:tc>
                <w:tcPr>
                  <w:tcW w:w="992" w:type="dxa"/>
                  <w:vAlign w:val="center"/>
                </w:tcPr>
                <w:p w14:paraId="41B426AA">
                  <w:pPr>
                    <w:jc w:val="center"/>
                    <w:rPr>
                      <w:szCs w:val="21"/>
                    </w:rPr>
                  </w:pPr>
                  <w:r>
                    <w:rPr>
                      <w:rFonts w:hint="eastAsia"/>
                      <w:szCs w:val="21"/>
                    </w:rPr>
                    <w:t>符合</w:t>
                  </w:r>
                </w:p>
              </w:tc>
            </w:tr>
            <w:tr w14:paraId="52F0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AE4451B">
                  <w:pPr>
                    <w:jc w:val="center"/>
                    <w:rPr>
                      <w:szCs w:val="21"/>
                    </w:rPr>
                  </w:pPr>
                </w:p>
              </w:tc>
              <w:tc>
                <w:tcPr>
                  <w:tcW w:w="732" w:type="dxa"/>
                  <w:vMerge w:val="continue"/>
                  <w:vAlign w:val="center"/>
                </w:tcPr>
                <w:p w14:paraId="423BED6E">
                  <w:pPr>
                    <w:jc w:val="center"/>
                    <w:rPr>
                      <w:szCs w:val="21"/>
                    </w:rPr>
                  </w:pPr>
                </w:p>
              </w:tc>
              <w:tc>
                <w:tcPr>
                  <w:tcW w:w="816" w:type="dxa"/>
                  <w:vMerge w:val="continue"/>
                  <w:vAlign w:val="center"/>
                </w:tcPr>
                <w:p w14:paraId="10107FE3">
                  <w:pPr>
                    <w:jc w:val="center"/>
                    <w:rPr>
                      <w:szCs w:val="21"/>
                    </w:rPr>
                  </w:pPr>
                </w:p>
              </w:tc>
              <w:tc>
                <w:tcPr>
                  <w:tcW w:w="1123" w:type="dxa"/>
                  <w:vAlign w:val="center"/>
                </w:tcPr>
                <w:p w14:paraId="6406E2A8">
                  <w:pPr>
                    <w:jc w:val="center"/>
                    <w:rPr>
                      <w:szCs w:val="21"/>
                    </w:rPr>
                  </w:pPr>
                  <w:r>
                    <w:rPr>
                      <w:rFonts w:hint="eastAsia"/>
                      <w:szCs w:val="21"/>
                    </w:rPr>
                    <w:t>限制开发建设活动的要求</w:t>
                  </w:r>
                </w:p>
              </w:tc>
              <w:tc>
                <w:tcPr>
                  <w:tcW w:w="6864" w:type="dxa"/>
                  <w:vAlign w:val="center"/>
                </w:tcPr>
                <w:p w14:paraId="773233E6">
                  <w:pPr>
                    <w:rPr>
                      <w:szCs w:val="21"/>
                    </w:rPr>
                  </w:pPr>
                  <w:r>
                    <w:rPr>
                      <w:rFonts w:hint="eastAsia"/>
                      <w:szCs w:val="21"/>
                    </w:rPr>
                    <w:t>（1）严控新建、扩建“两高”项目，对现存企业执行最严格排放标准和总量控制要求。</w:t>
                  </w:r>
                </w:p>
                <w:p w14:paraId="39B30F31">
                  <w:pPr>
                    <w:rPr>
                      <w:szCs w:val="21"/>
                    </w:rPr>
                  </w:pPr>
                  <w:r>
                    <w:rPr>
                      <w:rFonts w:hint="eastAsia"/>
                      <w:szCs w:val="21"/>
                    </w:rPr>
                    <w:t>（2）长江干流及主要支流1公里范围内，严控新建石油化工、煤化工、涉磷、造纸、印染、制革等项目。</w:t>
                  </w:r>
                </w:p>
              </w:tc>
              <w:tc>
                <w:tcPr>
                  <w:tcW w:w="2646" w:type="dxa"/>
                  <w:vAlign w:val="center"/>
                </w:tcPr>
                <w:p w14:paraId="255AAB76">
                  <w:pPr>
                    <w:rPr>
                      <w:szCs w:val="21"/>
                    </w:rPr>
                  </w:pPr>
                  <w:r>
                    <w:rPr>
                      <w:rFonts w:hint="eastAsia"/>
                      <w:szCs w:val="21"/>
                    </w:rPr>
                    <w:t>项目不属于“两高”项目，不属于石油化工、煤化工、涉磷、造纸、印染、制革等项目。</w:t>
                  </w:r>
                </w:p>
              </w:tc>
              <w:tc>
                <w:tcPr>
                  <w:tcW w:w="992" w:type="dxa"/>
                  <w:vAlign w:val="center"/>
                </w:tcPr>
                <w:p w14:paraId="22708D7C">
                  <w:pPr>
                    <w:jc w:val="center"/>
                    <w:rPr>
                      <w:szCs w:val="21"/>
                    </w:rPr>
                  </w:pPr>
                  <w:r>
                    <w:rPr>
                      <w:rFonts w:hint="eastAsia"/>
                      <w:szCs w:val="21"/>
                    </w:rPr>
                    <w:t>符合</w:t>
                  </w:r>
                </w:p>
              </w:tc>
            </w:tr>
            <w:tr w14:paraId="4465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0DF1541">
                  <w:pPr>
                    <w:jc w:val="center"/>
                    <w:rPr>
                      <w:szCs w:val="21"/>
                    </w:rPr>
                  </w:pPr>
                </w:p>
              </w:tc>
              <w:tc>
                <w:tcPr>
                  <w:tcW w:w="732" w:type="dxa"/>
                  <w:vMerge w:val="continue"/>
                  <w:vAlign w:val="center"/>
                </w:tcPr>
                <w:p w14:paraId="393F432B">
                  <w:pPr>
                    <w:jc w:val="center"/>
                    <w:rPr>
                      <w:szCs w:val="21"/>
                    </w:rPr>
                  </w:pPr>
                </w:p>
              </w:tc>
              <w:tc>
                <w:tcPr>
                  <w:tcW w:w="816" w:type="dxa"/>
                  <w:vMerge w:val="continue"/>
                  <w:vAlign w:val="center"/>
                </w:tcPr>
                <w:p w14:paraId="4B009978">
                  <w:pPr>
                    <w:jc w:val="center"/>
                    <w:rPr>
                      <w:szCs w:val="21"/>
                    </w:rPr>
                  </w:pPr>
                </w:p>
              </w:tc>
              <w:tc>
                <w:tcPr>
                  <w:tcW w:w="1123" w:type="dxa"/>
                  <w:vAlign w:val="center"/>
                </w:tcPr>
                <w:p w14:paraId="710C6A0E">
                  <w:pPr>
                    <w:jc w:val="center"/>
                    <w:rPr>
                      <w:szCs w:val="21"/>
                    </w:rPr>
                  </w:pPr>
                  <w:r>
                    <w:rPr>
                      <w:rFonts w:hint="eastAsia"/>
                      <w:szCs w:val="21"/>
                    </w:rPr>
                    <w:t>不符合空间布局要求活动的退出要求</w:t>
                  </w:r>
                </w:p>
              </w:tc>
              <w:tc>
                <w:tcPr>
                  <w:tcW w:w="6864" w:type="dxa"/>
                  <w:vAlign w:val="center"/>
                </w:tcPr>
                <w:p w14:paraId="24CC115E">
                  <w:pPr>
                    <w:rPr>
                      <w:szCs w:val="21"/>
                    </w:rPr>
                  </w:pPr>
                  <w:r>
                    <w:rPr>
                      <w:rFonts w:hint="eastAsia"/>
                      <w:szCs w:val="21"/>
                    </w:rPr>
                    <w:t>现有属于禁止引入产业门类的企业，应按相关规定限期整治或退出。</w:t>
                  </w:r>
                </w:p>
              </w:tc>
              <w:tc>
                <w:tcPr>
                  <w:tcW w:w="2646" w:type="dxa"/>
                  <w:vAlign w:val="center"/>
                </w:tcPr>
                <w:p w14:paraId="43C30370">
                  <w:pPr>
                    <w:rPr>
                      <w:szCs w:val="21"/>
                    </w:rPr>
                  </w:pPr>
                  <w:r>
                    <w:rPr>
                      <w:rFonts w:hint="eastAsia"/>
                      <w:szCs w:val="21"/>
                    </w:rPr>
                    <w:t>项目不属于禁止引入产业门类。</w:t>
                  </w:r>
                </w:p>
              </w:tc>
              <w:tc>
                <w:tcPr>
                  <w:tcW w:w="992" w:type="dxa"/>
                  <w:vAlign w:val="center"/>
                </w:tcPr>
                <w:p w14:paraId="2B67B3AF">
                  <w:pPr>
                    <w:jc w:val="center"/>
                    <w:rPr>
                      <w:szCs w:val="21"/>
                    </w:rPr>
                  </w:pPr>
                  <w:r>
                    <w:rPr>
                      <w:rFonts w:hint="eastAsia"/>
                      <w:szCs w:val="21"/>
                    </w:rPr>
                    <w:t>符合</w:t>
                  </w:r>
                </w:p>
              </w:tc>
            </w:tr>
            <w:tr w14:paraId="5EA2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1161" w:type="dxa"/>
                  <w:vMerge w:val="continue"/>
                  <w:vAlign w:val="center"/>
                </w:tcPr>
                <w:p w14:paraId="73829F65">
                  <w:pPr>
                    <w:jc w:val="center"/>
                    <w:rPr>
                      <w:szCs w:val="21"/>
                    </w:rPr>
                  </w:pPr>
                </w:p>
              </w:tc>
              <w:tc>
                <w:tcPr>
                  <w:tcW w:w="732" w:type="dxa"/>
                  <w:vMerge w:val="continue"/>
                  <w:vAlign w:val="center"/>
                </w:tcPr>
                <w:p w14:paraId="7529E36B">
                  <w:pPr>
                    <w:jc w:val="center"/>
                    <w:rPr>
                      <w:szCs w:val="21"/>
                    </w:rPr>
                  </w:pPr>
                </w:p>
              </w:tc>
              <w:tc>
                <w:tcPr>
                  <w:tcW w:w="816" w:type="dxa"/>
                  <w:vMerge w:val="restart"/>
                  <w:vAlign w:val="center"/>
                </w:tcPr>
                <w:p w14:paraId="63067847">
                  <w:pPr>
                    <w:jc w:val="center"/>
                    <w:rPr>
                      <w:szCs w:val="21"/>
                    </w:rPr>
                  </w:pPr>
                  <w:r>
                    <w:rPr>
                      <w:szCs w:val="21"/>
                    </w:rPr>
                    <w:t>污染物排放管控</w:t>
                  </w:r>
                </w:p>
              </w:tc>
              <w:tc>
                <w:tcPr>
                  <w:tcW w:w="1123" w:type="dxa"/>
                  <w:vAlign w:val="center"/>
                </w:tcPr>
                <w:p w14:paraId="0A41381A">
                  <w:pPr>
                    <w:jc w:val="center"/>
                    <w:rPr>
                      <w:szCs w:val="21"/>
                    </w:rPr>
                  </w:pPr>
                  <w:r>
                    <w:rPr>
                      <w:rFonts w:hint="eastAsia"/>
                      <w:szCs w:val="21"/>
                    </w:rPr>
                    <w:t>现</w:t>
                  </w:r>
                  <w:r>
                    <w:rPr>
                      <w:rFonts w:hint="eastAsia"/>
                      <w:szCs w:val="21"/>
                      <w:lang w:eastAsia="zh-CN"/>
                    </w:rPr>
                    <w:t>有资</w:t>
                  </w:r>
                  <w:r>
                    <w:rPr>
                      <w:rFonts w:hint="eastAsia"/>
                      <w:szCs w:val="21"/>
                    </w:rPr>
                    <w:t>源提标升级改造</w:t>
                  </w:r>
                </w:p>
              </w:tc>
              <w:tc>
                <w:tcPr>
                  <w:tcW w:w="6864" w:type="dxa"/>
                  <w:vAlign w:val="center"/>
                </w:tcPr>
                <w:p w14:paraId="5DE013B3">
                  <w:pPr>
                    <w:rPr>
                      <w:szCs w:val="21"/>
                    </w:rPr>
                  </w:pPr>
                  <w:r>
                    <w:rPr>
                      <w:rFonts w:hint="eastAsia"/>
                      <w:szCs w:val="21"/>
                    </w:rPr>
                    <w:t>（1）污水收集处理率达100%。</w:t>
                  </w:r>
                </w:p>
                <w:p w14:paraId="78609570">
                  <w:pPr>
                    <w:rPr>
                      <w:szCs w:val="21"/>
                    </w:rPr>
                  </w:pPr>
                  <w:r>
                    <w:rPr>
                      <w:rFonts w:hint="eastAsia"/>
                      <w:szCs w:val="21"/>
                    </w:rPr>
                    <w:t>（2）园区污水处理厂达《城镇污水处理厂污染物排放标准》一级A标或更高标准。</w:t>
                  </w:r>
                </w:p>
                <w:p w14:paraId="2C51DA9B">
                  <w:pPr>
                    <w:rPr>
                      <w:szCs w:val="21"/>
                    </w:rPr>
                  </w:pPr>
                  <w:r>
                    <w:rPr>
                      <w:rFonts w:hint="eastAsia"/>
                      <w:szCs w:val="21"/>
                    </w:rPr>
                    <w:t>（3）加快推进危险化学品生产企业搬迁改造工程。</w:t>
                  </w:r>
                </w:p>
                <w:p w14:paraId="4D6E3AB2">
                  <w:pPr>
                    <w:rPr>
                      <w:szCs w:val="21"/>
                    </w:rPr>
                  </w:pPr>
                  <w:r>
                    <w:rPr>
                      <w:rFonts w:hint="eastAsia"/>
                      <w:szCs w:val="21"/>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2646" w:type="dxa"/>
                  <w:vAlign w:val="center"/>
                </w:tcPr>
                <w:p w14:paraId="18CEA53E">
                  <w:pPr>
                    <w:rPr>
                      <w:szCs w:val="21"/>
                    </w:rPr>
                  </w:pPr>
                  <w:r>
                    <w:rPr>
                      <w:rFonts w:hint="eastAsia"/>
                      <w:szCs w:val="21"/>
                    </w:rPr>
                    <w:t>项目为扩建项目，厂区污水收集处理率达100%，大英县工业污水处理厂执行《地表</w:t>
                  </w:r>
                  <w:r>
                    <w:rPr>
                      <w:rFonts w:hint="eastAsia"/>
                      <w:szCs w:val="21"/>
                      <w:lang w:val="en-US" w:eastAsia="zh-CN"/>
                    </w:rPr>
                    <w:t>水环</w:t>
                  </w:r>
                  <w:r>
                    <w:rPr>
                      <w:rFonts w:hint="eastAsia"/>
                      <w:szCs w:val="21"/>
                    </w:rPr>
                    <w:t>境质量标准》（GB3838-2002）III类标准；项目不属于危险化学品生产，废水经预处理后经园区污水管网排入大英县工业污水处理厂。</w:t>
                  </w:r>
                </w:p>
              </w:tc>
              <w:tc>
                <w:tcPr>
                  <w:tcW w:w="992" w:type="dxa"/>
                  <w:vAlign w:val="center"/>
                </w:tcPr>
                <w:p w14:paraId="4AA6088D">
                  <w:pPr>
                    <w:jc w:val="center"/>
                    <w:rPr>
                      <w:szCs w:val="21"/>
                    </w:rPr>
                  </w:pPr>
                  <w:r>
                    <w:rPr>
                      <w:rFonts w:hint="eastAsia"/>
                      <w:szCs w:val="21"/>
                    </w:rPr>
                    <w:t>符合</w:t>
                  </w:r>
                </w:p>
              </w:tc>
            </w:tr>
            <w:tr w14:paraId="6FD3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85B4097">
                  <w:pPr>
                    <w:jc w:val="center"/>
                    <w:rPr>
                      <w:szCs w:val="21"/>
                    </w:rPr>
                  </w:pPr>
                </w:p>
              </w:tc>
              <w:tc>
                <w:tcPr>
                  <w:tcW w:w="732" w:type="dxa"/>
                  <w:vMerge w:val="continue"/>
                  <w:vAlign w:val="center"/>
                </w:tcPr>
                <w:p w14:paraId="4FC9BBBE">
                  <w:pPr>
                    <w:jc w:val="center"/>
                    <w:rPr>
                      <w:szCs w:val="21"/>
                    </w:rPr>
                  </w:pPr>
                </w:p>
              </w:tc>
              <w:tc>
                <w:tcPr>
                  <w:tcW w:w="816" w:type="dxa"/>
                  <w:vMerge w:val="continue"/>
                  <w:vAlign w:val="center"/>
                </w:tcPr>
                <w:p w14:paraId="09344E87">
                  <w:pPr>
                    <w:jc w:val="center"/>
                    <w:rPr>
                      <w:szCs w:val="21"/>
                    </w:rPr>
                  </w:pPr>
                </w:p>
              </w:tc>
              <w:tc>
                <w:tcPr>
                  <w:tcW w:w="1123" w:type="dxa"/>
                  <w:vAlign w:val="center"/>
                </w:tcPr>
                <w:p w14:paraId="36B5571A">
                  <w:pPr>
                    <w:jc w:val="center"/>
                    <w:rPr>
                      <w:szCs w:val="21"/>
                    </w:rPr>
                  </w:pPr>
                  <w:r>
                    <w:rPr>
                      <w:rFonts w:hint="eastAsia"/>
                      <w:szCs w:val="21"/>
                    </w:rPr>
                    <w:t>新增源等量或倍量替代</w:t>
                  </w:r>
                </w:p>
              </w:tc>
              <w:tc>
                <w:tcPr>
                  <w:tcW w:w="6864" w:type="dxa"/>
                  <w:vAlign w:val="center"/>
                </w:tcPr>
                <w:p w14:paraId="18647DE8">
                  <w:pPr>
                    <w:rPr>
                      <w:szCs w:val="21"/>
                    </w:rPr>
                  </w:pPr>
                  <w:r>
                    <w:rPr>
                      <w:rFonts w:hint="eastAsia"/>
                      <w:szCs w:val="21"/>
                    </w:rPr>
                    <w:t>（1）上一年度水环境质量未完成目标的，新建排放水污染的建设项目按照总量管控要求进行倍量削减替代。上一年度空气质量年平均浓度不达标的城市，建设项目新增相关污染物按照总量管控要求进行倍量削减替代。</w:t>
                  </w:r>
                </w:p>
                <w:p w14:paraId="65DB53EA">
                  <w:pPr>
                    <w:rPr>
                      <w:szCs w:val="21"/>
                    </w:rPr>
                  </w:pPr>
                  <w:r>
                    <w:rPr>
                      <w:rFonts w:hint="eastAsia"/>
                      <w:szCs w:val="21"/>
                    </w:rPr>
                    <w:t>（2）把能源消耗与污染物排放总量指标作为环评审批的前置条件，对新建排放SO</w:t>
                  </w:r>
                  <w:r>
                    <w:rPr>
                      <w:rFonts w:hint="eastAsia"/>
                      <w:szCs w:val="21"/>
                      <w:vertAlign w:val="subscript"/>
                    </w:rPr>
                    <w:t>2</w:t>
                  </w:r>
                  <w:r>
                    <w:rPr>
                      <w:rFonts w:hint="eastAsia"/>
                      <w:szCs w:val="21"/>
                    </w:rPr>
                    <w:t>、NO</w:t>
                  </w:r>
                  <w:r>
                    <w:rPr>
                      <w:rFonts w:hint="eastAsia"/>
                      <w:szCs w:val="21"/>
                      <w:vertAlign w:val="subscript"/>
                    </w:rPr>
                    <w:t>x</w:t>
                  </w:r>
                  <w:r>
                    <w:rPr>
                      <w:rFonts w:hint="eastAsia"/>
                      <w:szCs w:val="21"/>
                    </w:rPr>
                    <w:t>、VOCs和工业烟粉尘的项目实施现役源2倍削减量替代，其中射洪市执行1.5倍削减量替代。</w:t>
                  </w:r>
                </w:p>
              </w:tc>
              <w:tc>
                <w:tcPr>
                  <w:tcW w:w="2646" w:type="dxa"/>
                  <w:vAlign w:val="center"/>
                </w:tcPr>
                <w:p w14:paraId="2A2F1F30">
                  <w:pPr>
                    <w:rPr>
                      <w:szCs w:val="21"/>
                    </w:rPr>
                  </w:pPr>
                  <w:r>
                    <w:rPr>
                      <w:rFonts w:hint="eastAsia"/>
                      <w:szCs w:val="21"/>
                    </w:rPr>
                    <w:t>大英县郪江2023年度水环境质量达标，空气质量达标，涉及大气污染物总量控制指标为VOCs，实现2倍削减量替代。</w:t>
                  </w:r>
                </w:p>
              </w:tc>
              <w:tc>
                <w:tcPr>
                  <w:tcW w:w="992" w:type="dxa"/>
                  <w:vAlign w:val="center"/>
                </w:tcPr>
                <w:p w14:paraId="6CCC2C7B">
                  <w:pPr>
                    <w:jc w:val="center"/>
                    <w:rPr>
                      <w:szCs w:val="21"/>
                    </w:rPr>
                  </w:pPr>
                  <w:r>
                    <w:rPr>
                      <w:rFonts w:hint="eastAsia"/>
                      <w:szCs w:val="21"/>
                    </w:rPr>
                    <w:t>符合</w:t>
                  </w:r>
                </w:p>
              </w:tc>
            </w:tr>
            <w:tr w14:paraId="1ADF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161" w:type="dxa"/>
                  <w:vMerge w:val="continue"/>
                  <w:vAlign w:val="center"/>
                </w:tcPr>
                <w:p w14:paraId="1BF4E102">
                  <w:pPr>
                    <w:jc w:val="center"/>
                    <w:rPr>
                      <w:szCs w:val="21"/>
                    </w:rPr>
                  </w:pPr>
                </w:p>
              </w:tc>
              <w:tc>
                <w:tcPr>
                  <w:tcW w:w="732" w:type="dxa"/>
                  <w:vMerge w:val="continue"/>
                  <w:vAlign w:val="center"/>
                </w:tcPr>
                <w:p w14:paraId="1C68CF7D">
                  <w:pPr>
                    <w:jc w:val="center"/>
                    <w:rPr>
                      <w:szCs w:val="21"/>
                    </w:rPr>
                  </w:pPr>
                </w:p>
              </w:tc>
              <w:tc>
                <w:tcPr>
                  <w:tcW w:w="816" w:type="dxa"/>
                  <w:vMerge w:val="continue"/>
                  <w:vAlign w:val="center"/>
                </w:tcPr>
                <w:p w14:paraId="7BECA601">
                  <w:pPr>
                    <w:jc w:val="center"/>
                    <w:rPr>
                      <w:szCs w:val="21"/>
                    </w:rPr>
                  </w:pPr>
                </w:p>
              </w:tc>
              <w:tc>
                <w:tcPr>
                  <w:tcW w:w="1123" w:type="dxa"/>
                  <w:vAlign w:val="center"/>
                </w:tcPr>
                <w:p w14:paraId="40A96C06">
                  <w:pPr>
                    <w:jc w:val="center"/>
                    <w:rPr>
                      <w:szCs w:val="21"/>
                    </w:rPr>
                  </w:pPr>
                  <w:r>
                    <w:rPr>
                      <w:rFonts w:hint="eastAsia"/>
                      <w:szCs w:val="21"/>
                    </w:rPr>
                    <w:t>新增源排放标准限值</w:t>
                  </w:r>
                </w:p>
              </w:tc>
              <w:tc>
                <w:tcPr>
                  <w:tcW w:w="6864" w:type="dxa"/>
                  <w:vAlign w:val="center"/>
                </w:tcPr>
                <w:p w14:paraId="3EA1FF2B">
                  <w:pPr>
                    <w:rPr>
                      <w:szCs w:val="21"/>
                    </w:rPr>
                  </w:pPr>
                  <w:r>
                    <w:rPr>
                      <w:rFonts w:hint="eastAsia"/>
                      <w:szCs w:val="21"/>
                    </w:rPr>
                    <w:t>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tc>
              <w:tc>
                <w:tcPr>
                  <w:tcW w:w="2646" w:type="dxa"/>
                  <w:vAlign w:val="center"/>
                </w:tcPr>
                <w:p w14:paraId="67C6D80E">
                  <w:pPr>
                    <w:rPr>
                      <w:szCs w:val="21"/>
                    </w:rPr>
                  </w:pPr>
                  <w:r>
                    <w:rPr>
                      <w:rFonts w:hint="eastAsia"/>
                      <w:szCs w:val="21"/>
                    </w:rPr>
                    <w:t>项目执行国家和地方污染物特别排放限值和特别控制要求。</w:t>
                  </w:r>
                </w:p>
              </w:tc>
              <w:tc>
                <w:tcPr>
                  <w:tcW w:w="992" w:type="dxa"/>
                  <w:vAlign w:val="center"/>
                </w:tcPr>
                <w:p w14:paraId="525B7D35">
                  <w:pPr>
                    <w:jc w:val="center"/>
                    <w:rPr>
                      <w:szCs w:val="21"/>
                    </w:rPr>
                  </w:pPr>
                  <w:r>
                    <w:rPr>
                      <w:rFonts w:hint="eastAsia"/>
                      <w:szCs w:val="21"/>
                    </w:rPr>
                    <w:t>符合</w:t>
                  </w:r>
                </w:p>
              </w:tc>
            </w:tr>
            <w:tr w14:paraId="4731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07C6748">
                  <w:pPr>
                    <w:jc w:val="center"/>
                    <w:rPr>
                      <w:szCs w:val="21"/>
                    </w:rPr>
                  </w:pPr>
                </w:p>
              </w:tc>
              <w:tc>
                <w:tcPr>
                  <w:tcW w:w="732" w:type="dxa"/>
                  <w:vMerge w:val="continue"/>
                  <w:vAlign w:val="center"/>
                </w:tcPr>
                <w:p w14:paraId="3F92EBB4">
                  <w:pPr>
                    <w:jc w:val="center"/>
                    <w:rPr>
                      <w:szCs w:val="21"/>
                    </w:rPr>
                  </w:pPr>
                </w:p>
              </w:tc>
              <w:tc>
                <w:tcPr>
                  <w:tcW w:w="816" w:type="dxa"/>
                  <w:vMerge w:val="continue"/>
                  <w:vAlign w:val="center"/>
                </w:tcPr>
                <w:p w14:paraId="02693B3A">
                  <w:pPr>
                    <w:jc w:val="center"/>
                    <w:rPr>
                      <w:szCs w:val="21"/>
                    </w:rPr>
                  </w:pPr>
                </w:p>
              </w:tc>
              <w:tc>
                <w:tcPr>
                  <w:tcW w:w="1123" w:type="dxa"/>
                  <w:vAlign w:val="center"/>
                </w:tcPr>
                <w:p w14:paraId="1A11CF0E">
                  <w:pPr>
                    <w:jc w:val="center"/>
                    <w:rPr>
                      <w:szCs w:val="21"/>
                    </w:rPr>
                  </w:pPr>
                  <w:r>
                    <w:rPr>
                      <w:rFonts w:hint="eastAsia"/>
                      <w:szCs w:val="21"/>
                    </w:rPr>
                    <w:t>污染物排放绩效水平准入要求</w:t>
                  </w:r>
                </w:p>
              </w:tc>
              <w:tc>
                <w:tcPr>
                  <w:tcW w:w="6864" w:type="dxa"/>
                  <w:vAlign w:val="center"/>
                </w:tcPr>
                <w:p w14:paraId="06CF1071">
                  <w:pPr>
                    <w:rPr>
                      <w:szCs w:val="21"/>
                    </w:rPr>
                  </w:pPr>
                  <w:r>
                    <w:rPr>
                      <w:rFonts w:hint="eastAsia"/>
                      <w:szCs w:val="21"/>
                    </w:rPr>
                    <w:t>（1）到2025年，煤矸石、粉煤灰、尾矿（共伴生矿）、冶炼渣、工业副产石膏、建筑垃圾、农作物秸秆等大宗固废的综合利用能力显著提升，利用规模不断扩大，新增大宗固废综合利用率达到60%，存量大宗固废有序减少。</w:t>
                  </w:r>
                </w:p>
                <w:p w14:paraId="05203684">
                  <w:pPr>
                    <w:rPr>
                      <w:szCs w:val="21"/>
                    </w:rPr>
                  </w:pPr>
                  <w:r>
                    <w:rPr>
                      <w:rFonts w:hint="eastAsia"/>
                      <w:szCs w:val="21"/>
                    </w:rPr>
                    <w:t>（2）严格执行钢铁、水泥、平板玻璃等行业产能置换实施办法，新建钢铁企业执行超低排放标准。</w:t>
                  </w:r>
                </w:p>
                <w:p w14:paraId="1D3DDA4A">
                  <w:pPr>
                    <w:rPr>
                      <w:szCs w:val="21"/>
                    </w:rPr>
                  </w:pPr>
                  <w:r>
                    <w:rPr>
                      <w:rFonts w:hint="eastAsia"/>
                      <w:szCs w:val="21"/>
                    </w:rPr>
                    <w:t>（3）新、改扩建项目污染排放指标满足《四川省省级生态工业园区指标》综合类生态工业园区要求。</w:t>
                  </w:r>
                </w:p>
              </w:tc>
              <w:tc>
                <w:tcPr>
                  <w:tcW w:w="2646" w:type="dxa"/>
                  <w:vAlign w:val="center"/>
                </w:tcPr>
                <w:p w14:paraId="68EC1DA0">
                  <w:pPr>
                    <w:rPr>
                      <w:szCs w:val="21"/>
                    </w:rPr>
                  </w:pPr>
                  <w:r>
                    <w:rPr>
                      <w:rFonts w:hint="eastAsia"/>
                      <w:szCs w:val="21"/>
                    </w:rPr>
                    <w:t>项目不属于固废综合利用、钢铁、水泥、平板玻璃等项目，污染排放指标满足《四川省省级生态工业园区指标》综合类生态工业园区要求。。</w:t>
                  </w:r>
                </w:p>
              </w:tc>
              <w:tc>
                <w:tcPr>
                  <w:tcW w:w="992" w:type="dxa"/>
                  <w:vAlign w:val="center"/>
                </w:tcPr>
                <w:p w14:paraId="45396DAC">
                  <w:pPr>
                    <w:jc w:val="center"/>
                    <w:rPr>
                      <w:szCs w:val="21"/>
                    </w:rPr>
                  </w:pPr>
                  <w:r>
                    <w:rPr>
                      <w:rFonts w:hint="eastAsia"/>
                      <w:szCs w:val="21"/>
                    </w:rPr>
                    <w:t>符合</w:t>
                  </w:r>
                </w:p>
              </w:tc>
            </w:tr>
            <w:tr w14:paraId="7280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C0B4AF9">
                  <w:pPr>
                    <w:jc w:val="center"/>
                    <w:rPr>
                      <w:szCs w:val="21"/>
                    </w:rPr>
                  </w:pPr>
                </w:p>
              </w:tc>
              <w:tc>
                <w:tcPr>
                  <w:tcW w:w="732" w:type="dxa"/>
                  <w:vMerge w:val="continue"/>
                  <w:vAlign w:val="center"/>
                </w:tcPr>
                <w:p w14:paraId="4847FBD0">
                  <w:pPr>
                    <w:jc w:val="center"/>
                    <w:rPr>
                      <w:szCs w:val="21"/>
                    </w:rPr>
                  </w:pPr>
                </w:p>
              </w:tc>
              <w:tc>
                <w:tcPr>
                  <w:tcW w:w="816" w:type="dxa"/>
                  <w:vMerge w:val="continue"/>
                  <w:vAlign w:val="center"/>
                </w:tcPr>
                <w:p w14:paraId="0C942DBD">
                  <w:pPr>
                    <w:jc w:val="center"/>
                    <w:rPr>
                      <w:szCs w:val="21"/>
                    </w:rPr>
                  </w:pPr>
                </w:p>
              </w:tc>
              <w:tc>
                <w:tcPr>
                  <w:tcW w:w="1123" w:type="dxa"/>
                  <w:vAlign w:val="center"/>
                </w:tcPr>
                <w:p w14:paraId="2BAB509A">
                  <w:pPr>
                    <w:jc w:val="center"/>
                    <w:rPr>
                      <w:szCs w:val="21"/>
                    </w:rPr>
                  </w:pPr>
                  <w:r>
                    <w:rPr>
                      <w:rFonts w:hint="eastAsia"/>
                      <w:szCs w:val="21"/>
                    </w:rPr>
                    <w:t>其他污染物排放管控要求</w:t>
                  </w:r>
                </w:p>
              </w:tc>
              <w:tc>
                <w:tcPr>
                  <w:tcW w:w="6864" w:type="dxa"/>
                  <w:vAlign w:val="center"/>
                </w:tcPr>
                <w:p w14:paraId="33AA5645">
                  <w:pPr>
                    <w:rPr>
                      <w:szCs w:val="21"/>
                    </w:rPr>
                  </w:pPr>
                  <w:r>
                    <w:rPr>
                      <w:rFonts w:hint="eastAsia"/>
                      <w:szCs w:val="21"/>
                    </w:rPr>
                    <w:t>（1）化工园区应按照分类收集，分质处理的要求，配备专业化工生产废水集中处理设施（独立建设或依托骨干企业）及专管或明管输送的配套管网，化工生产废水纳管率达到100%。入河排污口设置应符合相关规定。</w:t>
                  </w:r>
                </w:p>
                <w:p w14:paraId="28BC743A">
                  <w:pPr>
                    <w:rPr>
                      <w:szCs w:val="21"/>
                    </w:rPr>
                  </w:pPr>
                  <w:r>
                    <w:rPr>
                      <w:rFonts w:hint="eastAsia"/>
                      <w:szCs w:val="21"/>
                    </w:rPr>
                    <w:t>（2）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0C3A2C5">
                  <w:pPr>
                    <w:rPr>
                      <w:szCs w:val="21"/>
                    </w:rPr>
                  </w:pPr>
                  <w:r>
                    <w:rPr>
                      <w:rFonts w:hint="eastAsia"/>
                      <w:szCs w:val="21"/>
                    </w:rPr>
                    <w:t>（3）白酒行业参考执行更新后的四川省白酒行业资源环境绩效指标要求。</w:t>
                  </w:r>
                </w:p>
                <w:p w14:paraId="663FEC79">
                  <w:pPr>
                    <w:rPr>
                      <w:szCs w:val="21"/>
                    </w:rPr>
                  </w:pPr>
                  <w:r>
                    <w:rPr>
                      <w:rFonts w:hint="eastAsia"/>
                      <w:szCs w:val="21"/>
                    </w:rPr>
                    <w:t>（4）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2646" w:type="dxa"/>
                  <w:vAlign w:val="center"/>
                </w:tcPr>
                <w:p w14:paraId="3D5FD791">
                  <w:pPr>
                    <w:rPr>
                      <w:szCs w:val="21"/>
                    </w:rPr>
                  </w:pPr>
                  <w:r>
                    <w:rPr>
                      <w:rFonts w:hint="eastAsia"/>
                      <w:szCs w:val="21"/>
                    </w:rPr>
                    <w:t>项目不属于化工、白酒行业，以及重点重金属排放企业，注塑、印刷过程产生的VOCs采取收集处置措施，减少VOCs排放。</w:t>
                  </w:r>
                </w:p>
              </w:tc>
              <w:tc>
                <w:tcPr>
                  <w:tcW w:w="992" w:type="dxa"/>
                  <w:vAlign w:val="center"/>
                </w:tcPr>
                <w:p w14:paraId="20DDA7F3">
                  <w:pPr>
                    <w:jc w:val="center"/>
                    <w:rPr>
                      <w:szCs w:val="21"/>
                    </w:rPr>
                  </w:pPr>
                  <w:r>
                    <w:rPr>
                      <w:rFonts w:hint="eastAsia"/>
                      <w:szCs w:val="21"/>
                    </w:rPr>
                    <w:t>符合</w:t>
                  </w:r>
                </w:p>
              </w:tc>
            </w:tr>
            <w:tr w14:paraId="5D42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1" w:type="dxa"/>
                  <w:vMerge w:val="continue"/>
                  <w:vAlign w:val="center"/>
                </w:tcPr>
                <w:p w14:paraId="0D51D245">
                  <w:pPr>
                    <w:jc w:val="center"/>
                    <w:rPr>
                      <w:szCs w:val="21"/>
                    </w:rPr>
                  </w:pPr>
                </w:p>
              </w:tc>
              <w:tc>
                <w:tcPr>
                  <w:tcW w:w="732" w:type="dxa"/>
                  <w:vMerge w:val="continue"/>
                  <w:vAlign w:val="center"/>
                </w:tcPr>
                <w:p w14:paraId="16FC469C">
                  <w:pPr>
                    <w:jc w:val="center"/>
                    <w:rPr>
                      <w:szCs w:val="21"/>
                    </w:rPr>
                  </w:pPr>
                </w:p>
              </w:tc>
              <w:tc>
                <w:tcPr>
                  <w:tcW w:w="816" w:type="dxa"/>
                  <w:vMerge w:val="restart"/>
                  <w:vAlign w:val="center"/>
                </w:tcPr>
                <w:p w14:paraId="672D8DB9">
                  <w:pPr>
                    <w:jc w:val="center"/>
                    <w:rPr>
                      <w:szCs w:val="21"/>
                    </w:rPr>
                  </w:pPr>
                  <w:r>
                    <w:rPr>
                      <w:szCs w:val="21"/>
                    </w:rPr>
                    <w:t>环境风险防控</w:t>
                  </w:r>
                </w:p>
              </w:tc>
              <w:tc>
                <w:tcPr>
                  <w:tcW w:w="1123" w:type="dxa"/>
                  <w:vAlign w:val="center"/>
                </w:tcPr>
                <w:p w14:paraId="59A2D97F">
                  <w:pPr>
                    <w:jc w:val="center"/>
                    <w:rPr>
                      <w:szCs w:val="21"/>
                    </w:rPr>
                  </w:pPr>
                  <w:r>
                    <w:rPr>
                      <w:rFonts w:hint="eastAsia"/>
                      <w:szCs w:val="21"/>
                    </w:rPr>
                    <w:t>联防联控要求</w:t>
                  </w:r>
                </w:p>
              </w:tc>
              <w:tc>
                <w:tcPr>
                  <w:tcW w:w="6864" w:type="dxa"/>
                  <w:vAlign w:val="center"/>
                </w:tcPr>
                <w:p w14:paraId="577EB2DB">
                  <w:pPr>
                    <w:rPr>
                      <w:szCs w:val="21"/>
                    </w:rPr>
                  </w:pPr>
                  <w:r>
                    <w:rPr>
                      <w:rFonts w:hint="eastAsia"/>
                      <w:szCs w:val="21"/>
                    </w:rPr>
                    <w:t>加强成都平原经济区信息共享和联动合作，协力推进产业和能源结构优化调整，加强大气污染源头防控，加强潼遂合作。</w:t>
                  </w:r>
                </w:p>
              </w:tc>
              <w:tc>
                <w:tcPr>
                  <w:tcW w:w="2646" w:type="dxa"/>
                  <w:vAlign w:val="center"/>
                </w:tcPr>
                <w:p w14:paraId="32A04D9B">
                  <w:pPr>
                    <w:rPr>
                      <w:szCs w:val="21"/>
                    </w:rPr>
                  </w:pPr>
                  <w:r>
                    <w:rPr>
                      <w:rFonts w:hint="eastAsia"/>
                      <w:szCs w:val="21"/>
                    </w:rPr>
                    <w:t>项目不涉及。</w:t>
                  </w:r>
                </w:p>
              </w:tc>
              <w:tc>
                <w:tcPr>
                  <w:tcW w:w="992" w:type="dxa"/>
                  <w:vAlign w:val="center"/>
                </w:tcPr>
                <w:p w14:paraId="4ACE092D">
                  <w:pPr>
                    <w:jc w:val="center"/>
                    <w:rPr>
                      <w:szCs w:val="21"/>
                    </w:rPr>
                  </w:pPr>
                  <w:r>
                    <w:rPr>
                      <w:rFonts w:hint="eastAsia"/>
                      <w:szCs w:val="21"/>
                    </w:rPr>
                    <w:t>符合</w:t>
                  </w:r>
                </w:p>
              </w:tc>
            </w:tr>
            <w:tr w14:paraId="1DCB6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161" w:type="dxa"/>
                  <w:vMerge w:val="continue"/>
                  <w:vAlign w:val="center"/>
                </w:tcPr>
                <w:p w14:paraId="4820236D">
                  <w:pPr>
                    <w:jc w:val="center"/>
                    <w:rPr>
                      <w:szCs w:val="21"/>
                    </w:rPr>
                  </w:pPr>
                </w:p>
              </w:tc>
              <w:tc>
                <w:tcPr>
                  <w:tcW w:w="732" w:type="dxa"/>
                  <w:vMerge w:val="continue"/>
                  <w:vAlign w:val="center"/>
                </w:tcPr>
                <w:p w14:paraId="13FBE1A5">
                  <w:pPr>
                    <w:jc w:val="center"/>
                    <w:rPr>
                      <w:szCs w:val="21"/>
                    </w:rPr>
                  </w:pPr>
                </w:p>
              </w:tc>
              <w:tc>
                <w:tcPr>
                  <w:tcW w:w="816" w:type="dxa"/>
                  <w:vMerge w:val="continue"/>
                  <w:vAlign w:val="center"/>
                </w:tcPr>
                <w:p w14:paraId="410C30A3">
                  <w:pPr>
                    <w:jc w:val="center"/>
                    <w:rPr>
                      <w:szCs w:val="21"/>
                    </w:rPr>
                  </w:pPr>
                </w:p>
              </w:tc>
              <w:tc>
                <w:tcPr>
                  <w:tcW w:w="1123" w:type="dxa"/>
                  <w:vAlign w:val="center"/>
                </w:tcPr>
                <w:p w14:paraId="0BB2B1D0">
                  <w:pPr>
                    <w:jc w:val="center"/>
                    <w:rPr>
                      <w:szCs w:val="21"/>
                    </w:rPr>
                  </w:pPr>
                  <w:r>
                    <w:rPr>
                      <w:rFonts w:hint="eastAsia"/>
                      <w:szCs w:val="21"/>
                    </w:rPr>
                    <w:t>企业环境风险防控要求</w:t>
                  </w:r>
                </w:p>
              </w:tc>
              <w:tc>
                <w:tcPr>
                  <w:tcW w:w="6864" w:type="dxa"/>
                  <w:vAlign w:val="center"/>
                </w:tcPr>
                <w:p w14:paraId="287CA885">
                  <w:pPr>
                    <w:rPr>
                      <w:szCs w:val="21"/>
                    </w:rPr>
                  </w:pPr>
                  <w:r>
                    <w:rPr>
                      <w:rFonts w:hint="eastAsia"/>
                      <w:szCs w:val="21"/>
                    </w:rPr>
                    <w:t>涉及有毒有害、易燃易爆物质的新建、改扩建项目，严控准入要求。</w:t>
                  </w:r>
                </w:p>
              </w:tc>
              <w:tc>
                <w:tcPr>
                  <w:tcW w:w="2646" w:type="dxa"/>
                  <w:vAlign w:val="center"/>
                </w:tcPr>
                <w:p w14:paraId="5159D0AE">
                  <w:pPr>
                    <w:rPr>
                      <w:szCs w:val="21"/>
                    </w:rPr>
                  </w:pPr>
                  <w:r>
                    <w:rPr>
                      <w:rFonts w:hint="eastAsia"/>
                      <w:szCs w:val="21"/>
                    </w:rPr>
                    <w:t>项目有害物质存储量未超过临界量，严格落实环境风险防范措施。</w:t>
                  </w:r>
                </w:p>
              </w:tc>
              <w:tc>
                <w:tcPr>
                  <w:tcW w:w="992" w:type="dxa"/>
                  <w:vAlign w:val="center"/>
                </w:tcPr>
                <w:p w14:paraId="7DA77F4B">
                  <w:pPr>
                    <w:jc w:val="center"/>
                    <w:rPr>
                      <w:szCs w:val="21"/>
                    </w:rPr>
                  </w:pPr>
                  <w:r>
                    <w:rPr>
                      <w:rFonts w:hint="eastAsia"/>
                      <w:szCs w:val="21"/>
                    </w:rPr>
                    <w:t>符合</w:t>
                  </w:r>
                </w:p>
              </w:tc>
            </w:tr>
            <w:tr w14:paraId="0811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1" w:type="dxa"/>
                  <w:vMerge w:val="continue"/>
                  <w:vAlign w:val="center"/>
                </w:tcPr>
                <w:p w14:paraId="1F9BBDCE">
                  <w:pPr>
                    <w:jc w:val="center"/>
                    <w:rPr>
                      <w:szCs w:val="21"/>
                    </w:rPr>
                  </w:pPr>
                </w:p>
              </w:tc>
              <w:tc>
                <w:tcPr>
                  <w:tcW w:w="732" w:type="dxa"/>
                  <w:vMerge w:val="continue"/>
                  <w:vAlign w:val="center"/>
                </w:tcPr>
                <w:p w14:paraId="34CD3AF0">
                  <w:pPr>
                    <w:jc w:val="center"/>
                    <w:rPr>
                      <w:szCs w:val="21"/>
                    </w:rPr>
                  </w:pPr>
                </w:p>
              </w:tc>
              <w:tc>
                <w:tcPr>
                  <w:tcW w:w="816" w:type="dxa"/>
                  <w:vMerge w:val="continue"/>
                  <w:vAlign w:val="center"/>
                </w:tcPr>
                <w:p w14:paraId="405ADE62">
                  <w:pPr>
                    <w:jc w:val="center"/>
                    <w:rPr>
                      <w:szCs w:val="21"/>
                    </w:rPr>
                  </w:pPr>
                </w:p>
              </w:tc>
              <w:tc>
                <w:tcPr>
                  <w:tcW w:w="1123" w:type="dxa"/>
                  <w:vAlign w:val="center"/>
                </w:tcPr>
                <w:p w14:paraId="79121D3B">
                  <w:pPr>
                    <w:jc w:val="center"/>
                    <w:rPr>
                      <w:szCs w:val="21"/>
                    </w:rPr>
                  </w:pPr>
                  <w:r>
                    <w:rPr>
                      <w:rFonts w:hint="eastAsia"/>
                      <w:szCs w:val="21"/>
                    </w:rPr>
                    <w:t>园区环境风险防控要求</w:t>
                  </w:r>
                </w:p>
              </w:tc>
              <w:tc>
                <w:tcPr>
                  <w:tcW w:w="6864" w:type="dxa"/>
                  <w:vAlign w:val="center"/>
                </w:tcPr>
                <w:p w14:paraId="3F9AB63E">
                  <w:pPr>
                    <w:rPr>
                      <w:szCs w:val="21"/>
                    </w:rPr>
                  </w:pPr>
                  <w:r>
                    <w:rPr>
                      <w:rFonts w:hint="eastAsia"/>
                      <w:szCs w:val="21"/>
                    </w:rPr>
                    <w:t>构建三级环境风险防控体系，强化危化品泄漏应急处置措施，确保风险可控。针对化工园区进一步强化风险防控。化工园区应具有安全风险监控体系、建立生态环境监测监控体系、建立必要的突发环境事件应急体系。</w:t>
                  </w:r>
                </w:p>
              </w:tc>
              <w:tc>
                <w:tcPr>
                  <w:tcW w:w="2646" w:type="dxa"/>
                  <w:vAlign w:val="center"/>
                </w:tcPr>
                <w:p w14:paraId="2D4E2F68">
                  <w:pPr>
                    <w:rPr>
                      <w:szCs w:val="21"/>
                    </w:rPr>
                  </w:pPr>
                  <w:r>
                    <w:rPr>
                      <w:rFonts w:hint="eastAsia"/>
                      <w:szCs w:val="21"/>
                    </w:rPr>
                    <w:t>项目不涉及。</w:t>
                  </w:r>
                </w:p>
              </w:tc>
              <w:tc>
                <w:tcPr>
                  <w:tcW w:w="992" w:type="dxa"/>
                  <w:vAlign w:val="center"/>
                </w:tcPr>
                <w:p w14:paraId="2B7D7C2E">
                  <w:pPr>
                    <w:jc w:val="center"/>
                    <w:rPr>
                      <w:szCs w:val="21"/>
                    </w:rPr>
                  </w:pPr>
                  <w:r>
                    <w:rPr>
                      <w:rFonts w:hint="eastAsia"/>
                      <w:szCs w:val="21"/>
                    </w:rPr>
                    <w:t>符合</w:t>
                  </w:r>
                </w:p>
              </w:tc>
            </w:tr>
            <w:tr w14:paraId="3B45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161" w:type="dxa"/>
                  <w:vMerge w:val="continue"/>
                  <w:vAlign w:val="center"/>
                </w:tcPr>
                <w:p w14:paraId="28C8EC1E">
                  <w:pPr>
                    <w:jc w:val="center"/>
                    <w:rPr>
                      <w:szCs w:val="21"/>
                    </w:rPr>
                  </w:pPr>
                </w:p>
              </w:tc>
              <w:tc>
                <w:tcPr>
                  <w:tcW w:w="732" w:type="dxa"/>
                  <w:vMerge w:val="continue"/>
                  <w:vAlign w:val="center"/>
                </w:tcPr>
                <w:p w14:paraId="3F170F45">
                  <w:pPr>
                    <w:jc w:val="center"/>
                    <w:rPr>
                      <w:szCs w:val="21"/>
                    </w:rPr>
                  </w:pPr>
                </w:p>
              </w:tc>
              <w:tc>
                <w:tcPr>
                  <w:tcW w:w="816" w:type="dxa"/>
                  <w:vMerge w:val="continue"/>
                  <w:vAlign w:val="center"/>
                </w:tcPr>
                <w:p w14:paraId="72B191C5">
                  <w:pPr>
                    <w:jc w:val="center"/>
                    <w:rPr>
                      <w:szCs w:val="21"/>
                    </w:rPr>
                  </w:pPr>
                </w:p>
              </w:tc>
              <w:tc>
                <w:tcPr>
                  <w:tcW w:w="1123" w:type="dxa"/>
                  <w:vAlign w:val="center"/>
                </w:tcPr>
                <w:p w14:paraId="21322C41">
                  <w:pPr>
                    <w:jc w:val="center"/>
                    <w:rPr>
                      <w:szCs w:val="21"/>
                    </w:rPr>
                  </w:pPr>
                  <w:r>
                    <w:rPr>
                      <w:rFonts w:hint="eastAsia"/>
                      <w:szCs w:val="21"/>
                    </w:rPr>
                    <w:t>用地环境风险防控要求</w:t>
                  </w:r>
                </w:p>
              </w:tc>
              <w:tc>
                <w:tcPr>
                  <w:tcW w:w="6864" w:type="dxa"/>
                  <w:vAlign w:val="center"/>
                </w:tcPr>
                <w:p w14:paraId="2941DFCF">
                  <w:pPr>
                    <w:rPr>
                      <w:szCs w:val="21"/>
                    </w:rPr>
                  </w:pPr>
                  <w:r>
                    <w:rPr>
                      <w:rFonts w:hint="eastAsia"/>
                      <w:szCs w:val="21"/>
                    </w:rPr>
                    <w:t>化工、电镀等行业企业拆除生产设施设备、构筑物和污染治理设施，要事先制定残留污染物清理和安全处置方案，要严格按照有关规定实施安全处理处置，防范拆除活动污染土壤。</w:t>
                  </w:r>
                </w:p>
              </w:tc>
              <w:tc>
                <w:tcPr>
                  <w:tcW w:w="2646" w:type="dxa"/>
                  <w:vAlign w:val="center"/>
                </w:tcPr>
                <w:p w14:paraId="5F33D36D">
                  <w:pPr>
                    <w:rPr>
                      <w:szCs w:val="21"/>
                    </w:rPr>
                  </w:pPr>
                  <w:r>
                    <w:rPr>
                      <w:rFonts w:hint="eastAsia"/>
                      <w:szCs w:val="21"/>
                    </w:rPr>
                    <w:t>项目不涉及。</w:t>
                  </w:r>
                </w:p>
              </w:tc>
              <w:tc>
                <w:tcPr>
                  <w:tcW w:w="992" w:type="dxa"/>
                  <w:vAlign w:val="center"/>
                </w:tcPr>
                <w:p w14:paraId="6242E485">
                  <w:pPr>
                    <w:jc w:val="center"/>
                    <w:rPr>
                      <w:szCs w:val="21"/>
                    </w:rPr>
                  </w:pPr>
                  <w:r>
                    <w:rPr>
                      <w:rFonts w:hint="eastAsia"/>
                      <w:szCs w:val="21"/>
                    </w:rPr>
                    <w:t>符合</w:t>
                  </w:r>
                </w:p>
              </w:tc>
            </w:tr>
            <w:tr w14:paraId="683D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DE55E41">
                  <w:pPr>
                    <w:jc w:val="center"/>
                    <w:rPr>
                      <w:szCs w:val="21"/>
                    </w:rPr>
                  </w:pPr>
                </w:p>
              </w:tc>
              <w:tc>
                <w:tcPr>
                  <w:tcW w:w="732" w:type="dxa"/>
                  <w:vMerge w:val="continue"/>
                  <w:vAlign w:val="center"/>
                </w:tcPr>
                <w:p w14:paraId="635DD1E8">
                  <w:pPr>
                    <w:jc w:val="center"/>
                    <w:rPr>
                      <w:szCs w:val="21"/>
                    </w:rPr>
                  </w:pPr>
                </w:p>
              </w:tc>
              <w:tc>
                <w:tcPr>
                  <w:tcW w:w="816" w:type="dxa"/>
                  <w:vMerge w:val="restart"/>
                  <w:vAlign w:val="center"/>
                </w:tcPr>
                <w:p w14:paraId="214A9982">
                  <w:pPr>
                    <w:jc w:val="center"/>
                    <w:rPr>
                      <w:szCs w:val="21"/>
                    </w:rPr>
                  </w:pPr>
                  <w:r>
                    <w:rPr>
                      <w:rFonts w:hint="eastAsia"/>
                      <w:szCs w:val="21"/>
                    </w:rPr>
                    <w:t>资源开发利用要求</w:t>
                  </w:r>
                </w:p>
              </w:tc>
              <w:tc>
                <w:tcPr>
                  <w:tcW w:w="1123" w:type="dxa"/>
                  <w:vAlign w:val="center"/>
                </w:tcPr>
                <w:p w14:paraId="45EFDD1A">
                  <w:pPr>
                    <w:jc w:val="center"/>
                    <w:rPr>
                      <w:szCs w:val="21"/>
                    </w:rPr>
                  </w:pPr>
                  <w:r>
                    <w:rPr>
                      <w:rFonts w:hint="eastAsia"/>
                      <w:szCs w:val="21"/>
                    </w:rPr>
                    <w:t>水资源利用效率要求</w:t>
                  </w:r>
                </w:p>
              </w:tc>
              <w:tc>
                <w:tcPr>
                  <w:tcW w:w="6864" w:type="dxa"/>
                  <w:vAlign w:val="center"/>
                </w:tcPr>
                <w:p w14:paraId="43CA8EEC">
                  <w:pPr>
                    <w:rPr>
                      <w:szCs w:val="21"/>
                    </w:rPr>
                  </w:pPr>
                  <w:r>
                    <w:rPr>
                      <w:rFonts w:hint="eastAsia"/>
                      <w:szCs w:val="21"/>
                    </w:rPr>
                    <w:t>（1）到2025年，万元工业增加值用水量下降到32.0m</w:t>
                  </w:r>
                  <w:r>
                    <w:rPr>
                      <w:rFonts w:hint="eastAsia"/>
                      <w:szCs w:val="21"/>
                      <w:vertAlign w:val="superscript"/>
                    </w:rPr>
                    <w:t>3</w:t>
                  </w:r>
                  <w:r>
                    <w:rPr>
                      <w:rFonts w:hint="eastAsia"/>
                      <w:szCs w:val="21"/>
                    </w:rPr>
                    <w:t>/万元，重复利用率提高到84%。</w:t>
                  </w:r>
                </w:p>
                <w:p w14:paraId="4CD9CA80">
                  <w:pPr>
                    <w:rPr>
                      <w:szCs w:val="21"/>
                    </w:rPr>
                  </w:pPr>
                  <w:r>
                    <w:rPr>
                      <w:rFonts w:hint="eastAsia"/>
                      <w:szCs w:val="21"/>
                    </w:rPr>
                    <w:t>（2）至2030年，万元工业增加值用水量进一步减少为28.0m</w:t>
                  </w:r>
                  <w:r>
                    <w:rPr>
                      <w:rFonts w:hint="eastAsia"/>
                      <w:szCs w:val="21"/>
                      <w:vertAlign w:val="superscript"/>
                    </w:rPr>
                    <w:t>3</w:t>
                  </w:r>
                  <w:r>
                    <w:rPr>
                      <w:rFonts w:hint="eastAsia"/>
                      <w:szCs w:val="21"/>
                    </w:rPr>
                    <w:t>/万元，重复利用率提高到85%。</w:t>
                  </w:r>
                </w:p>
                <w:p w14:paraId="202AE2DB">
                  <w:pPr>
                    <w:rPr>
                      <w:szCs w:val="21"/>
                    </w:rPr>
                  </w:pPr>
                  <w:r>
                    <w:rPr>
                      <w:rFonts w:hint="eastAsia"/>
                      <w:szCs w:val="21"/>
                    </w:rPr>
                    <w:t>（3）新、改扩建项目水耗指标满足《四川省省级生态工业园区指标》综合类生态工业园区要求。</w:t>
                  </w:r>
                </w:p>
              </w:tc>
              <w:tc>
                <w:tcPr>
                  <w:tcW w:w="2646" w:type="dxa"/>
                  <w:vAlign w:val="center"/>
                </w:tcPr>
                <w:p w14:paraId="284DB2BE">
                  <w:pPr>
                    <w:rPr>
                      <w:szCs w:val="21"/>
                    </w:rPr>
                  </w:pPr>
                  <w:r>
                    <w:rPr>
                      <w:rFonts w:hint="eastAsia"/>
                      <w:szCs w:val="21"/>
                    </w:rPr>
                    <w:t>项目水耗指标满足《四川省省级生态工业园区指标》综合类生态工业园区要求。</w:t>
                  </w:r>
                </w:p>
              </w:tc>
              <w:tc>
                <w:tcPr>
                  <w:tcW w:w="992" w:type="dxa"/>
                  <w:vAlign w:val="center"/>
                </w:tcPr>
                <w:p w14:paraId="47CEEBEE">
                  <w:pPr>
                    <w:jc w:val="center"/>
                    <w:rPr>
                      <w:szCs w:val="21"/>
                    </w:rPr>
                  </w:pPr>
                  <w:r>
                    <w:rPr>
                      <w:rFonts w:hint="eastAsia"/>
                      <w:szCs w:val="21"/>
                    </w:rPr>
                    <w:t>符合</w:t>
                  </w:r>
                </w:p>
              </w:tc>
            </w:tr>
            <w:tr w14:paraId="09EAC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BF46E7F">
                  <w:pPr>
                    <w:jc w:val="center"/>
                    <w:rPr>
                      <w:szCs w:val="21"/>
                    </w:rPr>
                  </w:pPr>
                </w:p>
              </w:tc>
              <w:tc>
                <w:tcPr>
                  <w:tcW w:w="732" w:type="dxa"/>
                  <w:vMerge w:val="continue"/>
                  <w:vAlign w:val="center"/>
                </w:tcPr>
                <w:p w14:paraId="3B3FBF7A">
                  <w:pPr>
                    <w:jc w:val="center"/>
                    <w:rPr>
                      <w:szCs w:val="21"/>
                    </w:rPr>
                  </w:pPr>
                </w:p>
              </w:tc>
              <w:tc>
                <w:tcPr>
                  <w:tcW w:w="816" w:type="dxa"/>
                  <w:vMerge w:val="continue"/>
                  <w:vAlign w:val="center"/>
                </w:tcPr>
                <w:p w14:paraId="17A16DC9">
                  <w:pPr>
                    <w:jc w:val="center"/>
                    <w:rPr>
                      <w:szCs w:val="21"/>
                    </w:rPr>
                  </w:pPr>
                </w:p>
              </w:tc>
              <w:tc>
                <w:tcPr>
                  <w:tcW w:w="1123" w:type="dxa"/>
                  <w:vAlign w:val="center"/>
                </w:tcPr>
                <w:p w14:paraId="26FD6FEB">
                  <w:pPr>
                    <w:jc w:val="center"/>
                    <w:rPr>
                      <w:szCs w:val="21"/>
                    </w:rPr>
                  </w:pPr>
                  <w:r>
                    <w:rPr>
                      <w:rFonts w:hint="eastAsia"/>
                      <w:szCs w:val="21"/>
                    </w:rPr>
                    <w:t>能源利用总量及效率要求</w:t>
                  </w:r>
                </w:p>
              </w:tc>
              <w:tc>
                <w:tcPr>
                  <w:tcW w:w="6864" w:type="dxa"/>
                  <w:vAlign w:val="center"/>
                </w:tcPr>
                <w:p w14:paraId="4458CD32">
                  <w:pPr>
                    <w:rPr>
                      <w:szCs w:val="21"/>
                    </w:rPr>
                  </w:pPr>
                  <w:r>
                    <w:rPr>
                      <w:rFonts w:hint="eastAsia"/>
                      <w:szCs w:val="21"/>
                    </w:rPr>
                    <w:t>（1）扩大高污染燃料禁燃区范围，在市、县（区）、镇（乡）建成区全面实施“煤改气”“煤改电”。</w:t>
                  </w:r>
                </w:p>
                <w:p w14:paraId="1DC4C877">
                  <w:pPr>
                    <w:rPr>
                      <w:szCs w:val="21"/>
                    </w:rPr>
                  </w:pPr>
                  <w:r>
                    <w:rPr>
                      <w:rFonts w:hint="eastAsia"/>
                      <w:szCs w:val="21"/>
                    </w:rPr>
                    <w:t>（2）新、改扩建项目能耗指标满足《四川省省级生态工业园区指标》综合类生态工业园区要求。</w:t>
                  </w:r>
                </w:p>
                <w:p w14:paraId="214B33C8">
                  <w:pPr>
                    <w:rPr>
                      <w:szCs w:val="21"/>
                    </w:rPr>
                  </w:pPr>
                  <w:r>
                    <w:rPr>
                      <w:rFonts w:hint="eastAsia"/>
                      <w:szCs w:val="21"/>
                    </w:rPr>
                    <w:t>（3）实施新建项目与煤炭消费总量控制挂钩机制，耗煤建设项目实行煤炭消耗等量减量替代。</w:t>
                  </w:r>
                </w:p>
                <w:p w14:paraId="5D0E3C1F">
                  <w:pPr>
                    <w:rPr>
                      <w:szCs w:val="21"/>
                    </w:rPr>
                  </w:pPr>
                  <w:r>
                    <w:rPr>
                      <w:rFonts w:hint="eastAsia"/>
                      <w:szCs w:val="21"/>
                    </w:rPr>
                    <w:t>（4）提高煤炭利用效率和天然气利用占比，工业领域有序推进“煤改电”和“煤改气”。</w:t>
                  </w:r>
                </w:p>
                <w:p w14:paraId="63BB512D">
                  <w:pPr>
                    <w:rPr>
                      <w:szCs w:val="21"/>
                    </w:rPr>
                  </w:pPr>
                  <w:r>
                    <w:rPr>
                      <w:rFonts w:hint="eastAsia"/>
                      <w:szCs w:val="21"/>
                    </w:rPr>
                    <w:t>（5）到2030年，能源消费总量控制在1000万吨标准煤以内。</w:t>
                  </w:r>
                </w:p>
              </w:tc>
              <w:tc>
                <w:tcPr>
                  <w:tcW w:w="2646" w:type="dxa"/>
                  <w:vAlign w:val="center"/>
                </w:tcPr>
                <w:p w14:paraId="24261E24">
                  <w:pPr>
                    <w:rPr>
                      <w:szCs w:val="21"/>
                    </w:rPr>
                  </w:pPr>
                  <w:r>
                    <w:rPr>
                      <w:rFonts w:hint="eastAsia"/>
                      <w:szCs w:val="21"/>
                    </w:rPr>
                    <w:t>项目位于高污染燃料禁燃区范围，能源使用电和天然气，不涉及高污染燃料使用，能耗指标满足《四川省省级生态工业园区指标》综合类生态工业园区要求。</w:t>
                  </w:r>
                </w:p>
              </w:tc>
              <w:tc>
                <w:tcPr>
                  <w:tcW w:w="992" w:type="dxa"/>
                  <w:vAlign w:val="center"/>
                </w:tcPr>
                <w:p w14:paraId="655F090B">
                  <w:pPr>
                    <w:jc w:val="center"/>
                    <w:rPr>
                      <w:szCs w:val="21"/>
                    </w:rPr>
                  </w:pPr>
                  <w:r>
                    <w:rPr>
                      <w:rFonts w:hint="eastAsia"/>
                      <w:szCs w:val="21"/>
                    </w:rPr>
                    <w:t>符合</w:t>
                  </w:r>
                </w:p>
              </w:tc>
            </w:tr>
            <w:tr w14:paraId="5A11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7C1C41B">
                  <w:pPr>
                    <w:jc w:val="center"/>
                    <w:rPr>
                      <w:szCs w:val="21"/>
                    </w:rPr>
                  </w:pPr>
                </w:p>
              </w:tc>
              <w:tc>
                <w:tcPr>
                  <w:tcW w:w="732" w:type="dxa"/>
                  <w:vMerge w:val="continue"/>
                  <w:vAlign w:val="center"/>
                </w:tcPr>
                <w:p w14:paraId="4F8D0617">
                  <w:pPr>
                    <w:jc w:val="center"/>
                    <w:rPr>
                      <w:szCs w:val="21"/>
                    </w:rPr>
                  </w:pPr>
                </w:p>
              </w:tc>
              <w:tc>
                <w:tcPr>
                  <w:tcW w:w="816" w:type="dxa"/>
                  <w:vMerge w:val="continue"/>
                  <w:vAlign w:val="center"/>
                </w:tcPr>
                <w:p w14:paraId="702F88BA">
                  <w:pPr>
                    <w:jc w:val="center"/>
                    <w:rPr>
                      <w:szCs w:val="21"/>
                    </w:rPr>
                  </w:pPr>
                </w:p>
              </w:tc>
              <w:tc>
                <w:tcPr>
                  <w:tcW w:w="1123" w:type="dxa"/>
                  <w:vAlign w:val="center"/>
                </w:tcPr>
                <w:p w14:paraId="6A9D48BF">
                  <w:pPr>
                    <w:jc w:val="center"/>
                    <w:rPr>
                      <w:szCs w:val="21"/>
                    </w:rPr>
                  </w:pPr>
                  <w:r>
                    <w:rPr>
                      <w:rFonts w:hint="eastAsia"/>
                      <w:szCs w:val="21"/>
                    </w:rPr>
                    <w:t>禁燃区要求</w:t>
                  </w:r>
                </w:p>
              </w:tc>
              <w:tc>
                <w:tcPr>
                  <w:tcW w:w="6864" w:type="dxa"/>
                  <w:vAlign w:val="center"/>
                </w:tcPr>
                <w:p w14:paraId="42E07EAD">
                  <w:pPr>
                    <w:rPr>
                      <w:szCs w:val="21"/>
                    </w:rPr>
                  </w:pPr>
                  <w:r>
                    <w:rPr>
                      <w:rFonts w:hint="eastAsia"/>
                      <w:szCs w:val="21"/>
                    </w:rPr>
                    <w:t>（1）禁燃区内禁止燃烧以下高污染燃料：①煤炭及其制品（包括原煤、散煤、煤矸石、煤泥、煤 粉、水浆煤、型煤、焦炭、兰炭、油类等常规燃料）；②石油焦、油页岩、原油、重油、渣油、煤焦油；③非专用锅炉或未配置高效除尘设施的专用锅炉燃用的 生物质成型燃料。</w:t>
                  </w:r>
                </w:p>
                <w:p w14:paraId="396879BB">
                  <w:pPr>
                    <w:rPr>
                      <w:szCs w:val="21"/>
                    </w:rPr>
                  </w:pPr>
                  <w:r>
                    <w:rPr>
                      <w:rFonts w:hint="eastAsia"/>
                      <w:szCs w:val="21"/>
                    </w:rPr>
                    <w:t>（2）禁燃区内禁止新建、扩建燃用高污染燃料的锅炉、炉窑、 炉灶等燃烧设施（集中供热、电厂锅炉除外）。</w:t>
                  </w:r>
                </w:p>
                <w:p w14:paraId="7812CE53">
                  <w:pPr>
                    <w:rPr>
                      <w:szCs w:val="21"/>
                    </w:rPr>
                  </w:pPr>
                  <w:r>
                    <w:rPr>
                      <w:rFonts w:hint="eastAsia"/>
                      <w:szCs w:val="21"/>
                    </w:rPr>
                    <w:t>（3）自2020年1月1日起，禁燃区内禁止销售高污染燃料。</w:t>
                  </w:r>
                </w:p>
                <w:p w14:paraId="4D723518">
                  <w:pPr>
                    <w:rPr>
                      <w:szCs w:val="21"/>
                    </w:rPr>
                  </w:pPr>
                  <w:r>
                    <w:rPr>
                      <w:rFonts w:hint="eastAsia"/>
                      <w:szCs w:val="21"/>
                    </w:rPr>
                    <w:t>（4）加强对集中供热、电厂锅炉、10蒸吨/时以上的在用燃煤锅炉以及改用清洁能源前的在用锅炉等燃烧设施的监管，确保达标排放。</w:t>
                  </w:r>
                </w:p>
              </w:tc>
              <w:tc>
                <w:tcPr>
                  <w:tcW w:w="2646" w:type="dxa"/>
                  <w:vAlign w:val="center"/>
                </w:tcPr>
                <w:p w14:paraId="316BAC97">
                  <w:pPr>
                    <w:rPr>
                      <w:szCs w:val="21"/>
                    </w:rPr>
                  </w:pPr>
                  <w:r>
                    <w:rPr>
                      <w:rFonts w:hint="eastAsia"/>
                      <w:szCs w:val="21"/>
                    </w:rPr>
                    <w:t>项目不涉及高污染燃料使用、销售。</w:t>
                  </w:r>
                </w:p>
              </w:tc>
              <w:tc>
                <w:tcPr>
                  <w:tcW w:w="992" w:type="dxa"/>
                  <w:vAlign w:val="center"/>
                </w:tcPr>
                <w:p w14:paraId="0AC8F2A7">
                  <w:pPr>
                    <w:jc w:val="center"/>
                    <w:rPr>
                      <w:szCs w:val="21"/>
                    </w:rPr>
                  </w:pPr>
                  <w:r>
                    <w:rPr>
                      <w:rFonts w:hint="eastAsia"/>
                      <w:szCs w:val="21"/>
                    </w:rPr>
                    <w:t>符合</w:t>
                  </w:r>
                </w:p>
              </w:tc>
            </w:tr>
            <w:tr w14:paraId="7440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1B35288">
                  <w:pPr>
                    <w:jc w:val="center"/>
                    <w:rPr>
                      <w:szCs w:val="21"/>
                    </w:rPr>
                  </w:pPr>
                </w:p>
              </w:tc>
              <w:tc>
                <w:tcPr>
                  <w:tcW w:w="732" w:type="dxa"/>
                  <w:vMerge w:val="restart"/>
                  <w:vAlign w:val="center"/>
                </w:tcPr>
                <w:p w14:paraId="07723222">
                  <w:pPr>
                    <w:jc w:val="center"/>
                    <w:rPr>
                      <w:szCs w:val="21"/>
                    </w:rPr>
                  </w:pPr>
                  <w:r>
                    <w:rPr>
                      <w:rFonts w:hint="eastAsia"/>
                      <w:szCs w:val="21"/>
                    </w:rPr>
                    <w:t>单元级清单管控要求</w:t>
                  </w:r>
                </w:p>
              </w:tc>
              <w:tc>
                <w:tcPr>
                  <w:tcW w:w="816" w:type="dxa"/>
                  <w:vMerge w:val="restart"/>
                  <w:vAlign w:val="center"/>
                </w:tcPr>
                <w:p w14:paraId="42F9E63E">
                  <w:pPr>
                    <w:jc w:val="center"/>
                    <w:rPr>
                      <w:szCs w:val="21"/>
                    </w:rPr>
                  </w:pPr>
                  <w:r>
                    <w:rPr>
                      <w:rFonts w:hint="eastAsia"/>
                      <w:szCs w:val="21"/>
                    </w:rPr>
                    <w:t>空间布局约束</w:t>
                  </w:r>
                </w:p>
              </w:tc>
              <w:tc>
                <w:tcPr>
                  <w:tcW w:w="1123" w:type="dxa"/>
                  <w:vAlign w:val="center"/>
                </w:tcPr>
                <w:p w14:paraId="0802B297">
                  <w:pPr>
                    <w:jc w:val="center"/>
                    <w:rPr>
                      <w:szCs w:val="21"/>
                    </w:rPr>
                  </w:pPr>
                  <w:r>
                    <w:rPr>
                      <w:rFonts w:hint="eastAsia"/>
                      <w:szCs w:val="21"/>
                    </w:rPr>
                    <w:t>禁止开发建设活动的要求</w:t>
                  </w:r>
                </w:p>
              </w:tc>
              <w:tc>
                <w:tcPr>
                  <w:tcW w:w="6864" w:type="dxa"/>
                  <w:vAlign w:val="center"/>
                </w:tcPr>
                <w:p w14:paraId="6A8A0B11">
                  <w:pPr>
                    <w:rPr>
                      <w:szCs w:val="21"/>
                    </w:rPr>
                  </w:pPr>
                  <w:r>
                    <w:rPr>
                      <w:rFonts w:hint="eastAsia"/>
                      <w:szCs w:val="21"/>
                    </w:rPr>
                    <w:t>（1）禁止新建纯碱、PVC项目。</w:t>
                  </w:r>
                </w:p>
                <w:p w14:paraId="0EF7575A">
                  <w:pPr>
                    <w:rPr>
                      <w:szCs w:val="21"/>
                    </w:rPr>
                  </w:pPr>
                  <w:r>
                    <w:rPr>
                      <w:rFonts w:hint="eastAsia"/>
                      <w:szCs w:val="21"/>
                    </w:rPr>
                    <w:t>（2）禁止扩大合成氨或实施扩建氮肥项目。</w:t>
                  </w:r>
                </w:p>
                <w:p w14:paraId="5AB25D9A">
                  <w:pPr>
                    <w:rPr>
                      <w:szCs w:val="21"/>
                    </w:rPr>
                  </w:pPr>
                  <w:r>
                    <w:rPr>
                      <w:rFonts w:hint="eastAsia"/>
                      <w:szCs w:val="21"/>
                    </w:rPr>
                    <w:t>（3）禁止新引入涉及印染、染整、脱胶工序或产生缫丝、精炼废水的项目。</w:t>
                  </w:r>
                </w:p>
                <w:p w14:paraId="07BDBF68">
                  <w:pPr>
                    <w:rPr>
                      <w:szCs w:val="21"/>
                    </w:rPr>
                  </w:pPr>
                  <w:r>
                    <w:rPr>
                      <w:rFonts w:hint="eastAsia"/>
                      <w:szCs w:val="21"/>
                    </w:rPr>
                    <w:t>（4）禁止引入印制电路板、集成电路制造、平板及柔性显示器件制造等耗、排水量大的项目。</w:t>
                  </w:r>
                </w:p>
                <w:p w14:paraId="15649FD2">
                  <w:pPr>
                    <w:rPr>
                      <w:szCs w:val="21"/>
                    </w:rPr>
                  </w:pPr>
                  <w:r>
                    <w:rPr>
                      <w:rFonts w:hint="eastAsia"/>
                      <w:szCs w:val="21"/>
                    </w:rPr>
                    <w:t>（5）禁止引进和新建涉及喷漆工艺家具制造（木制品加工）生产项目（使用粉末喷涂、水性涂料及UV涂料以及进入共享喷涂中心除外）。</w:t>
                  </w:r>
                </w:p>
                <w:p w14:paraId="5054071E">
                  <w:pPr>
                    <w:rPr>
                      <w:szCs w:val="21"/>
                    </w:rPr>
                  </w:pPr>
                  <w:r>
                    <w:rPr>
                      <w:rFonts w:hint="eastAsia"/>
                      <w:szCs w:val="21"/>
                    </w:rPr>
                    <w:t>（6）禁止新建燃煤火电、金属冶炼、制浆（含废纸制浆）、屠宰、皮革鞣制、铅蓄电池制造、原油炼制、煤化工及发酵制药项目。</w:t>
                  </w:r>
                </w:p>
                <w:p w14:paraId="42A1DCD8">
                  <w:pPr>
                    <w:rPr>
                      <w:szCs w:val="21"/>
                    </w:rPr>
                  </w:pPr>
                  <w:r>
                    <w:rPr>
                      <w:rFonts w:hint="eastAsia"/>
                      <w:szCs w:val="21"/>
                    </w:rPr>
                    <w:t>（7）梨子坝、马家坝片区禁止新引入化工项目片区铅蓄电池生产企业限制发展，待远期条件成熟时，实现铅、汞、镉、铬、砷重金属污染物“零排放”或搬迁出园区。</w:t>
                  </w:r>
                </w:p>
                <w:p w14:paraId="56A2273B">
                  <w:pPr>
                    <w:rPr>
                      <w:szCs w:val="21"/>
                    </w:rPr>
                  </w:pPr>
                  <w:r>
                    <w:rPr>
                      <w:rFonts w:hint="eastAsia"/>
                      <w:szCs w:val="21"/>
                    </w:rPr>
                    <w:t>（8）规划区内郪江两侧自防洪堤外源控制线起50m区域纳入生态保护范围，禁止开展采矿、挖沙取土或工业活动。</w:t>
                  </w:r>
                </w:p>
                <w:p w14:paraId="4CD77E91">
                  <w:pPr>
                    <w:rPr>
                      <w:szCs w:val="21"/>
                    </w:rPr>
                  </w:pPr>
                  <w:r>
                    <w:rPr>
                      <w:rFonts w:hint="eastAsia"/>
                      <w:szCs w:val="21"/>
                    </w:rPr>
                    <w:t>（9）其他参照遂宁市总体准入要求-工业重点管控单元。</w:t>
                  </w:r>
                </w:p>
              </w:tc>
              <w:tc>
                <w:tcPr>
                  <w:tcW w:w="2646" w:type="dxa"/>
                  <w:vAlign w:val="center"/>
                </w:tcPr>
                <w:p w14:paraId="021F5007">
                  <w:pPr>
                    <w:rPr>
                      <w:szCs w:val="21"/>
                    </w:rPr>
                  </w:pPr>
                  <w:r>
                    <w:rPr>
                      <w:rFonts w:hint="eastAsia"/>
                      <w:szCs w:val="21"/>
                    </w:rPr>
                    <w:t>项目为塑料制品业，不属于纯碱、PVC、合成氨、氮肥、家具制造、燃煤火电、金属冶炼、制浆（含废纸制浆）、屠宰、皮革鞣制、铅蓄电池制造、原油炼制、煤化工及发酵制药项目，不涉及印染、染整、脱胶工序，不产生缫丝、精炼废水，不属于印制电路板、集成电路制造、平板及柔性显示器件制造等耗、排水量大的项目；项目不在郪江生态保护范围内，符合遂宁市总体准入要求。</w:t>
                  </w:r>
                </w:p>
              </w:tc>
              <w:tc>
                <w:tcPr>
                  <w:tcW w:w="992" w:type="dxa"/>
                  <w:vAlign w:val="center"/>
                </w:tcPr>
                <w:p w14:paraId="064DDDBC">
                  <w:pPr>
                    <w:jc w:val="center"/>
                    <w:rPr>
                      <w:szCs w:val="21"/>
                    </w:rPr>
                  </w:pPr>
                  <w:r>
                    <w:rPr>
                      <w:rFonts w:hint="eastAsia"/>
                      <w:szCs w:val="21"/>
                    </w:rPr>
                    <w:t>符合</w:t>
                  </w:r>
                </w:p>
              </w:tc>
            </w:tr>
            <w:tr w14:paraId="4359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5C915AC8">
                  <w:pPr>
                    <w:jc w:val="center"/>
                    <w:rPr>
                      <w:szCs w:val="21"/>
                    </w:rPr>
                  </w:pPr>
                </w:p>
              </w:tc>
              <w:tc>
                <w:tcPr>
                  <w:tcW w:w="732" w:type="dxa"/>
                  <w:vMerge w:val="continue"/>
                  <w:vAlign w:val="center"/>
                </w:tcPr>
                <w:p w14:paraId="4F54A52A">
                  <w:pPr>
                    <w:jc w:val="center"/>
                    <w:rPr>
                      <w:szCs w:val="21"/>
                    </w:rPr>
                  </w:pPr>
                </w:p>
              </w:tc>
              <w:tc>
                <w:tcPr>
                  <w:tcW w:w="816" w:type="dxa"/>
                  <w:vMerge w:val="continue"/>
                  <w:vAlign w:val="center"/>
                </w:tcPr>
                <w:p w14:paraId="7D51156B">
                  <w:pPr>
                    <w:jc w:val="center"/>
                    <w:rPr>
                      <w:szCs w:val="21"/>
                    </w:rPr>
                  </w:pPr>
                </w:p>
              </w:tc>
              <w:tc>
                <w:tcPr>
                  <w:tcW w:w="1123" w:type="dxa"/>
                  <w:vAlign w:val="center"/>
                </w:tcPr>
                <w:p w14:paraId="2AAFAFEB">
                  <w:pPr>
                    <w:jc w:val="center"/>
                    <w:rPr>
                      <w:szCs w:val="21"/>
                    </w:rPr>
                  </w:pPr>
                  <w:r>
                    <w:rPr>
                      <w:rFonts w:hint="eastAsia"/>
                      <w:szCs w:val="21"/>
                    </w:rPr>
                    <w:t>限制开发建设活动的要求</w:t>
                  </w:r>
                </w:p>
              </w:tc>
              <w:tc>
                <w:tcPr>
                  <w:tcW w:w="6864" w:type="dxa"/>
                  <w:vAlign w:val="center"/>
                </w:tcPr>
                <w:p w14:paraId="292D5D51">
                  <w:pPr>
                    <w:rPr>
                      <w:szCs w:val="21"/>
                    </w:rPr>
                  </w:pPr>
                  <w:r>
                    <w:rPr>
                      <w:rFonts w:hint="eastAsia"/>
                      <w:szCs w:val="21"/>
                    </w:rPr>
                    <w:t>（1）严格限制钢铁、水泥、平板玻璃、有色金属冶炼等高污染、高耗能项目。</w:t>
                  </w:r>
                </w:p>
                <w:p w14:paraId="4C61BF39">
                  <w:pPr>
                    <w:rPr>
                      <w:szCs w:val="21"/>
                    </w:rPr>
                  </w:pPr>
                  <w:r>
                    <w:rPr>
                      <w:rFonts w:hint="eastAsia"/>
                      <w:szCs w:val="21"/>
                    </w:rPr>
                    <w:t>（2）限制引进和新建涉及有机溶剂使用和挥发性有机物排放的低固份油性涂料生产、沥青类防水材料生产、人造板生产等项目。</w:t>
                  </w:r>
                </w:p>
                <w:p w14:paraId="5CF1BC88">
                  <w:pPr>
                    <w:rPr>
                      <w:szCs w:val="21"/>
                    </w:rPr>
                  </w:pPr>
                  <w:r>
                    <w:rPr>
                      <w:rFonts w:hint="eastAsia"/>
                      <w:szCs w:val="21"/>
                    </w:rPr>
                    <w:t>（3）限制高耗水、高污染企业入驻，严控入河污染物。</w:t>
                  </w:r>
                </w:p>
                <w:p w14:paraId="30FCA290">
                  <w:pPr>
                    <w:rPr>
                      <w:szCs w:val="21"/>
                    </w:rPr>
                  </w:pPr>
                  <w:r>
                    <w:rPr>
                      <w:rFonts w:hint="eastAsia"/>
                      <w:szCs w:val="21"/>
                    </w:rPr>
                    <w:t>（4）其他参照遂宁市总体准入要求-工业重点管控单元。</w:t>
                  </w:r>
                </w:p>
              </w:tc>
              <w:tc>
                <w:tcPr>
                  <w:tcW w:w="2646" w:type="dxa"/>
                  <w:vAlign w:val="center"/>
                </w:tcPr>
                <w:p w14:paraId="66F54022">
                  <w:pPr>
                    <w:rPr>
                      <w:szCs w:val="21"/>
                    </w:rPr>
                  </w:pPr>
                  <w:r>
                    <w:rPr>
                      <w:rFonts w:hint="eastAsia"/>
                      <w:szCs w:val="21"/>
                    </w:rPr>
                    <w:t>项目不属于高污染、高耗能项目，不属于低固份油性涂料生产、沥青类防水材料生产、人造板生产等项目，以及高耗水、高污染企业，符合遂宁市总体准入要求。</w:t>
                  </w:r>
                </w:p>
              </w:tc>
              <w:tc>
                <w:tcPr>
                  <w:tcW w:w="992" w:type="dxa"/>
                  <w:vAlign w:val="center"/>
                </w:tcPr>
                <w:p w14:paraId="69AA3FAD">
                  <w:pPr>
                    <w:jc w:val="center"/>
                    <w:rPr>
                      <w:szCs w:val="21"/>
                    </w:rPr>
                  </w:pPr>
                  <w:r>
                    <w:rPr>
                      <w:rFonts w:hint="eastAsia"/>
                      <w:szCs w:val="21"/>
                    </w:rPr>
                    <w:t>符合</w:t>
                  </w:r>
                </w:p>
              </w:tc>
            </w:tr>
            <w:tr w14:paraId="470B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49596AA">
                  <w:pPr>
                    <w:jc w:val="center"/>
                    <w:rPr>
                      <w:szCs w:val="21"/>
                    </w:rPr>
                  </w:pPr>
                </w:p>
              </w:tc>
              <w:tc>
                <w:tcPr>
                  <w:tcW w:w="732" w:type="dxa"/>
                  <w:vMerge w:val="continue"/>
                  <w:vAlign w:val="center"/>
                </w:tcPr>
                <w:p w14:paraId="59C1E30E">
                  <w:pPr>
                    <w:jc w:val="center"/>
                    <w:rPr>
                      <w:szCs w:val="21"/>
                    </w:rPr>
                  </w:pPr>
                </w:p>
              </w:tc>
              <w:tc>
                <w:tcPr>
                  <w:tcW w:w="816" w:type="dxa"/>
                  <w:vMerge w:val="continue"/>
                  <w:vAlign w:val="center"/>
                </w:tcPr>
                <w:p w14:paraId="7E306E1E">
                  <w:pPr>
                    <w:jc w:val="center"/>
                    <w:rPr>
                      <w:szCs w:val="21"/>
                    </w:rPr>
                  </w:pPr>
                </w:p>
              </w:tc>
              <w:tc>
                <w:tcPr>
                  <w:tcW w:w="1123" w:type="dxa"/>
                  <w:vAlign w:val="center"/>
                </w:tcPr>
                <w:p w14:paraId="22FD7388">
                  <w:pPr>
                    <w:jc w:val="center"/>
                    <w:rPr>
                      <w:szCs w:val="21"/>
                    </w:rPr>
                  </w:pPr>
                  <w:r>
                    <w:rPr>
                      <w:rFonts w:hint="eastAsia"/>
                      <w:szCs w:val="21"/>
                    </w:rPr>
                    <w:t>不符合空间布局要求活动的退出要求</w:t>
                  </w:r>
                </w:p>
              </w:tc>
              <w:tc>
                <w:tcPr>
                  <w:tcW w:w="6864" w:type="dxa"/>
                  <w:vAlign w:val="center"/>
                </w:tcPr>
                <w:p w14:paraId="4B2380DA">
                  <w:pPr>
                    <w:rPr>
                      <w:szCs w:val="21"/>
                    </w:rPr>
                  </w:pPr>
                  <w:r>
                    <w:rPr>
                      <w:rFonts w:hint="eastAsia"/>
                      <w:szCs w:val="21"/>
                    </w:rPr>
                    <w:t>（1）岸线一公里范围内的化工企业：①根据《中华人民共和国长江保护法》，禁止在长江干支流岸线一公里范围内新建、扩建化工项目；②现存化工企业，符合所在法定保护地管理规定、具有合法手续且污染物排放及环境风险满足管理要求，可继续保留。</w:t>
                  </w:r>
                </w:p>
                <w:p w14:paraId="7045DAFB">
                  <w:pPr>
                    <w:rPr>
                      <w:szCs w:val="21"/>
                    </w:rPr>
                  </w:pPr>
                  <w:r>
                    <w:rPr>
                      <w:rFonts w:hint="eastAsia"/>
                      <w:szCs w:val="21"/>
                    </w:rPr>
                    <w:t>（2）其他参照遂宁市总体准入要求-工业重点管控单元。</w:t>
                  </w:r>
                </w:p>
              </w:tc>
              <w:tc>
                <w:tcPr>
                  <w:tcW w:w="2646" w:type="dxa"/>
                  <w:vAlign w:val="center"/>
                </w:tcPr>
                <w:p w14:paraId="42EEC053">
                  <w:pPr>
                    <w:rPr>
                      <w:szCs w:val="21"/>
                    </w:rPr>
                  </w:pPr>
                  <w:r>
                    <w:rPr>
                      <w:rFonts w:hint="eastAsia"/>
                      <w:szCs w:val="21"/>
                    </w:rPr>
                    <w:t>项目不属于化工项目，符合遂宁市总体准入要求。</w:t>
                  </w:r>
                </w:p>
              </w:tc>
              <w:tc>
                <w:tcPr>
                  <w:tcW w:w="992" w:type="dxa"/>
                  <w:vAlign w:val="center"/>
                </w:tcPr>
                <w:p w14:paraId="5C5514C8">
                  <w:pPr>
                    <w:jc w:val="center"/>
                    <w:rPr>
                      <w:szCs w:val="21"/>
                    </w:rPr>
                  </w:pPr>
                  <w:r>
                    <w:rPr>
                      <w:rFonts w:hint="eastAsia"/>
                      <w:szCs w:val="21"/>
                    </w:rPr>
                    <w:t>符合</w:t>
                  </w:r>
                </w:p>
              </w:tc>
            </w:tr>
            <w:tr w14:paraId="26110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F177B90">
                  <w:pPr>
                    <w:jc w:val="center"/>
                    <w:rPr>
                      <w:szCs w:val="21"/>
                    </w:rPr>
                  </w:pPr>
                </w:p>
              </w:tc>
              <w:tc>
                <w:tcPr>
                  <w:tcW w:w="732" w:type="dxa"/>
                  <w:vMerge w:val="continue"/>
                  <w:vAlign w:val="center"/>
                </w:tcPr>
                <w:p w14:paraId="12EBFAC3">
                  <w:pPr>
                    <w:jc w:val="center"/>
                    <w:rPr>
                      <w:szCs w:val="21"/>
                    </w:rPr>
                  </w:pPr>
                </w:p>
              </w:tc>
              <w:tc>
                <w:tcPr>
                  <w:tcW w:w="816" w:type="dxa"/>
                  <w:vMerge w:val="restart"/>
                  <w:vAlign w:val="center"/>
                </w:tcPr>
                <w:p w14:paraId="01FFCE34">
                  <w:pPr>
                    <w:jc w:val="center"/>
                    <w:rPr>
                      <w:szCs w:val="21"/>
                    </w:rPr>
                  </w:pPr>
                  <w:r>
                    <w:rPr>
                      <w:szCs w:val="21"/>
                    </w:rPr>
                    <w:t>污染物排放管控</w:t>
                  </w:r>
                </w:p>
              </w:tc>
              <w:tc>
                <w:tcPr>
                  <w:tcW w:w="1123" w:type="dxa"/>
                  <w:vAlign w:val="center"/>
                </w:tcPr>
                <w:p w14:paraId="4D965FAE">
                  <w:pPr>
                    <w:jc w:val="center"/>
                    <w:rPr>
                      <w:szCs w:val="21"/>
                    </w:rPr>
                  </w:pPr>
                  <w:r>
                    <w:rPr>
                      <w:rFonts w:hint="eastAsia"/>
                      <w:szCs w:val="21"/>
                    </w:rPr>
                    <w:t>现有源提标升级改造</w:t>
                  </w:r>
                </w:p>
              </w:tc>
              <w:tc>
                <w:tcPr>
                  <w:tcW w:w="6864" w:type="dxa"/>
                  <w:vAlign w:val="center"/>
                </w:tcPr>
                <w:p w14:paraId="0BC38A8D">
                  <w:pPr>
                    <w:rPr>
                      <w:szCs w:val="21"/>
                    </w:rPr>
                  </w:pPr>
                  <w:r>
                    <w:rPr>
                      <w:rFonts w:hint="eastAsia"/>
                      <w:szCs w:val="21"/>
                    </w:rPr>
                    <w:t>（1）燃煤热电锅炉完成超低排放改造，规模在20蒸吨/时及以上的现有大中型燃煤锅炉应全部实施脱硫，脱硫效率达到70%以上。</w:t>
                  </w:r>
                </w:p>
                <w:p w14:paraId="67A6F041">
                  <w:pPr>
                    <w:rPr>
                      <w:szCs w:val="21"/>
                    </w:rPr>
                  </w:pPr>
                  <w:r>
                    <w:rPr>
                      <w:rFonts w:hint="eastAsia"/>
                      <w:szCs w:val="21"/>
                    </w:rPr>
                    <w:t>（2）新建化工项目必须配套建设高效脱硫、脱硝、除尘设施，脱硝效率不低于70%。</w:t>
                  </w:r>
                </w:p>
                <w:p w14:paraId="0A5BCDD3">
                  <w:pPr>
                    <w:rPr>
                      <w:szCs w:val="21"/>
                    </w:rPr>
                  </w:pPr>
                  <w:r>
                    <w:rPr>
                      <w:rFonts w:hint="eastAsia"/>
                      <w:szCs w:val="21"/>
                    </w:rPr>
                    <w:t>（3）加强中水回用，逐步将工业污水处理厂中水回用于工业企业的冷却用水等生产性用水，远期回用率达到30%。</w:t>
                  </w:r>
                </w:p>
                <w:p w14:paraId="1CE1784C">
                  <w:pPr>
                    <w:rPr>
                      <w:szCs w:val="21"/>
                    </w:rPr>
                  </w:pPr>
                  <w:r>
                    <w:rPr>
                      <w:rFonts w:hint="eastAsia"/>
                      <w:szCs w:val="21"/>
                    </w:rPr>
                    <w:t>（4）其他参照遂宁市总体准入要求-工业重点管控单元。</w:t>
                  </w:r>
                </w:p>
              </w:tc>
              <w:tc>
                <w:tcPr>
                  <w:tcW w:w="2646" w:type="dxa"/>
                  <w:vAlign w:val="center"/>
                </w:tcPr>
                <w:p w14:paraId="10D0BD2D">
                  <w:pPr>
                    <w:rPr>
                      <w:szCs w:val="21"/>
                    </w:rPr>
                  </w:pPr>
                  <w:r>
                    <w:rPr>
                      <w:rFonts w:hint="eastAsia"/>
                      <w:szCs w:val="21"/>
                    </w:rPr>
                    <w:t>项目不涉及燃煤，不属于化工项目，生产过程中冷却水循环使用，符合遂宁市总体准入要求。</w:t>
                  </w:r>
                </w:p>
              </w:tc>
              <w:tc>
                <w:tcPr>
                  <w:tcW w:w="992" w:type="dxa"/>
                  <w:vAlign w:val="center"/>
                </w:tcPr>
                <w:p w14:paraId="32F6185A">
                  <w:pPr>
                    <w:jc w:val="center"/>
                    <w:rPr>
                      <w:szCs w:val="21"/>
                    </w:rPr>
                  </w:pPr>
                  <w:r>
                    <w:rPr>
                      <w:rFonts w:hint="eastAsia"/>
                      <w:szCs w:val="21"/>
                    </w:rPr>
                    <w:t>符合</w:t>
                  </w:r>
                </w:p>
              </w:tc>
            </w:tr>
            <w:tr w14:paraId="20313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636BD26">
                  <w:pPr>
                    <w:jc w:val="center"/>
                    <w:rPr>
                      <w:szCs w:val="21"/>
                    </w:rPr>
                  </w:pPr>
                </w:p>
              </w:tc>
              <w:tc>
                <w:tcPr>
                  <w:tcW w:w="732" w:type="dxa"/>
                  <w:vMerge w:val="continue"/>
                  <w:vAlign w:val="center"/>
                </w:tcPr>
                <w:p w14:paraId="2D034308">
                  <w:pPr>
                    <w:jc w:val="center"/>
                    <w:rPr>
                      <w:szCs w:val="21"/>
                    </w:rPr>
                  </w:pPr>
                </w:p>
              </w:tc>
              <w:tc>
                <w:tcPr>
                  <w:tcW w:w="816" w:type="dxa"/>
                  <w:vMerge w:val="continue"/>
                  <w:vAlign w:val="center"/>
                </w:tcPr>
                <w:p w14:paraId="712F56DB">
                  <w:pPr>
                    <w:jc w:val="center"/>
                    <w:rPr>
                      <w:szCs w:val="21"/>
                    </w:rPr>
                  </w:pPr>
                </w:p>
              </w:tc>
              <w:tc>
                <w:tcPr>
                  <w:tcW w:w="1123" w:type="dxa"/>
                  <w:vAlign w:val="center"/>
                </w:tcPr>
                <w:p w14:paraId="4023FE4E">
                  <w:pPr>
                    <w:jc w:val="center"/>
                    <w:rPr>
                      <w:szCs w:val="21"/>
                    </w:rPr>
                  </w:pPr>
                  <w:r>
                    <w:rPr>
                      <w:rFonts w:hint="eastAsia"/>
                      <w:szCs w:val="21"/>
                    </w:rPr>
                    <w:t>新增源等量或倍量替代</w:t>
                  </w:r>
                </w:p>
              </w:tc>
              <w:tc>
                <w:tcPr>
                  <w:tcW w:w="6864" w:type="dxa"/>
                  <w:vAlign w:val="center"/>
                </w:tcPr>
                <w:p w14:paraId="3FDFBBCB">
                  <w:pPr>
                    <w:rPr>
                      <w:szCs w:val="21"/>
                    </w:rPr>
                  </w:pPr>
                  <w:r>
                    <w:rPr>
                      <w:rFonts w:hint="eastAsia"/>
                      <w:szCs w:val="21"/>
                    </w:rPr>
                    <w:t>参照遂宁市总体准入要求-工业重点管控单元。</w:t>
                  </w:r>
                </w:p>
              </w:tc>
              <w:tc>
                <w:tcPr>
                  <w:tcW w:w="2646" w:type="dxa"/>
                  <w:vAlign w:val="center"/>
                </w:tcPr>
                <w:p w14:paraId="05344333">
                  <w:pPr>
                    <w:rPr>
                      <w:szCs w:val="21"/>
                    </w:rPr>
                  </w:pPr>
                  <w:r>
                    <w:rPr>
                      <w:rFonts w:hint="eastAsia"/>
                      <w:szCs w:val="21"/>
                    </w:rPr>
                    <w:t>项目符合遂宁市总体准入要求。</w:t>
                  </w:r>
                </w:p>
              </w:tc>
              <w:tc>
                <w:tcPr>
                  <w:tcW w:w="992" w:type="dxa"/>
                  <w:vAlign w:val="center"/>
                </w:tcPr>
                <w:p w14:paraId="4102B6F2">
                  <w:pPr>
                    <w:jc w:val="center"/>
                    <w:rPr>
                      <w:szCs w:val="21"/>
                    </w:rPr>
                  </w:pPr>
                  <w:r>
                    <w:rPr>
                      <w:rFonts w:hint="eastAsia"/>
                      <w:szCs w:val="21"/>
                    </w:rPr>
                    <w:t>符合</w:t>
                  </w:r>
                </w:p>
              </w:tc>
            </w:tr>
            <w:tr w14:paraId="7DBA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01CBB99">
                  <w:pPr>
                    <w:jc w:val="center"/>
                    <w:rPr>
                      <w:szCs w:val="21"/>
                    </w:rPr>
                  </w:pPr>
                </w:p>
              </w:tc>
              <w:tc>
                <w:tcPr>
                  <w:tcW w:w="732" w:type="dxa"/>
                  <w:vMerge w:val="continue"/>
                  <w:vAlign w:val="center"/>
                </w:tcPr>
                <w:p w14:paraId="4955D8D0">
                  <w:pPr>
                    <w:jc w:val="center"/>
                    <w:rPr>
                      <w:szCs w:val="21"/>
                    </w:rPr>
                  </w:pPr>
                </w:p>
              </w:tc>
              <w:tc>
                <w:tcPr>
                  <w:tcW w:w="816" w:type="dxa"/>
                  <w:vMerge w:val="continue"/>
                  <w:vAlign w:val="center"/>
                </w:tcPr>
                <w:p w14:paraId="7D6B838B">
                  <w:pPr>
                    <w:jc w:val="center"/>
                    <w:rPr>
                      <w:szCs w:val="21"/>
                    </w:rPr>
                  </w:pPr>
                </w:p>
              </w:tc>
              <w:tc>
                <w:tcPr>
                  <w:tcW w:w="1123" w:type="dxa"/>
                  <w:vAlign w:val="center"/>
                </w:tcPr>
                <w:p w14:paraId="20A25F7D">
                  <w:pPr>
                    <w:jc w:val="center"/>
                    <w:rPr>
                      <w:szCs w:val="21"/>
                    </w:rPr>
                  </w:pPr>
                  <w:r>
                    <w:rPr>
                      <w:rFonts w:hint="eastAsia"/>
                      <w:szCs w:val="21"/>
                    </w:rPr>
                    <w:t>新增源排放标准限值</w:t>
                  </w:r>
                </w:p>
              </w:tc>
              <w:tc>
                <w:tcPr>
                  <w:tcW w:w="6864" w:type="dxa"/>
                  <w:vAlign w:val="center"/>
                </w:tcPr>
                <w:p w14:paraId="1DA5A42C">
                  <w:pPr>
                    <w:rPr>
                      <w:szCs w:val="21"/>
                    </w:rPr>
                  </w:pPr>
                  <w:r>
                    <w:rPr>
                      <w:rFonts w:hint="eastAsia"/>
                      <w:szCs w:val="21"/>
                    </w:rPr>
                    <w:t>（1）项目产生的生产废水由企业自行处理达到《污水综合排放标准》三级或相应的行业排放标准后排入园区污水处理厂处理达《城镇污水处理厂污染物排放标准》一级A标或更严格标准后排放。</w:t>
                  </w:r>
                </w:p>
                <w:p w14:paraId="1035F8C8">
                  <w:pPr>
                    <w:rPr>
                      <w:szCs w:val="21"/>
                    </w:rPr>
                  </w:pPr>
                  <w:r>
                    <w:rPr>
                      <w:rFonts w:hint="eastAsia"/>
                      <w:szCs w:val="21"/>
                    </w:rPr>
                    <w:t>（2）其他参照遂宁市总体准入要求-工业重点管控单元。</w:t>
                  </w:r>
                </w:p>
              </w:tc>
              <w:tc>
                <w:tcPr>
                  <w:tcW w:w="2646" w:type="dxa"/>
                  <w:vAlign w:val="center"/>
                </w:tcPr>
                <w:p w14:paraId="0195D73E">
                  <w:pPr>
                    <w:rPr>
                      <w:szCs w:val="21"/>
                    </w:rPr>
                  </w:pPr>
                  <w:r>
                    <w:rPr>
                      <w:rFonts w:hint="eastAsia"/>
                      <w:szCs w:val="21"/>
                    </w:rPr>
                    <w:t>项目不涉及生产废水，生活污水、食堂废水经预处理达到《污水综合排放标准》（GB8978-1996）三级标准后排入园区污水管网。</w:t>
                  </w:r>
                </w:p>
              </w:tc>
              <w:tc>
                <w:tcPr>
                  <w:tcW w:w="992" w:type="dxa"/>
                  <w:vAlign w:val="center"/>
                </w:tcPr>
                <w:p w14:paraId="6C6F1D0B">
                  <w:pPr>
                    <w:jc w:val="center"/>
                    <w:rPr>
                      <w:szCs w:val="21"/>
                    </w:rPr>
                  </w:pPr>
                  <w:r>
                    <w:rPr>
                      <w:rFonts w:hint="eastAsia"/>
                      <w:szCs w:val="21"/>
                    </w:rPr>
                    <w:t>符合</w:t>
                  </w:r>
                </w:p>
              </w:tc>
            </w:tr>
            <w:tr w14:paraId="5C24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C0A8A12">
                  <w:pPr>
                    <w:jc w:val="center"/>
                    <w:rPr>
                      <w:szCs w:val="21"/>
                    </w:rPr>
                  </w:pPr>
                </w:p>
              </w:tc>
              <w:tc>
                <w:tcPr>
                  <w:tcW w:w="732" w:type="dxa"/>
                  <w:vMerge w:val="continue"/>
                  <w:vAlign w:val="center"/>
                </w:tcPr>
                <w:p w14:paraId="5B5FA41D">
                  <w:pPr>
                    <w:jc w:val="center"/>
                    <w:rPr>
                      <w:szCs w:val="21"/>
                    </w:rPr>
                  </w:pPr>
                </w:p>
              </w:tc>
              <w:tc>
                <w:tcPr>
                  <w:tcW w:w="816" w:type="dxa"/>
                  <w:vMerge w:val="continue"/>
                  <w:vAlign w:val="center"/>
                </w:tcPr>
                <w:p w14:paraId="7F27C2A0">
                  <w:pPr>
                    <w:jc w:val="center"/>
                    <w:rPr>
                      <w:szCs w:val="21"/>
                    </w:rPr>
                  </w:pPr>
                </w:p>
              </w:tc>
              <w:tc>
                <w:tcPr>
                  <w:tcW w:w="1123" w:type="dxa"/>
                  <w:vAlign w:val="center"/>
                </w:tcPr>
                <w:p w14:paraId="33626904">
                  <w:pPr>
                    <w:jc w:val="center"/>
                    <w:rPr>
                      <w:szCs w:val="21"/>
                    </w:rPr>
                  </w:pPr>
                  <w:r>
                    <w:rPr>
                      <w:rFonts w:hint="eastAsia"/>
                      <w:szCs w:val="21"/>
                    </w:rPr>
                    <w:t>污染物排放绩效水平准入要求</w:t>
                  </w:r>
                </w:p>
              </w:tc>
              <w:tc>
                <w:tcPr>
                  <w:tcW w:w="6864" w:type="dxa"/>
                  <w:vAlign w:val="center"/>
                </w:tcPr>
                <w:p w14:paraId="61637FB7">
                  <w:pPr>
                    <w:rPr>
                      <w:szCs w:val="21"/>
                    </w:rPr>
                  </w:pPr>
                  <w:r>
                    <w:rPr>
                      <w:rFonts w:hint="eastAsia"/>
                      <w:szCs w:val="21"/>
                    </w:rPr>
                    <w:t>参照遂宁市总体准入要求-工业重点管控单元。</w:t>
                  </w:r>
                </w:p>
              </w:tc>
              <w:tc>
                <w:tcPr>
                  <w:tcW w:w="2646" w:type="dxa"/>
                  <w:vAlign w:val="center"/>
                </w:tcPr>
                <w:p w14:paraId="41277156">
                  <w:pPr>
                    <w:rPr>
                      <w:szCs w:val="21"/>
                    </w:rPr>
                  </w:pPr>
                  <w:r>
                    <w:rPr>
                      <w:rFonts w:hint="eastAsia"/>
                      <w:szCs w:val="21"/>
                    </w:rPr>
                    <w:t>项目符合遂宁市总体准入要求。</w:t>
                  </w:r>
                </w:p>
              </w:tc>
              <w:tc>
                <w:tcPr>
                  <w:tcW w:w="992" w:type="dxa"/>
                  <w:vAlign w:val="center"/>
                </w:tcPr>
                <w:p w14:paraId="2133D2A0">
                  <w:pPr>
                    <w:jc w:val="center"/>
                    <w:rPr>
                      <w:szCs w:val="21"/>
                    </w:rPr>
                  </w:pPr>
                  <w:r>
                    <w:rPr>
                      <w:rFonts w:hint="eastAsia"/>
                      <w:szCs w:val="21"/>
                    </w:rPr>
                    <w:t>符合</w:t>
                  </w:r>
                </w:p>
              </w:tc>
            </w:tr>
            <w:tr w14:paraId="1F59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DB5DFE5">
                  <w:pPr>
                    <w:jc w:val="center"/>
                    <w:rPr>
                      <w:szCs w:val="21"/>
                    </w:rPr>
                  </w:pPr>
                </w:p>
              </w:tc>
              <w:tc>
                <w:tcPr>
                  <w:tcW w:w="732" w:type="dxa"/>
                  <w:vMerge w:val="continue"/>
                  <w:vAlign w:val="center"/>
                </w:tcPr>
                <w:p w14:paraId="755B4D1F">
                  <w:pPr>
                    <w:jc w:val="center"/>
                    <w:rPr>
                      <w:szCs w:val="21"/>
                    </w:rPr>
                  </w:pPr>
                </w:p>
              </w:tc>
              <w:tc>
                <w:tcPr>
                  <w:tcW w:w="816" w:type="dxa"/>
                  <w:vMerge w:val="restart"/>
                  <w:vAlign w:val="center"/>
                </w:tcPr>
                <w:p w14:paraId="4AAAA50F">
                  <w:pPr>
                    <w:jc w:val="center"/>
                    <w:rPr>
                      <w:szCs w:val="21"/>
                    </w:rPr>
                  </w:pPr>
                  <w:r>
                    <w:rPr>
                      <w:szCs w:val="21"/>
                    </w:rPr>
                    <w:t>环境风险防控</w:t>
                  </w:r>
                </w:p>
              </w:tc>
              <w:tc>
                <w:tcPr>
                  <w:tcW w:w="1123" w:type="dxa"/>
                  <w:vAlign w:val="center"/>
                </w:tcPr>
                <w:p w14:paraId="0F8B019A">
                  <w:pPr>
                    <w:jc w:val="center"/>
                    <w:rPr>
                      <w:szCs w:val="21"/>
                    </w:rPr>
                  </w:pPr>
                  <w:r>
                    <w:rPr>
                      <w:rFonts w:hint="eastAsia"/>
                      <w:szCs w:val="21"/>
                    </w:rPr>
                    <w:t>园区环境风险防控要求</w:t>
                  </w:r>
                </w:p>
              </w:tc>
              <w:tc>
                <w:tcPr>
                  <w:tcW w:w="6864" w:type="dxa"/>
                  <w:vAlign w:val="center"/>
                </w:tcPr>
                <w:p w14:paraId="25113627">
                  <w:pPr>
                    <w:rPr>
                      <w:szCs w:val="21"/>
                    </w:rPr>
                  </w:pPr>
                  <w:r>
                    <w:rPr>
                      <w:rFonts w:hint="eastAsia"/>
                      <w:szCs w:val="21"/>
                    </w:rPr>
                    <w:t>（1）距城区500m范围内禁止引入环境风险潜势等级III级及以上的建设项目。</w:t>
                  </w:r>
                </w:p>
                <w:p w14:paraId="62C9198E">
                  <w:pPr>
                    <w:rPr>
                      <w:szCs w:val="21"/>
                    </w:rPr>
                  </w:pPr>
                  <w:r>
                    <w:rPr>
                      <w:rFonts w:hint="eastAsia"/>
                      <w:szCs w:val="21"/>
                    </w:rPr>
                    <w:t>（2）其他参照遂宁市总体准入要求-工业重点管控单元</w:t>
                  </w:r>
                </w:p>
              </w:tc>
              <w:tc>
                <w:tcPr>
                  <w:tcW w:w="2646" w:type="dxa"/>
                  <w:vAlign w:val="center"/>
                </w:tcPr>
                <w:p w14:paraId="57E647A8">
                  <w:pPr>
                    <w:rPr>
                      <w:szCs w:val="21"/>
                    </w:rPr>
                  </w:pPr>
                  <w:r>
                    <w:rPr>
                      <w:rFonts w:hint="eastAsia"/>
                      <w:szCs w:val="21"/>
                    </w:rPr>
                    <w:t>项目环境风险潜势等级为I级。</w:t>
                  </w:r>
                </w:p>
              </w:tc>
              <w:tc>
                <w:tcPr>
                  <w:tcW w:w="992" w:type="dxa"/>
                  <w:vAlign w:val="center"/>
                </w:tcPr>
                <w:p w14:paraId="3857E786">
                  <w:pPr>
                    <w:jc w:val="center"/>
                    <w:rPr>
                      <w:szCs w:val="21"/>
                    </w:rPr>
                  </w:pPr>
                  <w:r>
                    <w:rPr>
                      <w:rFonts w:hint="eastAsia"/>
                      <w:szCs w:val="21"/>
                    </w:rPr>
                    <w:t>符合</w:t>
                  </w:r>
                </w:p>
              </w:tc>
            </w:tr>
            <w:tr w14:paraId="6393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5698825D">
                  <w:pPr>
                    <w:jc w:val="center"/>
                    <w:rPr>
                      <w:szCs w:val="21"/>
                    </w:rPr>
                  </w:pPr>
                </w:p>
              </w:tc>
              <w:tc>
                <w:tcPr>
                  <w:tcW w:w="732" w:type="dxa"/>
                  <w:vMerge w:val="continue"/>
                  <w:vAlign w:val="center"/>
                </w:tcPr>
                <w:p w14:paraId="33CE178E">
                  <w:pPr>
                    <w:jc w:val="center"/>
                    <w:rPr>
                      <w:szCs w:val="21"/>
                    </w:rPr>
                  </w:pPr>
                </w:p>
              </w:tc>
              <w:tc>
                <w:tcPr>
                  <w:tcW w:w="816" w:type="dxa"/>
                  <w:vMerge w:val="continue"/>
                  <w:vAlign w:val="center"/>
                </w:tcPr>
                <w:p w14:paraId="046A8066">
                  <w:pPr>
                    <w:jc w:val="center"/>
                    <w:rPr>
                      <w:szCs w:val="21"/>
                    </w:rPr>
                  </w:pPr>
                </w:p>
              </w:tc>
              <w:tc>
                <w:tcPr>
                  <w:tcW w:w="1123" w:type="dxa"/>
                  <w:vAlign w:val="center"/>
                </w:tcPr>
                <w:p w14:paraId="04CC8C6B">
                  <w:pPr>
                    <w:jc w:val="center"/>
                    <w:rPr>
                      <w:szCs w:val="21"/>
                    </w:rPr>
                  </w:pPr>
                  <w:r>
                    <w:rPr>
                      <w:rFonts w:hint="eastAsia"/>
                      <w:szCs w:val="21"/>
                    </w:rPr>
                    <w:t>企业环境风险防控要求</w:t>
                  </w:r>
                </w:p>
              </w:tc>
              <w:tc>
                <w:tcPr>
                  <w:tcW w:w="6864" w:type="dxa"/>
                  <w:vAlign w:val="center"/>
                </w:tcPr>
                <w:p w14:paraId="3633A3A9">
                  <w:pPr>
                    <w:rPr>
                      <w:szCs w:val="21"/>
                    </w:rPr>
                  </w:pPr>
                  <w:r>
                    <w:rPr>
                      <w:rFonts w:hint="eastAsia"/>
                      <w:szCs w:val="21"/>
                    </w:rPr>
                    <w:t>参照遂宁市总体准入要求-工业重点管控单元。</w:t>
                  </w:r>
                </w:p>
              </w:tc>
              <w:tc>
                <w:tcPr>
                  <w:tcW w:w="2646" w:type="dxa"/>
                  <w:vAlign w:val="center"/>
                </w:tcPr>
                <w:p w14:paraId="761A6C79">
                  <w:pPr>
                    <w:rPr>
                      <w:szCs w:val="21"/>
                    </w:rPr>
                  </w:pPr>
                  <w:r>
                    <w:rPr>
                      <w:rFonts w:hint="eastAsia"/>
                      <w:szCs w:val="21"/>
                    </w:rPr>
                    <w:t>项目符合遂宁市总体准入要求。</w:t>
                  </w:r>
                </w:p>
              </w:tc>
              <w:tc>
                <w:tcPr>
                  <w:tcW w:w="992" w:type="dxa"/>
                  <w:vAlign w:val="center"/>
                </w:tcPr>
                <w:p w14:paraId="6EC0553E">
                  <w:pPr>
                    <w:jc w:val="center"/>
                    <w:rPr>
                      <w:szCs w:val="21"/>
                    </w:rPr>
                  </w:pPr>
                  <w:r>
                    <w:rPr>
                      <w:rFonts w:hint="eastAsia"/>
                      <w:szCs w:val="21"/>
                    </w:rPr>
                    <w:t>符合</w:t>
                  </w:r>
                </w:p>
              </w:tc>
            </w:tr>
            <w:tr w14:paraId="46782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D0DAAEB">
                  <w:pPr>
                    <w:jc w:val="center"/>
                    <w:rPr>
                      <w:szCs w:val="21"/>
                    </w:rPr>
                  </w:pPr>
                </w:p>
              </w:tc>
              <w:tc>
                <w:tcPr>
                  <w:tcW w:w="732" w:type="dxa"/>
                  <w:vMerge w:val="continue"/>
                  <w:vAlign w:val="center"/>
                </w:tcPr>
                <w:p w14:paraId="1063015F">
                  <w:pPr>
                    <w:jc w:val="center"/>
                    <w:rPr>
                      <w:szCs w:val="21"/>
                    </w:rPr>
                  </w:pPr>
                </w:p>
              </w:tc>
              <w:tc>
                <w:tcPr>
                  <w:tcW w:w="816" w:type="dxa"/>
                  <w:vMerge w:val="restart"/>
                  <w:vAlign w:val="center"/>
                </w:tcPr>
                <w:p w14:paraId="413840B3">
                  <w:pPr>
                    <w:jc w:val="center"/>
                    <w:rPr>
                      <w:szCs w:val="21"/>
                    </w:rPr>
                  </w:pPr>
                  <w:r>
                    <w:rPr>
                      <w:rFonts w:hint="eastAsia"/>
                      <w:szCs w:val="21"/>
                    </w:rPr>
                    <w:t>资源开发利用要求</w:t>
                  </w:r>
                </w:p>
              </w:tc>
              <w:tc>
                <w:tcPr>
                  <w:tcW w:w="1123" w:type="dxa"/>
                  <w:vAlign w:val="center"/>
                </w:tcPr>
                <w:p w14:paraId="2616ECCB">
                  <w:pPr>
                    <w:jc w:val="center"/>
                    <w:rPr>
                      <w:szCs w:val="21"/>
                    </w:rPr>
                  </w:pPr>
                  <w:r>
                    <w:rPr>
                      <w:rFonts w:hint="eastAsia"/>
                      <w:szCs w:val="21"/>
                    </w:rPr>
                    <w:t>水资源利用效率要求</w:t>
                  </w:r>
                </w:p>
              </w:tc>
              <w:tc>
                <w:tcPr>
                  <w:tcW w:w="6864" w:type="dxa"/>
                  <w:vAlign w:val="center"/>
                </w:tcPr>
                <w:p w14:paraId="5886F273">
                  <w:pPr>
                    <w:rPr>
                      <w:szCs w:val="21"/>
                    </w:rPr>
                  </w:pPr>
                  <w:r>
                    <w:rPr>
                      <w:rFonts w:hint="eastAsia"/>
                      <w:szCs w:val="21"/>
                    </w:rPr>
                    <w:t>参照遂宁市总体准入要求-工业重点管控单元。</w:t>
                  </w:r>
                </w:p>
              </w:tc>
              <w:tc>
                <w:tcPr>
                  <w:tcW w:w="2646" w:type="dxa"/>
                  <w:vAlign w:val="center"/>
                </w:tcPr>
                <w:p w14:paraId="4C10034A">
                  <w:pPr>
                    <w:rPr>
                      <w:szCs w:val="21"/>
                    </w:rPr>
                  </w:pPr>
                  <w:r>
                    <w:rPr>
                      <w:rFonts w:hint="eastAsia"/>
                      <w:szCs w:val="21"/>
                    </w:rPr>
                    <w:t>项目符合遂宁市总体准入要求。</w:t>
                  </w:r>
                </w:p>
              </w:tc>
              <w:tc>
                <w:tcPr>
                  <w:tcW w:w="992" w:type="dxa"/>
                  <w:vAlign w:val="center"/>
                </w:tcPr>
                <w:p w14:paraId="1D5AFBBC">
                  <w:pPr>
                    <w:jc w:val="center"/>
                    <w:rPr>
                      <w:szCs w:val="21"/>
                    </w:rPr>
                  </w:pPr>
                  <w:r>
                    <w:rPr>
                      <w:rFonts w:hint="eastAsia"/>
                      <w:szCs w:val="21"/>
                    </w:rPr>
                    <w:t>符合</w:t>
                  </w:r>
                </w:p>
              </w:tc>
            </w:tr>
            <w:tr w14:paraId="3D5F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2CF7BBBF">
                  <w:pPr>
                    <w:jc w:val="center"/>
                    <w:rPr>
                      <w:szCs w:val="21"/>
                    </w:rPr>
                  </w:pPr>
                </w:p>
              </w:tc>
              <w:tc>
                <w:tcPr>
                  <w:tcW w:w="732" w:type="dxa"/>
                  <w:vMerge w:val="continue"/>
                  <w:vAlign w:val="center"/>
                </w:tcPr>
                <w:p w14:paraId="36EA5CFD">
                  <w:pPr>
                    <w:jc w:val="center"/>
                    <w:rPr>
                      <w:szCs w:val="21"/>
                    </w:rPr>
                  </w:pPr>
                </w:p>
              </w:tc>
              <w:tc>
                <w:tcPr>
                  <w:tcW w:w="816" w:type="dxa"/>
                  <w:vMerge w:val="continue"/>
                  <w:vAlign w:val="center"/>
                </w:tcPr>
                <w:p w14:paraId="57FE1E24">
                  <w:pPr>
                    <w:jc w:val="center"/>
                    <w:rPr>
                      <w:szCs w:val="21"/>
                    </w:rPr>
                  </w:pPr>
                </w:p>
              </w:tc>
              <w:tc>
                <w:tcPr>
                  <w:tcW w:w="1123" w:type="dxa"/>
                  <w:vAlign w:val="center"/>
                </w:tcPr>
                <w:p w14:paraId="4AD728D0">
                  <w:pPr>
                    <w:jc w:val="center"/>
                    <w:rPr>
                      <w:szCs w:val="21"/>
                    </w:rPr>
                  </w:pPr>
                  <w:r>
                    <w:rPr>
                      <w:rFonts w:hint="eastAsia"/>
                      <w:szCs w:val="21"/>
                    </w:rPr>
                    <w:t>地下水开采要求</w:t>
                  </w:r>
                </w:p>
              </w:tc>
              <w:tc>
                <w:tcPr>
                  <w:tcW w:w="6864" w:type="dxa"/>
                  <w:vAlign w:val="center"/>
                </w:tcPr>
                <w:p w14:paraId="780DB974">
                  <w:pPr>
                    <w:rPr>
                      <w:szCs w:val="21"/>
                    </w:rPr>
                  </w:pPr>
                  <w:r>
                    <w:rPr>
                      <w:rFonts w:hint="eastAsia"/>
                      <w:szCs w:val="21"/>
                    </w:rPr>
                    <w:t>（1）大英县2030年地下水开采控制量保持在0.06亿m</w:t>
                  </w:r>
                  <w:r>
                    <w:rPr>
                      <w:rFonts w:hint="eastAsia"/>
                      <w:szCs w:val="21"/>
                      <w:vertAlign w:val="superscript"/>
                    </w:rPr>
                    <w:t>3</w:t>
                  </w:r>
                  <w:r>
                    <w:rPr>
                      <w:rFonts w:hint="eastAsia"/>
                      <w:szCs w:val="21"/>
                    </w:rPr>
                    <w:t>以内。</w:t>
                  </w:r>
                </w:p>
                <w:p w14:paraId="3B459652">
                  <w:pPr>
                    <w:rPr>
                      <w:szCs w:val="21"/>
                    </w:rPr>
                  </w:pPr>
                  <w:r>
                    <w:rPr>
                      <w:rFonts w:hint="eastAsia"/>
                      <w:szCs w:val="21"/>
                    </w:rPr>
                    <w:t>（2）全面建设节水型社会，达到合理高效用水。</w:t>
                  </w:r>
                </w:p>
              </w:tc>
              <w:tc>
                <w:tcPr>
                  <w:tcW w:w="2646" w:type="dxa"/>
                  <w:vAlign w:val="center"/>
                </w:tcPr>
                <w:p w14:paraId="77A48AB2">
                  <w:pPr>
                    <w:rPr>
                      <w:szCs w:val="21"/>
                    </w:rPr>
                  </w:pPr>
                  <w:r>
                    <w:rPr>
                      <w:rFonts w:hint="eastAsia"/>
                      <w:szCs w:val="21"/>
                    </w:rPr>
                    <w:t>项目不涉及。</w:t>
                  </w:r>
                </w:p>
              </w:tc>
              <w:tc>
                <w:tcPr>
                  <w:tcW w:w="992" w:type="dxa"/>
                  <w:vAlign w:val="center"/>
                </w:tcPr>
                <w:p w14:paraId="7E69D6BB">
                  <w:pPr>
                    <w:jc w:val="center"/>
                    <w:rPr>
                      <w:szCs w:val="21"/>
                    </w:rPr>
                  </w:pPr>
                  <w:r>
                    <w:rPr>
                      <w:rFonts w:hint="eastAsia"/>
                      <w:szCs w:val="21"/>
                    </w:rPr>
                    <w:t>符合</w:t>
                  </w:r>
                </w:p>
              </w:tc>
            </w:tr>
            <w:tr w14:paraId="1435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D245FF8">
                  <w:pPr>
                    <w:jc w:val="center"/>
                    <w:rPr>
                      <w:szCs w:val="21"/>
                    </w:rPr>
                  </w:pPr>
                </w:p>
              </w:tc>
              <w:tc>
                <w:tcPr>
                  <w:tcW w:w="732" w:type="dxa"/>
                  <w:vMerge w:val="continue"/>
                  <w:vAlign w:val="center"/>
                </w:tcPr>
                <w:p w14:paraId="7782A3C7">
                  <w:pPr>
                    <w:jc w:val="center"/>
                    <w:rPr>
                      <w:szCs w:val="21"/>
                    </w:rPr>
                  </w:pPr>
                </w:p>
              </w:tc>
              <w:tc>
                <w:tcPr>
                  <w:tcW w:w="816" w:type="dxa"/>
                  <w:vMerge w:val="continue"/>
                  <w:vAlign w:val="center"/>
                </w:tcPr>
                <w:p w14:paraId="69D1FEB4">
                  <w:pPr>
                    <w:jc w:val="center"/>
                    <w:rPr>
                      <w:szCs w:val="21"/>
                    </w:rPr>
                  </w:pPr>
                </w:p>
              </w:tc>
              <w:tc>
                <w:tcPr>
                  <w:tcW w:w="1123" w:type="dxa"/>
                  <w:vAlign w:val="center"/>
                </w:tcPr>
                <w:p w14:paraId="38253182">
                  <w:pPr>
                    <w:jc w:val="center"/>
                    <w:rPr>
                      <w:szCs w:val="21"/>
                    </w:rPr>
                  </w:pPr>
                  <w:r>
                    <w:rPr>
                      <w:rFonts w:hint="eastAsia"/>
                      <w:szCs w:val="21"/>
                    </w:rPr>
                    <w:t>能源利用效率要求</w:t>
                  </w:r>
                </w:p>
              </w:tc>
              <w:tc>
                <w:tcPr>
                  <w:tcW w:w="6864" w:type="dxa"/>
                  <w:vAlign w:val="center"/>
                </w:tcPr>
                <w:p w14:paraId="05E91435">
                  <w:pPr>
                    <w:rPr>
                      <w:szCs w:val="21"/>
                    </w:rPr>
                  </w:pPr>
                  <w:r>
                    <w:rPr>
                      <w:rFonts w:hint="eastAsia"/>
                      <w:szCs w:val="21"/>
                    </w:rPr>
                    <w:t>参照遂宁市总体准入要求-工业重点管控单元。</w:t>
                  </w:r>
                </w:p>
              </w:tc>
              <w:tc>
                <w:tcPr>
                  <w:tcW w:w="2646" w:type="dxa"/>
                  <w:vAlign w:val="center"/>
                </w:tcPr>
                <w:p w14:paraId="59B8EFC6">
                  <w:pPr>
                    <w:rPr>
                      <w:szCs w:val="21"/>
                    </w:rPr>
                  </w:pPr>
                  <w:r>
                    <w:rPr>
                      <w:rFonts w:hint="eastAsia"/>
                      <w:szCs w:val="21"/>
                    </w:rPr>
                    <w:t>项目符合遂宁市总体准入要求。</w:t>
                  </w:r>
                </w:p>
              </w:tc>
              <w:tc>
                <w:tcPr>
                  <w:tcW w:w="992" w:type="dxa"/>
                  <w:vAlign w:val="center"/>
                </w:tcPr>
                <w:p w14:paraId="26D35373">
                  <w:pPr>
                    <w:jc w:val="center"/>
                    <w:rPr>
                      <w:szCs w:val="21"/>
                    </w:rPr>
                  </w:pPr>
                  <w:r>
                    <w:rPr>
                      <w:rFonts w:hint="eastAsia"/>
                      <w:szCs w:val="21"/>
                    </w:rPr>
                    <w:t>符合</w:t>
                  </w:r>
                </w:p>
              </w:tc>
            </w:tr>
            <w:tr w14:paraId="7016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0B0603A0">
                  <w:pPr>
                    <w:jc w:val="center"/>
                    <w:rPr>
                      <w:szCs w:val="21"/>
                    </w:rPr>
                  </w:pPr>
                </w:p>
              </w:tc>
              <w:tc>
                <w:tcPr>
                  <w:tcW w:w="732" w:type="dxa"/>
                  <w:vMerge w:val="continue"/>
                  <w:vAlign w:val="center"/>
                </w:tcPr>
                <w:p w14:paraId="00C5C9C6">
                  <w:pPr>
                    <w:jc w:val="center"/>
                    <w:rPr>
                      <w:szCs w:val="21"/>
                    </w:rPr>
                  </w:pPr>
                </w:p>
              </w:tc>
              <w:tc>
                <w:tcPr>
                  <w:tcW w:w="816" w:type="dxa"/>
                  <w:vMerge w:val="continue"/>
                  <w:vAlign w:val="center"/>
                </w:tcPr>
                <w:p w14:paraId="3EDA70B2">
                  <w:pPr>
                    <w:jc w:val="center"/>
                    <w:rPr>
                      <w:szCs w:val="21"/>
                    </w:rPr>
                  </w:pPr>
                </w:p>
              </w:tc>
              <w:tc>
                <w:tcPr>
                  <w:tcW w:w="1123" w:type="dxa"/>
                  <w:vAlign w:val="center"/>
                </w:tcPr>
                <w:p w14:paraId="5D22263E">
                  <w:pPr>
                    <w:jc w:val="center"/>
                    <w:rPr>
                      <w:szCs w:val="21"/>
                    </w:rPr>
                  </w:pPr>
                  <w:r>
                    <w:rPr>
                      <w:rFonts w:hint="eastAsia"/>
                      <w:szCs w:val="21"/>
                    </w:rPr>
                    <w:t>禁燃区管控要求</w:t>
                  </w:r>
                </w:p>
              </w:tc>
              <w:tc>
                <w:tcPr>
                  <w:tcW w:w="6864" w:type="dxa"/>
                  <w:vAlign w:val="center"/>
                </w:tcPr>
                <w:p w14:paraId="02220C11">
                  <w:pPr>
                    <w:rPr>
                      <w:szCs w:val="21"/>
                    </w:rPr>
                  </w:pPr>
                  <w:r>
                    <w:rPr>
                      <w:rFonts w:hint="eastAsia"/>
                      <w:szCs w:val="21"/>
                    </w:rPr>
                    <w:t>参照遂宁市总体准入要求-工业重点管控单元。</w:t>
                  </w:r>
                </w:p>
              </w:tc>
              <w:tc>
                <w:tcPr>
                  <w:tcW w:w="2646" w:type="dxa"/>
                  <w:vAlign w:val="center"/>
                </w:tcPr>
                <w:p w14:paraId="6F359F18">
                  <w:pPr>
                    <w:rPr>
                      <w:szCs w:val="21"/>
                    </w:rPr>
                  </w:pPr>
                  <w:r>
                    <w:rPr>
                      <w:rFonts w:hint="eastAsia"/>
                      <w:szCs w:val="21"/>
                    </w:rPr>
                    <w:t>项目符合遂宁市总体准入要求。</w:t>
                  </w:r>
                </w:p>
              </w:tc>
              <w:tc>
                <w:tcPr>
                  <w:tcW w:w="992" w:type="dxa"/>
                  <w:vAlign w:val="center"/>
                </w:tcPr>
                <w:p w14:paraId="77256164">
                  <w:pPr>
                    <w:jc w:val="center"/>
                    <w:rPr>
                      <w:szCs w:val="21"/>
                    </w:rPr>
                  </w:pPr>
                  <w:r>
                    <w:rPr>
                      <w:rFonts w:hint="eastAsia"/>
                      <w:szCs w:val="21"/>
                    </w:rPr>
                    <w:t>符合</w:t>
                  </w:r>
                </w:p>
              </w:tc>
            </w:tr>
            <w:tr w14:paraId="326B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restart"/>
                  <w:vAlign w:val="center"/>
                </w:tcPr>
                <w:p w14:paraId="2EFBC5D7">
                  <w:pPr>
                    <w:pStyle w:val="31"/>
                  </w:pPr>
                  <w:r>
                    <w:rPr>
                      <w:kern w:val="2"/>
                    </w:rPr>
                    <w:t>大气环境高排放重点管控区</w:t>
                  </w:r>
                  <w:r>
                    <w:rPr>
                      <w:rFonts w:hint="eastAsia"/>
                    </w:rPr>
                    <w:t>、</w:t>
                  </w:r>
                  <w:r>
                    <w:rPr>
                      <w:kern w:val="2"/>
                    </w:rPr>
                    <w:t>YS510923</w:t>
                  </w:r>
                </w:p>
                <w:p w14:paraId="3EB2A6C5">
                  <w:pPr>
                    <w:jc w:val="center"/>
                    <w:rPr>
                      <w:szCs w:val="21"/>
                    </w:rPr>
                  </w:pPr>
                  <w:r>
                    <w:t>2310001</w:t>
                  </w:r>
                  <w:r>
                    <w:rPr>
                      <w:rFonts w:hint="eastAsia"/>
                      <w:szCs w:val="21"/>
                    </w:rPr>
                    <w:t>、</w:t>
                  </w:r>
                  <w:r>
                    <w:t>大英县工业集中发展区（含经开区）</w:t>
                  </w:r>
                </w:p>
              </w:tc>
              <w:tc>
                <w:tcPr>
                  <w:tcW w:w="732" w:type="dxa"/>
                  <w:vMerge w:val="restart"/>
                  <w:vAlign w:val="center"/>
                </w:tcPr>
                <w:p w14:paraId="66B4AC81">
                  <w:pPr>
                    <w:jc w:val="center"/>
                    <w:rPr>
                      <w:szCs w:val="21"/>
                    </w:rPr>
                  </w:pPr>
                  <w:r>
                    <w:rPr>
                      <w:rFonts w:hint="eastAsia"/>
                      <w:szCs w:val="21"/>
                    </w:rPr>
                    <w:t>单元级清单管控要求</w:t>
                  </w:r>
                </w:p>
              </w:tc>
              <w:tc>
                <w:tcPr>
                  <w:tcW w:w="816" w:type="dxa"/>
                  <w:vAlign w:val="center"/>
                </w:tcPr>
                <w:p w14:paraId="3C4AC201">
                  <w:pPr>
                    <w:jc w:val="center"/>
                    <w:rPr>
                      <w:szCs w:val="21"/>
                    </w:rPr>
                  </w:pPr>
                  <w:r>
                    <w:rPr>
                      <w:rFonts w:hint="eastAsia"/>
                      <w:szCs w:val="21"/>
                    </w:rPr>
                    <w:t>空间布局约束</w:t>
                  </w:r>
                </w:p>
              </w:tc>
              <w:tc>
                <w:tcPr>
                  <w:tcW w:w="7987" w:type="dxa"/>
                  <w:gridSpan w:val="2"/>
                  <w:vAlign w:val="center"/>
                </w:tcPr>
                <w:p w14:paraId="0BD224FF">
                  <w:pPr>
                    <w:rPr>
                      <w:szCs w:val="21"/>
                    </w:rPr>
                  </w:pPr>
                  <w:r>
                    <w:rPr>
                      <w:rFonts w:hint="eastAsia"/>
                      <w:szCs w:val="21"/>
                    </w:rPr>
                    <w:t>禁止开发建设活动的要求</w:t>
                  </w:r>
                </w:p>
                <w:p w14:paraId="17E20948">
                  <w:pPr>
                    <w:rPr>
                      <w:szCs w:val="21"/>
                    </w:rPr>
                  </w:pPr>
                  <w:r>
                    <w:rPr>
                      <w:szCs w:val="21"/>
                    </w:rPr>
                    <w:t>/</w:t>
                  </w:r>
                </w:p>
                <w:p w14:paraId="558ABCF0">
                  <w:pPr>
                    <w:rPr>
                      <w:szCs w:val="21"/>
                    </w:rPr>
                  </w:pPr>
                  <w:r>
                    <w:rPr>
                      <w:rFonts w:hint="eastAsia"/>
                      <w:szCs w:val="21"/>
                    </w:rPr>
                    <w:t>限制开发建设活动的要求</w:t>
                  </w:r>
                </w:p>
                <w:p w14:paraId="467F1C5A">
                  <w:pPr>
                    <w:rPr>
                      <w:szCs w:val="21"/>
                    </w:rPr>
                  </w:pPr>
                  <w:r>
                    <w:rPr>
                      <w:szCs w:val="21"/>
                    </w:rPr>
                    <w:t>/</w:t>
                  </w:r>
                </w:p>
                <w:p w14:paraId="156F8862">
                  <w:pPr>
                    <w:rPr>
                      <w:szCs w:val="21"/>
                    </w:rPr>
                  </w:pPr>
                  <w:r>
                    <w:rPr>
                      <w:rFonts w:hint="eastAsia"/>
                      <w:szCs w:val="21"/>
                    </w:rPr>
                    <w:t>允许开发建设活动的要求</w:t>
                  </w:r>
                </w:p>
                <w:p w14:paraId="72CFC95A">
                  <w:pPr>
                    <w:rPr>
                      <w:szCs w:val="21"/>
                    </w:rPr>
                  </w:pPr>
                  <w:r>
                    <w:rPr>
                      <w:szCs w:val="21"/>
                    </w:rPr>
                    <w:t>/</w:t>
                  </w:r>
                </w:p>
                <w:p w14:paraId="286C72EA">
                  <w:pPr>
                    <w:rPr>
                      <w:szCs w:val="21"/>
                    </w:rPr>
                  </w:pPr>
                  <w:r>
                    <w:rPr>
                      <w:rFonts w:hint="eastAsia"/>
                      <w:szCs w:val="21"/>
                    </w:rPr>
                    <w:t>不符合空间布局要求活动的退出要求</w:t>
                  </w:r>
                </w:p>
                <w:p w14:paraId="24521C33">
                  <w:pPr>
                    <w:rPr>
                      <w:szCs w:val="21"/>
                    </w:rPr>
                  </w:pPr>
                  <w:r>
                    <w:rPr>
                      <w:szCs w:val="21"/>
                    </w:rPr>
                    <w:t>/</w:t>
                  </w:r>
                </w:p>
              </w:tc>
              <w:tc>
                <w:tcPr>
                  <w:tcW w:w="2646" w:type="dxa"/>
                  <w:vAlign w:val="center"/>
                </w:tcPr>
                <w:p w14:paraId="7D10A02C">
                  <w:pPr>
                    <w:rPr>
                      <w:szCs w:val="21"/>
                    </w:rPr>
                  </w:pPr>
                  <w:r>
                    <w:rPr>
                      <w:rFonts w:hint="eastAsia"/>
                      <w:szCs w:val="21"/>
                    </w:rPr>
                    <w:t>/</w:t>
                  </w:r>
                </w:p>
              </w:tc>
              <w:tc>
                <w:tcPr>
                  <w:tcW w:w="992" w:type="dxa"/>
                  <w:vAlign w:val="center"/>
                </w:tcPr>
                <w:p w14:paraId="01DDBB6A">
                  <w:pPr>
                    <w:jc w:val="center"/>
                    <w:rPr>
                      <w:szCs w:val="21"/>
                    </w:rPr>
                  </w:pPr>
                  <w:r>
                    <w:rPr>
                      <w:rFonts w:hint="eastAsia"/>
                      <w:szCs w:val="21"/>
                    </w:rPr>
                    <w:t>/</w:t>
                  </w:r>
                </w:p>
              </w:tc>
            </w:tr>
            <w:tr w14:paraId="3E2F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E94B17F">
                  <w:pPr>
                    <w:pStyle w:val="31"/>
                    <w:rPr>
                      <w:kern w:val="2"/>
                    </w:rPr>
                  </w:pPr>
                </w:p>
              </w:tc>
              <w:tc>
                <w:tcPr>
                  <w:tcW w:w="732" w:type="dxa"/>
                  <w:vMerge w:val="continue"/>
                  <w:vAlign w:val="center"/>
                </w:tcPr>
                <w:p w14:paraId="296A44DB">
                  <w:pPr>
                    <w:jc w:val="center"/>
                    <w:rPr>
                      <w:szCs w:val="21"/>
                    </w:rPr>
                  </w:pPr>
                </w:p>
              </w:tc>
              <w:tc>
                <w:tcPr>
                  <w:tcW w:w="816" w:type="dxa"/>
                  <w:vMerge w:val="restart"/>
                  <w:vAlign w:val="center"/>
                </w:tcPr>
                <w:p w14:paraId="6CE058CD">
                  <w:pPr>
                    <w:jc w:val="center"/>
                    <w:rPr>
                      <w:szCs w:val="21"/>
                    </w:rPr>
                  </w:pPr>
                  <w:r>
                    <w:rPr>
                      <w:rFonts w:hint="eastAsia"/>
                      <w:szCs w:val="21"/>
                    </w:rPr>
                    <w:t>污染物排放管控</w:t>
                  </w:r>
                </w:p>
              </w:tc>
              <w:tc>
                <w:tcPr>
                  <w:tcW w:w="1123" w:type="dxa"/>
                  <w:vAlign w:val="center"/>
                </w:tcPr>
                <w:p w14:paraId="75BBA91B">
                  <w:pPr>
                    <w:jc w:val="center"/>
                    <w:rPr>
                      <w:szCs w:val="21"/>
                    </w:rPr>
                  </w:pPr>
                  <w:r>
                    <w:rPr>
                      <w:rFonts w:hint="eastAsia"/>
                      <w:szCs w:val="21"/>
                    </w:rPr>
                    <w:t>大气环境质量执行标准</w:t>
                  </w:r>
                </w:p>
              </w:tc>
              <w:tc>
                <w:tcPr>
                  <w:tcW w:w="6864" w:type="dxa"/>
                  <w:vAlign w:val="center"/>
                </w:tcPr>
                <w:p w14:paraId="3B535BBB">
                  <w:pPr>
                    <w:rPr>
                      <w:szCs w:val="21"/>
                    </w:rPr>
                  </w:pPr>
                  <w:r>
                    <w:rPr>
                      <w:rFonts w:hint="eastAsia"/>
                      <w:szCs w:val="21"/>
                    </w:rPr>
                    <w:t>《环境空气质量标准》（GB3095-2012）：二级。</w:t>
                  </w:r>
                </w:p>
              </w:tc>
              <w:tc>
                <w:tcPr>
                  <w:tcW w:w="2646" w:type="dxa"/>
                  <w:vAlign w:val="center"/>
                </w:tcPr>
                <w:p w14:paraId="07F2F692">
                  <w:pPr>
                    <w:rPr>
                      <w:szCs w:val="21"/>
                    </w:rPr>
                  </w:pPr>
                  <w:r>
                    <w:rPr>
                      <w:rFonts w:hint="eastAsia"/>
                      <w:szCs w:val="21"/>
                    </w:rPr>
                    <w:t>区域环境空气满足《环境空气质量标准》（GB3095-2012）二级标准。</w:t>
                  </w:r>
                </w:p>
              </w:tc>
              <w:tc>
                <w:tcPr>
                  <w:tcW w:w="992" w:type="dxa"/>
                  <w:vAlign w:val="center"/>
                </w:tcPr>
                <w:p w14:paraId="0EE9E628">
                  <w:pPr>
                    <w:jc w:val="center"/>
                    <w:rPr>
                      <w:szCs w:val="21"/>
                    </w:rPr>
                  </w:pPr>
                  <w:r>
                    <w:rPr>
                      <w:rFonts w:hint="eastAsia"/>
                      <w:szCs w:val="21"/>
                    </w:rPr>
                    <w:t>符合</w:t>
                  </w:r>
                </w:p>
              </w:tc>
            </w:tr>
            <w:tr w14:paraId="0CC9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53AE499">
                  <w:pPr>
                    <w:pStyle w:val="31"/>
                    <w:rPr>
                      <w:kern w:val="2"/>
                    </w:rPr>
                  </w:pPr>
                </w:p>
              </w:tc>
              <w:tc>
                <w:tcPr>
                  <w:tcW w:w="732" w:type="dxa"/>
                  <w:vMerge w:val="continue"/>
                  <w:vAlign w:val="center"/>
                </w:tcPr>
                <w:p w14:paraId="0F609162">
                  <w:pPr>
                    <w:jc w:val="center"/>
                    <w:rPr>
                      <w:szCs w:val="21"/>
                    </w:rPr>
                  </w:pPr>
                </w:p>
              </w:tc>
              <w:tc>
                <w:tcPr>
                  <w:tcW w:w="816" w:type="dxa"/>
                  <w:vMerge w:val="continue"/>
                  <w:vAlign w:val="center"/>
                </w:tcPr>
                <w:p w14:paraId="06B6213D">
                  <w:pPr>
                    <w:jc w:val="center"/>
                    <w:rPr>
                      <w:szCs w:val="21"/>
                    </w:rPr>
                  </w:pPr>
                </w:p>
              </w:tc>
              <w:tc>
                <w:tcPr>
                  <w:tcW w:w="1123" w:type="dxa"/>
                  <w:vAlign w:val="center"/>
                </w:tcPr>
                <w:p w14:paraId="1425E353">
                  <w:pPr>
                    <w:jc w:val="center"/>
                    <w:rPr>
                      <w:szCs w:val="21"/>
                    </w:rPr>
                  </w:pPr>
                  <w:r>
                    <w:rPr>
                      <w:rFonts w:hint="eastAsia"/>
                      <w:szCs w:val="21"/>
                    </w:rPr>
                    <w:t>工业废气污染控制要求</w:t>
                  </w:r>
                </w:p>
              </w:tc>
              <w:tc>
                <w:tcPr>
                  <w:tcW w:w="6864" w:type="dxa"/>
                  <w:vAlign w:val="center"/>
                </w:tcPr>
                <w:p w14:paraId="72B817C4">
                  <w:pPr>
                    <w:rPr>
                      <w:szCs w:val="21"/>
                    </w:rPr>
                  </w:pPr>
                  <w:r>
                    <w:rPr>
                      <w:rFonts w:hint="eastAsia"/>
                      <w:szCs w:val="21"/>
                    </w:rPr>
                    <w:t>（1）全面淘汰10蒸吨/小时及以下燃煤锅炉，原则上不再新建35蒸吨/小时及以下的燃煤锅炉，推进县级及以上城市建成区淘汰35蒸吨/小时及以下燃煤锅炉，以工业余热、电厂热力、清洁能源等替代煤炭。</w:t>
                  </w:r>
                </w:p>
                <w:p w14:paraId="0C8EA98B">
                  <w:pPr>
                    <w:rPr>
                      <w:szCs w:val="21"/>
                    </w:rPr>
                  </w:pPr>
                  <w:r>
                    <w:rPr>
                      <w:rFonts w:hint="eastAsia"/>
                      <w:szCs w:val="21"/>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tc>
              <w:tc>
                <w:tcPr>
                  <w:tcW w:w="2646" w:type="dxa"/>
                  <w:vAlign w:val="center"/>
                </w:tcPr>
                <w:p w14:paraId="580AEA6C">
                  <w:pPr>
                    <w:rPr>
                      <w:szCs w:val="21"/>
                    </w:rPr>
                  </w:pPr>
                  <w:r>
                    <w:rPr>
                      <w:rFonts w:hint="eastAsia"/>
                      <w:szCs w:val="21"/>
                    </w:rPr>
                    <w:t>项目不涉及锅炉，不属于钢铁、建材、有色、焦化、铸造、陶瓷、玻璃、铁合金、有色、砖瓦等行业。</w:t>
                  </w:r>
                </w:p>
              </w:tc>
              <w:tc>
                <w:tcPr>
                  <w:tcW w:w="992" w:type="dxa"/>
                  <w:vAlign w:val="center"/>
                </w:tcPr>
                <w:p w14:paraId="35D02287">
                  <w:pPr>
                    <w:jc w:val="center"/>
                    <w:rPr>
                      <w:szCs w:val="21"/>
                    </w:rPr>
                  </w:pPr>
                  <w:r>
                    <w:rPr>
                      <w:rFonts w:hint="eastAsia"/>
                      <w:szCs w:val="21"/>
                    </w:rPr>
                    <w:t>符合</w:t>
                  </w:r>
                </w:p>
              </w:tc>
            </w:tr>
            <w:tr w14:paraId="7B43E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15EB2D42">
                  <w:pPr>
                    <w:pStyle w:val="31"/>
                    <w:rPr>
                      <w:kern w:val="2"/>
                    </w:rPr>
                  </w:pPr>
                </w:p>
              </w:tc>
              <w:tc>
                <w:tcPr>
                  <w:tcW w:w="732" w:type="dxa"/>
                  <w:vMerge w:val="continue"/>
                  <w:vAlign w:val="center"/>
                </w:tcPr>
                <w:p w14:paraId="7A33F52B">
                  <w:pPr>
                    <w:jc w:val="center"/>
                    <w:rPr>
                      <w:szCs w:val="21"/>
                    </w:rPr>
                  </w:pPr>
                </w:p>
              </w:tc>
              <w:tc>
                <w:tcPr>
                  <w:tcW w:w="816" w:type="dxa"/>
                  <w:vMerge w:val="continue"/>
                  <w:vAlign w:val="center"/>
                </w:tcPr>
                <w:p w14:paraId="36517BAA">
                  <w:pPr>
                    <w:jc w:val="center"/>
                    <w:rPr>
                      <w:szCs w:val="21"/>
                    </w:rPr>
                  </w:pPr>
                </w:p>
              </w:tc>
              <w:tc>
                <w:tcPr>
                  <w:tcW w:w="1123" w:type="dxa"/>
                  <w:vAlign w:val="center"/>
                </w:tcPr>
                <w:p w14:paraId="6F020B23">
                  <w:pPr>
                    <w:jc w:val="center"/>
                    <w:rPr>
                      <w:szCs w:val="21"/>
                    </w:rPr>
                  </w:pPr>
                  <w:r>
                    <w:rPr>
                      <w:rFonts w:hint="eastAsia"/>
                      <w:szCs w:val="21"/>
                    </w:rPr>
                    <w:t>重点行业企业专项治理要求</w:t>
                  </w:r>
                </w:p>
              </w:tc>
              <w:tc>
                <w:tcPr>
                  <w:tcW w:w="6864" w:type="dxa"/>
                  <w:vAlign w:val="center"/>
                </w:tcPr>
                <w:p w14:paraId="3C722A83">
                  <w:pPr>
                    <w:rPr>
                      <w:szCs w:val="21"/>
                    </w:rPr>
                  </w:pPr>
                  <w:r>
                    <w:rPr>
                      <w:rFonts w:hint="eastAsia"/>
                      <w:szCs w:val="21"/>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tc>
              <w:tc>
                <w:tcPr>
                  <w:tcW w:w="2646" w:type="dxa"/>
                  <w:vAlign w:val="center"/>
                </w:tcPr>
                <w:p w14:paraId="02D5B38B">
                  <w:pPr>
                    <w:rPr>
                      <w:szCs w:val="21"/>
                    </w:rPr>
                  </w:pPr>
                  <w:r>
                    <w:rPr>
                      <w:rFonts w:hint="eastAsia"/>
                      <w:szCs w:val="21"/>
                    </w:rPr>
                    <w:t>项目VOCs废气采用二级活性炭吸附治理技术，能够实现稳定达标排放。</w:t>
                  </w:r>
                </w:p>
              </w:tc>
              <w:tc>
                <w:tcPr>
                  <w:tcW w:w="992" w:type="dxa"/>
                  <w:vAlign w:val="center"/>
                </w:tcPr>
                <w:p w14:paraId="5B5587B4">
                  <w:pPr>
                    <w:jc w:val="center"/>
                    <w:rPr>
                      <w:szCs w:val="21"/>
                    </w:rPr>
                  </w:pPr>
                  <w:r>
                    <w:rPr>
                      <w:rFonts w:hint="eastAsia"/>
                      <w:szCs w:val="21"/>
                    </w:rPr>
                    <w:t>符合</w:t>
                  </w:r>
                </w:p>
              </w:tc>
            </w:tr>
            <w:tr w14:paraId="4739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776B3B25">
                  <w:pPr>
                    <w:pStyle w:val="31"/>
                    <w:rPr>
                      <w:kern w:val="2"/>
                    </w:rPr>
                  </w:pPr>
                </w:p>
              </w:tc>
              <w:tc>
                <w:tcPr>
                  <w:tcW w:w="732" w:type="dxa"/>
                  <w:vMerge w:val="continue"/>
                  <w:vAlign w:val="center"/>
                </w:tcPr>
                <w:p w14:paraId="67C8ED14">
                  <w:pPr>
                    <w:jc w:val="center"/>
                    <w:rPr>
                      <w:szCs w:val="21"/>
                    </w:rPr>
                  </w:pPr>
                </w:p>
              </w:tc>
              <w:tc>
                <w:tcPr>
                  <w:tcW w:w="816" w:type="dxa"/>
                  <w:vAlign w:val="center"/>
                </w:tcPr>
                <w:p w14:paraId="223C152C">
                  <w:pPr>
                    <w:jc w:val="center"/>
                    <w:rPr>
                      <w:szCs w:val="21"/>
                    </w:rPr>
                  </w:pPr>
                  <w:r>
                    <w:rPr>
                      <w:rFonts w:hint="eastAsia"/>
                      <w:szCs w:val="21"/>
                    </w:rPr>
                    <w:t>环境风险防控</w:t>
                  </w:r>
                </w:p>
              </w:tc>
              <w:tc>
                <w:tcPr>
                  <w:tcW w:w="7987" w:type="dxa"/>
                  <w:gridSpan w:val="2"/>
                  <w:vAlign w:val="center"/>
                </w:tcPr>
                <w:p w14:paraId="3A8227E7">
                  <w:pPr>
                    <w:rPr>
                      <w:szCs w:val="21"/>
                    </w:rPr>
                  </w:pPr>
                  <w:r>
                    <w:rPr>
                      <w:rFonts w:hint="eastAsia"/>
                      <w:szCs w:val="21"/>
                    </w:rPr>
                    <w:t>/</w:t>
                  </w:r>
                </w:p>
              </w:tc>
              <w:tc>
                <w:tcPr>
                  <w:tcW w:w="2646" w:type="dxa"/>
                  <w:vAlign w:val="center"/>
                </w:tcPr>
                <w:p w14:paraId="2E41AD19">
                  <w:pPr>
                    <w:rPr>
                      <w:szCs w:val="21"/>
                    </w:rPr>
                  </w:pPr>
                  <w:r>
                    <w:rPr>
                      <w:rFonts w:hint="eastAsia"/>
                      <w:szCs w:val="21"/>
                    </w:rPr>
                    <w:t>/</w:t>
                  </w:r>
                </w:p>
              </w:tc>
              <w:tc>
                <w:tcPr>
                  <w:tcW w:w="992" w:type="dxa"/>
                  <w:vAlign w:val="center"/>
                </w:tcPr>
                <w:p w14:paraId="289A6C4E">
                  <w:pPr>
                    <w:jc w:val="center"/>
                    <w:rPr>
                      <w:szCs w:val="21"/>
                    </w:rPr>
                  </w:pPr>
                  <w:r>
                    <w:rPr>
                      <w:rFonts w:hint="eastAsia"/>
                      <w:szCs w:val="21"/>
                    </w:rPr>
                    <w:t>/</w:t>
                  </w:r>
                </w:p>
              </w:tc>
            </w:tr>
            <w:tr w14:paraId="29F4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dxa"/>
                  <w:vMerge w:val="continue"/>
                  <w:vAlign w:val="center"/>
                </w:tcPr>
                <w:p w14:paraId="6F54A51A">
                  <w:pPr>
                    <w:pStyle w:val="31"/>
                    <w:rPr>
                      <w:kern w:val="2"/>
                    </w:rPr>
                  </w:pPr>
                </w:p>
              </w:tc>
              <w:tc>
                <w:tcPr>
                  <w:tcW w:w="732" w:type="dxa"/>
                  <w:vMerge w:val="continue"/>
                  <w:vAlign w:val="center"/>
                </w:tcPr>
                <w:p w14:paraId="1D4ED0A8">
                  <w:pPr>
                    <w:jc w:val="center"/>
                    <w:rPr>
                      <w:szCs w:val="21"/>
                    </w:rPr>
                  </w:pPr>
                </w:p>
              </w:tc>
              <w:tc>
                <w:tcPr>
                  <w:tcW w:w="816" w:type="dxa"/>
                  <w:vAlign w:val="center"/>
                </w:tcPr>
                <w:p w14:paraId="73A77A65">
                  <w:pPr>
                    <w:jc w:val="center"/>
                    <w:rPr>
                      <w:szCs w:val="21"/>
                    </w:rPr>
                  </w:pPr>
                  <w:r>
                    <w:rPr>
                      <w:rFonts w:hint="eastAsia"/>
                      <w:szCs w:val="21"/>
                    </w:rPr>
                    <w:t>资源开发效率要求</w:t>
                  </w:r>
                </w:p>
              </w:tc>
              <w:tc>
                <w:tcPr>
                  <w:tcW w:w="7987" w:type="dxa"/>
                  <w:gridSpan w:val="2"/>
                  <w:vAlign w:val="center"/>
                </w:tcPr>
                <w:p w14:paraId="19A876AA">
                  <w:pPr>
                    <w:rPr>
                      <w:szCs w:val="21"/>
                    </w:rPr>
                  </w:pPr>
                  <w:r>
                    <w:rPr>
                      <w:rFonts w:hint="eastAsia"/>
                      <w:szCs w:val="21"/>
                    </w:rPr>
                    <w:t>/</w:t>
                  </w:r>
                </w:p>
              </w:tc>
              <w:tc>
                <w:tcPr>
                  <w:tcW w:w="2646" w:type="dxa"/>
                  <w:vAlign w:val="center"/>
                </w:tcPr>
                <w:p w14:paraId="6EDD18B8">
                  <w:pPr>
                    <w:rPr>
                      <w:szCs w:val="21"/>
                    </w:rPr>
                  </w:pPr>
                  <w:r>
                    <w:rPr>
                      <w:rFonts w:hint="eastAsia"/>
                      <w:szCs w:val="21"/>
                    </w:rPr>
                    <w:t>/</w:t>
                  </w:r>
                </w:p>
              </w:tc>
              <w:tc>
                <w:tcPr>
                  <w:tcW w:w="992" w:type="dxa"/>
                  <w:vAlign w:val="center"/>
                </w:tcPr>
                <w:p w14:paraId="330A3731">
                  <w:pPr>
                    <w:jc w:val="center"/>
                    <w:rPr>
                      <w:szCs w:val="21"/>
                    </w:rPr>
                  </w:pPr>
                  <w:r>
                    <w:rPr>
                      <w:rFonts w:hint="eastAsia"/>
                      <w:szCs w:val="21"/>
                    </w:rPr>
                    <w:t>/</w:t>
                  </w:r>
                </w:p>
              </w:tc>
            </w:tr>
          </w:tbl>
          <w:p w14:paraId="1DA47F6F">
            <w:pPr>
              <w:tabs>
                <w:tab w:val="left" w:pos="2040"/>
              </w:tabs>
              <w:spacing w:line="360" w:lineRule="auto"/>
              <w:ind w:firstLine="480" w:firstLineChars="200"/>
              <w:rPr>
                <w:rFonts w:cs="Times New Roman"/>
                <w:bCs/>
                <w:sz w:val="24"/>
                <w:szCs w:val="24"/>
              </w:rPr>
            </w:pPr>
            <w:r>
              <w:rPr>
                <w:rFonts w:hint="eastAsia" w:cs="Times New Roman"/>
                <w:bCs/>
                <w:sz w:val="24"/>
                <w:szCs w:val="24"/>
              </w:rPr>
              <w:t>根据分析，本项目符合遂宁市生态环境分区管控要求。</w:t>
            </w:r>
          </w:p>
          <w:p w14:paraId="4AB98C48">
            <w:pPr>
              <w:tabs>
                <w:tab w:val="left" w:pos="2040"/>
              </w:tabs>
              <w:spacing w:line="360" w:lineRule="auto"/>
              <w:ind w:firstLine="480" w:firstLineChars="200"/>
              <w:rPr>
                <w:rFonts w:cs="Times New Roman"/>
                <w:bCs/>
                <w:sz w:val="24"/>
                <w:szCs w:val="24"/>
              </w:rPr>
            </w:pPr>
          </w:p>
          <w:p w14:paraId="4B478085">
            <w:pPr>
              <w:tabs>
                <w:tab w:val="left" w:pos="2040"/>
              </w:tabs>
              <w:spacing w:line="360" w:lineRule="auto"/>
              <w:ind w:firstLine="480" w:firstLineChars="200"/>
              <w:rPr>
                <w:rFonts w:cs="Times New Roman"/>
                <w:bCs/>
                <w:sz w:val="24"/>
                <w:szCs w:val="24"/>
              </w:rPr>
            </w:pPr>
          </w:p>
          <w:p w14:paraId="1A89AAFE">
            <w:pPr>
              <w:tabs>
                <w:tab w:val="left" w:pos="2040"/>
              </w:tabs>
              <w:spacing w:line="360" w:lineRule="auto"/>
              <w:ind w:firstLine="480" w:firstLineChars="200"/>
              <w:rPr>
                <w:rFonts w:cs="Times New Roman"/>
                <w:bCs/>
                <w:sz w:val="24"/>
                <w:szCs w:val="24"/>
              </w:rPr>
            </w:pPr>
          </w:p>
          <w:p w14:paraId="72FEC93E">
            <w:pPr>
              <w:tabs>
                <w:tab w:val="left" w:pos="2040"/>
              </w:tabs>
              <w:spacing w:line="360" w:lineRule="auto"/>
              <w:ind w:firstLine="480" w:firstLineChars="200"/>
              <w:rPr>
                <w:rFonts w:cs="Times New Roman"/>
                <w:bCs/>
                <w:sz w:val="24"/>
                <w:szCs w:val="24"/>
              </w:rPr>
            </w:pPr>
          </w:p>
          <w:p w14:paraId="65561274">
            <w:pPr>
              <w:tabs>
                <w:tab w:val="left" w:pos="2040"/>
              </w:tabs>
              <w:spacing w:line="360" w:lineRule="auto"/>
              <w:ind w:firstLine="480" w:firstLineChars="200"/>
              <w:rPr>
                <w:rFonts w:cs="Times New Roman"/>
                <w:bCs/>
                <w:sz w:val="24"/>
                <w:szCs w:val="24"/>
              </w:rPr>
            </w:pPr>
          </w:p>
          <w:p w14:paraId="7D5AAE01">
            <w:pPr>
              <w:tabs>
                <w:tab w:val="left" w:pos="2040"/>
              </w:tabs>
              <w:spacing w:line="360" w:lineRule="auto"/>
              <w:ind w:firstLine="480" w:firstLineChars="200"/>
              <w:rPr>
                <w:rFonts w:cs="Times New Roman"/>
                <w:bCs/>
                <w:sz w:val="24"/>
                <w:szCs w:val="24"/>
              </w:rPr>
            </w:pPr>
          </w:p>
          <w:p w14:paraId="14276D90">
            <w:pPr>
              <w:tabs>
                <w:tab w:val="left" w:pos="2040"/>
              </w:tabs>
              <w:spacing w:line="360" w:lineRule="auto"/>
              <w:ind w:firstLine="480" w:firstLineChars="200"/>
              <w:rPr>
                <w:rFonts w:cs="Times New Roman"/>
                <w:bCs/>
                <w:sz w:val="24"/>
                <w:szCs w:val="24"/>
              </w:rPr>
            </w:pPr>
          </w:p>
          <w:p w14:paraId="4F6E0D5B">
            <w:pPr>
              <w:tabs>
                <w:tab w:val="left" w:pos="2040"/>
              </w:tabs>
              <w:spacing w:line="360" w:lineRule="auto"/>
              <w:ind w:firstLine="480" w:firstLineChars="200"/>
              <w:rPr>
                <w:rFonts w:cs="Times New Roman"/>
                <w:bCs/>
                <w:sz w:val="24"/>
                <w:szCs w:val="24"/>
              </w:rPr>
            </w:pPr>
          </w:p>
          <w:p w14:paraId="1CC84315">
            <w:pPr>
              <w:tabs>
                <w:tab w:val="left" w:pos="2040"/>
              </w:tabs>
              <w:spacing w:line="360" w:lineRule="auto"/>
              <w:ind w:firstLine="480" w:firstLineChars="200"/>
              <w:rPr>
                <w:rFonts w:cs="Times New Roman"/>
                <w:bCs/>
                <w:sz w:val="24"/>
                <w:szCs w:val="24"/>
              </w:rPr>
            </w:pPr>
          </w:p>
          <w:p w14:paraId="39DBEC0F">
            <w:pPr>
              <w:tabs>
                <w:tab w:val="left" w:pos="2040"/>
              </w:tabs>
              <w:spacing w:line="360" w:lineRule="auto"/>
              <w:ind w:firstLine="480" w:firstLineChars="200"/>
              <w:rPr>
                <w:rFonts w:cs="Times New Roman"/>
                <w:bCs/>
                <w:sz w:val="24"/>
                <w:szCs w:val="24"/>
              </w:rPr>
            </w:pPr>
          </w:p>
          <w:p w14:paraId="7B3DF8A7">
            <w:pPr>
              <w:tabs>
                <w:tab w:val="left" w:pos="2040"/>
              </w:tabs>
              <w:spacing w:line="360" w:lineRule="auto"/>
              <w:ind w:firstLine="480" w:firstLineChars="200"/>
              <w:rPr>
                <w:rFonts w:cs="Times New Roman"/>
                <w:bCs/>
                <w:sz w:val="24"/>
                <w:szCs w:val="24"/>
              </w:rPr>
            </w:pPr>
          </w:p>
        </w:tc>
      </w:tr>
    </w:tbl>
    <w:p w14:paraId="6F1B4DE1">
      <w:pPr>
        <w:tabs>
          <w:tab w:val="left" w:pos="450"/>
          <w:tab w:val="left" w:pos="2040"/>
        </w:tabs>
        <w:rPr>
          <w:sz w:val="28"/>
          <w:szCs w:val="28"/>
        </w:rPr>
        <w:sectPr>
          <w:pgSz w:w="16838" w:h="11906" w:orient="landscape"/>
          <w:pgMar w:top="1134" w:right="1134" w:bottom="1134" w:left="1134" w:header="851" w:footer="992" w:gutter="0"/>
          <w:cols w:space="720" w:num="1"/>
          <w:docGrid w:type="lines" w:linePitch="312" w:charSpace="0"/>
        </w:sectPr>
      </w:pPr>
      <w:r>
        <w:rPr>
          <w:sz w:val="28"/>
          <w:szCs w:val="28"/>
        </w:rPr>
        <w:tab/>
      </w:r>
    </w:p>
    <w:p w14:paraId="7CE8FDB5">
      <w:pPr>
        <w:pStyle w:val="40"/>
        <w:jc w:val="center"/>
        <w:rPr>
          <w:rFonts w:hint="eastAsia" w:ascii="黑体" w:hAnsi="黑体" w:eastAsia="黑体"/>
          <w:b w:val="0"/>
          <w:sz w:val="30"/>
          <w:szCs w:val="30"/>
        </w:rPr>
      </w:pPr>
      <w:bookmarkStart w:id="3" w:name="_Toc97040274"/>
      <w:r>
        <w:rPr>
          <w:rFonts w:hint="eastAsia" w:ascii="黑体" w:hAnsi="黑体" w:eastAsia="黑体"/>
          <w:b w:val="0"/>
          <w:sz w:val="30"/>
          <w:szCs w:val="30"/>
        </w:rPr>
        <w:t>二、建设项目工程分析</w:t>
      </w:r>
      <w:bookmarkEnd w:id="3"/>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14:paraId="7F13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1159F63A">
            <w:pPr>
              <w:spacing w:line="360" w:lineRule="auto"/>
              <w:jc w:val="center"/>
              <w:rPr>
                <w:rFonts w:cs="Times New Roman"/>
                <w:sz w:val="24"/>
                <w:szCs w:val="24"/>
              </w:rPr>
            </w:pPr>
            <w:r>
              <w:rPr>
                <w:rFonts w:cs="Times New Roman"/>
                <w:sz w:val="24"/>
                <w:szCs w:val="24"/>
              </w:rPr>
              <w:t>建设内容</w:t>
            </w:r>
          </w:p>
        </w:tc>
        <w:tc>
          <w:tcPr>
            <w:tcW w:w="4756" w:type="pct"/>
            <w:vAlign w:val="center"/>
          </w:tcPr>
          <w:p w14:paraId="4347D115">
            <w:pPr>
              <w:spacing w:line="360" w:lineRule="auto"/>
              <w:ind w:firstLine="482" w:firstLineChars="200"/>
              <w:rPr>
                <w:rFonts w:cs="Times New Roman"/>
                <w:b/>
                <w:sz w:val="24"/>
                <w:szCs w:val="24"/>
              </w:rPr>
            </w:pPr>
            <w:r>
              <w:rPr>
                <w:rFonts w:cs="Times New Roman"/>
                <w:b/>
                <w:sz w:val="24"/>
                <w:szCs w:val="24"/>
              </w:rPr>
              <w:t>1、项目</w:t>
            </w:r>
            <w:r>
              <w:rPr>
                <w:rFonts w:hint="eastAsia" w:cs="Times New Roman"/>
                <w:b/>
                <w:sz w:val="24"/>
                <w:szCs w:val="24"/>
              </w:rPr>
              <w:t>由来</w:t>
            </w:r>
          </w:p>
          <w:p w14:paraId="6C7C1968">
            <w:pPr>
              <w:spacing w:line="360" w:lineRule="auto"/>
              <w:ind w:firstLine="480" w:firstLineChars="200"/>
              <w:rPr>
                <w:sz w:val="24"/>
                <w:szCs w:val="24"/>
              </w:rPr>
            </w:pPr>
            <w:r>
              <w:rPr>
                <w:rFonts w:hint="eastAsia"/>
                <w:sz w:val="24"/>
                <w:szCs w:val="24"/>
              </w:rPr>
              <w:t>四川圣拉斯包装制品有限公司是一家专业生产酒类包装的玻璃制品、塑料制品的综合性企业，</w:t>
            </w:r>
            <w:bookmarkStart w:id="4" w:name="_Hlk127532077"/>
            <w:r>
              <w:rPr>
                <w:rFonts w:hint="eastAsia"/>
                <w:sz w:val="24"/>
                <w:szCs w:val="24"/>
              </w:rPr>
              <w:t>于2022年通过拍卖取得大英县蓬莱镇采和大道261号附1号的土地及生产厂房，并</w:t>
            </w:r>
            <w:r>
              <w:rPr>
                <w:rFonts w:hint="eastAsia"/>
                <w:sz w:val="24"/>
              </w:rPr>
              <w:t>将</w:t>
            </w:r>
            <w:r>
              <w:rPr>
                <w:rFonts w:hint="eastAsia"/>
                <w:sz w:val="24"/>
                <w:szCs w:val="24"/>
              </w:rPr>
              <w:t>位于</w:t>
            </w:r>
            <w:r>
              <w:rPr>
                <w:rFonts w:hint="eastAsia"/>
                <w:sz w:val="24"/>
              </w:rPr>
              <w:t>四川大英经济开发区马家坝的老厂区生产设施迁建至新厂区内，先后实施了“年产2000万套酒类及家电制品表</w:t>
            </w:r>
            <w:r>
              <w:rPr>
                <w:rFonts w:hint="eastAsia"/>
                <w:sz w:val="24"/>
                <w:lang w:val="en-US" w:eastAsia="zh-CN"/>
              </w:rPr>
              <w:t>面</w:t>
            </w:r>
            <w:r>
              <w:rPr>
                <w:rFonts w:hint="eastAsia"/>
                <w:sz w:val="24"/>
              </w:rPr>
              <w:t>处理自动化生产线”和“大英县年产800万只酒瓶及瓶盖表面处理建设项目”建设项目。截</w:t>
            </w:r>
            <w:r>
              <w:rPr>
                <w:rFonts w:hint="eastAsia"/>
                <w:sz w:val="24"/>
                <w:lang w:val="en-US" w:eastAsia="zh-CN"/>
              </w:rPr>
              <w:t>至</w:t>
            </w:r>
            <w:r>
              <w:rPr>
                <w:rFonts w:hint="eastAsia"/>
                <w:sz w:val="24"/>
              </w:rPr>
              <w:t>2024年6月，老厂区已停产，原有生产线已全部搬迁完成，新厂区已全部建成投运，现已形成年加工喷涂玻璃酒瓶1200万个、喷砂玻璃酒瓶100万个、镭雕玻璃酒瓶100万个、塑料家电制品喷涂件600万件，年表面处理800万只酒瓶及瓶盖的生产规模。</w:t>
            </w:r>
          </w:p>
          <w:p w14:paraId="6F496633">
            <w:pPr>
              <w:spacing w:line="360" w:lineRule="auto"/>
              <w:ind w:firstLine="480" w:firstLineChars="200"/>
              <w:rPr>
                <w:sz w:val="24"/>
                <w:szCs w:val="24"/>
              </w:rPr>
            </w:pPr>
            <w:r>
              <w:rPr>
                <w:rFonts w:hint="eastAsia"/>
                <w:sz w:val="24"/>
              </w:rPr>
              <w:t>为适应企业发展需要，</w:t>
            </w:r>
            <w:r>
              <w:rPr>
                <w:rFonts w:hint="eastAsia"/>
                <w:sz w:val="24"/>
                <w:szCs w:val="24"/>
              </w:rPr>
              <w:t>四川圣拉斯包装制品有限公司购置了新厂区南侧紧邻空地实施扩建，计划投资2000万元建设年产4000万只酒类及家电类环保塑料制品数字化生产线建设项目。本次扩建新增用地面积5252.52m</w:t>
            </w:r>
            <w:r>
              <w:rPr>
                <w:rFonts w:hint="eastAsia"/>
                <w:sz w:val="24"/>
                <w:szCs w:val="24"/>
                <w:vertAlign w:val="superscript"/>
              </w:rPr>
              <w:t>2</w:t>
            </w:r>
            <w:r>
              <w:rPr>
                <w:rFonts w:hint="eastAsia"/>
                <w:sz w:val="24"/>
                <w:szCs w:val="24"/>
              </w:rPr>
              <w:t>，新增建筑面积约10559.32m</w:t>
            </w:r>
            <w:r>
              <w:rPr>
                <w:rFonts w:hint="eastAsia"/>
                <w:sz w:val="24"/>
                <w:szCs w:val="24"/>
                <w:vertAlign w:val="superscript"/>
              </w:rPr>
              <w:t>2</w:t>
            </w:r>
            <w:r>
              <w:rPr>
                <w:rFonts w:hint="eastAsia"/>
                <w:sz w:val="24"/>
                <w:szCs w:val="24"/>
              </w:rPr>
              <w:t>，新建1栋生产车间（2F）、1栋成品库房（2F）及配套公辅、环保设施，新增4条酒类及家电类环保塑料制品全自动生产线，形成年产3000万只酒瓶外包装盒、1000万只日用家电配件的生产能力。</w:t>
            </w:r>
          </w:p>
          <w:bookmarkEnd w:id="4"/>
          <w:p w14:paraId="1FCA2FAC">
            <w:pPr>
              <w:spacing w:line="360" w:lineRule="auto"/>
              <w:ind w:firstLine="480" w:firstLineChars="200"/>
              <w:rPr>
                <w:i/>
                <w:sz w:val="24"/>
                <w:szCs w:val="24"/>
              </w:rPr>
            </w:pPr>
            <w:r>
              <w:rPr>
                <w:rFonts w:hint="eastAsia"/>
                <w:sz w:val="24"/>
                <w:szCs w:val="24"/>
              </w:rPr>
              <w:t>按照《中华人民共和国环境保护法》、《中华人民共和国环境影响评价法》以及国务院令第682号《建设项目环境保护管理条例》的要求，本项目需进行环境影响评价。依据《建设项目环境影响评价分类管理名录（2021年版）》中“</w:t>
            </w:r>
            <w:r>
              <w:rPr>
                <w:rFonts w:hint="eastAsia"/>
                <w:i/>
                <w:sz w:val="24"/>
                <w:szCs w:val="24"/>
              </w:rPr>
              <w:t>三十六、橡胶和塑料制品业/53、塑料制品业292</w:t>
            </w:r>
            <w:r>
              <w:rPr>
                <w:i/>
                <w:sz w:val="24"/>
                <w:szCs w:val="24"/>
              </w:rPr>
              <w:t>/其他</w:t>
            </w:r>
            <w:r>
              <w:rPr>
                <w:rFonts w:hint="eastAsia"/>
                <w:sz w:val="24"/>
                <w:szCs w:val="24"/>
              </w:rPr>
              <w:t>”的划分，项目环境影响评价形式为报告表。为此，四川圣拉斯包装制品有限公司特委托我公司进行环境影响评价工作。我公司接受委托后，即派相关技术人员到项目现场进行实地踏勘和资料收集，并按照有关技术规范和四川省生态环境厅的有关规定，编制该项目环境影响报告表，供生态环境主管部门审查。</w:t>
            </w:r>
          </w:p>
          <w:p w14:paraId="2A93AC95">
            <w:pPr>
              <w:spacing w:line="360" w:lineRule="auto"/>
              <w:ind w:firstLine="482" w:firstLineChars="200"/>
              <w:rPr>
                <w:rFonts w:cs="Times New Roman"/>
                <w:b/>
                <w:sz w:val="24"/>
                <w:szCs w:val="24"/>
              </w:rPr>
            </w:pPr>
            <w:r>
              <w:rPr>
                <w:rFonts w:cs="Times New Roman"/>
                <w:b/>
                <w:sz w:val="24"/>
                <w:szCs w:val="24"/>
              </w:rPr>
              <w:t>2、项目概况</w:t>
            </w:r>
          </w:p>
          <w:p w14:paraId="7E509476">
            <w:pPr>
              <w:spacing w:line="360" w:lineRule="auto"/>
              <w:ind w:firstLine="480" w:firstLineChars="200"/>
              <w:rPr>
                <w:sz w:val="24"/>
                <w:szCs w:val="24"/>
              </w:rPr>
            </w:pPr>
            <w:r>
              <w:rPr>
                <w:rFonts w:hint="eastAsia"/>
                <w:sz w:val="24"/>
                <w:szCs w:val="24"/>
              </w:rPr>
              <w:t>项目名称：年产4000万只酒类及家电类环保塑料制品数字化生产线建设项目</w:t>
            </w:r>
          </w:p>
          <w:p w14:paraId="745C65E1">
            <w:pPr>
              <w:spacing w:line="360" w:lineRule="auto"/>
              <w:ind w:firstLine="480" w:firstLineChars="200"/>
              <w:rPr>
                <w:sz w:val="24"/>
                <w:szCs w:val="24"/>
              </w:rPr>
            </w:pPr>
            <w:r>
              <w:rPr>
                <w:rFonts w:hint="eastAsia"/>
                <w:sz w:val="24"/>
                <w:szCs w:val="24"/>
              </w:rPr>
              <w:t>建设单位：四川圣拉斯包装制品有限公司</w:t>
            </w:r>
          </w:p>
          <w:p w14:paraId="17BD620D">
            <w:pPr>
              <w:spacing w:line="360" w:lineRule="auto"/>
              <w:ind w:firstLine="480" w:firstLineChars="200"/>
              <w:rPr>
                <w:sz w:val="24"/>
                <w:szCs w:val="24"/>
              </w:rPr>
            </w:pPr>
            <w:r>
              <w:rPr>
                <w:rFonts w:hint="eastAsia"/>
                <w:sz w:val="24"/>
                <w:szCs w:val="24"/>
              </w:rPr>
              <w:t>建设地点：四川省遂宁市大英县蓬莱镇采和大道261号附1号</w:t>
            </w:r>
          </w:p>
          <w:p w14:paraId="57674332">
            <w:pPr>
              <w:spacing w:line="360" w:lineRule="auto"/>
              <w:ind w:firstLine="480" w:firstLineChars="200"/>
              <w:rPr>
                <w:sz w:val="24"/>
                <w:szCs w:val="24"/>
              </w:rPr>
            </w:pPr>
            <w:r>
              <w:rPr>
                <w:rFonts w:hint="eastAsia"/>
                <w:sz w:val="24"/>
                <w:szCs w:val="24"/>
              </w:rPr>
              <w:t>建设性质：扩建</w:t>
            </w:r>
          </w:p>
          <w:p w14:paraId="2F89B107">
            <w:pPr>
              <w:spacing w:line="360" w:lineRule="auto"/>
              <w:ind w:firstLine="480" w:firstLineChars="200"/>
              <w:rPr>
                <w:sz w:val="24"/>
                <w:szCs w:val="24"/>
              </w:rPr>
            </w:pPr>
            <w:r>
              <w:rPr>
                <w:rFonts w:hint="eastAsia"/>
                <w:sz w:val="24"/>
                <w:szCs w:val="24"/>
              </w:rPr>
              <w:t>项目投资：总投资</w:t>
            </w:r>
            <w:r>
              <w:rPr>
                <w:rFonts w:cs="Times New Roman"/>
                <w:sz w:val="24"/>
                <w:szCs w:val="24"/>
              </w:rPr>
              <w:t>2000万元</w:t>
            </w:r>
          </w:p>
          <w:p w14:paraId="38A75B5A">
            <w:pPr>
              <w:spacing w:line="360" w:lineRule="auto"/>
              <w:ind w:firstLine="480" w:firstLineChars="200"/>
              <w:rPr>
                <w:sz w:val="24"/>
                <w:szCs w:val="24"/>
              </w:rPr>
            </w:pPr>
            <w:r>
              <w:rPr>
                <w:rFonts w:hint="eastAsia"/>
                <w:sz w:val="24"/>
                <w:szCs w:val="24"/>
              </w:rPr>
              <w:t>建设内容：总占地面积约27696.78m</w:t>
            </w:r>
            <w:r>
              <w:rPr>
                <w:rFonts w:hint="eastAsia"/>
                <w:sz w:val="24"/>
                <w:szCs w:val="24"/>
                <w:vertAlign w:val="superscript"/>
              </w:rPr>
              <w:t>2</w:t>
            </w:r>
            <w:r>
              <w:rPr>
                <w:rFonts w:hint="eastAsia"/>
                <w:sz w:val="24"/>
                <w:szCs w:val="24"/>
              </w:rPr>
              <w:t>，其中本次扩建新增用地面积5252.52m</w:t>
            </w:r>
            <w:r>
              <w:rPr>
                <w:rFonts w:hint="eastAsia"/>
                <w:sz w:val="24"/>
                <w:szCs w:val="24"/>
                <w:vertAlign w:val="superscript"/>
              </w:rPr>
              <w:t>2</w:t>
            </w:r>
            <w:r>
              <w:rPr>
                <w:rFonts w:hint="eastAsia"/>
                <w:sz w:val="24"/>
                <w:szCs w:val="24"/>
              </w:rPr>
              <w:t>，新增建筑面积约10559.32m</w:t>
            </w:r>
            <w:r>
              <w:rPr>
                <w:rFonts w:hint="eastAsia"/>
                <w:sz w:val="24"/>
                <w:szCs w:val="24"/>
                <w:vertAlign w:val="superscript"/>
              </w:rPr>
              <w:t>2</w:t>
            </w:r>
            <w:r>
              <w:rPr>
                <w:rFonts w:hint="eastAsia"/>
                <w:sz w:val="24"/>
                <w:szCs w:val="24"/>
              </w:rPr>
              <w:t>，新建1栋生产车间（2F）、1栋成品库房（2F）及配套公辅、环保设施，新增4条酒类及家电类环保塑料制品全自动生产线，形成年产3000万只酒瓶外包装盒、1000万只日用家电配件的生产能力。</w:t>
            </w:r>
          </w:p>
          <w:p w14:paraId="7775E417">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产品</w:t>
            </w:r>
            <w:r>
              <w:rPr>
                <w:rFonts w:cs="Times New Roman"/>
                <w:b/>
                <w:sz w:val="24"/>
                <w:szCs w:val="24"/>
              </w:rPr>
              <w:t>方案</w:t>
            </w:r>
          </w:p>
          <w:p w14:paraId="1B8AB852">
            <w:pPr>
              <w:spacing w:line="360" w:lineRule="auto"/>
              <w:ind w:firstLine="480" w:firstLineChars="200"/>
              <w:rPr>
                <w:sz w:val="24"/>
                <w:szCs w:val="24"/>
              </w:rPr>
            </w:pPr>
            <w:r>
              <w:rPr>
                <w:rFonts w:hint="eastAsia" w:cstheme="minorHAnsi"/>
                <w:sz w:val="24"/>
                <w:szCs w:val="24"/>
              </w:rPr>
              <w:t>现有工程主要从事酒类及家电制品表面处理，其中酒瓶表面处理1400万个/年、家电喷涂件600万件/年、玻璃瓶400万只/年、塑料瓶盖400万只/年。本次扩建在维持现有生产线不变的基础上，新增</w:t>
            </w:r>
            <w:r>
              <w:rPr>
                <w:rFonts w:hint="eastAsia"/>
                <w:sz w:val="24"/>
                <w:szCs w:val="24"/>
              </w:rPr>
              <w:t>酒类及家电类环保塑料制品生产，其中酒瓶外包装盒3000万只/年、日用家电配件1000万只/年。</w:t>
            </w:r>
            <w:r>
              <w:rPr>
                <w:rFonts w:hint="eastAsia" w:cstheme="minorHAnsi"/>
                <w:sz w:val="24"/>
                <w:szCs w:val="24"/>
              </w:rPr>
              <w:t>项目产品</w:t>
            </w:r>
            <w:r>
              <w:rPr>
                <w:rFonts w:cstheme="minorHAnsi"/>
                <w:sz w:val="24"/>
                <w:szCs w:val="24"/>
              </w:rPr>
              <w:t>方案见下表</w:t>
            </w:r>
            <w:r>
              <w:rPr>
                <w:rFonts w:hint="eastAsia" w:cstheme="minorHAnsi"/>
                <w:sz w:val="24"/>
                <w:szCs w:val="24"/>
              </w:rPr>
              <w:t>。</w:t>
            </w:r>
          </w:p>
          <w:p w14:paraId="10A628C3">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本项目产品方案表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1645"/>
              <w:gridCol w:w="1795"/>
              <w:gridCol w:w="1198"/>
              <w:gridCol w:w="1198"/>
              <w:gridCol w:w="2568"/>
            </w:tblGrid>
            <w:tr w14:paraId="1428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06" w:type="pct"/>
                  <w:vAlign w:val="center"/>
                </w:tcPr>
                <w:p w14:paraId="4048BA98">
                  <w:pPr>
                    <w:pStyle w:val="3"/>
                    <w:spacing w:line="240" w:lineRule="auto"/>
                    <w:ind w:firstLine="0" w:firstLineChars="0"/>
                    <w:jc w:val="center"/>
                    <w:rPr>
                      <w:sz w:val="21"/>
                      <w:szCs w:val="21"/>
                    </w:rPr>
                  </w:pPr>
                  <w:r>
                    <w:rPr>
                      <w:sz w:val="21"/>
                      <w:szCs w:val="21"/>
                    </w:rPr>
                    <w:t>序号</w:t>
                  </w:r>
                </w:p>
              </w:tc>
              <w:tc>
                <w:tcPr>
                  <w:tcW w:w="899" w:type="pct"/>
                  <w:vAlign w:val="center"/>
                </w:tcPr>
                <w:p w14:paraId="5B05C06A">
                  <w:pPr>
                    <w:pStyle w:val="3"/>
                    <w:spacing w:line="240" w:lineRule="auto"/>
                    <w:ind w:firstLine="0" w:firstLineChars="0"/>
                    <w:jc w:val="center"/>
                    <w:rPr>
                      <w:sz w:val="21"/>
                      <w:szCs w:val="21"/>
                    </w:rPr>
                  </w:pPr>
                  <w:r>
                    <w:rPr>
                      <w:sz w:val="21"/>
                      <w:szCs w:val="21"/>
                    </w:rPr>
                    <w:t>产品名称</w:t>
                  </w:r>
                </w:p>
              </w:tc>
              <w:tc>
                <w:tcPr>
                  <w:tcW w:w="981" w:type="pct"/>
                  <w:vAlign w:val="center"/>
                </w:tcPr>
                <w:p w14:paraId="2ED9EB92">
                  <w:pPr>
                    <w:pStyle w:val="3"/>
                    <w:spacing w:line="240" w:lineRule="auto"/>
                    <w:ind w:firstLine="0" w:firstLineChars="0"/>
                    <w:jc w:val="center"/>
                    <w:rPr>
                      <w:sz w:val="21"/>
                      <w:szCs w:val="21"/>
                    </w:rPr>
                  </w:pPr>
                  <w:r>
                    <w:rPr>
                      <w:rFonts w:hint="eastAsia"/>
                      <w:sz w:val="21"/>
                      <w:szCs w:val="21"/>
                    </w:rPr>
                    <w:t>规格</w:t>
                  </w:r>
                </w:p>
              </w:tc>
              <w:tc>
                <w:tcPr>
                  <w:tcW w:w="655" w:type="pct"/>
                  <w:vAlign w:val="center"/>
                </w:tcPr>
                <w:p w14:paraId="30D41DD0">
                  <w:pPr>
                    <w:pStyle w:val="3"/>
                    <w:spacing w:line="240" w:lineRule="auto"/>
                    <w:ind w:firstLine="0" w:firstLineChars="0"/>
                    <w:jc w:val="center"/>
                    <w:rPr>
                      <w:sz w:val="21"/>
                      <w:szCs w:val="21"/>
                    </w:rPr>
                  </w:pPr>
                  <w:r>
                    <w:rPr>
                      <w:rFonts w:hint="eastAsia"/>
                      <w:sz w:val="21"/>
                      <w:szCs w:val="21"/>
                    </w:rPr>
                    <w:t>单位</w:t>
                  </w:r>
                </w:p>
              </w:tc>
              <w:tc>
                <w:tcPr>
                  <w:tcW w:w="655" w:type="pct"/>
                  <w:vAlign w:val="center"/>
                </w:tcPr>
                <w:p w14:paraId="19F2124C">
                  <w:pPr>
                    <w:pStyle w:val="3"/>
                    <w:spacing w:line="240" w:lineRule="auto"/>
                    <w:ind w:firstLine="0" w:firstLineChars="0"/>
                    <w:jc w:val="center"/>
                    <w:rPr>
                      <w:sz w:val="21"/>
                      <w:szCs w:val="21"/>
                    </w:rPr>
                  </w:pPr>
                  <w:r>
                    <w:rPr>
                      <w:rFonts w:hint="eastAsia"/>
                      <w:sz w:val="21"/>
                      <w:szCs w:val="21"/>
                    </w:rPr>
                    <w:t>年产能</w:t>
                  </w:r>
                </w:p>
              </w:tc>
              <w:tc>
                <w:tcPr>
                  <w:tcW w:w="1404" w:type="pct"/>
                  <w:vAlign w:val="center"/>
                </w:tcPr>
                <w:p w14:paraId="2984A900">
                  <w:pPr>
                    <w:pStyle w:val="3"/>
                    <w:spacing w:line="240" w:lineRule="auto"/>
                    <w:ind w:firstLine="0" w:firstLineChars="0"/>
                    <w:jc w:val="center"/>
                    <w:rPr>
                      <w:sz w:val="21"/>
                      <w:szCs w:val="21"/>
                    </w:rPr>
                  </w:pPr>
                  <w:r>
                    <w:rPr>
                      <w:rFonts w:hint="eastAsia"/>
                      <w:sz w:val="21"/>
                      <w:szCs w:val="21"/>
                    </w:rPr>
                    <w:t>产品图片</w:t>
                  </w:r>
                </w:p>
              </w:tc>
            </w:tr>
            <w:tr w14:paraId="4259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A988F21">
                  <w:pPr>
                    <w:pStyle w:val="3"/>
                    <w:spacing w:line="240" w:lineRule="auto"/>
                    <w:ind w:firstLine="0" w:firstLineChars="0"/>
                    <w:jc w:val="center"/>
                    <w:rPr>
                      <w:sz w:val="21"/>
                      <w:szCs w:val="21"/>
                    </w:rPr>
                  </w:pPr>
                  <w:r>
                    <w:rPr>
                      <w:sz w:val="21"/>
                      <w:szCs w:val="21"/>
                    </w:rPr>
                    <w:t>1</w:t>
                  </w:r>
                </w:p>
              </w:tc>
              <w:tc>
                <w:tcPr>
                  <w:tcW w:w="899" w:type="pct"/>
                  <w:vAlign w:val="center"/>
                </w:tcPr>
                <w:p w14:paraId="49B7CF76">
                  <w:pPr>
                    <w:pStyle w:val="3"/>
                    <w:spacing w:line="240" w:lineRule="auto"/>
                    <w:ind w:firstLine="0" w:firstLineChars="0"/>
                    <w:jc w:val="center"/>
                    <w:rPr>
                      <w:sz w:val="21"/>
                      <w:szCs w:val="21"/>
                    </w:rPr>
                  </w:pPr>
                  <w:r>
                    <w:rPr>
                      <w:rFonts w:hint="eastAsia"/>
                      <w:sz w:val="21"/>
                      <w:szCs w:val="21"/>
                    </w:rPr>
                    <w:t>酒瓶外包装盒</w:t>
                  </w:r>
                </w:p>
              </w:tc>
              <w:tc>
                <w:tcPr>
                  <w:tcW w:w="981" w:type="pct"/>
                  <w:vAlign w:val="center"/>
                </w:tcPr>
                <w:p w14:paraId="0CA0009C">
                  <w:pPr>
                    <w:pStyle w:val="3"/>
                    <w:spacing w:line="240" w:lineRule="auto"/>
                    <w:ind w:firstLine="0" w:firstLineChars="0"/>
                    <w:jc w:val="center"/>
                    <w:rPr>
                      <w:sz w:val="21"/>
                      <w:szCs w:val="21"/>
                    </w:rPr>
                  </w:pPr>
                  <w:r>
                    <w:rPr>
                      <w:rFonts w:hint="eastAsia"/>
                      <w:sz w:val="21"/>
                      <w:szCs w:val="21"/>
                    </w:rPr>
                    <w:t>14*14*29cm，净重35g/只</w:t>
                  </w:r>
                </w:p>
              </w:tc>
              <w:tc>
                <w:tcPr>
                  <w:tcW w:w="655" w:type="pct"/>
                  <w:vAlign w:val="center"/>
                </w:tcPr>
                <w:p w14:paraId="043A98EE">
                  <w:pPr>
                    <w:pStyle w:val="3"/>
                    <w:spacing w:line="240" w:lineRule="auto"/>
                    <w:ind w:firstLine="0" w:firstLineChars="0"/>
                    <w:jc w:val="center"/>
                    <w:rPr>
                      <w:sz w:val="21"/>
                      <w:szCs w:val="21"/>
                    </w:rPr>
                  </w:pPr>
                  <w:r>
                    <w:rPr>
                      <w:rFonts w:hint="eastAsia"/>
                      <w:sz w:val="21"/>
                      <w:szCs w:val="21"/>
                    </w:rPr>
                    <w:t>万只</w:t>
                  </w:r>
                </w:p>
              </w:tc>
              <w:tc>
                <w:tcPr>
                  <w:tcW w:w="655" w:type="pct"/>
                  <w:vAlign w:val="center"/>
                </w:tcPr>
                <w:p w14:paraId="57098CA5">
                  <w:pPr>
                    <w:pStyle w:val="3"/>
                    <w:spacing w:line="240" w:lineRule="auto"/>
                    <w:ind w:firstLine="0" w:firstLineChars="0"/>
                    <w:jc w:val="center"/>
                    <w:rPr>
                      <w:sz w:val="21"/>
                      <w:szCs w:val="21"/>
                    </w:rPr>
                  </w:pPr>
                  <w:r>
                    <w:rPr>
                      <w:rFonts w:hint="eastAsia"/>
                      <w:sz w:val="21"/>
                      <w:szCs w:val="21"/>
                    </w:rPr>
                    <w:t>3000</w:t>
                  </w:r>
                </w:p>
              </w:tc>
              <w:tc>
                <w:tcPr>
                  <w:tcW w:w="1404" w:type="pct"/>
                  <w:vAlign w:val="center"/>
                </w:tcPr>
                <w:p w14:paraId="76F31BAC">
                  <w:pPr>
                    <w:pStyle w:val="3"/>
                    <w:spacing w:line="240" w:lineRule="auto"/>
                    <w:ind w:firstLine="0" w:firstLineChars="0"/>
                    <w:jc w:val="center"/>
                    <w:rPr>
                      <w:sz w:val="21"/>
                      <w:szCs w:val="21"/>
                    </w:rPr>
                  </w:pPr>
                  <w:r>
                    <w:drawing>
                      <wp:inline distT="0" distB="0" distL="0" distR="0">
                        <wp:extent cx="979805" cy="1343025"/>
                        <wp:effectExtent l="0" t="0" r="0" b="0"/>
                        <wp:docPr id="862778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78286" name="图片 1"/>
                                <pic:cNvPicPr>
                                  <a:picLocks noChangeAspect="1"/>
                                </pic:cNvPicPr>
                              </pic:nvPicPr>
                              <pic:blipFill>
                                <a:blip r:embed="rId8"/>
                                <a:stretch>
                                  <a:fillRect/>
                                </a:stretch>
                              </pic:blipFill>
                              <pic:spPr>
                                <a:xfrm>
                                  <a:off x="0" y="0"/>
                                  <a:ext cx="1004233" cy="1376012"/>
                                </a:xfrm>
                                <a:prstGeom prst="rect">
                                  <a:avLst/>
                                </a:prstGeom>
                              </pic:spPr>
                            </pic:pic>
                          </a:graphicData>
                        </a:graphic>
                      </wp:inline>
                    </w:drawing>
                  </w:r>
                </w:p>
              </w:tc>
            </w:tr>
            <w:tr w14:paraId="54CB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7056AC0A">
                  <w:pPr>
                    <w:pStyle w:val="3"/>
                    <w:spacing w:line="240" w:lineRule="auto"/>
                    <w:ind w:firstLine="0" w:firstLineChars="0"/>
                    <w:jc w:val="center"/>
                    <w:rPr>
                      <w:sz w:val="21"/>
                      <w:szCs w:val="21"/>
                    </w:rPr>
                  </w:pPr>
                  <w:r>
                    <w:rPr>
                      <w:rFonts w:hint="eastAsia"/>
                      <w:sz w:val="21"/>
                      <w:szCs w:val="21"/>
                    </w:rPr>
                    <w:t>2</w:t>
                  </w:r>
                </w:p>
              </w:tc>
              <w:tc>
                <w:tcPr>
                  <w:tcW w:w="899" w:type="pct"/>
                  <w:vAlign w:val="center"/>
                </w:tcPr>
                <w:p w14:paraId="4812F6BD">
                  <w:pPr>
                    <w:pStyle w:val="3"/>
                    <w:spacing w:line="240" w:lineRule="auto"/>
                    <w:ind w:firstLine="0" w:firstLineChars="0"/>
                    <w:jc w:val="center"/>
                    <w:rPr>
                      <w:sz w:val="21"/>
                      <w:szCs w:val="21"/>
                    </w:rPr>
                  </w:pPr>
                  <w:r>
                    <w:rPr>
                      <w:rFonts w:hint="eastAsia"/>
                      <w:sz w:val="21"/>
                      <w:szCs w:val="21"/>
                    </w:rPr>
                    <w:t>日用家电配件</w:t>
                  </w:r>
                </w:p>
              </w:tc>
              <w:tc>
                <w:tcPr>
                  <w:tcW w:w="981" w:type="pct"/>
                  <w:vAlign w:val="center"/>
                </w:tcPr>
                <w:p w14:paraId="1A909B49">
                  <w:pPr>
                    <w:pStyle w:val="3"/>
                    <w:spacing w:line="240" w:lineRule="auto"/>
                    <w:ind w:firstLine="0" w:firstLineChars="0"/>
                    <w:jc w:val="center"/>
                    <w:rPr>
                      <w:sz w:val="21"/>
                      <w:szCs w:val="21"/>
                    </w:rPr>
                  </w:pPr>
                  <w:r>
                    <w:rPr>
                      <w:rFonts w:hint="eastAsia"/>
                      <w:sz w:val="21"/>
                      <w:szCs w:val="21"/>
                    </w:rPr>
                    <w:t>80*10*30cm，净重60g/只</w:t>
                  </w:r>
                </w:p>
              </w:tc>
              <w:tc>
                <w:tcPr>
                  <w:tcW w:w="655" w:type="pct"/>
                  <w:vAlign w:val="center"/>
                </w:tcPr>
                <w:p w14:paraId="38A20534">
                  <w:pPr>
                    <w:pStyle w:val="3"/>
                    <w:spacing w:line="240" w:lineRule="auto"/>
                    <w:ind w:firstLine="0" w:firstLineChars="0"/>
                    <w:jc w:val="center"/>
                    <w:rPr>
                      <w:sz w:val="21"/>
                      <w:szCs w:val="21"/>
                    </w:rPr>
                  </w:pPr>
                  <w:r>
                    <w:rPr>
                      <w:rFonts w:hint="eastAsia"/>
                      <w:sz w:val="21"/>
                      <w:szCs w:val="21"/>
                    </w:rPr>
                    <w:t>万只</w:t>
                  </w:r>
                </w:p>
              </w:tc>
              <w:tc>
                <w:tcPr>
                  <w:tcW w:w="655" w:type="pct"/>
                  <w:vAlign w:val="center"/>
                </w:tcPr>
                <w:p w14:paraId="3AAE72E2">
                  <w:pPr>
                    <w:pStyle w:val="3"/>
                    <w:spacing w:line="240" w:lineRule="auto"/>
                    <w:ind w:firstLine="0" w:firstLineChars="0"/>
                    <w:jc w:val="center"/>
                    <w:rPr>
                      <w:sz w:val="21"/>
                      <w:szCs w:val="21"/>
                    </w:rPr>
                  </w:pPr>
                  <w:r>
                    <w:rPr>
                      <w:rFonts w:hint="eastAsia"/>
                      <w:sz w:val="21"/>
                      <w:szCs w:val="21"/>
                    </w:rPr>
                    <w:t>1000</w:t>
                  </w:r>
                </w:p>
              </w:tc>
              <w:tc>
                <w:tcPr>
                  <w:tcW w:w="1404" w:type="pct"/>
                  <w:vAlign w:val="center"/>
                </w:tcPr>
                <w:p w14:paraId="517A1D85">
                  <w:pPr>
                    <w:pStyle w:val="3"/>
                    <w:spacing w:line="240" w:lineRule="auto"/>
                    <w:ind w:firstLine="0" w:firstLineChars="0"/>
                    <w:jc w:val="center"/>
                    <w:rPr>
                      <w:sz w:val="21"/>
                      <w:szCs w:val="21"/>
                    </w:rPr>
                  </w:pPr>
                  <w:r>
                    <w:drawing>
                      <wp:inline distT="0" distB="0" distL="0" distR="0">
                        <wp:extent cx="977900" cy="1371600"/>
                        <wp:effectExtent l="0" t="0" r="0" b="0"/>
                        <wp:docPr id="10033168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6826" name="图片 1"/>
                                <pic:cNvPicPr>
                                  <a:picLocks noChangeAspect="1"/>
                                </pic:cNvPicPr>
                              </pic:nvPicPr>
                              <pic:blipFill>
                                <a:blip r:embed="rId9"/>
                                <a:stretch>
                                  <a:fillRect/>
                                </a:stretch>
                              </pic:blipFill>
                              <pic:spPr>
                                <a:xfrm>
                                  <a:off x="0" y="0"/>
                                  <a:ext cx="998152" cy="1399663"/>
                                </a:xfrm>
                                <a:prstGeom prst="rect">
                                  <a:avLst/>
                                </a:prstGeom>
                              </pic:spPr>
                            </pic:pic>
                          </a:graphicData>
                        </a:graphic>
                      </wp:inline>
                    </w:drawing>
                  </w:r>
                </w:p>
              </w:tc>
            </w:tr>
          </w:tbl>
          <w:p w14:paraId="1BB9F10C">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扩建后全厂产品方案表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1787"/>
              <w:gridCol w:w="1652"/>
              <w:gridCol w:w="896"/>
              <w:gridCol w:w="1147"/>
              <w:gridCol w:w="1147"/>
              <w:gridCol w:w="1149"/>
              <w:gridCol w:w="919"/>
            </w:tblGrid>
            <w:tr w14:paraId="47C8A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6" w:type="pct"/>
                  <w:vMerge w:val="restart"/>
                  <w:vAlign w:val="center"/>
                </w:tcPr>
                <w:p w14:paraId="6130F341">
                  <w:pPr>
                    <w:pStyle w:val="3"/>
                    <w:spacing w:line="240" w:lineRule="auto"/>
                    <w:ind w:firstLine="0" w:firstLineChars="0"/>
                    <w:jc w:val="center"/>
                    <w:rPr>
                      <w:sz w:val="21"/>
                      <w:szCs w:val="21"/>
                    </w:rPr>
                  </w:pPr>
                  <w:r>
                    <w:rPr>
                      <w:sz w:val="21"/>
                      <w:szCs w:val="21"/>
                    </w:rPr>
                    <w:t>序号</w:t>
                  </w:r>
                </w:p>
              </w:tc>
              <w:tc>
                <w:tcPr>
                  <w:tcW w:w="1880" w:type="pct"/>
                  <w:gridSpan w:val="2"/>
                  <w:vMerge w:val="restart"/>
                  <w:vAlign w:val="center"/>
                </w:tcPr>
                <w:p w14:paraId="2DF0F3A9">
                  <w:pPr>
                    <w:pStyle w:val="3"/>
                    <w:spacing w:line="240" w:lineRule="auto"/>
                    <w:ind w:firstLine="0" w:firstLineChars="0"/>
                    <w:jc w:val="center"/>
                    <w:rPr>
                      <w:sz w:val="21"/>
                      <w:szCs w:val="21"/>
                    </w:rPr>
                  </w:pPr>
                  <w:r>
                    <w:rPr>
                      <w:sz w:val="21"/>
                      <w:szCs w:val="21"/>
                    </w:rPr>
                    <w:t>产品名称</w:t>
                  </w:r>
                </w:p>
              </w:tc>
              <w:tc>
                <w:tcPr>
                  <w:tcW w:w="490" w:type="pct"/>
                  <w:vMerge w:val="restart"/>
                  <w:vAlign w:val="center"/>
                </w:tcPr>
                <w:p w14:paraId="0FC05537">
                  <w:pPr>
                    <w:pStyle w:val="3"/>
                    <w:spacing w:line="240" w:lineRule="auto"/>
                    <w:ind w:firstLine="0" w:firstLineChars="0"/>
                    <w:jc w:val="center"/>
                    <w:rPr>
                      <w:sz w:val="21"/>
                      <w:szCs w:val="21"/>
                    </w:rPr>
                  </w:pPr>
                  <w:r>
                    <w:rPr>
                      <w:rFonts w:hint="eastAsia"/>
                      <w:sz w:val="21"/>
                      <w:szCs w:val="21"/>
                    </w:rPr>
                    <w:t>单位</w:t>
                  </w:r>
                </w:p>
              </w:tc>
              <w:tc>
                <w:tcPr>
                  <w:tcW w:w="1882" w:type="pct"/>
                  <w:gridSpan w:val="3"/>
                  <w:vAlign w:val="center"/>
                </w:tcPr>
                <w:p w14:paraId="6091E902">
                  <w:pPr>
                    <w:pStyle w:val="3"/>
                    <w:spacing w:line="240" w:lineRule="auto"/>
                    <w:ind w:firstLine="0" w:firstLineChars="0"/>
                    <w:jc w:val="center"/>
                    <w:rPr>
                      <w:sz w:val="21"/>
                      <w:szCs w:val="21"/>
                    </w:rPr>
                  </w:pPr>
                  <w:r>
                    <w:rPr>
                      <w:rFonts w:hint="eastAsia"/>
                      <w:sz w:val="21"/>
                      <w:szCs w:val="21"/>
                    </w:rPr>
                    <w:t>年产能</w:t>
                  </w:r>
                </w:p>
              </w:tc>
              <w:tc>
                <w:tcPr>
                  <w:tcW w:w="502" w:type="pct"/>
                  <w:vMerge w:val="restart"/>
                  <w:vAlign w:val="center"/>
                </w:tcPr>
                <w:p w14:paraId="58A4DD3F">
                  <w:pPr>
                    <w:pStyle w:val="3"/>
                    <w:spacing w:line="240" w:lineRule="auto"/>
                    <w:ind w:firstLine="0" w:firstLineChars="0"/>
                    <w:jc w:val="center"/>
                    <w:rPr>
                      <w:sz w:val="21"/>
                      <w:szCs w:val="21"/>
                    </w:rPr>
                  </w:pPr>
                  <w:r>
                    <w:rPr>
                      <w:rFonts w:hint="eastAsia"/>
                      <w:sz w:val="21"/>
                      <w:szCs w:val="21"/>
                    </w:rPr>
                    <w:t>备注</w:t>
                  </w:r>
                </w:p>
              </w:tc>
            </w:tr>
            <w:tr w14:paraId="19B3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6" w:type="pct"/>
                  <w:vMerge w:val="continue"/>
                  <w:vAlign w:val="center"/>
                </w:tcPr>
                <w:p w14:paraId="789B0CEA">
                  <w:pPr>
                    <w:pStyle w:val="3"/>
                    <w:spacing w:line="240" w:lineRule="auto"/>
                    <w:ind w:firstLine="0" w:firstLineChars="0"/>
                    <w:jc w:val="center"/>
                    <w:rPr>
                      <w:sz w:val="21"/>
                      <w:szCs w:val="21"/>
                    </w:rPr>
                  </w:pPr>
                </w:p>
              </w:tc>
              <w:tc>
                <w:tcPr>
                  <w:tcW w:w="1880" w:type="pct"/>
                  <w:gridSpan w:val="2"/>
                  <w:vMerge w:val="continue"/>
                  <w:vAlign w:val="center"/>
                </w:tcPr>
                <w:p w14:paraId="6F4B6D48">
                  <w:pPr>
                    <w:pStyle w:val="3"/>
                    <w:spacing w:line="240" w:lineRule="auto"/>
                    <w:ind w:firstLine="0" w:firstLineChars="0"/>
                    <w:jc w:val="center"/>
                    <w:rPr>
                      <w:sz w:val="21"/>
                      <w:szCs w:val="21"/>
                    </w:rPr>
                  </w:pPr>
                </w:p>
              </w:tc>
              <w:tc>
                <w:tcPr>
                  <w:tcW w:w="490" w:type="pct"/>
                  <w:vMerge w:val="continue"/>
                  <w:vAlign w:val="center"/>
                </w:tcPr>
                <w:p w14:paraId="3BAC6229">
                  <w:pPr>
                    <w:pStyle w:val="3"/>
                    <w:spacing w:line="240" w:lineRule="auto"/>
                    <w:ind w:firstLine="0" w:firstLineChars="0"/>
                    <w:jc w:val="center"/>
                    <w:rPr>
                      <w:sz w:val="21"/>
                      <w:szCs w:val="21"/>
                    </w:rPr>
                  </w:pPr>
                </w:p>
              </w:tc>
              <w:tc>
                <w:tcPr>
                  <w:tcW w:w="627" w:type="pct"/>
                  <w:vAlign w:val="center"/>
                </w:tcPr>
                <w:p w14:paraId="5F3E943C">
                  <w:pPr>
                    <w:pStyle w:val="3"/>
                    <w:spacing w:line="240" w:lineRule="auto"/>
                    <w:ind w:firstLine="0" w:firstLineChars="0"/>
                    <w:jc w:val="center"/>
                    <w:rPr>
                      <w:sz w:val="21"/>
                      <w:szCs w:val="21"/>
                    </w:rPr>
                  </w:pPr>
                  <w:r>
                    <w:rPr>
                      <w:rFonts w:hint="eastAsia"/>
                      <w:sz w:val="21"/>
                      <w:szCs w:val="21"/>
                    </w:rPr>
                    <w:t>现有工程</w:t>
                  </w:r>
                </w:p>
              </w:tc>
              <w:tc>
                <w:tcPr>
                  <w:tcW w:w="627" w:type="pct"/>
                  <w:vAlign w:val="center"/>
                </w:tcPr>
                <w:p w14:paraId="7EC9BDBA">
                  <w:pPr>
                    <w:pStyle w:val="3"/>
                    <w:spacing w:line="240" w:lineRule="auto"/>
                    <w:ind w:firstLine="0" w:firstLineChars="0"/>
                    <w:jc w:val="center"/>
                    <w:rPr>
                      <w:sz w:val="21"/>
                      <w:szCs w:val="21"/>
                    </w:rPr>
                  </w:pPr>
                  <w:r>
                    <w:rPr>
                      <w:rFonts w:hint="eastAsia"/>
                      <w:sz w:val="21"/>
                      <w:szCs w:val="21"/>
                    </w:rPr>
                    <w:t>扩建项目</w:t>
                  </w:r>
                </w:p>
              </w:tc>
              <w:tc>
                <w:tcPr>
                  <w:tcW w:w="628" w:type="pct"/>
                  <w:vAlign w:val="center"/>
                </w:tcPr>
                <w:p w14:paraId="1C80730C">
                  <w:pPr>
                    <w:pStyle w:val="3"/>
                    <w:spacing w:line="240" w:lineRule="auto"/>
                    <w:ind w:firstLine="0" w:firstLineChars="0"/>
                    <w:jc w:val="center"/>
                    <w:rPr>
                      <w:sz w:val="21"/>
                      <w:szCs w:val="21"/>
                    </w:rPr>
                  </w:pPr>
                  <w:r>
                    <w:rPr>
                      <w:rFonts w:hint="eastAsia"/>
                      <w:sz w:val="21"/>
                      <w:szCs w:val="21"/>
                    </w:rPr>
                    <w:t>全厂合计</w:t>
                  </w:r>
                </w:p>
              </w:tc>
              <w:tc>
                <w:tcPr>
                  <w:tcW w:w="502" w:type="pct"/>
                  <w:vMerge w:val="continue"/>
                  <w:vAlign w:val="center"/>
                </w:tcPr>
                <w:p w14:paraId="06CA4B2F">
                  <w:pPr>
                    <w:pStyle w:val="3"/>
                    <w:spacing w:line="240" w:lineRule="auto"/>
                    <w:ind w:firstLine="0" w:firstLineChars="0"/>
                    <w:jc w:val="center"/>
                    <w:rPr>
                      <w:sz w:val="21"/>
                      <w:szCs w:val="21"/>
                    </w:rPr>
                  </w:pPr>
                </w:p>
              </w:tc>
            </w:tr>
            <w:tr w14:paraId="1189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vAlign w:val="center"/>
                </w:tcPr>
                <w:p w14:paraId="0490268F">
                  <w:pPr>
                    <w:pStyle w:val="3"/>
                    <w:spacing w:line="240" w:lineRule="auto"/>
                    <w:ind w:firstLine="0" w:firstLineChars="0"/>
                    <w:jc w:val="center"/>
                    <w:rPr>
                      <w:sz w:val="21"/>
                      <w:szCs w:val="21"/>
                    </w:rPr>
                  </w:pPr>
                  <w:r>
                    <w:rPr>
                      <w:sz w:val="21"/>
                      <w:szCs w:val="21"/>
                    </w:rPr>
                    <w:t>1</w:t>
                  </w:r>
                </w:p>
              </w:tc>
              <w:tc>
                <w:tcPr>
                  <w:tcW w:w="977" w:type="pct"/>
                  <w:vMerge w:val="restart"/>
                  <w:vAlign w:val="center"/>
                </w:tcPr>
                <w:p w14:paraId="2923F98B">
                  <w:pPr>
                    <w:pStyle w:val="3"/>
                    <w:spacing w:line="240" w:lineRule="auto"/>
                    <w:ind w:firstLine="0" w:firstLineChars="0"/>
                    <w:jc w:val="center"/>
                    <w:rPr>
                      <w:sz w:val="21"/>
                      <w:szCs w:val="21"/>
                    </w:rPr>
                  </w:pPr>
                  <w:r>
                    <w:rPr>
                      <w:rFonts w:hint="eastAsia"/>
                      <w:sz w:val="21"/>
                      <w:szCs w:val="21"/>
                    </w:rPr>
                    <w:t>年产2000万套酒类及家电制品表处理自动化生产线项目</w:t>
                  </w:r>
                </w:p>
              </w:tc>
              <w:tc>
                <w:tcPr>
                  <w:tcW w:w="903" w:type="pct"/>
                  <w:vAlign w:val="center"/>
                </w:tcPr>
                <w:p w14:paraId="642908CF">
                  <w:pPr>
                    <w:pStyle w:val="3"/>
                    <w:spacing w:line="240" w:lineRule="auto"/>
                    <w:ind w:firstLine="0" w:firstLineChars="0"/>
                    <w:jc w:val="center"/>
                    <w:rPr>
                      <w:sz w:val="21"/>
                      <w:szCs w:val="21"/>
                    </w:rPr>
                  </w:pPr>
                  <w:r>
                    <w:rPr>
                      <w:rFonts w:hint="eastAsia"/>
                      <w:sz w:val="21"/>
                      <w:szCs w:val="21"/>
                    </w:rPr>
                    <w:t>喷油性漆酒瓶</w:t>
                  </w:r>
                </w:p>
              </w:tc>
              <w:tc>
                <w:tcPr>
                  <w:tcW w:w="490" w:type="pct"/>
                  <w:vAlign w:val="center"/>
                </w:tcPr>
                <w:p w14:paraId="1543D9B3">
                  <w:pPr>
                    <w:pStyle w:val="3"/>
                    <w:spacing w:line="240" w:lineRule="auto"/>
                    <w:ind w:firstLine="0" w:firstLineChars="0"/>
                    <w:jc w:val="center"/>
                    <w:rPr>
                      <w:sz w:val="21"/>
                      <w:szCs w:val="21"/>
                    </w:rPr>
                  </w:pPr>
                  <w:r>
                    <w:rPr>
                      <w:rFonts w:hint="eastAsia"/>
                      <w:sz w:val="21"/>
                      <w:szCs w:val="21"/>
                    </w:rPr>
                    <w:t>万个</w:t>
                  </w:r>
                </w:p>
              </w:tc>
              <w:tc>
                <w:tcPr>
                  <w:tcW w:w="627" w:type="pct"/>
                  <w:vAlign w:val="center"/>
                </w:tcPr>
                <w:p w14:paraId="67035C1A">
                  <w:pPr>
                    <w:pStyle w:val="3"/>
                    <w:spacing w:line="240" w:lineRule="auto"/>
                    <w:ind w:firstLine="0" w:firstLineChars="0"/>
                    <w:jc w:val="center"/>
                    <w:rPr>
                      <w:sz w:val="21"/>
                      <w:szCs w:val="21"/>
                    </w:rPr>
                  </w:pPr>
                  <w:r>
                    <w:rPr>
                      <w:rFonts w:hint="eastAsia"/>
                      <w:sz w:val="21"/>
                      <w:szCs w:val="21"/>
                    </w:rPr>
                    <w:t>300</w:t>
                  </w:r>
                </w:p>
              </w:tc>
              <w:tc>
                <w:tcPr>
                  <w:tcW w:w="627" w:type="pct"/>
                  <w:vAlign w:val="center"/>
                </w:tcPr>
                <w:p w14:paraId="06F13481">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6E77F148">
                  <w:pPr>
                    <w:pStyle w:val="3"/>
                    <w:spacing w:line="240" w:lineRule="auto"/>
                    <w:ind w:firstLine="0" w:firstLineChars="0"/>
                    <w:jc w:val="center"/>
                    <w:rPr>
                      <w:sz w:val="21"/>
                      <w:szCs w:val="21"/>
                    </w:rPr>
                  </w:pPr>
                  <w:r>
                    <w:rPr>
                      <w:rFonts w:hint="eastAsia"/>
                      <w:sz w:val="21"/>
                      <w:szCs w:val="21"/>
                    </w:rPr>
                    <w:t>300</w:t>
                  </w:r>
                </w:p>
              </w:tc>
              <w:tc>
                <w:tcPr>
                  <w:tcW w:w="502" w:type="pct"/>
                  <w:vMerge w:val="restart"/>
                  <w:vAlign w:val="center"/>
                </w:tcPr>
                <w:p w14:paraId="0A704EBF">
                  <w:pPr>
                    <w:pStyle w:val="3"/>
                    <w:spacing w:line="240" w:lineRule="auto"/>
                    <w:ind w:firstLine="0" w:firstLineChars="0"/>
                    <w:jc w:val="center"/>
                    <w:rPr>
                      <w:sz w:val="21"/>
                      <w:szCs w:val="21"/>
                    </w:rPr>
                  </w:pPr>
                  <w:r>
                    <w:rPr>
                      <w:rFonts w:hint="eastAsia"/>
                      <w:sz w:val="21"/>
                      <w:szCs w:val="21"/>
                    </w:rPr>
                    <w:t>已投产</w:t>
                  </w:r>
                </w:p>
              </w:tc>
            </w:tr>
            <w:tr w14:paraId="4E32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688A7EAE">
                  <w:pPr>
                    <w:pStyle w:val="3"/>
                    <w:spacing w:line="240" w:lineRule="auto"/>
                    <w:ind w:firstLine="0" w:firstLineChars="0"/>
                    <w:jc w:val="center"/>
                    <w:rPr>
                      <w:sz w:val="21"/>
                      <w:szCs w:val="21"/>
                    </w:rPr>
                  </w:pPr>
                </w:p>
              </w:tc>
              <w:tc>
                <w:tcPr>
                  <w:tcW w:w="977" w:type="pct"/>
                  <w:vMerge w:val="continue"/>
                  <w:vAlign w:val="center"/>
                </w:tcPr>
                <w:p w14:paraId="242AC915">
                  <w:pPr>
                    <w:pStyle w:val="3"/>
                    <w:spacing w:line="240" w:lineRule="auto"/>
                    <w:ind w:firstLine="0" w:firstLineChars="0"/>
                    <w:jc w:val="center"/>
                    <w:rPr>
                      <w:sz w:val="21"/>
                      <w:szCs w:val="21"/>
                    </w:rPr>
                  </w:pPr>
                </w:p>
              </w:tc>
              <w:tc>
                <w:tcPr>
                  <w:tcW w:w="903" w:type="pct"/>
                  <w:vAlign w:val="center"/>
                </w:tcPr>
                <w:p w14:paraId="1870E560">
                  <w:pPr>
                    <w:pStyle w:val="3"/>
                    <w:spacing w:line="240" w:lineRule="auto"/>
                    <w:ind w:firstLine="0" w:firstLineChars="0"/>
                    <w:jc w:val="center"/>
                    <w:rPr>
                      <w:sz w:val="21"/>
                      <w:szCs w:val="21"/>
                    </w:rPr>
                  </w:pPr>
                  <w:r>
                    <w:rPr>
                      <w:rFonts w:hint="eastAsia"/>
                      <w:sz w:val="21"/>
                      <w:szCs w:val="21"/>
                    </w:rPr>
                    <w:t>喷水性漆酒瓶</w:t>
                  </w:r>
                </w:p>
              </w:tc>
              <w:tc>
                <w:tcPr>
                  <w:tcW w:w="490" w:type="pct"/>
                  <w:vAlign w:val="center"/>
                </w:tcPr>
                <w:p w14:paraId="3E1C56F0">
                  <w:pPr>
                    <w:pStyle w:val="3"/>
                    <w:spacing w:line="240" w:lineRule="auto"/>
                    <w:ind w:firstLine="0" w:firstLineChars="0"/>
                    <w:jc w:val="center"/>
                    <w:rPr>
                      <w:sz w:val="21"/>
                      <w:szCs w:val="21"/>
                    </w:rPr>
                  </w:pPr>
                  <w:r>
                    <w:rPr>
                      <w:rFonts w:hint="eastAsia"/>
                      <w:sz w:val="21"/>
                      <w:szCs w:val="21"/>
                    </w:rPr>
                    <w:t>万个</w:t>
                  </w:r>
                </w:p>
              </w:tc>
              <w:tc>
                <w:tcPr>
                  <w:tcW w:w="627" w:type="pct"/>
                  <w:vAlign w:val="center"/>
                </w:tcPr>
                <w:p w14:paraId="603FFE77">
                  <w:pPr>
                    <w:pStyle w:val="3"/>
                    <w:spacing w:line="240" w:lineRule="auto"/>
                    <w:ind w:firstLine="0" w:firstLineChars="0"/>
                    <w:jc w:val="center"/>
                    <w:rPr>
                      <w:sz w:val="21"/>
                      <w:szCs w:val="21"/>
                    </w:rPr>
                  </w:pPr>
                  <w:r>
                    <w:rPr>
                      <w:rFonts w:hint="eastAsia"/>
                      <w:sz w:val="21"/>
                      <w:szCs w:val="21"/>
                    </w:rPr>
                    <w:t>900</w:t>
                  </w:r>
                </w:p>
              </w:tc>
              <w:tc>
                <w:tcPr>
                  <w:tcW w:w="627" w:type="pct"/>
                  <w:vAlign w:val="center"/>
                </w:tcPr>
                <w:p w14:paraId="12120DCD">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59A81A88">
                  <w:pPr>
                    <w:pStyle w:val="3"/>
                    <w:spacing w:line="240" w:lineRule="auto"/>
                    <w:ind w:firstLine="0" w:firstLineChars="0"/>
                    <w:jc w:val="center"/>
                    <w:rPr>
                      <w:sz w:val="21"/>
                      <w:szCs w:val="21"/>
                    </w:rPr>
                  </w:pPr>
                  <w:r>
                    <w:rPr>
                      <w:rFonts w:hint="eastAsia"/>
                      <w:sz w:val="21"/>
                      <w:szCs w:val="21"/>
                    </w:rPr>
                    <w:t>900</w:t>
                  </w:r>
                </w:p>
              </w:tc>
              <w:tc>
                <w:tcPr>
                  <w:tcW w:w="502" w:type="pct"/>
                  <w:vMerge w:val="continue"/>
                  <w:vAlign w:val="center"/>
                </w:tcPr>
                <w:p w14:paraId="210EC1ED">
                  <w:pPr>
                    <w:pStyle w:val="3"/>
                    <w:spacing w:line="240" w:lineRule="auto"/>
                    <w:ind w:firstLine="0" w:firstLineChars="0"/>
                    <w:jc w:val="center"/>
                    <w:rPr>
                      <w:sz w:val="21"/>
                      <w:szCs w:val="21"/>
                    </w:rPr>
                  </w:pPr>
                </w:p>
              </w:tc>
            </w:tr>
            <w:tr w14:paraId="7630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32FDD5E9">
                  <w:pPr>
                    <w:pStyle w:val="3"/>
                    <w:spacing w:line="240" w:lineRule="auto"/>
                    <w:ind w:firstLine="0" w:firstLineChars="0"/>
                    <w:jc w:val="center"/>
                    <w:rPr>
                      <w:sz w:val="21"/>
                      <w:szCs w:val="21"/>
                    </w:rPr>
                  </w:pPr>
                </w:p>
              </w:tc>
              <w:tc>
                <w:tcPr>
                  <w:tcW w:w="977" w:type="pct"/>
                  <w:vMerge w:val="continue"/>
                  <w:vAlign w:val="center"/>
                </w:tcPr>
                <w:p w14:paraId="4F04111A">
                  <w:pPr>
                    <w:pStyle w:val="3"/>
                    <w:spacing w:line="240" w:lineRule="auto"/>
                    <w:ind w:firstLine="0" w:firstLineChars="0"/>
                    <w:jc w:val="center"/>
                    <w:rPr>
                      <w:sz w:val="21"/>
                      <w:szCs w:val="21"/>
                    </w:rPr>
                  </w:pPr>
                </w:p>
              </w:tc>
              <w:tc>
                <w:tcPr>
                  <w:tcW w:w="903" w:type="pct"/>
                  <w:vAlign w:val="center"/>
                </w:tcPr>
                <w:p w14:paraId="6A10FAE5">
                  <w:pPr>
                    <w:pStyle w:val="3"/>
                    <w:spacing w:line="240" w:lineRule="auto"/>
                    <w:ind w:firstLine="0" w:firstLineChars="0"/>
                    <w:jc w:val="center"/>
                    <w:rPr>
                      <w:sz w:val="21"/>
                      <w:szCs w:val="21"/>
                    </w:rPr>
                  </w:pPr>
                  <w:r>
                    <w:rPr>
                      <w:rFonts w:hint="eastAsia"/>
                      <w:sz w:val="21"/>
                      <w:szCs w:val="21"/>
                    </w:rPr>
                    <w:t>镭雕酒瓶</w:t>
                  </w:r>
                </w:p>
              </w:tc>
              <w:tc>
                <w:tcPr>
                  <w:tcW w:w="490" w:type="pct"/>
                  <w:vAlign w:val="center"/>
                </w:tcPr>
                <w:p w14:paraId="287604F9">
                  <w:pPr>
                    <w:pStyle w:val="3"/>
                    <w:spacing w:line="240" w:lineRule="auto"/>
                    <w:ind w:firstLine="0" w:firstLineChars="0"/>
                    <w:jc w:val="center"/>
                    <w:rPr>
                      <w:sz w:val="21"/>
                      <w:szCs w:val="21"/>
                    </w:rPr>
                  </w:pPr>
                  <w:r>
                    <w:rPr>
                      <w:rFonts w:hint="eastAsia"/>
                      <w:sz w:val="21"/>
                      <w:szCs w:val="21"/>
                    </w:rPr>
                    <w:t>万个</w:t>
                  </w:r>
                </w:p>
              </w:tc>
              <w:tc>
                <w:tcPr>
                  <w:tcW w:w="627" w:type="pct"/>
                  <w:vAlign w:val="center"/>
                </w:tcPr>
                <w:p w14:paraId="52A99FDE">
                  <w:pPr>
                    <w:pStyle w:val="3"/>
                    <w:spacing w:line="240" w:lineRule="auto"/>
                    <w:ind w:firstLine="0" w:firstLineChars="0"/>
                    <w:jc w:val="center"/>
                    <w:rPr>
                      <w:sz w:val="21"/>
                      <w:szCs w:val="21"/>
                    </w:rPr>
                  </w:pPr>
                  <w:r>
                    <w:rPr>
                      <w:rFonts w:hint="eastAsia"/>
                      <w:sz w:val="21"/>
                      <w:szCs w:val="21"/>
                    </w:rPr>
                    <w:t>100</w:t>
                  </w:r>
                </w:p>
              </w:tc>
              <w:tc>
                <w:tcPr>
                  <w:tcW w:w="627" w:type="pct"/>
                  <w:vAlign w:val="center"/>
                </w:tcPr>
                <w:p w14:paraId="5066F891">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195AA241">
                  <w:pPr>
                    <w:pStyle w:val="3"/>
                    <w:spacing w:line="240" w:lineRule="auto"/>
                    <w:ind w:firstLine="0" w:firstLineChars="0"/>
                    <w:jc w:val="center"/>
                    <w:rPr>
                      <w:sz w:val="21"/>
                      <w:szCs w:val="21"/>
                    </w:rPr>
                  </w:pPr>
                  <w:r>
                    <w:rPr>
                      <w:rFonts w:hint="eastAsia"/>
                      <w:sz w:val="21"/>
                      <w:szCs w:val="21"/>
                    </w:rPr>
                    <w:t>100</w:t>
                  </w:r>
                </w:p>
              </w:tc>
              <w:tc>
                <w:tcPr>
                  <w:tcW w:w="502" w:type="pct"/>
                  <w:vMerge w:val="continue"/>
                  <w:vAlign w:val="center"/>
                </w:tcPr>
                <w:p w14:paraId="450F4758">
                  <w:pPr>
                    <w:pStyle w:val="3"/>
                    <w:spacing w:line="240" w:lineRule="auto"/>
                    <w:ind w:firstLine="0" w:firstLineChars="0"/>
                    <w:jc w:val="center"/>
                    <w:rPr>
                      <w:sz w:val="21"/>
                      <w:szCs w:val="21"/>
                    </w:rPr>
                  </w:pPr>
                </w:p>
              </w:tc>
            </w:tr>
            <w:tr w14:paraId="1FA0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318B5208">
                  <w:pPr>
                    <w:pStyle w:val="3"/>
                    <w:spacing w:line="240" w:lineRule="auto"/>
                    <w:ind w:firstLine="0" w:firstLineChars="0"/>
                    <w:jc w:val="center"/>
                    <w:rPr>
                      <w:sz w:val="21"/>
                      <w:szCs w:val="21"/>
                    </w:rPr>
                  </w:pPr>
                </w:p>
              </w:tc>
              <w:tc>
                <w:tcPr>
                  <w:tcW w:w="977" w:type="pct"/>
                  <w:vMerge w:val="continue"/>
                  <w:vAlign w:val="center"/>
                </w:tcPr>
                <w:p w14:paraId="48D6D805">
                  <w:pPr>
                    <w:pStyle w:val="3"/>
                    <w:spacing w:line="240" w:lineRule="auto"/>
                    <w:ind w:firstLine="0" w:firstLineChars="0"/>
                    <w:jc w:val="center"/>
                    <w:rPr>
                      <w:sz w:val="21"/>
                      <w:szCs w:val="21"/>
                    </w:rPr>
                  </w:pPr>
                </w:p>
              </w:tc>
              <w:tc>
                <w:tcPr>
                  <w:tcW w:w="903" w:type="pct"/>
                  <w:vAlign w:val="center"/>
                </w:tcPr>
                <w:p w14:paraId="752A0CDB">
                  <w:pPr>
                    <w:pStyle w:val="3"/>
                    <w:spacing w:line="240" w:lineRule="auto"/>
                    <w:ind w:firstLine="0" w:firstLineChars="0"/>
                    <w:jc w:val="center"/>
                    <w:rPr>
                      <w:sz w:val="21"/>
                      <w:szCs w:val="21"/>
                    </w:rPr>
                  </w:pPr>
                  <w:r>
                    <w:rPr>
                      <w:rFonts w:hint="eastAsia"/>
                      <w:sz w:val="21"/>
                      <w:szCs w:val="21"/>
                    </w:rPr>
                    <w:t>喷水性漆家电制品</w:t>
                  </w:r>
                </w:p>
              </w:tc>
              <w:tc>
                <w:tcPr>
                  <w:tcW w:w="490" w:type="pct"/>
                  <w:vAlign w:val="center"/>
                </w:tcPr>
                <w:p w14:paraId="693C33FA">
                  <w:pPr>
                    <w:pStyle w:val="3"/>
                    <w:spacing w:line="240" w:lineRule="auto"/>
                    <w:ind w:firstLine="0" w:firstLineChars="0"/>
                    <w:jc w:val="center"/>
                    <w:rPr>
                      <w:sz w:val="21"/>
                      <w:szCs w:val="21"/>
                    </w:rPr>
                  </w:pPr>
                  <w:r>
                    <w:rPr>
                      <w:rFonts w:hint="eastAsia"/>
                      <w:sz w:val="21"/>
                      <w:szCs w:val="21"/>
                    </w:rPr>
                    <w:t>万件</w:t>
                  </w:r>
                </w:p>
              </w:tc>
              <w:tc>
                <w:tcPr>
                  <w:tcW w:w="627" w:type="pct"/>
                  <w:vAlign w:val="center"/>
                </w:tcPr>
                <w:p w14:paraId="45A2F8ED">
                  <w:pPr>
                    <w:pStyle w:val="3"/>
                    <w:spacing w:line="240" w:lineRule="auto"/>
                    <w:ind w:firstLine="0" w:firstLineChars="0"/>
                    <w:jc w:val="center"/>
                    <w:rPr>
                      <w:sz w:val="21"/>
                      <w:szCs w:val="21"/>
                    </w:rPr>
                  </w:pPr>
                  <w:r>
                    <w:rPr>
                      <w:rFonts w:hint="eastAsia"/>
                      <w:sz w:val="21"/>
                      <w:szCs w:val="21"/>
                    </w:rPr>
                    <w:t>600</w:t>
                  </w:r>
                </w:p>
              </w:tc>
              <w:tc>
                <w:tcPr>
                  <w:tcW w:w="627" w:type="pct"/>
                  <w:vAlign w:val="center"/>
                </w:tcPr>
                <w:p w14:paraId="183486A6">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321E4D05">
                  <w:pPr>
                    <w:pStyle w:val="3"/>
                    <w:spacing w:line="240" w:lineRule="auto"/>
                    <w:ind w:firstLine="0" w:firstLineChars="0"/>
                    <w:jc w:val="center"/>
                    <w:rPr>
                      <w:sz w:val="21"/>
                      <w:szCs w:val="21"/>
                    </w:rPr>
                  </w:pPr>
                  <w:r>
                    <w:rPr>
                      <w:rFonts w:hint="eastAsia"/>
                      <w:sz w:val="21"/>
                      <w:szCs w:val="21"/>
                    </w:rPr>
                    <w:t>600</w:t>
                  </w:r>
                </w:p>
              </w:tc>
              <w:tc>
                <w:tcPr>
                  <w:tcW w:w="502" w:type="pct"/>
                  <w:vMerge w:val="continue"/>
                  <w:vAlign w:val="center"/>
                </w:tcPr>
                <w:p w14:paraId="4F7D93EE">
                  <w:pPr>
                    <w:pStyle w:val="3"/>
                    <w:spacing w:line="240" w:lineRule="auto"/>
                    <w:ind w:firstLine="0" w:firstLineChars="0"/>
                    <w:jc w:val="center"/>
                    <w:rPr>
                      <w:sz w:val="21"/>
                      <w:szCs w:val="21"/>
                    </w:rPr>
                  </w:pPr>
                </w:p>
              </w:tc>
            </w:tr>
            <w:tr w14:paraId="48FD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012D402A">
                  <w:pPr>
                    <w:pStyle w:val="3"/>
                    <w:spacing w:line="240" w:lineRule="auto"/>
                    <w:ind w:firstLine="0" w:firstLineChars="0"/>
                    <w:jc w:val="center"/>
                    <w:rPr>
                      <w:sz w:val="21"/>
                      <w:szCs w:val="21"/>
                    </w:rPr>
                  </w:pPr>
                </w:p>
              </w:tc>
              <w:tc>
                <w:tcPr>
                  <w:tcW w:w="977" w:type="pct"/>
                  <w:vMerge w:val="continue"/>
                  <w:vAlign w:val="center"/>
                </w:tcPr>
                <w:p w14:paraId="40034DCB">
                  <w:pPr>
                    <w:pStyle w:val="3"/>
                    <w:spacing w:line="240" w:lineRule="auto"/>
                    <w:ind w:firstLine="0" w:firstLineChars="0"/>
                    <w:jc w:val="center"/>
                    <w:rPr>
                      <w:sz w:val="21"/>
                      <w:szCs w:val="21"/>
                    </w:rPr>
                  </w:pPr>
                </w:p>
              </w:tc>
              <w:tc>
                <w:tcPr>
                  <w:tcW w:w="903" w:type="pct"/>
                  <w:vAlign w:val="center"/>
                </w:tcPr>
                <w:p w14:paraId="59CC49F9">
                  <w:pPr>
                    <w:pStyle w:val="3"/>
                    <w:spacing w:line="240" w:lineRule="auto"/>
                    <w:ind w:firstLine="0" w:firstLineChars="0"/>
                    <w:jc w:val="center"/>
                    <w:rPr>
                      <w:sz w:val="21"/>
                      <w:szCs w:val="21"/>
                    </w:rPr>
                  </w:pPr>
                  <w:r>
                    <w:rPr>
                      <w:rFonts w:hint="eastAsia"/>
                      <w:sz w:val="21"/>
                      <w:szCs w:val="21"/>
                    </w:rPr>
                    <w:t>喷砂酒瓶</w:t>
                  </w:r>
                </w:p>
              </w:tc>
              <w:tc>
                <w:tcPr>
                  <w:tcW w:w="490" w:type="pct"/>
                  <w:vAlign w:val="center"/>
                </w:tcPr>
                <w:p w14:paraId="0D3EC9F9">
                  <w:pPr>
                    <w:pStyle w:val="3"/>
                    <w:spacing w:line="240" w:lineRule="auto"/>
                    <w:ind w:firstLine="0" w:firstLineChars="0"/>
                    <w:jc w:val="center"/>
                    <w:rPr>
                      <w:sz w:val="21"/>
                      <w:szCs w:val="21"/>
                    </w:rPr>
                  </w:pPr>
                  <w:r>
                    <w:rPr>
                      <w:rFonts w:hint="eastAsia"/>
                      <w:sz w:val="21"/>
                      <w:szCs w:val="21"/>
                    </w:rPr>
                    <w:t>万个</w:t>
                  </w:r>
                </w:p>
              </w:tc>
              <w:tc>
                <w:tcPr>
                  <w:tcW w:w="627" w:type="pct"/>
                  <w:vAlign w:val="center"/>
                </w:tcPr>
                <w:p w14:paraId="3CD71A3E">
                  <w:pPr>
                    <w:pStyle w:val="3"/>
                    <w:spacing w:line="240" w:lineRule="auto"/>
                    <w:ind w:firstLine="0" w:firstLineChars="0"/>
                    <w:jc w:val="center"/>
                    <w:rPr>
                      <w:sz w:val="21"/>
                      <w:szCs w:val="21"/>
                    </w:rPr>
                  </w:pPr>
                  <w:r>
                    <w:rPr>
                      <w:rFonts w:hint="eastAsia"/>
                      <w:sz w:val="21"/>
                      <w:szCs w:val="21"/>
                    </w:rPr>
                    <w:t>100</w:t>
                  </w:r>
                </w:p>
              </w:tc>
              <w:tc>
                <w:tcPr>
                  <w:tcW w:w="627" w:type="pct"/>
                  <w:vAlign w:val="center"/>
                </w:tcPr>
                <w:p w14:paraId="23168CA0">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331D9045">
                  <w:pPr>
                    <w:pStyle w:val="3"/>
                    <w:spacing w:line="240" w:lineRule="auto"/>
                    <w:ind w:firstLine="0" w:firstLineChars="0"/>
                    <w:jc w:val="center"/>
                    <w:rPr>
                      <w:sz w:val="21"/>
                      <w:szCs w:val="21"/>
                    </w:rPr>
                  </w:pPr>
                  <w:r>
                    <w:rPr>
                      <w:rFonts w:hint="eastAsia"/>
                      <w:sz w:val="21"/>
                      <w:szCs w:val="21"/>
                    </w:rPr>
                    <w:t>100</w:t>
                  </w:r>
                </w:p>
              </w:tc>
              <w:tc>
                <w:tcPr>
                  <w:tcW w:w="502" w:type="pct"/>
                  <w:vMerge w:val="restart"/>
                  <w:vAlign w:val="center"/>
                </w:tcPr>
                <w:p w14:paraId="10347F1C">
                  <w:pPr>
                    <w:pStyle w:val="3"/>
                    <w:spacing w:line="240" w:lineRule="auto"/>
                    <w:ind w:firstLine="0" w:firstLineChars="0"/>
                    <w:jc w:val="center"/>
                    <w:rPr>
                      <w:sz w:val="21"/>
                      <w:szCs w:val="21"/>
                    </w:rPr>
                  </w:pPr>
                  <w:r>
                    <w:rPr>
                      <w:rFonts w:hint="eastAsia"/>
                      <w:sz w:val="21"/>
                      <w:szCs w:val="21"/>
                    </w:rPr>
                    <w:t>已投产</w:t>
                  </w:r>
                </w:p>
              </w:tc>
            </w:tr>
            <w:tr w14:paraId="7051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vAlign w:val="center"/>
                </w:tcPr>
                <w:p w14:paraId="37175166">
                  <w:pPr>
                    <w:pStyle w:val="3"/>
                    <w:spacing w:line="240" w:lineRule="auto"/>
                    <w:ind w:firstLine="0" w:firstLineChars="0"/>
                    <w:jc w:val="center"/>
                    <w:rPr>
                      <w:sz w:val="21"/>
                      <w:szCs w:val="21"/>
                    </w:rPr>
                  </w:pPr>
                  <w:r>
                    <w:rPr>
                      <w:rFonts w:hint="eastAsia"/>
                      <w:sz w:val="21"/>
                      <w:szCs w:val="21"/>
                    </w:rPr>
                    <w:t>2</w:t>
                  </w:r>
                </w:p>
              </w:tc>
              <w:tc>
                <w:tcPr>
                  <w:tcW w:w="977" w:type="pct"/>
                  <w:vMerge w:val="restart"/>
                  <w:vAlign w:val="center"/>
                </w:tcPr>
                <w:p w14:paraId="149A8987">
                  <w:pPr>
                    <w:pStyle w:val="3"/>
                    <w:spacing w:line="240" w:lineRule="auto"/>
                    <w:ind w:firstLine="0" w:firstLineChars="0"/>
                    <w:jc w:val="center"/>
                    <w:rPr>
                      <w:sz w:val="21"/>
                      <w:szCs w:val="21"/>
                    </w:rPr>
                  </w:pPr>
                  <w:r>
                    <w:rPr>
                      <w:rFonts w:hint="eastAsia"/>
                      <w:sz w:val="21"/>
                      <w:szCs w:val="21"/>
                    </w:rPr>
                    <w:t>年产800万只酒瓶及瓶盖表面处理建设项目</w:t>
                  </w:r>
                </w:p>
              </w:tc>
              <w:tc>
                <w:tcPr>
                  <w:tcW w:w="903" w:type="pct"/>
                  <w:vAlign w:val="center"/>
                </w:tcPr>
                <w:p w14:paraId="079AC0DC">
                  <w:pPr>
                    <w:pStyle w:val="3"/>
                    <w:spacing w:line="240" w:lineRule="auto"/>
                    <w:ind w:firstLine="0" w:firstLineChars="0"/>
                    <w:jc w:val="center"/>
                    <w:rPr>
                      <w:sz w:val="21"/>
                      <w:szCs w:val="21"/>
                    </w:rPr>
                  </w:pPr>
                  <w:r>
                    <w:rPr>
                      <w:rFonts w:hint="eastAsia"/>
                      <w:sz w:val="21"/>
                      <w:szCs w:val="21"/>
                    </w:rPr>
                    <w:t>玻璃瓶</w:t>
                  </w:r>
                </w:p>
              </w:tc>
              <w:tc>
                <w:tcPr>
                  <w:tcW w:w="490" w:type="pct"/>
                  <w:vAlign w:val="center"/>
                </w:tcPr>
                <w:p w14:paraId="56E56FF8">
                  <w:pPr>
                    <w:pStyle w:val="3"/>
                    <w:spacing w:line="240" w:lineRule="auto"/>
                    <w:ind w:firstLine="0" w:firstLineChars="0"/>
                    <w:jc w:val="center"/>
                    <w:rPr>
                      <w:sz w:val="21"/>
                      <w:szCs w:val="21"/>
                    </w:rPr>
                  </w:pPr>
                  <w:r>
                    <w:rPr>
                      <w:rFonts w:hint="eastAsia"/>
                      <w:sz w:val="21"/>
                      <w:szCs w:val="21"/>
                    </w:rPr>
                    <w:t>万只</w:t>
                  </w:r>
                </w:p>
              </w:tc>
              <w:tc>
                <w:tcPr>
                  <w:tcW w:w="627" w:type="pct"/>
                  <w:vAlign w:val="center"/>
                </w:tcPr>
                <w:p w14:paraId="3B0551D7">
                  <w:pPr>
                    <w:pStyle w:val="3"/>
                    <w:spacing w:line="240" w:lineRule="auto"/>
                    <w:ind w:firstLine="0" w:firstLineChars="0"/>
                    <w:jc w:val="center"/>
                    <w:rPr>
                      <w:sz w:val="21"/>
                      <w:szCs w:val="21"/>
                    </w:rPr>
                  </w:pPr>
                  <w:r>
                    <w:rPr>
                      <w:rFonts w:hint="eastAsia"/>
                      <w:sz w:val="21"/>
                      <w:szCs w:val="21"/>
                    </w:rPr>
                    <w:t>400</w:t>
                  </w:r>
                </w:p>
              </w:tc>
              <w:tc>
                <w:tcPr>
                  <w:tcW w:w="627" w:type="pct"/>
                  <w:vAlign w:val="center"/>
                </w:tcPr>
                <w:p w14:paraId="5621694A">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5AD120F6">
                  <w:pPr>
                    <w:pStyle w:val="3"/>
                    <w:spacing w:line="240" w:lineRule="auto"/>
                    <w:ind w:firstLine="0" w:firstLineChars="0"/>
                    <w:jc w:val="center"/>
                    <w:rPr>
                      <w:sz w:val="21"/>
                      <w:szCs w:val="21"/>
                    </w:rPr>
                  </w:pPr>
                  <w:r>
                    <w:rPr>
                      <w:rFonts w:hint="eastAsia"/>
                      <w:sz w:val="21"/>
                      <w:szCs w:val="21"/>
                    </w:rPr>
                    <w:t>400</w:t>
                  </w:r>
                </w:p>
              </w:tc>
              <w:tc>
                <w:tcPr>
                  <w:tcW w:w="502" w:type="pct"/>
                  <w:vMerge w:val="continue"/>
                  <w:vAlign w:val="center"/>
                </w:tcPr>
                <w:p w14:paraId="23EA587B">
                  <w:pPr>
                    <w:pStyle w:val="3"/>
                    <w:spacing w:line="240" w:lineRule="auto"/>
                    <w:ind w:firstLine="0" w:firstLineChars="0"/>
                    <w:jc w:val="center"/>
                    <w:rPr>
                      <w:sz w:val="21"/>
                      <w:szCs w:val="21"/>
                    </w:rPr>
                  </w:pPr>
                </w:p>
              </w:tc>
            </w:tr>
            <w:tr w14:paraId="5E9D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776D2EA0">
                  <w:pPr>
                    <w:pStyle w:val="3"/>
                    <w:spacing w:line="240" w:lineRule="auto"/>
                    <w:ind w:firstLine="0" w:firstLineChars="0"/>
                    <w:jc w:val="center"/>
                    <w:rPr>
                      <w:sz w:val="21"/>
                      <w:szCs w:val="21"/>
                    </w:rPr>
                  </w:pPr>
                </w:p>
              </w:tc>
              <w:tc>
                <w:tcPr>
                  <w:tcW w:w="977" w:type="pct"/>
                  <w:vMerge w:val="continue"/>
                  <w:vAlign w:val="center"/>
                </w:tcPr>
                <w:p w14:paraId="32A2AB3C">
                  <w:pPr>
                    <w:pStyle w:val="3"/>
                    <w:spacing w:line="240" w:lineRule="auto"/>
                    <w:ind w:firstLine="0" w:firstLineChars="0"/>
                    <w:jc w:val="center"/>
                    <w:rPr>
                      <w:sz w:val="21"/>
                      <w:szCs w:val="21"/>
                    </w:rPr>
                  </w:pPr>
                </w:p>
              </w:tc>
              <w:tc>
                <w:tcPr>
                  <w:tcW w:w="903" w:type="pct"/>
                  <w:vAlign w:val="center"/>
                </w:tcPr>
                <w:p w14:paraId="258FE10F">
                  <w:pPr>
                    <w:pStyle w:val="3"/>
                    <w:spacing w:line="240" w:lineRule="auto"/>
                    <w:ind w:firstLine="0" w:firstLineChars="0"/>
                    <w:jc w:val="center"/>
                    <w:rPr>
                      <w:sz w:val="21"/>
                      <w:szCs w:val="21"/>
                    </w:rPr>
                  </w:pPr>
                  <w:r>
                    <w:rPr>
                      <w:rFonts w:hint="eastAsia"/>
                      <w:sz w:val="21"/>
                      <w:szCs w:val="21"/>
                    </w:rPr>
                    <w:t>塑料瓶盖</w:t>
                  </w:r>
                </w:p>
              </w:tc>
              <w:tc>
                <w:tcPr>
                  <w:tcW w:w="490" w:type="pct"/>
                  <w:vAlign w:val="center"/>
                </w:tcPr>
                <w:p w14:paraId="1BB9C223">
                  <w:pPr>
                    <w:pStyle w:val="3"/>
                    <w:spacing w:line="240" w:lineRule="auto"/>
                    <w:ind w:firstLine="0" w:firstLineChars="0"/>
                    <w:jc w:val="center"/>
                    <w:rPr>
                      <w:sz w:val="21"/>
                      <w:szCs w:val="21"/>
                    </w:rPr>
                  </w:pPr>
                  <w:r>
                    <w:rPr>
                      <w:rFonts w:hint="eastAsia"/>
                      <w:sz w:val="21"/>
                      <w:szCs w:val="21"/>
                    </w:rPr>
                    <w:t>万只</w:t>
                  </w:r>
                </w:p>
              </w:tc>
              <w:tc>
                <w:tcPr>
                  <w:tcW w:w="627" w:type="pct"/>
                  <w:vAlign w:val="center"/>
                </w:tcPr>
                <w:p w14:paraId="40596958">
                  <w:pPr>
                    <w:pStyle w:val="3"/>
                    <w:spacing w:line="240" w:lineRule="auto"/>
                    <w:ind w:firstLine="0" w:firstLineChars="0"/>
                    <w:jc w:val="center"/>
                    <w:rPr>
                      <w:sz w:val="21"/>
                      <w:szCs w:val="21"/>
                    </w:rPr>
                  </w:pPr>
                  <w:r>
                    <w:rPr>
                      <w:rFonts w:hint="eastAsia"/>
                      <w:sz w:val="21"/>
                      <w:szCs w:val="21"/>
                    </w:rPr>
                    <w:t>400</w:t>
                  </w:r>
                </w:p>
              </w:tc>
              <w:tc>
                <w:tcPr>
                  <w:tcW w:w="627" w:type="pct"/>
                  <w:vAlign w:val="center"/>
                </w:tcPr>
                <w:p w14:paraId="412B2A63">
                  <w:pPr>
                    <w:pStyle w:val="3"/>
                    <w:spacing w:line="240" w:lineRule="auto"/>
                    <w:ind w:firstLine="0" w:firstLineChars="0"/>
                    <w:jc w:val="center"/>
                    <w:rPr>
                      <w:sz w:val="21"/>
                      <w:szCs w:val="21"/>
                    </w:rPr>
                  </w:pPr>
                  <w:r>
                    <w:rPr>
                      <w:rFonts w:hint="eastAsia"/>
                      <w:sz w:val="21"/>
                      <w:szCs w:val="21"/>
                    </w:rPr>
                    <w:t>0</w:t>
                  </w:r>
                </w:p>
              </w:tc>
              <w:tc>
                <w:tcPr>
                  <w:tcW w:w="628" w:type="pct"/>
                  <w:vAlign w:val="center"/>
                </w:tcPr>
                <w:p w14:paraId="3005F481">
                  <w:pPr>
                    <w:pStyle w:val="3"/>
                    <w:spacing w:line="240" w:lineRule="auto"/>
                    <w:ind w:firstLine="0" w:firstLineChars="0"/>
                    <w:jc w:val="center"/>
                    <w:rPr>
                      <w:sz w:val="21"/>
                      <w:szCs w:val="21"/>
                    </w:rPr>
                  </w:pPr>
                  <w:r>
                    <w:rPr>
                      <w:rFonts w:hint="eastAsia"/>
                      <w:sz w:val="21"/>
                      <w:szCs w:val="21"/>
                    </w:rPr>
                    <w:t>400</w:t>
                  </w:r>
                </w:p>
              </w:tc>
              <w:tc>
                <w:tcPr>
                  <w:tcW w:w="502" w:type="pct"/>
                  <w:vMerge w:val="continue"/>
                  <w:vAlign w:val="center"/>
                </w:tcPr>
                <w:p w14:paraId="6F81B8D9">
                  <w:pPr>
                    <w:pStyle w:val="3"/>
                    <w:spacing w:line="240" w:lineRule="auto"/>
                    <w:ind w:firstLine="0" w:firstLineChars="0"/>
                    <w:jc w:val="center"/>
                    <w:rPr>
                      <w:sz w:val="21"/>
                      <w:szCs w:val="21"/>
                    </w:rPr>
                  </w:pPr>
                </w:p>
              </w:tc>
            </w:tr>
            <w:tr w14:paraId="4D31C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restart"/>
                  <w:vAlign w:val="center"/>
                </w:tcPr>
                <w:p w14:paraId="3DA77DC6">
                  <w:pPr>
                    <w:pStyle w:val="3"/>
                    <w:spacing w:line="240" w:lineRule="auto"/>
                    <w:ind w:firstLine="0" w:firstLineChars="0"/>
                    <w:jc w:val="center"/>
                    <w:rPr>
                      <w:sz w:val="21"/>
                      <w:szCs w:val="21"/>
                    </w:rPr>
                  </w:pPr>
                  <w:r>
                    <w:rPr>
                      <w:rFonts w:hint="eastAsia"/>
                      <w:sz w:val="21"/>
                      <w:szCs w:val="21"/>
                    </w:rPr>
                    <w:t>3</w:t>
                  </w:r>
                </w:p>
              </w:tc>
              <w:tc>
                <w:tcPr>
                  <w:tcW w:w="977" w:type="pct"/>
                  <w:vMerge w:val="restart"/>
                  <w:vAlign w:val="center"/>
                </w:tcPr>
                <w:p w14:paraId="5D90F656">
                  <w:pPr>
                    <w:pStyle w:val="3"/>
                    <w:spacing w:line="240" w:lineRule="auto"/>
                    <w:ind w:firstLine="0" w:firstLineChars="0"/>
                    <w:jc w:val="center"/>
                    <w:rPr>
                      <w:sz w:val="21"/>
                      <w:szCs w:val="21"/>
                    </w:rPr>
                  </w:pPr>
                  <w:r>
                    <w:rPr>
                      <w:rFonts w:hint="eastAsia"/>
                      <w:sz w:val="21"/>
                      <w:szCs w:val="21"/>
                    </w:rPr>
                    <w:t>本项目</w:t>
                  </w:r>
                </w:p>
              </w:tc>
              <w:tc>
                <w:tcPr>
                  <w:tcW w:w="903" w:type="pct"/>
                  <w:vAlign w:val="center"/>
                </w:tcPr>
                <w:p w14:paraId="1D47202E">
                  <w:pPr>
                    <w:pStyle w:val="3"/>
                    <w:spacing w:line="240" w:lineRule="auto"/>
                    <w:ind w:firstLine="0" w:firstLineChars="0"/>
                    <w:jc w:val="center"/>
                    <w:rPr>
                      <w:sz w:val="21"/>
                      <w:szCs w:val="21"/>
                    </w:rPr>
                  </w:pPr>
                  <w:r>
                    <w:rPr>
                      <w:rFonts w:hint="eastAsia"/>
                      <w:sz w:val="21"/>
                      <w:szCs w:val="21"/>
                    </w:rPr>
                    <w:t>酒瓶外包装盒</w:t>
                  </w:r>
                </w:p>
              </w:tc>
              <w:tc>
                <w:tcPr>
                  <w:tcW w:w="490" w:type="pct"/>
                  <w:vAlign w:val="center"/>
                </w:tcPr>
                <w:p w14:paraId="4CAA3D82">
                  <w:pPr>
                    <w:pStyle w:val="3"/>
                    <w:spacing w:line="240" w:lineRule="auto"/>
                    <w:ind w:firstLine="0" w:firstLineChars="0"/>
                    <w:jc w:val="center"/>
                    <w:rPr>
                      <w:sz w:val="21"/>
                      <w:szCs w:val="21"/>
                    </w:rPr>
                  </w:pPr>
                  <w:r>
                    <w:rPr>
                      <w:rFonts w:hint="eastAsia"/>
                      <w:sz w:val="21"/>
                      <w:szCs w:val="21"/>
                    </w:rPr>
                    <w:t>万只</w:t>
                  </w:r>
                </w:p>
              </w:tc>
              <w:tc>
                <w:tcPr>
                  <w:tcW w:w="627" w:type="pct"/>
                  <w:vAlign w:val="center"/>
                </w:tcPr>
                <w:p w14:paraId="3A0671EE">
                  <w:pPr>
                    <w:pStyle w:val="3"/>
                    <w:spacing w:line="240" w:lineRule="auto"/>
                    <w:ind w:firstLine="0" w:firstLineChars="0"/>
                    <w:jc w:val="center"/>
                    <w:rPr>
                      <w:sz w:val="21"/>
                      <w:szCs w:val="21"/>
                    </w:rPr>
                  </w:pPr>
                  <w:r>
                    <w:rPr>
                      <w:rFonts w:hint="eastAsia"/>
                      <w:sz w:val="21"/>
                      <w:szCs w:val="21"/>
                    </w:rPr>
                    <w:t>0</w:t>
                  </w:r>
                </w:p>
              </w:tc>
              <w:tc>
                <w:tcPr>
                  <w:tcW w:w="627" w:type="pct"/>
                  <w:vAlign w:val="center"/>
                </w:tcPr>
                <w:p w14:paraId="244D78CD">
                  <w:pPr>
                    <w:pStyle w:val="3"/>
                    <w:spacing w:line="240" w:lineRule="auto"/>
                    <w:ind w:firstLine="0" w:firstLineChars="0"/>
                    <w:jc w:val="center"/>
                    <w:rPr>
                      <w:sz w:val="21"/>
                      <w:szCs w:val="21"/>
                    </w:rPr>
                  </w:pPr>
                  <w:r>
                    <w:rPr>
                      <w:rFonts w:hint="eastAsia"/>
                      <w:sz w:val="21"/>
                      <w:szCs w:val="21"/>
                    </w:rPr>
                    <w:t>3000</w:t>
                  </w:r>
                </w:p>
              </w:tc>
              <w:tc>
                <w:tcPr>
                  <w:tcW w:w="628" w:type="pct"/>
                  <w:vAlign w:val="center"/>
                </w:tcPr>
                <w:p w14:paraId="4B2012EF">
                  <w:pPr>
                    <w:pStyle w:val="3"/>
                    <w:spacing w:line="240" w:lineRule="auto"/>
                    <w:ind w:firstLine="0" w:firstLineChars="0"/>
                    <w:jc w:val="center"/>
                    <w:rPr>
                      <w:sz w:val="21"/>
                      <w:szCs w:val="21"/>
                    </w:rPr>
                  </w:pPr>
                  <w:r>
                    <w:rPr>
                      <w:rFonts w:hint="eastAsia"/>
                      <w:sz w:val="21"/>
                      <w:szCs w:val="21"/>
                    </w:rPr>
                    <w:t>3000</w:t>
                  </w:r>
                </w:p>
              </w:tc>
              <w:tc>
                <w:tcPr>
                  <w:tcW w:w="502" w:type="pct"/>
                  <w:vMerge w:val="restart"/>
                  <w:vAlign w:val="center"/>
                </w:tcPr>
                <w:p w14:paraId="28833916">
                  <w:pPr>
                    <w:pStyle w:val="3"/>
                    <w:spacing w:line="240" w:lineRule="auto"/>
                    <w:ind w:firstLine="0" w:firstLineChars="0"/>
                    <w:jc w:val="center"/>
                    <w:rPr>
                      <w:sz w:val="21"/>
                      <w:szCs w:val="21"/>
                    </w:rPr>
                  </w:pPr>
                  <w:r>
                    <w:rPr>
                      <w:rFonts w:hint="eastAsia"/>
                      <w:sz w:val="21"/>
                      <w:szCs w:val="21"/>
                    </w:rPr>
                    <w:t>拟建</w:t>
                  </w:r>
                </w:p>
              </w:tc>
            </w:tr>
            <w:tr w14:paraId="28EE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 w:type="pct"/>
                  <w:vMerge w:val="continue"/>
                  <w:vAlign w:val="center"/>
                </w:tcPr>
                <w:p w14:paraId="32F75987">
                  <w:pPr>
                    <w:pStyle w:val="3"/>
                    <w:spacing w:line="240" w:lineRule="auto"/>
                    <w:ind w:firstLine="0" w:firstLineChars="0"/>
                    <w:jc w:val="center"/>
                    <w:rPr>
                      <w:sz w:val="21"/>
                      <w:szCs w:val="21"/>
                    </w:rPr>
                  </w:pPr>
                </w:p>
              </w:tc>
              <w:tc>
                <w:tcPr>
                  <w:tcW w:w="977" w:type="pct"/>
                  <w:vMerge w:val="continue"/>
                  <w:vAlign w:val="center"/>
                </w:tcPr>
                <w:p w14:paraId="563257C0">
                  <w:pPr>
                    <w:pStyle w:val="3"/>
                    <w:spacing w:line="240" w:lineRule="auto"/>
                    <w:ind w:firstLine="0" w:firstLineChars="0"/>
                    <w:jc w:val="center"/>
                    <w:rPr>
                      <w:sz w:val="21"/>
                      <w:szCs w:val="21"/>
                    </w:rPr>
                  </w:pPr>
                </w:p>
              </w:tc>
              <w:tc>
                <w:tcPr>
                  <w:tcW w:w="903" w:type="pct"/>
                  <w:vAlign w:val="center"/>
                </w:tcPr>
                <w:p w14:paraId="645D3412">
                  <w:pPr>
                    <w:pStyle w:val="3"/>
                    <w:spacing w:line="240" w:lineRule="auto"/>
                    <w:ind w:firstLine="0" w:firstLineChars="0"/>
                    <w:jc w:val="center"/>
                    <w:rPr>
                      <w:sz w:val="21"/>
                      <w:szCs w:val="21"/>
                    </w:rPr>
                  </w:pPr>
                  <w:r>
                    <w:rPr>
                      <w:rFonts w:hint="eastAsia"/>
                      <w:sz w:val="21"/>
                      <w:szCs w:val="21"/>
                    </w:rPr>
                    <w:t>日用家电配件</w:t>
                  </w:r>
                </w:p>
              </w:tc>
              <w:tc>
                <w:tcPr>
                  <w:tcW w:w="490" w:type="pct"/>
                  <w:vAlign w:val="center"/>
                </w:tcPr>
                <w:p w14:paraId="66A36FC7">
                  <w:pPr>
                    <w:pStyle w:val="3"/>
                    <w:spacing w:line="240" w:lineRule="auto"/>
                    <w:ind w:firstLine="0" w:firstLineChars="0"/>
                    <w:jc w:val="center"/>
                    <w:rPr>
                      <w:sz w:val="21"/>
                      <w:szCs w:val="21"/>
                    </w:rPr>
                  </w:pPr>
                  <w:r>
                    <w:rPr>
                      <w:rFonts w:hint="eastAsia"/>
                      <w:sz w:val="21"/>
                      <w:szCs w:val="21"/>
                    </w:rPr>
                    <w:t>万只</w:t>
                  </w:r>
                </w:p>
              </w:tc>
              <w:tc>
                <w:tcPr>
                  <w:tcW w:w="627" w:type="pct"/>
                  <w:vAlign w:val="center"/>
                </w:tcPr>
                <w:p w14:paraId="27040BF2">
                  <w:pPr>
                    <w:pStyle w:val="3"/>
                    <w:spacing w:line="240" w:lineRule="auto"/>
                    <w:ind w:firstLine="0" w:firstLineChars="0"/>
                    <w:jc w:val="center"/>
                    <w:rPr>
                      <w:sz w:val="21"/>
                      <w:szCs w:val="21"/>
                    </w:rPr>
                  </w:pPr>
                  <w:r>
                    <w:rPr>
                      <w:rFonts w:hint="eastAsia"/>
                      <w:sz w:val="21"/>
                      <w:szCs w:val="21"/>
                    </w:rPr>
                    <w:t>0</w:t>
                  </w:r>
                </w:p>
              </w:tc>
              <w:tc>
                <w:tcPr>
                  <w:tcW w:w="627" w:type="pct"/>
                  <w:vAlign w:val="center"/>
                </w:tcPr>
                <w:p w14:paraId="614B16E8">
                  <w:pPr>
                    <w:pStyle w:val="3"/>
                    <w:spacing w:line="240" w:lineRule="auto"/>
                    <w:ind w:firstLine="0" w:firstLineChars="0"/>
                    <w:jc w:val="center"/>
                    <w:rPr>
                      <w:sz w:val="21"/>
                      <w:szCs w:val="21"/>
                    </w:rPr>
                  </w:pPr>
                  <w:r>
                    <w:rPr>
                      <w:rFonts w:hint="eastAsia"/>
                      <w:sz w:val="21"/>
                      <w:szCs w:val="21"/>
                    </w:rPr>
                    <w:t>1000</w:t>
                  </w:r>
                </w:p>
              </w:tc>
              <w:tc>
                <w:tcPr>
                  <w:tcW w:w="628" w:type="pct"/>
                  <w:vAlign w:val="center"/>
                </w:tcPr>
                <w:p w14:paraId="18BAB3E0">
                  <w:pPr>
                    <w:pStyle w:val="3"/>
                    <w:spacing w:line="240" w:lineRule="auto"/>
                    <w:ind w:firstLine="0" w:firstLineChars="0"/>
                    <w:jc w:val="center"/>
                    <w:rPr>
                      <w:sz w:val="21"/>
                      <w:szCs w:val="21"/>
                    </w:rPr>
                  </w:pPr>
                  <w:r>
                    <w:rPr>
                      <w:rFonts w:hint="eastAsia"/>
                      <w:sz w:val="21"/>
                      <w:szCs w:val="21"/>
                    </w:rPr>
                    <w:t>1000</w:t>
                  </w:r>
                </w:p>
              </w:tc>
              <w:tc>
                <w:tcPr>
                  <w:tcW w:w="502" w:type="pct"/>
                  <w:vMerge w:val="continue"/>
                  <w:vAlign w:val="center"/>
                </w:tcPr>
                <w:p w14:paraId="4D9359F0">
                  <w:pPr>
                    <w:pStyle w:val="3"/>
                    <w:spacing w:line="240" w:lineRule="auto"/>
                    <w:ind w:firstLine="0" w:firstLineChars="0"/>
                    <w:jc w:val="center"/>
                    <w:rPr>
                      <w:sz w:val="21"/>
                      <w:szCs w:val="21"/>
                    </w:rPr>
                  </w:pPr>
                </w:p>
              </w:tc>
            </w:tr>
          </w:tbl>
          <w:p w14:paraId="02C341C3">
            <w:pPr>
              <w:spacing w:line="360" w:lineRule="auto"/>
              <w:ind w:firstLine="482" w:firstLineChars="200"/>
              <w:rPr>
                <w:rFonts w:cs="Times New Roman"/>
                <w:b/>
                <w:sz w:val="24"/>
                <w:szCs w:val="24"/>
              </w:rPr>
            </w:pPr>
            <w:r>
              <w:rPr>
                <w:rFonts w:cs="Times New Roman"/>
                <w:b/>
                <w:sz w:val="24"/>
                <w:szCs w:val="24"/>
              </w:rPr>
              <w:t>4、项目组成及主要环境问题</w:t>
            </w:r>
          </w:p>
          <w:p w14:paraId="17BE94C8">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本</w:t>
            </w:r>
            <w:r>
              <w:rPr>
                <w:rFonts w:asciiTheme="minorEastAsia" w:hAnsiTheme="minorEastAsia"/>
                <w:sz w:val="24"/>
                <w:szCs w:val="24"/>
              </w:rPr>
              <w:t>项目组成及主要环境问题</w:t>
            </w:r>
            <w:r>
              <w:rPr>
                <w:rFonts w:hint="eastAsia" w:asciiTheme="minorEastAsia" w:hAnsiTheme="minorEastAsia"/>
                <w:sz w:val="24"/>
                <w:szCs w:val="24"/>
              </w:rPr>
              <w:t>见下表。</w:t>
            </w:r>
          </w:p>
          <w:p w14:paraId="2D2F7113">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项目组成及主要环境问题</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450"/>
              <w:gridCol w:w="763"/>
              <w:gridCol w:w="4067"/>
              <w:gridCol w:w="1171"/>
              <w:gridCol w:w="1196"/>
              <w:gridCol w:w="776"/>
            </w:tblGrid>
            <w:tr w14:paraId="6972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14:paraId="16538AC0">
                  <w:pPr>
                    <w:jc w:val="center"/>
                    <w:rPr>
                      <w:szCs w:val="21"/>
                    </w:rPr>
                  </w:pPr>
                  <w:r>
                    <w:rPr>
                      <w:rFonts w:hint="eastAsia"/>
                      <w:szCs w:val="21"/>
                    </w:rPr>
                    <w:t>工程分类</w:t>
                  </w:r>
                </w:p>
              </w:tc>
              <w:tc>
                <w:tcPr>
                  <w:tcW w:w="663" w:type="pct"/>
                  <w:gridSpan w:val="2"/>
                  <w:vMerge w:val="restart"/>
                  <w:shd w:val="clear" w:color="auto" w:fill="auto"/>
                  <w:vAlign w:val="center"/>
                </w:tcPr>
                <w:p w14:paraId="1DFE9981">
                  <w:pPr>
                    <w:jc w:val="center"/>
                    <w:rPr>
                      <w:szCs w:val="21"/>
                    </w:rPr>
                  </w:pPr>
                  <w:r>
                    <w:rPr>
                      <w:rFonts w:hint="eastAsia"/>
                      <w:szCs w:val="21"/>
                    </w:rPr>
                    <w:t>项目名称</w:t>
                  </w:r>
                </w:p>
              </w:tc>
              <w:tc>
                <w:tcPr>
                  <w:tcW w:w="2223" w:type="pct"/>
                  <w:vMerge w:val="restart"/>
                  <w:shd w:val="clear" w:color="auto" w:fill="auto"/>
                  <w:vAlign w:val="center"/>
                </w:tcPr>
                <w:p w14:paraId="4B53B4B7">
                  <w:pPr>
                    <w:jc w:val="center"/>
                    <w:rPr>
                      <w:szCs w:val="21"/>
                    </w:rPr>
                  </w:pPr>
                  <w:r>
                    <w:rPr>
                      <w:rFonts w:hint="eastAsia"/>
                      <w:szCs w:val="21"/>
                    </w:rPr>
                    <w:t>建设</w:t>
                  </w:r>
                  <w:r>
                    <w:rPr>
                      <w:szCs w:val="21"/>
                    </w:rPr>
                    <w:t>内容及规模</w:t>
                  </w:r>
                </w:p>
              </w:tc>
              <w:tc>
                <w:tcPr>
                  <w:tcW w:w="1294" w:type="pct"/>
                  <w:gridSpan w:val="2"/>
                  <w:shd w:val="clear" w:color="auto" w:fill="auto"/>
                  <w:vAlign w:val="center"/>
                </w:tcPr>
                <w:p w14:paraId="6548BBED">
                  <w:pPr>
                    <w:jc w:val="center"/>
                    <w:rPr>
                      <w:szCs w:val="21"/>
                    </w:rPr>
                  </w:pPr>
                  <w:r>
                    <w:rPr>
                      <w:rFonts w:hint="eastAsia"/>
                      <w:szCs w:val="21"/>
                    </w:rPr>
                    <w:t>可能</w:t>
                  </w:r>
                  <w:r>
                    <w:rPr>
                      <w:szCs w:val="21"/>
                    </w:rPr>
                    <w:t>产生的环境问题</w:t>
                  </w:r>
                </w:p>
              </w:tc>
              <w:tc>
                <w:tcPr>
                  <w:tcW w:w="424" w:type="pct"/>
                  <w:vMerge w:val="restart"/>
                  <w:vAlign w:val="center"/>
                </w:tcPr>
                <w:p w14:paraId="325E5F12">
                  <w:pPr>
                    <w:jc w:val="center"/>
                    <w:rPr>
                      <w:szCs w:val="21"/>
                    </w:rPr>
                  </w:pPr>
                  <w:r>
                    <w:rPr>
                      <w:rFonts w:hint="eastAsia"/>
                      <w:szCs w:val="21"/>
                    </w:rPr>
                    <w:t>备注</w:t>
                  </w:r>
                </w:p>
              </w:tc>
            </w:tr>
            <w:tr w14:paraId="0387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564C3EDA">
                  <w:pPr>
                    <w:jc w:val="center"/>
                    <w:rPr>
                      <w:szCs w:val="21"/>
                    </w:rPr>
                  </w:pPr>
                </w:p>
              </w:tc>
              <w:tc>
                <w:tcPr>
                  <w:tcW w:w="663" w:type="pct"/>
                  <w:gridSpan w:val="2"/>
                  <w:vMerge w:val="continue"/>
                  <w:shd w:val="clear" w:color="auto" w:fill="auto"/>
                  <w:vAlign w:val="center"/>
                </w:tcPr>
                <w:p w14:paraId="46140D5B">
                  <w:pPr>
                    <w:jc w:val="center"/>
                    <w:rPr>
                      <w:szCs w:val="21"/>
                    </w:rPr>
                  </w:pPr>
                </w:p>
              </w:tc>
              <w:tc>
                <w:tcPr>
                  <w:tcW w:w="2223" w:type="pct"/>
                  <w:vMerge w:val="continue"/>
                  <w:shd w:val="clear" w:color="auto" w:fill="auto"/>
                  <w:vAlign w:val="center"/>
                </w:tcPr>
                <w:p w14:paraId="0A5145F0">
                  <w:pPr>
                    <w:jc w:val="center"/>
                    <w:rPr>
                      <w:szCs w:val="21"/>
                    </w:rPr>
                  </w:pPr>
                </w:p>
              </w:tc>
              <w:tc>
                <w:tcPr>
                  <w:tcW w:w="640" w:type="pct"/>
                  <w:shd w:val="clear" w:color="auto" w:fill="auto"/>
                  <w:vAlign w:val="center"/>
                </w:tcPr>
                <w:p w14:paraId="6AF4AE8C">
                  <w:pPr>
                    <w:jc w:val="center"/>
                    <w:rPr>
                      <w:szCs w:val="21"/>
                    </w:rPr>
                  </w:pPr>
                  <w:r>
                    <w:rPr>
                      <w:rFonts w:hint="eastAsia"/>
                      <w:szCs w:val="21"/>
                    </w:rPr>
                    <w:t>施工期</w:t>
                  </w:r>
                </w:p>
              </w:tc>
              <w:tc>
                <w:tcPr>
                  <w:tcW w:w="654" w:type="pct"/>
                  <w:shd w:val="clear" w:color="auto" w:fill="auto"/>
                  <w:vAlign w:val="center"/>
                </w:tcPr>
                <w:p w14:paraId="47D93110">
                  <w:pPr>
                    <w:jc w:val="center"/>
                    <w:rPr>
                      <w:szCs w:val="21"/>
                    </w:rPr>
                  </w:pPr>
                  <w:r>
                    <w:rPr>
                      <w:rFonts w:hint="eastAsia"/>
                      <w:szCs w:val="21"/>
                    </w:rPr>
                    <w:t>营运期</w:t>
                  </w:r>
                </w:p>
              </w:tc>
              <w:tc>
                <w:tcPr>
                  <w:tcW w:w="424" w:type="pct"/>
                  <w:vMerge w:val="continue"/>
                  <w:vAlign w:val="center"/>
                </w:tcPr>
                <w:p w14:paraId="723C048E">
                  <w:pPr>
                    <w:jc w:val="center"/>
                    <w:rPr>
                      <w:szCs w:val="21"/>
                    </w:rPr>
                  </w:pPr>
                </w:p>
              </w:tc>
            </w:tr>
            <w:tr w14:paraId="26AA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shd w:val="clear" w:color="auto" w:fill="auto"/>
                  <w:vAlign w:val="center"/>
                </w:tcPr>
                <w:p w14:paraId="0A361AF5">
                  <w:pPr>
                    <w:jc w:val="center"/>
                    <w:rPr>
                      <w:szCs w:val="21"/>
                    </w:rPr>
                  </w:pPr>
                  <w:r>
                    <w:rPr>
                      <w:rFonts w:hint="eastAsia"/>
                      <w:szCs w:val="21"/>
                    </w:rPr>
                    <w:t>主体工程</w:t>
                  </w:r>
                </w:p>
              </w:tc>
              <w:tc>
                <w:tcPr>
                  <w:tcW w:w="663" w:type="pct"/>
                  <w:gridSpan w:val="2"/>
                  <w:shd w:val="clear" w:color="auto" w:fill="auto"/>
                  <w:vAlign w:val="center"/>
                </w:tcPr>
                <w:p w14:paraId="58B4DCB4">
                  <w:pPr>
                    <w:jc w:val="center"/>
                    <w:rPr>
                      <w:bCs/>
                      <w:szCs w:val="21"/>
                    </w:rPr>
                  </w:pPr>
                  <w:r>
                    <w:rPr>
                      <w:rFonts w:hint="eastAsia"/>
                      <w:bCs/>
                      <w:szCs w:val="21"/>
                    </w:rPr>
                    <w:t>生产车间</w:t>
                  </w:r>
                </w:p>
              </w:tc>
              <w:tc>
                <w:tcPr>
                  <w:tcW w:w="2223" w:type="pct"/>
                  <w:shd w:val="clear" w:color="auto" w:fill="auto"/>
                  <w:vAlign w:val="center"/>
                </w:tcPr>
                <w:p w14:paraId="2D83CBF8">
                  <w:pPr>
                    <w:rPr>
                      <w:bCs/>
                      <w:szCs w:val="21"/>
                    </w:rPr>
                  </w:pPr>
                  <w:r>
                    <w:rPr>
                      <w:rFonts w:hint="eastAsia"/>
                      <w:bCs/>
                      <w:szCs w:val="21"/>
                    </w:rPr>
                    <w:t>2F，H</w:t>
                  </w:r>
                  <w:r>
                    <w:rPr>
                      <w:bCs/>
                      <w:szCs w:val="21"/>
                    </w:rPr>
                    <w:t>=</w:t>
                  </w:r>
                  <w:r>
                    <w:rPr>
                      <w:rFonts w:hint="eastAsia"/>
                      <w:bCs/>
                      <w:szCs w:val="21"/>
                    </w:rPr>
                    <w:t>11.65</w:t>
                  </w:r>
                  <w:r>
                    <w:rPr>
                      <w:bCs/>
                      <w:szCs w:val="21"/>
                    </w:rPr>
                    <w:t>m，</w:t>
                  </w:r>
                  <w:r>
                    <w:rPr>
                      <w:rFonts w:hint="eastAsia"/>
                      <w:bCs/>
                      <w:szCs w:val="21"/>
                    </w:rPr>
                    <w:t>钢结构，建筑面积约7667.36m</w:t>
                  </w:r>
                  <w:r>
                    <w:rPr>
                      <w:bCs/>
                      <w:szCs w:val="21"/>
                      <w:vertAlign w:val="superscript"/>
                    </w:rPr>
                    <w:t>2</w:t>
                  </w:r>
                  <w:r>
                    <w:rPr>
                      <w:bCs/>
                      <w:szCs w:val="21"/>
                    </w:rPr>
                    <w:t>，</w:t>
                  </w:r>
                  <w:r>
                    <w:rPr>
                      <w:rFonts w:hint="eastAsia"/>
                      <w:bCs/>
                      <w:szCs w:val="21"/>
                    </w:rPr>
                    <w:t>其中：1F设原料区、模具区、注塑成型区、压泡区、裁边区、印刷间、烫金区、检验区、包装区、半成品区、成品暂存区等；2F设成品暂存区。</w:t>
                  </w:r>
                </w:p>
              </w:tc>
              <w:tc>
                <w:tcPr>
                  <w:tcW w:w="640" w:type="pct"/>
                  <w:vMerge w:val="restart"/>
                  <w:shd w:val="clear" w:color="auto" w:fill="auto"/>
                  <w:vAlign w:val="center"/>
                </w:tcPr>
                <w:p w14:paraId="63022DB8">
                  <w:pPr>
                    <w:jc w:val="center"/>
                    <w:rPr>
                      <w:szCs w:val="21"/>
                    </w:rPr>
                  </w:pPr>
                  <w:r>
                    <w:rPr>
                      <w:rFonts w:hint="eastAsia"/>
                      <w:szCs w:val="21"/>
                    </w:rPr>
                    <w:t>施工扬尘</w:t>
                  </w:r>
                </w:p>
                <w:p w14:paraId="65A0CC59">
                  <w:pPr>
                    <w:jc w:val="center"/>
                    <w:rPr>
                      <w:szCs w:val="21"/>
                    </w:rPr>
                  </w:pPr>
                  <w:r>
                    <w:rPr>
                      <w:szCs w:val="21"/>
                    </w:rPr>
                    <w:t>施工废气</w:t>
                  </w:r>
                </w:p>
                <w:p w14:paraId="64CC70BC">
                  <w:pPr>
                    <w:jc w:val="center"/>
                    <w:rPr>
                      <w:szCs w:val="21"/>
                    </w:rPr>
                  </w:pPr>
                  <w:r>
                    <w:rPr>
                      <w:szCs w:val="21"/>
                    </w:rPr>
                    <w:t>施工废水</w:t>
                  </w:r>
                </w:p>
                <w:p w14:paraId="120DC68C">
                  <w:pPr>
                    <w:jc w:val="center"/>
                    <w:rPr>
                      <w:szCs w:val="21"/>
                    </w:rPr>
                  </w:pPr>
                  <w:r>
                    <w:rPr>
                      <w:szCs w:val="21"/>
                    </w:rPr>
                    <w:t>生活污水</w:t>
                  </w:r>
                </w:p>
                <w:p w14:paraId="3586B211">
                  <w:pPr>
                    <w:jc w:val="center"/>
                    <w:rPr>
                      <w:szCs w:val="21"/>
                    </w:rPr>
                  </w:pPr>
                  <w:r>
                    <w:rPr>
                      <w:szCs w:val="21"/>
                    </w:rPr>
                    <w:t>施工噪声</w:t>
                  </w:r>
                </w:p>
                <w:p w14:paraId="0B69FB6A">
                  <w:pPr>
                    <w:jc w:val="center"/>
                    <w:rPr>
                      <w:szCs w:val="21"/>
                    </w:rPr>
                  </w:pPr>
                  <w:r>
                    <w:rPr>
                      <w:szCs w:val="21"/>
                    </w:rPr>
                    <w:t>固体废物</w:t>
                  </w:r>
                </w:p>
                <w:p w14:paraId="3E832F98">
                  <w:pPr>
                    <w:jc w:val="center"/>
                    <w:rPr>
                      <w:szCs w:val="21"/>
                    </w:rPr>
                  </w:pPr>
                  <w:r>
                    <w:rPr>
                      <w:rFonts w:hint="eastAsia"/>
                      <w:szCs w:val="21"/>
                    </w:rPr>
                    <w:t>生态影响</w:t>
                  </w:r>
                </w:p>
              </w:tc>
              <w:tc>
                <w:tcPr>
                  <w:tcW w:w="654" w:type="pct"/>
                  <w:shd w:val="clear" w:color="auto" w:fill="auto"/>
                  <w:vAlign w:val="center"/>
                </w:tcPr>
                <w:p w14:paraId="49C5C0B8">
                  <w:pPr>
                    <w:jc w:val="center"/>
                    <w:rPr>
                      <w:bCs/>
                      <w:szCs w:val="21"/>
                    </w:rPr>
                  </w:pPr>
                  <w:r>
                    <w:rPr>
                      <w:rFonts w:hint="eastAsia"/>
                      <w:bCs/>
                      <w:szCs w:val="21"/>
                    </w:rPr>
                    <w:t>废气、废水、噪声、固废</w:t>
                  </w:r>
                </w:p>
              </w:tc>
              <w:tc>
                <w:tcPr>
                  <w:tcW w:w="424" w:type="pct"/>
                  <w:vAlign w:val="center"/>
                </w:tcPr>
                <w:p w14:paraId="427F3F44">
                  <w:pPr>
                    <w:jc w:val="center"/>
                    <w:rPr>
                      <w:bCs/>
                      <w:szCs w:val="21"/>
                    </w:rPr>
                  </w:pPr>
                  <w:r>
                    <w:rPr>
                      <w:rFonts w:hint="eastAsia"/>
                      <w:bCs/>
                      <w:szCs w:val="21"/>
                    </w:rPr>
                    <w:t>新建</w:t>
                  </w:r>
                </w:p>
              </w:tc>
            </w:tr>
            <w:tr w14:paraId="618F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14:paraId="05736A2A">
                  <w:pPr>
                    <w:jc w:val="center"/>
                    <w:rPr>
                      <w:szCs w:val="21"/>
                    </w:rPr>
                  </w:pPr>
                  <w:r>
                    <w:rPr>
                      <w:rFonts w:hint="eastAsia"/>
                      <w:szCs w:val="21"/>
                    </w:rPr>
                    <w:t>办公生活设施</w:t>
                  </w:r>
                </w:p>
              </w:tc>
              <w:tc>
                <w:tcPr>
                  <w:tcW w:w="663" w:type="pct"/>
                  <w:gridSpan w:val="2"/>
                  <w:shd w:val="clear" w:color="auto" w:fill="auto"/>
                  <w:vAlign w:val="center"/>
                </w:tcPr>
                <w:p w14:paraId="37BC854E">
                  <w:pPr>
                    <w:jc w:val="center"/>
                    <w:rPr>
                      <w:szCs w:val="21"/>
                    </w:rPr>
                  </w:pPr>
                  <w:r>
                    <w:rPr>
                      <w:rFonts w:hint="eastAsia"/>
                      <w:szCs w:val="21"/>
                    </w:rPr>
                    <w:t>办公科研楼</w:t>
                  </w:r>
                </w:p>
              </w:tc>
              <w:tc>
                <w:tcPr>
                  <w:tcW w:w="2223" w:type="pct"/>
                  <w:shd w:val="clear" w:color="auto" w:fill="auto"/>
                  <w:vAlign w:val="center"/>
                </w:tcPr>
                <w:p w14:paraId="5652D614">
                  <w:pPr>
                    <w:rPr>
                      <w:szCs w:val="21"/>
                    </w:rPr>
                  </w:pPr>
                  <w:r>
                    <w:rPr>
                      <w:rFonts w:hint="eastAsia"/>
                      <w:szCs w:val="21"/>
                    </w:rPr>
                    <w:t>5F，</w:t>
                  </w:r>
                  <w:r>
                    <w:rPr>
                      <w:rFonts w:hint="eastAsia"/>
                      <w:bCs/>
                      <w:szCs w:val="21"/>
                    </w:rPr>
                    <w:t>H</w:t>
                  </w:r>
                  <w:r>
                    <w:rPr>
                      <w:bCs/>
                      <w:szCs w:val="21"/>
                    </w:rPr>
                    <w:t>=</w:t>
                  </w:r>
                  <w:r>
                    <w:rPr>
                      <w:rFonts w:hint="eastAsia"/>
                      <w:bCs/>
                      <w:szCs w:val="21"/>
                    </w:rPr>
                    <w:t>18.75</w:t>
                  </w:r>
                  <w:r>
                    <w:rPr>
                      <w:bCs/>
                      <w:szCs w:val="21"/>
                    </w:rPr>
                    <w:t>m，</w:t>
                  </w:r>
                  <w:r>
                    <w:rPr>
                      <w:rFonts w:hint="eastAsia"/>
                      <w:bCs/>
                      <w:szCs w:val="21"/>
                    </w:rPr>
                    <w:t>建筑面积约3467.37m</w:t>
                  </w:r>
                  <w:r>
                    <w:rPr>
                      <w:bCs/>
                      <w:szCs w:val="21"/>
                      <w:vertAlign w:val="superscript"/>
                    </w:rPr>
                    <w:t>2</w:t>
                  </w:r>
                  <w:r>
                    <w:rPr>
                      <w:bCs/>
                      <w:szCs w:val="21"/>
                    </w:rPr>
                    <w:t>，</w:t>
                  </w:r>
                  <w:r>
                    <w:rPr>
                      <w:rFonts w:hint="eastAsia"/>
                      <w:bCs/>
                      <w:szCs w:val="21"/>
                    </w:rPr>
                    <w:t>用于厂区员工办公，预留后期科研用房。</w:t>
                  </w:r>
                </w:p>
              </w:tc>
              <w:tc>
                <w:tcPr>
                  <w:tcW w:w="640" w:type="pct"/>
                  <w:vMerge w:val="continue"/>
                  <w:shd w:val="clear" w:color="auto" w:fill="auto"/>
                  <w:vAlign w:val="center"/>
                </w:tcPr>
                <w:p w14:paraId="42EBA7D0">
                  <w:pPr>
                    <w:jc w:val="center"/>
                    <w:rPr>
                      <w:szCs w:val="21"/>
                    </w:rPr>
                  </w:pPr>
                </w:p>
              </w:tc>
              <w:tc>
                <w:tcPr>
                  <w:tcW w:w="654" w:type="pct"/>
                  <w:vMerge w:val="restart"/>
                  <w:shd w:val="clear" w:color="auto" w:fill="auto"/>
                  <w:vAlign w:val="center"/>
                </w:tcPr>
                <w:p w14:paraId="6591BBA4">
                  <w:pPr>
                    <w:jc w:val="center"/>
                    <w:rPr>
                      <w:szCs w:val="21"/>
                    </w:rPr>
                  </w:pPr>
                  <w:r>
                    <w:rPr>
                      <w:rFonts w:hint="eastAsia"/>
                      <w:szCs w:val="21"/>
                    </w:rPr>
                    <w:t>废气、废水、固废</w:t>
                  </w:r>
                </w:p>
              </w:tc>
              <w:tc>
                <w:tcPr>
                  <w:tcW w:w="424" w:type="pct"/>
                  <w:vMerge w:val="restart"/>
                  <w:vAlign w:val="center"/>
                </w:tcPr>
                <w:p w14:paraId="22D85DB1">
                  <w:pPr>
                    <w:jc w:val="center"/>
                    <w:rPr>
                      <w:szCs w:val="21"/>
                    </w:rPr>
                  </w:pPr>
                  <w:r>
                    <w:rPr>
                      <w:rFonts w:hint="eastAsia"/>
                      <w:szCs w:val="21"/>
                    </w:rPr>
                    <w:t>依托</w:t>
                  </w:r>
                </w:p>
              </w:tc>
            </w:tr>
            <w:tr w14:paraId="1A75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4B722407">
                  <w:pPr>
                    <w:jc w:val="center"/>
                    <w:rPr>
                      <w:szCs w:val="21"/>
                    </w:rPr>
                  </w:pPr>
                </w:p>
              </w:tc>
              <w:tc>
                <w:tcPr>
                  <w:tcW w:w="663" w:type="pct"/>
                  <w:gridSpan w:val="2"/>
                  <w:shd w:val="clear" w:color="auto" w:fill="auto"/>
                  <w:vAlign w:val="center"/>
                </w:tcPr>
                <w:p w14:paraId="74DCF522">
                  <w:pPr>
                    <w:jc w:val="center"/>
                    <w:rPr>
                      <w:szCs w:val="21"/>
                    </w:rPr>
                  </w:pPr>
                  <w:r>
                    <w:rPr>
                      <w:rFonts w:hint="eastAsia"/>
                      <w:szCs w:val="21"/>
                    </w:rPr>
                    <w:t>倒班房</w:t>
                  </w:r>
                </w:p>
              </w:tc>
              <w:tc>
                <w:tcPr>
                  <w:tcW w:w="2223" w:type="pct"/>
                  <w:shd w:val="clear" w:color="auto" w:fill="auto"/>
                  <w:vAlign w:val="center"/>
                </w:tcPr>
                <w:p w14:paraId="5BB51C53">
                  <w:pPr>
                    <w:rPr>
                      <w:szCs w:val="21"/>
                    </w:rPr>
                  </w:pPr>
                  <w:r>
                    <w:rPr>
                      <w:rFonts w:hint="eastAsia"/>
                      <w:szCs w:val="21"/>
                    </w:rPr>
                    <w:t>2F，</w:t>
                  </w:r>
                  <w:r>
                    <w:rPr>
                      <w:rFonts w:hint="eastAsia"/>
                      <w:bCs/>
                      <w:szCs w:val="21"/>
                    </w:rPr>
                    <w:t>H</w:t>
                  </w:r>
                  <w:r>
                    <w:rPr>
                      <w:bCs/>
                      <w:szCs w:val="21"/>
                    </w:rPr>
                    <w:t>=</w:t>
                  </w:r>
                  <w:r>
                    <w:rPr>
                      <w:rFonts w:hint="eastAsia"/>
                      <w:bCs/>
                      <w:szCs w:val="21"/>
                    </w:rPr>
                    <w:t>7.50</w:t>
                  </w:r>
                  <w:r>
                    <w:rPr>
                      <w:bCs/>
                      <w:szCs w:val="21"/>
                    </w:rPr>
                    <w:t>m，</w:t>
                  </w:r>
                  <w:r>
                    <w:rPr>
                      <w:rFonts w:hint="eastAsia"/>
                      <w:bCs/>
                      <w:szCs w:val="21"/>
                    </w:rPr>
                    <w:t>建筑面积约412.64m</w:t>
                  </w:r>
                  <w:r>
                    <w:rPr>
                      <w:bCs/>
                      <w:szCs w:val="21"/>
                      <w:vertAlign w:val="superscript"/>
                    </w:rPr>
                    <w:t>2</w:t>
                  </w:r>
                  <w:r>
                    <w:rPr>
                      <w:rFonts w:hint="eastAsia"/>
                      <w:bCs/>
                      <w:szCs w:val="21"/>
                    </w:rPr>
                    <w:t>。</w:t>
                  </w:r>
                </w:p>
              </w:tc>
              <w:tc>
                <w:tcPr>
                  <w:tcW w:w="640" w:type="pct"/>
                  <w:vMerge w:val="continue"/>
                  <w:shd w:val="clear" w:color="auto" w:fill="auto"/>
                  <w:vAlign w:val="center"/>
                </w:tcPr>
                <w:p w14:paraId="4E0C8979">
                  <w:pPr>
                    <w:jc w:val="center"/>
                    <w:rPr>
                      <w:szCs w:val="21"/>
                    </w:rPr>
                  </w:pPr>
                </w:p>
              </w:tc>
              <w:tc>
                <w:tcPr>
                  <w:tcW w:w="654" w:type="pct"/>
                  <w:vMerge w:val="continue"/>
                  <w:shd w:val="clear" w:color="auto" w:fill="auto"/>
                  <w:vAlign w:val="center"/>
                </w:tcPr>
                <w:p w14:paraId="5202C152">
                  <w:pPr>
                    <w:jc w:val="center"/>
                    <w:rPr>
                      <w:szCs w:val="21"/>
                    </w:rPr>
                  </w:pPr>
                </w:p>
              </w:tc>
              <w:tc>
                <w:tcPr>
                  <w:tcW w:w="424" w:type="pct"/>
                  <w:vMerge w:val="continue"/>
                  <w:vAlign w:val="center"/>
                </w:tcPr>
                <w:p w14:paraId="4EBF42E0">
                  <w:pPr>
                    <w:jc w:val="center"/>
                    <w:rPr>
                      <w:szCs w:val="21"/>
                    </w:rPr>
                  </w:pPr>
                </w:p>
              </w:tc>
            </w:tr>
            <w:tr w14:paraId="3137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2B408104">
                  <w:pPr>
                    <w:jc w:val="center"/>
                    <w:rPr>
                      <w:szCs w:val="21"/>
                    </w:rPr>
                  </w:pPr>
                </w:p>
              </w:tc>
              <w:tc>
                <w:tcPr>
                  <w:tcW w:w="663" w:type="pct"/>
                  <w:gridSpan w:val="2"/>
                  <w:shd w:val="clear" w:color="auto" w:fill="auto"/>
                  <w:vAlign w:val="center"/>
                </w:tcPr>
                <w:p w14:paraId="64A22F66">
                  <w:pPr>
                    <w:jc w:val="center"/>
                    <w:rPr>
                      <w:szCs w:val="21"/>
                    </w:rPr>
                  </w:pPr>
                  <w:r>
                    <w:rPr>
                      <w:rFonts w:hint="eastAsia"/>
                      <w:szCs w:val="21"/>
                    </w:rPr>
                    <w:t>活动室</w:t>
                  </w:r>
                </w:p>
              </w:tc>
              <w:tc>
                <w:tcPr>
                  <w:tcW w:w="2223" w:type="pct"/>
                  <w:shd w:val="clear" w:color="auto" w:fill="auto"/>
                  <w:vAlign w:val="center"/>
                </w:tcPr>
                <w:p w14:paraId="3D0137B1">
                  <w:pPr>
                    <w:rPr>
                      <w:szCs w:val="21"/>
                    </w:rPr>
                  </w:pPr>
                  <w:r>
                    <w:rPr>
                      <w:rFonts w:hint="eastAsia"/>
                      <w:szCs w:val="21"/>
                    </w:rPr>
                    <w:t>1F，</w:t>
                  </w:r>
                  <w:r>
                    <w:rPr>
                      <w:rFonts w:hint="eastAsia"/>
                      <w:bCs/>
                      <w:szCs w:val="21"/>
                    </w:rPr>
                    <w:t>H</w:t>
                  </w:r>
                  <w:r>
                    <w:rPr>
                      <w:bCs/>
                      <w:szCs w:val="21"/>
                    </w:rPr>
                    <w:t>=</w:t>
                  </w:r>
                  <w:r>
                    <w:rPr>
                      <w:rFonts w:hint="eastAsia"/>
                      <w:bCs/>
                      <w:szCs w:val="21"/>
                    </w:rPr>
                    <w:t>3.75</w:t>
                  </w:r>
                  <w:r>
                    <w:rPr>
                      <w:bCs/>
                      <w:szCs w:val="21"/>
                    </w:rPr>
                    <w:t>m，</w:t>
                  </w:r>
                  <w:r>
                    <w:rPr>
                      <w:rFonts w:hint="eastAsia"/>
                      <w:bCs/>
                      <w:szCs w:val="21"/>
                    </w:rPr>
                    <w:t>建筑面积约270.43m</w:t>
                  </w:r>
                  <w:r>
                    <w:rPr>
                      <w:bCs/>
                      <w:szCs w:val="21"/>
                      <w:vertAlign w:val="superscript"/>
                    </w:rPr>
                    <w:t>2</w:t>
                  </w:r>
                  <w:r>
                    <w:rPr>
                      <w:rFonts w:hint="eastAsia"/>
                      <w:bCs/>
                      <w:szCs w:val="21"/>
                    </w:rPr>
                    <w:t>。</w:t>
                  </w:r>
                </w:p>
              </w:tc>
              <w:tc>
                <w:tcPr>
                  <w:tcW w:w="640" w:type="pct"/>
                  <w:vMerge w:val="continue"/>
                  <w:shd w:val="clear" w:color="auto" w:fill="auto"/>
                  <w:vAlign w:val="center"/>
                </w:tcPr>
                <w:p w14:paraId="72C260C2">
                  <w:pPr>
                    <w:jc w:val="center"/>
                    <w:rPr>
                      <w:szCs w:val="21"/>
                    </w:rPr>
                  </w:pPr>
                </w:p>
              </w:tc>
              <w:tc>
                <w:tcPr>
                  <w:tcW w:w="654" w:type="pct"/>
                  <w:vMerge w:val="continue"/>
                  <w:shd w:val="clear" w:color="auto" w:fill="auto"/>
                  <w:vAlign w:val="center"/>
                </w:tcPr>
                <w:p w14:paraId="2606DC0D">
                  <w:pPr>
                    <w:jc w:val="center"/>
                    <w:rPr>
                      <w:szCs w:val="21"/>
                    </w:rPr>
                  </w:pPr>
                </w:p>
              </w:tc>
              <w:tc>
                <w:tcPr>
                  <w:tcW w:w="424" w:type="pct"/>
                  <w:vMerge w:val="continue"/>
                  <w:vAlign w:val="center"/>
                </w:tcPr>
                <w:p w14:paraId="7034B603">
                  <w:pPr>
                    <w:jc w:val="center"/>
                    <w:rPr>
                      <w:szCs w:val="21"/>
                    </w:rPr>
                  </w:pPr>
                </w:p>
              </w:tc>
            </w:tr>
            <w:tr w14:paraId="2802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26149101">
                  <w:pPr>
                    <w:jc w:val="center"/>
                    <w:rPr>
                      <w:szCs w:val="21"/>
                    </w:rPr>
                  </w:pPr>
                </w:p>
              </w:tc>
              <w:tc>
                <w:tcPr>
                  <w:tcW w:w="663" w:type="pct"/>
                  <w:gridSpan w:val="2"/>
                  <w:shd w:val="clear" w:color="auto" w:fill="auto"/>
                  <w:vAlign w:val="center"/>
                </w:tcPr>
                <w:p w14:paraId="7E0BACD3">
                  <w:pPr>
                    <w:jc w:val="center"/>
                    <w:rPr>
                      <w:szCs w:val="21"/>
                    </w:rPr>
                  </w:pPr>
                  <w:r>
                    <w:rPr>
                      <w:rFonts w:hint="eastAsia"/>
                      <w:szCs w:val="21"/>
                    </w:rPr>
                    <w:t>食堂</w:t>
                  </w:r>
                </w:p>
              </w:tc>
              <w:tc>
                <w:tcPr>
                  <w:tcW w:w="2223" w:type="pct"/>
                  <w:shd w:val="clear" w:color="auto" w:fill="auto"/>
                  <w:vAlign w:val="center"/>
                </w:tcPr>
                <w:p w14:paraId="20F21636">
                  <w:pPr>
                    <w:rPr>
                      <w:szCs w:val="21"/>
                    </w:rPr>
                  </w:pPr>
                  <w:r>
                    <w:rPr>
                      <w:rFonts w:hint="eastAsia"/>
                      <w:szCs w:val="21"/>
                    </w:rPr>
                    <w:t>1F，</w:t>
                  </w:r>
                  <w:r>
                    <w:rPr>
                      <w:rFonts w:hint="eastAsia"/>
                      <w:bCs/>
                      <w:szCs w:val="21"/>
                    </w:rPr>
                    <w:t>H</w:t>
                  </w:r>
                  <w:r>
                    <w:rPr>
                      <w:bCs/>
                      <w:szCs w:val="21"/>
                    </w:rPr>
                    <w:t>=</w:t>
                  </w:r>
                  <w:r>
                    <w:rPr>
                      <w:rFonts w:hint="eastAsia"/>
                      <w:bCs/>
                      <w:szCs w:val="21"/>
                    </w:rPr>
                    <w:t>3.60</w:t>
                  </w:r>
                  <w:r>
                    <w:rPr>
                      <w:bCs/>
                      <w:szCs w:val="21"/>
                    </w:rPr>
                    <w:t>m，</w:t>
                  </w:r>
                  <w:r>
                    <w:rPr>
                      <w:rFonts w:hint="eastAsia"/>
                      <w:bCs/>
                      <w:szCs w:val="21"/>
                    </w:rPr>
                    <w:t>建筑面积约196m</w:t>
                  </w:r>
                  <w:r>
                    <w:rPr>
                      <w:bCs/>
                      <w:szCs w:val="21"/>
                      <w:vertAlign w:val="superscript"/>
                    </w:rPr>
                    <w:t>2</w:t>
                  </w:r>
                  <w:r>
                    <w:rPr>
                      <w:rFonts w:hint="eastAsia"/>
                      <w:bCs/>
                      <w:szCs w:val="21"/>
                    </w:rPr>
                    <w:t>，供全厂员工就餐。</w:t>
                  </w:r>
                </w:p>
              </w:tc>
              <w:tc>
                <w:tcPr>
                  <w:tcW w:w="640" w:type="pct"/>
                  <w:vMerge w:val="continue"/>
                  <w:shd w:val="clear" w:color="auto" w:fill="auto"/>
                  <w:vAlign w:val="center"/>
                </w:tcPr>
                <w:p w14:paraId="024ADD54">
                  <w:pPr>
                    <w:jc w:val="center"/>
                    <w:rPr>
                      <w:szCs w:val="21"/>
                    </w:rPr>
                  </w:pPr>
                </w:p>
              </w:tc>
              <w:tc>
                <w:tcPr>
                  <w:tcW w:w="654" w:type="pct"/>
                  <w:vMerge w:val="continue"/>
                  <w:shd w:val="clear" w:color="auto" w:fill="auto"/>
                  <w:vAlign w:val="center"/>
                </w:tcPr>
                <w:p w14:paraId="0D198C7A">
                  <w:pPr>
                    <w:jc w:val="center"/>
                    <w:rPr>
                      <w:szCs w:val="21"/>
                    </w:rPr>
                  </w:pPr>
                </w:p>
              </w:tc>
              <w:tc>
                <w:tcPr>
                  <w:tcW w:w="424" w:type="pct"/>
                  <w:vMerge w:val="continue"/>
                  <w:vAlign w:val="center"/>
                </w:tcPr>
                <w:p w14:paraId="282ED733">
                  <w:pPr>
                    <w:jc w:val="center"/>
                    <w:rPr>
                      <w:szCs w:val="21"/>
                    </w:rPr>
                  </w:pPr>
                </w:p>
              </w:tc>
            </w:tr>
            <w:tr w14:paraId="3A6B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277AE171">
                  <w:pPr>
                    <w:jc w:val="center"/>
                    <w:rPr>
                      <w:szCs w:val="21"/>
                    </w:rPr>
                  </w:pPr>
                </w:p>
              </w:tc>
              <w:tc>
                <w:tcPr>
                  <w:tcW w:w="663" w:type="pct"/>
                  <w:gridSpan w:val="2"/>
                  <w:shd w:val="clear" w:color="auto" w:fill="auto"/>
                  <w:vAlign w:val="center"/>
                </w:tcPr>
                <w:p w14:paraId="3027667F">
                  <w:pPr>
                    <w:jc w:val="center"/>
                    <w:rPr>
                      <w:szCs w:val="21"/>
                    </w:rPr>
                  </w:pPr>
                  <w:r>
                    <w:rPr>
                      <w:rFonts w:hint="eastAsia"/>
                      <w:szCs w:val="21"/>
                    </w:rPr>
                    <w:t>公厕</w:t>
                  </w:r>
                </w:p>
              </w:tc>
              <w:tc>
                <w:tcPr>
                  <w:tcW w:w="2223" w:type="pct"/>
                  <w:shd w:val="clear" w:color="auto" w:fill="auto"/>
                  <w:vAlign w:val="center"/>
                </w:tcPr>
                <w:p w14:paraId="7293E3AF">
                  <w:pPr>
                    <w:rPr>
                      <w:szCs w:val="21"/>
                    </w:rPr>
                  </w:pPr>
                  <w:r>
                    <w:rPr>
                      <w:rFonts w:hint="eastAsia"/>
                      <w:szCs w:val="21"/>
                    </w:rPr>
                    <w:t>2间，建筑面积约122.07m</w:t>
                  </w:r>
                  <w:r>
                    <w:rPr>
                      <w:rFonts w:hint="eastAsia"/>
                      <w:szCs w:val="21"/>
                      <w:vertAlign w:val="superscript"/>
                    </w:rPr>
                    <w:t>2</w:t>
                  </w:r>
                  <w:r>
                    <w:rPr>
                      <w:rFonts w:hint="eastAsia"/>
                      <w:szCs w:val="21"/>
                    </w:rPr>
                    <w:t>。</w:t>
                  </w:r>
                </w:p>
              </w:tc>
              <w:tc>
                <w:tcPr>
                  <w:tcW w:w="640" w:type="pct"/>
                  <w:vMerge w:val="continue"/>
                  <w:shd w:val="clear" w:color="auto" w:fill="auto"/>
                  <w:vAlign w:val="center"/>
                </w:tcPr>
                <w:p w14:paraId="2E92B0B4">
                  <w:pPr>
                    <w:jc w:val="center"/>
                    <w:rPr>
                      <w:szCs w:val="21"/>
                    </w:rPr>
                  </w:pPr>
                </w:p>
              </w:tc>
              <w:tc>
                <w:tcPr>
                  <w:tcW w:w="654" w:type="pct"/>
                  <w:vMerge w:val="continue"/>
                  <w:shd w:val="clear" w:color="auto" w:fill="auto"/>
                  <w:vAlign w:val="center"/>
                </w:tcPr>
                <w:p w14:paraId="4C91B43E">
                  <w:pPr>
                    <w:jc w:val="center"/>
                    <w:rPr>
                      <w:szCs w:val="21"/>
                    </w:rPr>
                  </w:pPr>
                </w:p>
              </w:tc>
              <w:tc>
                <w:tcPr>
                  <w:tcW w:w="424" w:type="pct"/>
                  <w:vMerge w:val="continue"/>
                  <w:vAlign w:val="center"/>
                </w:tcPr>
                <w:p w14:paraId="0CBC99F9">
                  <w:pPr>
                    <w:jc w:val="center"/>
                    <w:rPr>
                      <w:szCs w:val="21"/>
                    </w:rPr>
                  </w:pPr>
                </w:p>
              </w:tc>
            </w:tr>
            <w:tr w14:paraId="4C0C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0660653F">
                  <w:pPr>
                    <w:jc w:val="center"/>
                    <w:rPr>
                      <w:szCs w:val="21"/>
                    </w:rPr>
                  </w:pPr>
                </w:p>
              </w:tc>
              <w:tc>
                <w:tcPr>
                  <w:tcW w:w="663" w:type="pct"/>
                  <w:gridSpan w:val="2"/>
                  <w:shd w:val="clear" w:color="auto" w:fill="auto"/>
                  <w:vAlign w:val="center"/>
                </w:tcPr>
                <w:p w14:paraId="3B18DC25">
                  <w:pPr>
                    <w:jc w:val="center"/>
                    <w:rPr>
                      <w:szCs w:val="21"/>
                    </w:rPr>
                  </w:pPr>
                  <w:r>
                    <w:rPr>
                      <w:szCs w:val="21"/>
                    </w:rPr>
                    <w:t>门卫室</w:t>
                  </w:r>
                </w:p>
              </w:tc>
              <w:tc>
                <w:tcPr>
                  <w:tcW w:w="2223" w:type="pct"/>
                  <w:shd w:val="clear" w:color="auto" w:fill="auto"/>
                  <w:vAlign w:val="center"/>
                </w:tcPr>
                <w:p w14:paraId="43C246C1">
                  <w:pPr>
                    <w:rPr>
                      <w:szCs w:val="21"/>
                    </w:rPr>
                  </w:pPr>
                  <w:r>
                    <w:rPr>
                      <w:szCs w:val="21"/>
                    </w:rPr>
                    <w:t>1间</w:t>
                  </w:r>
                  <w:r>
                    <w:rPr>
                      <w:rFonts w:hint="eastAsia"/>
                      <w:szCs w:val="21"/>
                    </w:rPr>
                    <w:t>，建筑面积约</w:t>
                  </w:r>
                  <w:r>
                    <w:rPr>
                      <w:szCs w:val="21"/>
                    </w:rPr>
                    <w:t>3</w:t>
                  </w:r>
                  <w:r>
                    <w:rPr>
                      <w:rFonts w:hint="eastAsia"/>
                      <w:szCs w:val="21"/>
                    </w:rPr>
                    <w:t>1.50m</w:t>
                  </w:r>
                  <w:r>
                    <w:rPr>
                      <w:szCs w:val="21"/>
                      <w:vertAlign w:val="superscript"/>
                    </w:rPr>
                    <w:t>2</w:t>
                  </w:r>
                  <w:r>
                    <w:rPr>
                      <w:rFonts w:hint="eastAsia"/>
                      <w:szCs w:val="21"/>
                    </w:rPr>
                    <w:t>。</w:t>
                  </w:r>
                </w:p>
              </w:tc>
              <w:tc>
                <w:tcPr>
                  <w:tcW w:w="640" w:type="pct"/>
                  <w:vMerge w:val="continue"/>
                  <w:shd w:val="clear" w:color="auto" w:fill="auto"/>
                  <w:vAlign w:val="center"/>
                </w:tcPr>
                <w:p w14:paraId="0F212B0A">
                  <w:pPr>
                    <w:jc w:val="center"/>
                    <w:rPr>
                      <w:szCs w:val="21"/>
                    </w:rPr>
                  </w:pPr>
                </w:p>
              </w:tc>
              <w:tc>
                <w:tcPr>
                  <w:tcW w:w="654" w:type="pct"/>
                  <w:vMerge w:val="continue"/>
                  <w:shd w:val="clear" w:color="auto" w:fill="auto"/>
                  <w:vAlign w:val="center"/>
                </w:tcPr>
                <w:p w14:paraId="067CD8B5">
                  <w:pPr>
                    <w:jc w:val="center"/>
                    <w:rPr>
                      <w:szCs w:val="21"/>
                    </w:rPr>
                  </w:pPr>
                </w:p>
              </w:tc>
              <w:tc>
                <w:tcPr>
                  <w:tcW w:w="424" w:type="pct"/>
                  <w:vMerge w:val="continue"/>
                  <w:vAlign w:val="center"/>
                </w:tcPr>
                <w:p w14:paraId="7E924276">
                  <w:pPr>
                    <w:jc w:val="center"/>
                    <w:rPr>
                      <w:szCs w:val="21"/>
                    </w:rPr>
                  </w:pPr>
                </w:p>
              </w:tc>
            </w:tr>
            <w:tr w14:paraId="1CA8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14:paraId="1A12C811">
                  <w:pPr>
                    <w:jc w:val="center"/>
                    <w:rPr>
                      <w:szCs w:val="21"/>
                    </w:rPr>
                  </w:pPr>
                  <w:r>
                    <w:rPr>
                      <w:szCs w:val="21"/>
                    </w:rPr>
                    <w:t>辅助工程</w:t>
                  </w:r>
                </w:p>
              </w:tc>
              <w:tc>
                <w:tcPr>
                  <w:tcW w:w="663" w:type="pct"/>
                  <w:gridSpan w:val="2"/>
                  <w:shd w:val="clear" w:color="auto" w:fill="auto"/>
                  <w:vAlign w:val="center"/>
                </w:tcPr>
                <w:p w14:paraId="5D9203E6">
                  <w:pPr>
                    <w:jc w:val="center"/>
                    <w:rPr>
                      <w:szCs w:val="21"/>
                    </w:rPr>
                  </w:pPr>
                  <w:r>
                    <w:rPr>
                      <w:rFonts w:hint="eastAsia"/>
                      <w:szCs w:val="21"/>
                    </w:rPr>
                    <w:t>配电室</w:t>
                  </w:r>
                </w:p>
              </w:tc>
              <w:tc>
                <w:tcPr>
                  <w:tcW w:w="2223" w:type="pct"/>
                  <w:shd w:val="clear" w:color="auto" w:fill="auto"/>
                  <w:vAlign w:val="center"/>
                </w:tcPr>
                <w:p w14:paraId="45AC7295">
                  <w:pPr>
                    <w:rPr>
                      <w:szCs w:val="21"/>
                    </w:rPr>
                  </w:pPr>
                  <w:r>
                    <w:rPr>
                      <w:rFonts w:hint="eastAsia"/>
                      <w:szCs w:val="21"/>
                    </w:rPr>
                    <w:t>2</w:t>
                  </w:r>
                  <w:r>
                    <w:rPr>
                      <w:szCs w:val="21"/>
                    </w:rPr>
                    <w:t>间</w:t>
                  </w:r>
                  <w:r>
                    <w:rPr>
                      <w:rFonts w:hint="eastAsia"/>
                      <w:szCs w:val="21"/>
                    </w:rPr>
                    <w:t>，建筑面积约90.41m</w:t>
                  </w:r>
                  <w:r>
                    <w:rPr>
                      <w:szCs w:val="21"/>
                      <w:vertAlign w:val="superscript"/>
                    </w:rPr>
                    <w:t>2</w:t>
                  </w:r>
                  <w:r>
                    <w:rPr>
                      <w:rFonts w:hint="eastAsia"/>
                      <w:szCs w:val="21"/>
                    </w:rPr>
                    <w:t>。</w:t>
                  </w:r>
                </w:p>
              </w:tc>
              <w:tc>
                <w:tcPr>
                  <w:tcW w:w="640" w:type="pct"/>
                  <w:vMerge w:val="continue"/>
                  <w:shd w:val="clear" w:color="auto" w:fill="auto"/>
                  <w:vAlign w:val="center"/>
                </w:tcPr>
                <w:p w14:paraId="03B4AAC7">
                  <w:pPr>
                    <w:jc w:val="center"/>
                    <w:rPr>
                      <w:szCs w:val="21"/>
                    </w:rPr>
                  </w:pPr>
                </w:p>
              </w:tc>
              <w:tc>
                <w:tcPr>
                  <w:tcW w:w="654" w:type="pct"/>
                  <w:shd w:val="clear" w:color="auto" w:fill="auto"/>
                  <w:vAlign w:val="center"/>
                </w:tcPr>
                <w:p w14:paraId="4508564E">
                  <w:pPr>
                    <w:jc w:val="center"/>
                    <w:rPr>
                      <w:szCs w:val="21"/>
                    </w:rPr>
                  </w:pPr>
                  <w:r>
                    <w:rPr>
                      <w:rFonts w:hint="eastAsia"/>
                      <w:szCs w:val="21"/>
                    </w:rPr>
                    <w:t>/</w:t>
                  </w:r>
                </w:p>
              </w:tc>
              <w:tc>
                <w:tcPr>
                  <w:tcW w:w="424" w:type="pct"/>
                  <w:vAlign w:val="center"/>
                </w:tcPr>
                <w:p w14:paraId="6BE3C926">
                  <w:pPr>
                    <w:jc w:val="center"/>
                    <w:rPr>
                      <w:szCs w:val="21"/>
                    </w:rPr>
                  </w:pPr>
                  <w:r>
                    <w:rPr>
                      <w:rFonts w:hint="eastAsia"/>
                      <w:szCs w:val="21"/>
                    </w:rPr>
                    <w:t>依托</w:t>
                  </w:r>
                </w:p>
              </w:tc>
            </w:tr>
            <w:tr w14:paraId="3BA3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0A9C51DD">
                  <w:pPr>
                    <w:jc w:val="center"/>
                    <w:rPr>
                      <w:szCs w:val="21"/>
                    </w:rPr>
                  </w:pPr>
                </w:p>
              </w:tc>
              <w:tc>
                <w:tcPr>
                  <w:tcW w:w="663" w:type="pct"/>
                  <w:gridSpan w:val="2"/>
                  <w:shd w:val="clear" w:color="auto" w:fill="auto"/>
                  <w:vAlign w:val="center"/>
                </w:tcPr>
                <w:p w14:paraId="29FD3EFD">
                  <w:pPr>
                    <w:jc w:val="center"/>
                    <w:rPr>
                      <w:szCs w:val="21"/>
                    </w:rPr>
                  </w:pPr>
                  <w:r>
                    <w:rPr>
                      <w:rFonts w:hint="eastAsia"/>
                      <w:szCs w:val="21"/>
                    </w:rPr>
                    <w:t>空压机房</w:t>
                  </w:r>
                </w:p>
              </w:tc>
              <w:tc>
                <w:tcPr>
                  <w:tcW w:w="2223" w:type="pct"/>
                  <w:shd w:val="clear" w:color="auto" w:fill="auto"/>
                  <w:vAlign w:val="center"/>
                </w:tcPr>
                <w:p w14:paraId="7366301F">
                  <w:pPr>
                    <w:rPr>
                      <w:szCs w:val="21"/>
                    </w:rPr>
                  </w:pPr>
                  <w:r>
                    <w:rPr>
                      <w:rFonts w:hint="eastAsia"/>
                      <w:szCs w:val="21"/>
                    </w:rPr>
                    <w:t>1间，设于生产车间东南侧，建筑面积约100m</w:t>
                  </w:r>
                  <w:r>
                    <w:rPr>
                      <w:rFonts w:hint="eastAsia"/>
                      <w:szCs w:val="21"/>
                      <w:vertAlign w:val="superscript"/>
                    </w:rPr>
                    <w:t>2</w:t>
                  </w:r>
                  <w:r>
                    <w:rPr>
                      <w:rFonts w:hint="eastAsia"/>
                      <w:szCs w:val="21"/>
                    </w:rPr>
                    <w:t>，内设2台螺杆空压机组，为生产线提供动力。</w:t>
                  </w:r>
                </w:p>
              </w:tc>
              <w:tc>
                <w:tcPr>
                  <w:tcW w:w="640" w:type="pct"/>
                  <w:vMerge w:val="continue"/>
                  <w:shd w:val="clear" w:color="auto" w:fill="auto"/>
                  <w:vAlign w:val="center"/>
                </w:tcPr>
                <w:p w14:paraId="325108A7">
                  <w:pPr>
                    <w:jc w:val="center"/>
                    <w:rPr>
                      <w:szCs w:val="21"/>
                    </w:rPr>
                  </w:pPr>
                </w:p>
              </w:tc>
              <w:tc>
                <w:tcPr>
                  <w:tcW w:w="654" w:type="pct"/>
                  <w:shd w:val="clear" w:color="auto" w:fill="auto"/>
                  <w:vAlign w:val="center"/>
                </w:tcPr>
                <w:p w14:paraId="69C5BE04">
                  <w:pPr>
                    <w:jc w:val="center"/>
                    <w:rPr>
                      <w:szCs w:val="21"/>
                    </w:rPr>
                  </w:pPr>
                  <w:r>
                    <w:rPr>
                      <w:rFonts w:hint="eastAsia"/>
                      <w:szCs w:val="21"/>
                    </w:rPr>
                    <w:t>噪声</w:t>
                  </w:r>
                </w:p>
              </w:tc>
              <w:tc>
                <w:tcPr>
                  <w:tcW w:w="424" w:type="pct"/>
                  <w:vAlign w:val="center"/>
                </w:tcPr>
                <w:p w14:paraId="62178701">
                  <w:pPr>
                    <w:jc w:val="center"/>
                    <w:rPr>
                      <w:szCs w:val="21"/>
                    </w:rPr>
                  </w:pPr>
                  <w:r>
                    <w:rPr>
                      <w:rFonts w:hint="eastAsia"/>
                      <w:szCs w:val="21"/>
                    </w:rPr>
                    <w:t>新建</w:t>
                  </w:r>
                </w:p>
              </w:tc>
            </w:tr>
            <w:tr w14:paraId="0792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56385B92">
                  <w:pPr>
                    <w:jc w:val="center"/>
                    <w:rPr>
                      <w:szCs w:val="21"/>
                    </w:rPr>
                  </w:pPr>
                </w:p>
              </w:tc>
              <w:tc>
                <w:tcPr>
                  <w:tcW w:w="663" w:type="pct"/>
                  <w:gridSpan w:val="2"/>
                  <w:shd w:val="clear" w:color="auto" w:fill="auto"/>
                  <w:vAlign w:val="center"/>
                </w:tcPr>
                <w:p w14:paraId="4B1DDEC8">
                  <w:pPr>
                    <w:jc w:val="center"/>
                    <w:rPr>
                      <w:szCs w:val="21"/>
                    </w:rPr>
                  </w:pPr>
                  <w:r>
                    <w:rPr>
                      <w:rFonts w:hint="eastAsia"/>
                      <w:szCs w:val="21"/>
                    </w:rPr>
                    <w:t>循环冷却水系统</w:t>
                  </w:r>
                </w:p>
              </w:tc>
              <w:tc>
                <w:tcPr>
                  <w:tcW w:w="2223" w:type="pct"/>
                  <w:shd w:val="clear" w:color="auto" w:fill="auto"/>
                  <w:vAlign w:val="center"/>
                </w:tcPr>
                <w:p w14:paraId="53F88A54">
                  <w:pPr>
                    <w:rPr>
                      <w:szCs w:val="21"/>
                    </w:rPr>
                  </w:pPr>
                  <w:r>
                    <w:rPr>
                      <w:rFonts w:hint="eastAsia"/>
                      <w:szCs w:val="21"/>
                    </w:rPr>
                    <w:t>1套，设于生产车间西南侧，设1台循环水塔和1台冷却塔，循环水量40m</w:t>
                  </w:r>
                  <w:r>
                    <w:rPr>
                      <w:rFonts w:hint="eastAsia"/>
                      <w:szCs w:val="21"/>
                      <w:vertAlign w:val="superscript"/>
                    </w:rPr>
                    <w:t>3</w:t>
                  </w:r>
                  <w:r>
                    <w:rPr>
                      <w:rFonts w:hint="eastAsia"/>
                      <w:szCs w:val="21"/>
                    </w:rPr>
                    <w:t>/h，用于注塑成型机冷却降温。</w:t>
                  </w:r>
                </w:p>
              </w:tc>
              <w:tc>
                <w:tcPr>
                  <w:tcW w:w="640" w:type="pct"/>
                  <w:vMerge w:val="continue"/>
                  <w:shd w:val="clear" w:color="auto" w:fill="auto"/>
                  <w:vAlign w:val="center"/>
                </w:tcPr>
                <w:p w14:paraId="00DF9308">
                  <w:pPr>
                    <w:jc w:val="center"/>
                    <w:rPr>
                      <w:szCs w:val="21"/>
                    </w:rPr>
                  </w:pPr>
                </w:p>
              </w:tc>
              <w:tc>
                <w:tcPr>
                  <w:tcW w:w="654" w:type="pct"/>
                  <w:shd w:val="clear" w:color="auto" w:fill="auto"/>
                  <w:vAlign w:val="center"/>
                </w:tcPr>
                <w:p w14:paraId="1C185D92">
                  <w:pPr>
                    <w:jc w:val="center"/>
                    <w:rPr>
                      <w:szCs w:val="21"/>
                    </w:rPr>
                  </w:pPr>
                  <w:r>
                    <w:rPr>
                      <w:rFonts w:hint="eastAsia"/>
                      <w:szCs w:val="21"/>
                    </w:rPr>
                    <w:t>噪声</w:t>
                  </w:r>
                </w:p>
              </w:tc>
              <w:tc>
                <w:tcPr>
                  <w:tcW w:w="424" w:type="pct"/>
                  <w:vAlign w:val="center"/>
                </w:tcPr>
                <w:p w14:paraId="6DCA5E56">
                  <w:pPr>
                    <w:jc w:val="center"/>
                    <w:rPr>
                      <w:szCs w:val="21"/>
                    </w:rPr>
                  </w:pPr>
                  <w:r>
                    <w:rPr>
                      <w:rFonts w:hint="eastAsia"/>
                      <w:szCs w:val="21"/>
                    </w:rPr>
                    <w:t>新建</w:t>
                  </w:r>
                </w:p>
              </w:tc>
            </w:tr>
            <w:tr w14:paraId="13D2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14:paraId="640D6A4F">
                  <w:pPr>
                    <w:jc w:val="center"/>
                    <w:rPr>
                      <w:szCs w:val="21"/>
                    </w:rPr>
                  </w:pPr>
                  <w:r>
                    <w:rPr>
                      <w:rFonts w:hint="eastAsia"/>
                      <w:szCs w:val="21"/>
                    </w:rPr>
                    <w:t>公用工程</w:t>
                  </w:r>
                </w:p>
              </w:tc>
              <w:tc>
                <w:tcPr>
                  <w:tcW w:w="663" w:type="pct"/>
                  <w:gridSpan w:val="2"/>
                  <w:shd w:val="clear" w:color="auto" w:fill="auto"/>
                  <w:vAlign w:val="center"/>
                </w:tcPr>
                <w:p w14:paraId="71B43C20">
                  <w:pPr>
                    <w:jc w:val="center"/>
                    <w:rPr>
                      <w:szCs w:val="21"/>
                    </w:rPr>
                  </w:pPr>
                  <w:r>
                    <w:rPr>
                      <w:rFonts w:hint="eastAsia"/>
                      <w:szCs w:val="21"/>
                    </w:rPr>
                    <w:t>供电</w:t>
                  </w:r>
                </w:p>
              </w:tc>
              <w:tc>
                <w:tcPr>
                  <w:tcW w:w="2223" w:type="pct"/>
                  <w:shd w:val="clear" w:color="auto" w:fill="auto"/>
                  <w:vAlign w:val="center"/>
                </w:tcPr>
                <w:p w14:paraId="2A739941">
                  <w:pPr>
                    <w:rPr>
                      <w:szCs w:val="21"/>
                    </w:rPr>
                  </w:pPr>
                  <w:r>
                    <w:rPr>
                      <w:rFonts w:hint="eastAsia"/>
                      <w:szCs w:val="21"/>
                    </w:rPr>
                    <w:t>园区电网</w:t>
                  </w:r>
                  <w:r>
                    <w:rPr>
                      <w:szCs w:val="21"/>
                    </w:rPr>
                    <w:t>供电</w:t>
                  </w:r>
                  <w:r>
                    <w:rPr>
                      <w:rFonts w:hint="eastAsia"/>
                      <w:szCs w:val="21"/>
                    </w:rPr>
                    <w:t>。</w:t>
                  </w:r>
                </w:p>
              </w:tc>
              <w:tc>
                <w:tcPr>
                  <w:tcW w:w="640" w:type="pct"/>
                  <w:vMerge w:val="continue"/>
                  <w:shd w:val="clear" w:color="auto" w:fill="auto"/>
                  <w:vAlign w:val="center"/>
                </w:tcPr>
                <w:p w14:paraId="2FCB0F62">
                  <w:pPr>
                    <w:jc w:val="center"/>
                    <w:rPr>
                      <w:szCs w:val="21"/>
                    </w:rPr>
                  </w:pPr>
                </w:p>
              </w:tc>
              <w:tc>
                <w:tcPr>
                  <w:tcW w:w="654" w:type="pct"/>
                  <w:shd w:val="clear" w:color="auto" w:fill="auto"/>
                  <w:vAlign w:val="center"/>
                </w:tcPr>
                <w:p w14:paraId="1C19E1FE">
                  <w:pPr>
                    <w:jc w:val="center"/>
                    <w:rPr>
                      <w:szCs w:val="21"/>
                    </w:rPr>
                  </w:pPr>
                  <w:r>
                    <w:rPr>
                      <w:rFonts w:hint="eastAsia"/>
                      <w:szCs w:val="21"/>
                    </w:rPr>
                    <w:t>/</w:t>
                  </w:r>
                </w:p>
              </w:tc>
              <w:tc>
                <w:tcPr>
                  <w:tcW w:w="424" w:type="pct"/>
                  <w:vAlign w:val="center"/>
                </w:tcPr>
                <w:p w14:paraId="27FF9A60">
                  <w:pPr>
                    <w:jc w:val="center"/>
                    <w:rPr>
                      <w:szCs w:val="21"/>
                    </w:rPr>
                  </w:pPr>
                  <w:r>
                    <w:rPr>
                      <w:szCs w:val="21"/>
                    </w:rPr>
                    <w:t>依托</w:t>
                  </w:r>
                </w:p>
              </w:tc>
            </w:tr>
            <w:tr w14:paraId="31D3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00CFDA3C">
                  <w:pPr>
                    <w:jc w:val="center"/>
                    <w:rPr>
                      <w:szCs w:val="21"/>
                    </w:rPr>
                  </w:pPr>
                </w:p>
              </w:tc>
              <w:tc>
                <w:tcPr>
                  <w:tcW w:w="663" w:type="pct"/>
                  <w:gridSpan w:val="2"/>
                  <w:shd w:val="clear" w:color="auto" w:fill="auto"/>
                  <w:vAlign w:val="center"/>
                </w:tcPr>
                <w:p w14:paraId="40F3E4B2">
                  <w:pPr>
                    <w:jc w:val="center"/>
                    <w:rPr>
                      <w:szCs w:val="21"/>
                    </w:rPr>
                  </w:pPr>
                  <w:r>
                    <w:rPr>
                      <w:rFonts w:hint="eastAsia"/>
                      <w:szCs w:val="21"/>
                    </w:rPr>
                    <w:t>供水</w:t>
                  </w:r>
                </w:p>
              </w:tc>
              <w:tc>
                <w:tcPr>
                  <w:tcW w:w="2223" w:type="pct"/>
                  <w:shd w:val="clear" w:color="auto" w:fill="auto"/>
                  <w:vAlign w:val="center"/>
                </w:tcPr>
                <w:p w14:paraId="679963A5">
                  <w:pPr>
                    <w:rPr>
                      <w:szCs w:val="21"/>
                    </w:rPr>
                  </w:pPr>
                  <w:r>
                    <w:rPr>
                      <w:rFonts w:hint="eastAsia"/>
                      <w:szCs w:val="21"/>
                    </w:rPr>
                    <w:t>园区给水</w:t>
                  </w:r>
                  <w:r>
                    <w:rPr>
                      <w:szCs w:val="21"/>
                    </w:rPr>
                    <w:t>管网供</w:t>
                  </w:r>
                  <w:r>
                    <w:rPr>
                      <w:rFonts w:hint="eastAsia"/>
                      <w:szCs w:val="21"/>
                    </w:rPr>
                    <w:t>水。</w:t>
                  </w:r>
                </w:p>
              </w:tc>
              <w:tc>
                <w:tcPr>
                  <w:tcW w:w="640" w:type="pct"/>
                  <w:vMerge w:val="continue"/>
                  <w:shd w:val="clear" w:color="auto" w:fill="auto"/>
                  <w:vAlign w:val="center"/>
                </w:tcPr>
                <w:p w14:paraId="0290943A">
                  <w:pPr>
                    <w:jc w:val="center"/>
                    <w:rPr>
                      <w:szCs w:val="21"/>
                    </w:rPr>
                  </w:pPr>
                </w:p>
              </w:tc>
              <w:tc>
                <w:tcPr>
                  <w:tcW w:w="654" w:type="pct"/>
                  <w:shd w:val="clear" w:color="auto" w:fill="auto"/>
                  <w:vAlign w:val="center"/>
                </w:tcPr>
                <w:p w14:paraId="7F931C08">
                  <w:pPr>
                    <w:jc w:val="center"/>
                    <w:rPr>
                      <w:szCs w:val="21"/>
                    </w:rPr>
                  </w:pPr>
                  <w:r>
                    <w:rPr>
                      <w:rFonts w:hint="eastAsia"/>
                      <w:szCs w:val="21"/>
                    </w:rPr>
                    <w:t>/</w:t>
                  </w:r>
                </w:p>
              </w:tc>
              <w:tc>
                <w:tcPr>
                  <w:tcW w:w="424" w:type="pct"/>
                  <w:vAlign w:val="center"/>
                </w:tcPr>
                <w:p w14:paraId="49A74A21">
                  <w:pPr>
                    <w:jc w:val="center"/>
                    <w:rPr>
                      <w:szCs w:val="21"/>
                    </w:rPr>
                  </w:pPr>
                  <w:r>
                    <w:rPr>
                      <w:szCs w:val="21"/>
                    </w:rPr>
                    <w:t>依托</w:t>
                  </w:r>
                </w:p>
              </w:tc>
            </w:tr>
            <w:tr w14:paraId="4B7A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23C88CC6">
                  <w:pPr>
                    <w:jc w:val="center"/>
                    <w:rPr>
                      <w:szCs w:val="21"/>
                    </w:rPr>
                  </w:pPr>
                </w:p>
              </w:tc>
              <w:tc>
                <w:tcPr>
                  <w:tcW w:w="663" w:type="pct"/>
                  <w:gridSpan w:val="2"/>
                  <w:shd w:val="clear" w:color="auto" w:fill="auto"/>
                  <w:vAlign w:val="center"/>
                </w:tcPr>
                <w:p w14:paraId="5FCD3ACE">
                  <w:pPr>
                    <w:jc w:val="center"/>
                    <w:rPr>
                      <w:szCs w:val="21"/>
                    </w:rPr>
                  </w:pPr>
                  <w:r>
                    <w:rPr>
                      <w:rFonts w:hint="eastAsia"/>
                      <w:szCs w:val="21"/>
                    </w:rPr>
                    <w:t>供气</w:t>
                  </w:r>
                </w:p>
              </w:tc>
              <w:tc>
                <w:tcPr>
                  <w:tcW w:w="2223" w:type="pct"/>
                  <w:shd w:val="clear" w:color="auto" w:fill="auto"/>
                  <w:vAlign w:val="center"/>
                </w:tcPr>
                <w:p w14:paraId="5F55D77C">
                  <w:pPr>
                    <w:rPr>
                      <w:szCs w:val="21"/>
                    </w:rPr>
                  </w:pPr>
                  <w:r>
                    <w:rPr>
                      <w:rFonts w:hint="eastAsia"/>
                      <w:szCs w:val="21"/>
                    </w:rPr>
                    <w:t>园区天然气管网供气。</w:t>
                  </w:r>
                </w:p>
              </w:tc>
              <w:tc>
                <w:tcPr>
                  <w:tcW w:w="640" w:type="pct"/>
                  <w:vMerge w:val="continue"/>
                  <w:shd w:val="clear" w:color="auto" w:fill="auto"/>
                  <w:vAlign w:val="center"/>
                </w:tcPr>
                <w:p w14:paraId="7B38AA67">
                  <w:pPr>
                    <w:jc w:val="center"/>
                    <w:rPr>
                      <w:szCs w:val="21"/>
                    </w:rPr>
                  </w:pPr>
                </w:p>
              </w:tc>
              <w:tc>
                <w:tcPr>
                  <w:tcW w:w="654" w:type="pct"/>
                  <w:shd w:val="clear" w:color="auto" w:fill="auto"/>
                  <w:vAlign w:val="center"/>
                </w:tcPr>
                <w:p w14:paraId="47EE2302">
                  <w:pPr>
                    <w:jc w:val="center"/>
                    <w:rPr>
                      <w:szCs w:val="21"/>
                    </w:rPr>
                  </w:pPr>
                  <w:r>
                    <w:rPr>
                      <w:rFonts w:hint="eastAsia"/>
                      <w:szCs w:val="21"/>
                    </w:rPr>
                    <w:t>/</w:t>
                  </w:r>
                </w:p>
              </w:tc>
              <w:tc>
                <w:tcPr>
                  <w:tcW w:w="424" w:type="pct"/>
                  <w:vAlign w:val="center"/>
                </w:tcPr>
                <w:p w14:paraId="15C1EBA8">
                  <w:pPr>
                    <w:jc w:val="center"/>
                    <w:rPr>
                      <w:szCs w:val="21"/>
                    </w:rPr>
                  </w:pPr>
                  <w:r>
                    <w:rPr>
                      <w:szCs w:val="21"/>
                    </w:rPr>
                    <w:t>依托</w:t>
                  </w:r>
                </w:p>
              </w:tc>
            </w:tr>
            <w:tr w14:paraId="20B2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 w:type="pct"/>
                  <w:vMerge w:val="restart"/>
                  <w:shd w:val="clear" w:color="auto" w:fill="auto"/>
                  <w:vAlign w:val="center"/>
                </w:tcPr>
                <w:p w14:paraId="7A7ACA5F">
                  <w:pPr>
                    <w:jc w:val="center"/>
                    <w:rPr>
                      <w:szCs w:val="21"/>
                    </w:rPr>
                  </w:pPr>
                  <w:r>
                    <w:rPr>
                      <w:rFonts w:hint="eastAsia"/>
                      <w:szCs w:val="21"/>
                    </w:rPr>
                    <w:t>仓储工程</w:t>
                  </w:r>
                </w:p>
              </w:tc>
              <w:tc>
                <w:tcPr>
                  <w:tcW w:w="663" w:type="pct"/>
                  <w:gridSpan w:val="2"/>
                  <w:shd w:val="clear" w:color="auto" w:fill="auto"/>
                  <w:vAlign w:val="center"/>
                </w:tcPr>
                <w:p w14:paraId="53B28862">
                  <w:pPr>
                    <w:jc w:val="center"/>
                    <w:rPr>
                      <w:szCs w:val="21"/>
                    </w:rPr>
                  </w:pPr>
                  <w:r>
                    <w:rPr>
                      <w:rFonts w:hint="eastAsia"/>
                      <w:bCs/>
                      <w:szCs w:val="21"/>
                    </w:rPr>
                    <w:t>原料区</w:t>
                  </w:r>
                </w:p>
              </w:tc>
              <w:tc>
                <w:tcPr>
                  <w:tcW w:w="2223" w:type="pct"/>
                  <w:shd w:val="clear" w:color="auto" w:fill="auto"/>
                  <w:vAlign w:val="center"/>
                </w:tcPr>
                <w:p w14:paraId="03270AC5">
                  <w:pPr>
                    <w:rPr>
                      <w:bCs/>
                      <w:szCs w:val="21"/>
                    </w:rPr>
                  </w:pPr>
                  <w:r>
                    <w:rPr>
                      <w:rFonts w:hint="eastAsia"/>
                      <w:bCs/>
                      <w:szCs w:val="21"/>
                    </w:rPr>
                    <w:t>1处，设于生产车间1F，用于ABS树脂、包装材料等原料储存。</w:t>
                  </w:r>
                </w:p>
              </w:tc>
              <w:tc>
                <w:tcPr>
                  <w:tcW w:w="640" w:type="pct"/>
                  <w:vMerge w:val="continue"/>
                  <w:shd w:val="clear" w:color="auto" w:fill="auto"/>
                  <w:vAlign w:val="center"/>
                </w:tcPr>
                <w:p w14:paraId="0BD4E204">
                  <w:pPr>
                    <w:jc w:val="center"/>
                    <w:rPr>
                      <w:szCs w:val="21"/>
                    </w:rPr>
                  </w:pPr>
                </w:p>
              </w:tc>
              <w:tc>
                <w:tcPr>
                  <w:tcW w:w="654" w:type="pct"/>
                  <w:shd w:val="clear" w:color="auto" w:fill="auto"/>
                  <w:vAlign w:val="center"/>
                </w:tcPr>
                <w:p w14:paraId="00EF5AA6">
                  <w:pPr>
                    <w:jc w:val="center"/>
                    <w:rPr>
                      <w:szCs w:val="21"/>
                    </w:rPr>
                  </w:pPr>
                  <w:r>
                    <w:rPr>
                      <w:rFonts w:hint="eastAsia"/>
                      <w:szCs w:val="21"/>
                    </w:rPr>
                    <w:t>/</w:t>
                  </w:r>
                </w:p>
              </w:tc>
              <w:tc>
                <w:tcPr>
                  <w:tcW w:w="424" w:type="pct"/>
                  <w:vAlign w:val="center"/>
                </w:tcPr>
                <w:p w14:paraId="79753655">
                  <w:pPr>
                    <w:jc w:val="center"/>
                    <w:rPr>
                      <w:szCs w:val="21"/>
                    </w:rPr>
                  </w:pPr>
                  <w:r>
                    <w:rPr>
                      <w:rFonts w:hint="eastAsia"/>
                      <w:szCs w:val="21"/>
                    </w:rPr>
                    <w:t>新建</w:t>
                  </w:r>
                </w:p>
              </w:tc>
            </w:tr>
            <w:tr w14:paraId="09A3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 w:type="pct"/>
                  <w:vMerge w:val="continue"/>
                  <w:shd w:val="clear" w:color="auto" w:fill="auto"/>
                  <w:vAlign w:val="center"/>
                </w:tcPr>
                <w:p w14:paraId="58CA236C">
                  <w:pPr>
                    <w:jc w:val="center"/>
                    <w:rPr>
                      <w:szCs w:val="21"/>
                    </w:rPr>
                  </w:pPr>
                </w:p>
              </w:tc>
              <w:tc>
                <w:tcPr>
                  <w:tcW w:w="663" w:type="pct"/>
                  <w:gridSpan w:val="2"/>
                  <w:shd w:val="clear" w:color="auto" w:fill="auto"/>
                  <w:vAlign w:val="center"/>
                </w:tcPr>
                <w:p w14:paraId="5DBDD594">
                  <w:pPr>
                    <w:jc w:val="center"/>
                    <w:rPr>
                      <w:bCs/>
                      <w:szCs w:val="21"/>
                    </w:rPr>
                  </w:pPr>
                  <w:r>
                    <w:rPr>
                      <w:rFonts w:hint="eastAsia"/>
                      <w:bCs/>
                      <w:szCs w:val="21"/>
                    </w:rPr>
                    <w:t>半成品区</w:t>
                  </w:r>
                </w:p>
              </w:tc>
              <w:tc>
                <w:tcPr>
                  <w:tcW w:w="2223" w:type="pct"/>
                  <w:shd w:val="clear" w:color="auto" w:fill="auto"/>
                  <w:vAlign w:val="center"/>
                </w:tcPr>
                <w:p w14:paraId="56B76575">
                  <w:pPr>
                    <w:rPr>
                      <w:bCs/>
                      <w:szCs w:val="21"/>
                    </w:rPr>
                  </w:pPr>
                  <w:r>
                    <w:rPr>
                      <w:rFonts w:hint="eastAsia"/>
                      <w:bCs/>
                      <w:szCs w:val="21"/>
                    </w:rPr>
                    <w:t>1处，设于生产车间1F，用于注塑后的毛坯件存放。</w:t>
                  </w:r>
                </w:p>
              </w:tc>
              <w:tc>
                <w:tcPr>
                  <w:tcW w:w="640" w:type="pct"/>
                  <w:vMerge w:val="continue"/>
                  <w:shd w:val="clear" w:color="auto" w:fill="auto"/>
                  <w:vAlign w:val="center"/>
                </w:tcPr>
                <w:p w14:paraId="54BC1969">
                  <w:pPr>
                    <w:jc w:val="center"/>
                    <w:rPr>
                      <w:szCs w:val="21"/>
                    </w:rPr>
                  </w:pPr>
                </w:p>
              </w:tc>
              <w:tc>
                <w:tcPr>
                  <w:tcW w:w="654" w:type="pct"/>
                  <w:shd w:val="clear" w:color="auto" w:fill="auto"/>
                  <w:vAlign w:val="center"/>
                </w:tcPr>
                <w:p w14:paraId="4F27BE2A">
                  <w:pPr>
                    <w:jc w:val="center"/>
                    <w:rPr>
                      <w:szCs w:val="21"/>
                    </w:rPr>
                  </w:pPr>
                  <w:r>
                    <w:rPr>
                      <w:rFonts w:hint="eastAsia"/>
                      <w:szCs w:val="21"/>
                    </w:rPr>
                    <w:t>/</w:t>
                  </w:r>
                </w:p>
              </w:tc>
              <w:tc>
                <w:tcPr>
                  <w:tcW w:w="424" w:type="pct"/>
                  <w:vAlign w:val="center"/>
                </w:tcPr>
                <w:p w14:paraId="42B7361D">
                  <w:pPr>
                    <w:jc w:val="center"/>
                    <w:rPr>
                      <w:szCs w:val="21"/>
                    </w:rPr>
                  </w:pPr>
                  <w:r>
                    <w:rPr>
                      <w:rFonts w:hint="eastAsia"/>
                      <w:szCs w:val="21"/>
                    </w:rPr>
                    <w:t>新建</w:t>
                  </w:r>
                </w:p>
              </w:tc>
            </w:tr>
            <w:tr w14:paraId="4C10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 w:type="pct"/>
                  <w:vMerge w:val="continue"/>
                  <w:shd w:val="clear" w:color="auto" w:fill="auto"/>
                  <w:vAlign w:val="center"/>
                </w:tcPr>
                <w:p w14:paraId="2C689197">
                  <w:pPr>
                    <w:jc w:val="center"/>
                    <w:rPr>
                      <w:szCs w:val="21"/>
                    </w:rPr>
                  </w:pPr>
                </w:p>
              </w:tc>
              <w:tc>
                <w:tcPr>
                  <w:tcW w:w="663" w:type="pct"/>
                  <w:gridSpan w:val="2"/>
                  <w:shd w:val="clear" w:color="auto" w:fill="auto"/>
                  <w:vAlign w:val="center"/>
                </w:tcPr>
                <w:p w14:paraId="42A61DA7">
                  <w:pPr>
                    <w:jc w:val="center"/>
                    <w:rPr>
                      <w:bCs/>
                      <w:szCs w:val="21"/>
                    </w:rPr>
                  </w:pPr>
                  <w:r>
                    <w:rPr>
                      <w:rFonts w:hint="eastAsia"/>
                      <w:bCs/>
                      <w:szCs w:val="21"/>
                    </w:rPr>
                    <w:t>成品暂存区</w:t>
                  </w:r>
                </w:p>
              </w:tc>
              <w:tc>
                <w:tcPr>
                  <w:tcW w:w="2223" w:type="pct"/>
                  <w:shd w:val="clear" w:color="auto" w:fill="auto"/>
                  <w:vAlign w:val="center"/>
                </w:tcPr>
                <w:p w14:paraId="79CC7AAA">
                  <w:pPr>
                    <w:rPr>
                      <w:bCs/>
                      <w:szCs w:val="21"/>
                    </w:rPr>
                  </w:pPr>
                  <w:r>
                    <w:rPr>
                      <w:rFonts w:hint="eastAsia"/>
                      <w:bCs/>
                      <w:szCs w:val="21"/>
                    </w:rPr>
                    <w:t>2处，设于生产车间1F和2F，用于成品临时存放。</w:t>
                  </w:r>
                </w:p>
              </w:tc>
              <w:tc>
                <w:tcPr>
                  <w:tcW w:w="640" w:type="pct"/>
                  <w:vMerge w:val="continue"/>
                  <w:shd w:val="clear" w:color="auto" w:fill="auto"/>
                  <w:vAlign w:val="center"/>
                </w:tcPr>
                <w:p w14:paraId="348AB449">
                  <w:pPr>
                    <w:jc w:val="center"/>
                    <w:rPr>
                      <w:szCs w:val="21"/>
                    </w:rPr>
                  </w:pPr>
                </w:p>
              </w:tc>
              <w:tc>
                <w:tcPr>
                  <w:tcW w:w="654" w:type="pct"/>
                  <w:shd w:val="clear" w:color="auto" w:fill="auto"/>
                  <w:vAlign w:val="center"/>
                </w:tcPr>
                <w:p w14:paraId="483316FB">
                  <w:pPr>
                    <w:jc w:val="center"/>
                    <w:rPr>
                      <w:szCs w:val="21"/>
                    </w:rPr>
                  </w:pPr>
                  <w:r>
                    <w:rPr>
                      <w:rFonts w:hint="eastAsia"/>
                      <w:szCs w:val="21"/>
                    </w:rPr>
                    <w:t>/</w:t>
                  </w:r>
                </w:p>
              </w:tc>
              <w:tc>
                <w:tcPr>
                  <w:tcW w:w="424" w:type="pct"/>
                  <w:vAlign w:val="center"/>
                </w:tcPr>
                <w:p w14:paraId="6B057971">
                  <w:pPr>
                    <w:jc w:val="center"/>
                    <w:rPr>
                      <w:szCs w:val="21"/>
                    </w:rPr>
                  </w:pPr>
                  <w:r>
                    <w:rPr>
                      <w:rFonts w:hint="eastAsia"/>
                      <w:szCs w:val="21"/>
                    </w:rPr>
                    <w:t>新建</w:t>
                  </w:r>
                </w:p>
              </w:tc>
            </w:tr>
            <w:tr w14:paraId="2DB8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 w:type="pct"/>
                  <w:vMerge w:val="continue"/>
                  <w:shd w:val="clear" w:color="auto" w:fill="auto"/>
                  <w:vAlign w:val="center"/>
                </w:tcPr>
                <w:p w14:paraId="7F7995F9">
                  <w:pPr>
                    <w:jc w:val="center"/>
                    <w:rPr>
                      <w:szCs w:val="21"/>
                    </w:rPr>
                  </w:pPr>
                </w:p>
              </w:tc>
              <w:tc>
                <w:tcPr>
                  <w:tcW w:w="663" w:type="pct"/>
                  <w:gridSpan w:val="2"/>
                  <w:shd w:val="clear" w:color="auto" w:fill="auto"/>
                  <w:vAlign w:val="center"/>
                </w:tcPr>
                <w:p w14:paraId="767B5DE0">
                  <w:pPr>
                    <w:jc w:val="center"/>
                    <w:rPr>
                      <w:bCs/>
                      <w:szCs w:val="21"/>
                    </w:rPr>
                  </w:pPr>
                  <w:r>
                    <w:rPr>
                      <w:rFonts w:hint="eastAsia"/>
                      <w:bCs/>
                      <w:szCs w:val="21"/>
                    </w:rPr>
                    <w:t>辅料库房</w:t>
                  </w:r>
                </w:p>
              </w:tc>
              <w:tc>
                <w:tcPr>
                  <w:tcW w:w="2223" w:type="pct"/>
                  <w:shd w:val="clear" w:color="auto" w:fill="auto"/>
                  <w:vAlign w:val="center"/>
                </w:tcPr>
                <w:p w14:paraId="75CD5448">
                  <w:pPr>
                    <w:rPr>
                      <w:bCs/>
                      <w:szCs w:val="21"/>
                    </w:rPr>
                  </w:pPr>
                  <w:r>
                    <w:rPr>
                      <w:rFonts w:hint="eastAsia"/>
                      <w:bCs/>
                      <w:szCs w:val="21"/>
                    </w:rPr>
                    <w:t>1间，设于生产车间1F，用于油墨、机油等原辅料储存。</w:t>
                  </w:r>
                </w:p>
              </w:tc>
              <w:tc>
                <w:tcPr>
                  <w:tcW w:w="640" w:type="pct"/>
                  <w:vMerge w:val="continue"/>
                  <w:shd w:val="clear" w:color="auto" w:fill="auto"/>
                  <w:vAlign w:val="center"/>
                </w:tcPr>
                <w:p w14:paraId="61273C60">
                  <w:pPr>
                    <w:jc w:val="center"/>
                    <w:rPr>
                      <w:szCs w:val="21"/>
                    </w:rPr>
                  </w:pPr>
                </w:p>
              </w:tc>
              <w:tc>
                <w:tcPr>
                  <w:tcW w:w="654" w:type="pct"/>
                  <w:shd w:val="clear" w:color="auto" w:fill="auto"/>
                  <w:vAlign w:val="center"/>
                </w:tcPr>
                <w:p w14:paraId="39441035">
                  <w:pPr>
                    <w:jc w:val="center"/>
                    <w:rPr>
                      <w:szCs w:val="21"/>
                    </w:rPr>
                  </w:pPr>
                  <w:r>
                    <w:rPr>
                      <w:rFonts w:hint="eastAsia"/>
                      <w:szCs w:val="21"/>
                    </w:rPr>
                    <w:t>环境风险</w:t>
                  </w:r>
                </w:p>
              </w:tc>
              <w:tc>
                <w:tcPr>
                  <w:tcW w:w="424" w:type="pct"/>
                  <w:vAlign w:val="center"/>
                </w:tcPr>
                <w:p w14:paraId="032E9939">
                  <w:pPr>
                    <w:jc w:val="center"/>
                    <w:rPr>
                      <w:szCs w:val="21"/>
                    </w:rPr>
                  </w:pPr>
                  <w:r>
                    <w:rPr>
                      <w:rFonts w:hint="eastAsia"/>
                      <w:szCs w:val="21"/>
                    </w:rPr>
                    <w:t>新建</w:t>
                  </w:r>
                </w:p>
              </w:tc>
            </w:tr>
            <w:tr w14:paraId="70B6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6" w:type="pct"/>
                  <w:vMerge w:val="continue"/>
                  <w:shd w:val="clear" w:color="auto" w:fill="auto"/>
                  <w:vAlign w:val="center"/>
                </w:tcPr>
                <w:p w14:paraId="1A6DE31B">
                  <w:pPr>
                    <w:jc w:val="center"/>
                    <w:rPr>
                      <w:szCs w:val="21"/>
                    </w:rPr>
                  </w:pPr>
                </w:p>
              </w:tc>
              <w:tc>
                <w:tcPr>
                  <w:tcW w:w="663" w:type="pct"/>
                  <w:gridSpan w:val="2"/>
                  <w:shd w:val="clear" w:color="auto" w:fill="auto"/>
                  <w:vAlign w:val="center"/>
                </w:tcPr>
                <w:p w14:paraId="04AE37B6">
                  <w:pPr>
                    <w:jc w:val="center"/>
                    <w:rPr>
                      <w:szCs w:val="21"/>
                    </w:rPr>
                  </w:pPr>
                  <w:r>
                    <w:rPr>
                      <w:rFonts w:hint="eastAsia"/>
                      <w:szCs w:val="21"/>
                    </w:rPr>
                    <w:t>成品库房</w:t>
                  </w:r>
                </w:p>
              </w:tc>
              <w:tc>
                <w:tcPr>
                  <w:tcW w:w="2223" w:type="pct"/>
                  <w:shd w:val="clear" w:color="auto" w:fill="auto"/>
                  <w:vAlign w:val="center"/>
                </w:tcPr>
                <w:p w14:paraId="2A9BFDBC">
                  <w:pPr>
                    <w:rPr>
                      <w:szCs w:val="21"/>
                    </w:rPr>
                  </w:pPr>
                  <w:r>
                    <w:rPr>
                      <w:rFonts w:hint="eastAsia"/>
                      <w:bCs/>
                      <w:szCs w:val="21"/>
                    </w:rPr>
                    <w:t>2F，H</w:t>
                  </w:r>
                  <w:r>
                    <w:rPr>
                      <w:bCs/>
                      <w:szCs w:val="21"/>
                    </w:rPr>
                    <w:t>=</w:t>
                  </w:r>
                  <w:r>
                    <w:rPr>
                      <w:rFonts w:hint="eastAsia"/>
                      <w:bCs/>
                      <w:szCs w:val="21"/>
                    </w:rPr>
                    <w:t>9.45</w:t>
                  </w:r>
                  <w:r>
                    <w:rPr>
                      <w:bCs/>
                      <w:szCs w:val="21"/>
                    </w:rPr>
                    <w:t>m，</w:t>
                  </w:r>
                  <w:r>
                    <w:rPr>
                      <w:rFonts w:hint="eastAsia"/>
                      <w:bCs/>
                      <w:szCs w:val="21"/>
                    </w:rPr>
                    <w:t>建筑面积约2891.96m</w:t>
                  </w:r>
                  <w:r>
                    <w:rPr>
                      <w:bCs/>
                      <w:szCs w:val="21"/>
                      <w:vertAlign w:val="superscript"/>
                    </w:rPr>
                    <w:t>2</w:t>
                  </w:r>
                  <w:r>
                    <w:rPr>
                      <w:bCs/>
                      <w:szCs w:val="21"/>
                    </w:rPr>
                    <w:t>，</w:t>
                  </w:r>
                  <w:r>
                    <w:rPr>
                      <w:rFonts w:hint="eastAsia"/>
                      <w:bCs/>
                      <w:szCs w:val="21"/>
                    </w:rPr>
                    <w:t>用于全厂成品贮存。</w:t>
                  </w:r>
                </w:p>
              </w:tc>
              <w:tc>
                <w:tcPr>
                  <w:tcW w:w="640" w:type="pct"/>
                  <w:vMerge w:val="continue"/>
                  <w:shd w:val="clear" w:color="auto" w:fill="auto"/>
                  <w:vAlign w:val="center"/>
                </w:tcPr>
                <w:p w14:paraId="3D61ED1D">
                  <w:pPr>
                    <w:jc w:val="center"/>
                    <w:rPr>
                      <w:szCs w:val="21"/>
                    </w:rPr>
                  </w:pPr>
                </w:p>
              </w:tc>
              <w:tc>
                <w:tcPr>
                  <w:tcW w:w="654" w:type="pct"/>
                  <w:shd w:val="clear" w:color="auto" w:fill="auto"/>
                  <w:vAlign w:val="center"/>
                </w:tcPr>
                <w:p w14:paraId="70D246E0">
                  <w:pPr>
                    <w:jc w:val="center"/>
                    <w:rPr>
                      <w:szCs w:val="21"/>
                    </w:rPr>
                  </w:pPr>
                  <w:r>
                    <w:rPr>
                      <w:rFonts w:hint="eastAsia"/>
                      <w:szCs w:val="21"/>
                    </w:rPr>
                    <w:t>/</w:t>
                  </w:r>
                </w:p>
              </w:tc>
              <w:tc>
                <w:tcPr>
                  <w:tcW w:w="424" w:type="pct"/>
                  <w:vAlign w:val="center"/>
                </w:tcPr>
                <w:p w14:paraId="4DF5FB4E">
                  <w:pPr>
                    <w:jc w:val="center"/>
                    <w:rPr>
                      <w:szCs w:val="21"/>
                    </w:rPr>
                  </w:pPr>
                  <w:r>
                    <w:rPr>
                      <w:rFonts w:hint="eastAsia"/>
                      <w:szCs w:val="21"/>
                    </w:rPr>
                    <w:t>新建</w:t>
                  </w:r>
                </w:p>
              </w:tc>
            </w:tr>
            <w:tr w14:paraId="28012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restart"/>
                  <w:shd w:val="clear" w:color="auto" w:fill="auto"/>
                  <w:vAlign w:val="center"/>
                </w:tcPr>
                <w:p w14:paraId="2B84542B">
                  <w:pPr>
                    <w:jc w:val="center"/>
                    <w:rPr>
                      <w:szCs w:val="21"/>
                    </w:rPr>
                  </w:pPr>
                  <w:r>
                    <w:rPr>
                      <w:rFonts w:hint="eastAsia"/>
                      <w:szCs w:val="21"/>
                    </w:rPr>
                    <w:t>环保</w:t>
                  </w:r>
                  <w:r>
                    <w:rPr>
                      <w:szCs w:val="21"/>
                    </w:rPr>
                    <w:t>工程</w:t>
                  </w:r>
                </w:p>
              </w:tc>
              <w:tc>
                <w:tcPr>
                  <w:tcW w:w="246" w:type="pct"/>
                  <w:vMerge w:val="restart"/>
                  <w:shd w:val="clear" w:color="auto" w:fill="auto"/>
                  <w:vAlign w:val="center"/>
                </w:tcPr>
                <w:p w14:paraId="0E9DBD8E">
                  <w:pPr>
                    <w:jc w:val="center"/>
                    <w:rPr>
                      <w:szCs w:val="21"/>
                    </w:rPr>
                  </w:pPr>
                  <w:r>
                    <w:rPr>
                      <w:szCs w:val="21"/>
                    </w:rPr>
                    <w:t>废气</w:t>
                  </w:r>
                </w:p>
              </w:tc>
              <w:tc>
                <w:tcPr>
                  <w:tcW w:w="417" w:type="pct"/>
                  <w:shd w:val="clear" w:color="auto" w:fill="auto"/>
                  <w:vAlign w:val="center"/>
                </w:tcPr>
                <w:p w14:paraId="547DB272">
                  <w:pPr>
                    <w:jc w:val="center"/>
                    <w:rPr>
                      <w:bCs/>
                      <w:szCs w:val="21"/>
                    </w:rPr>
                  </w:pPr>
                  <w:r>
                    <w:rPr>
                      <w:rFonts w:hint="eastAsia"/>
                      <w:bCs/>
                      <w:szCs w:val="21"/>
                    </w:rPr>
                    <w:t>有机废气</w:t>
                  </w:r>
                </w:p>
              </w:tc>
              <w:tc>
                <w:tcPr>
                  <w:tcW w:w="2223" w:type="pct"/>
                  <w:shd w:val="clear" w:color="auto" w:fill="auto"/>
                  <w:vAlign w:val="center"/>
                </w:tcPr>
                <w:p w14:paraId="7533B2A7">
                  <w:pPr>
                    <w:rPr>
                      <w:bCs/>
                      <w:szCs w:val="21"/>
                    </w:rPr>
                  </w:pPr>
                  <w:r>
                    <w:rPr>
                      <w:rFonts w:hint="eastAsia"/>
                      <w:bCs/>
                      <w:szCs w:val="21"/>
                    </w:rPr>
                    <w:t>注塑成型机上方设集气罩收集，印刷间采取密闭负压抽风，废气经收集采用1套二级活性炭吸附装置（TA005</w:t>
                  </w:r>
                  <w:r>
                    <w:rPr>
                      <w:bCs/>
                      <w:szCs w:val="21"/>
                    </w:rPr>
                    <w:t>）</w:t>
                  </w:r>
                  <w:r>
                    <w:rPr>
                      <w:rFonts w:hint="eastAsia"/>
                      <w:bCs/>
                      <w:szCs w:val="21"/>
                    </w:rPr>
                    <w:t>处理后经15m高排气筒（DA005）排放。</w:t>
                  </w:r>
                </w:p>
              </w:tc>
              <w:tc>
                <w:tcPr>
                  <w:tcW w:w="640" w:type="pct"/>
                  <w:vMerge w:val="continue"/>
                  <w:shd w:val="clear" w:color="auto" w:fill="auto"/>
                  <w:vAlign w:val="center"/>
                </w:tcPr>
                <w:p w14:paraId="5B599871">
                  <w:pPr>
                    <w:jc w:val="center"/>
                    <w:rPr>
                      <w:b/>
                      <w:szCs w:val="21"/>
                    </w:rPr>
                  </w:pPr>
                </w:p>
              </w:tc>
              <w:tc>
                <w:tcPr>
                  <w:tcW w:w="654" w:type="pct"/>
                  <w:shd w:val="clear" w:color="auto" w:fill="auto"/>
                  <w:vAlign w:val="center"/>
                </w:tcPr>
                <w:p w14:paraId="173A16EC">
                  <w:pPr>
                    <w:jc w:val="center"/>
                    <w:rPr>
                      <w:bCs/>
                      <w:szCs w:val="21"/>
                    </w:rPr>
                  </w:pPr>
                  <w:r>
                    <w:rPr>
                      <w:rFonts w:hint="eastAsia"/>
                      <w:bCs/>
                      <w:szCs w:val="21"/>
                    </w:rPr>
                    <w:t>废活性炭、</w:t>
                  </w:r>
                  <w:r>
                    <w:rPr>
                      <w:bCs/>
                      <w:szCs w:val="21"/>
                    </w:rPr>
                    <w:t>噪声</w:t>
                  </w:r>
                </w:p>
              </w:tc>
              <w:tc>
                <w:tcPr>
                  <w:tcW w:w="424" w:type="pct"/>
                  <w:vAlign w:val="center"/>
                </w:tcPr>
                <w:p w14:paraId="2A8E167B">
                  <w:pPr>
                    <w:jc w:val="center"/>
                    <w:rPr>
                      <w:bCs/>
                      <w:szCs w:val="21"/>
                    </w:rPr>
                  </w:pPr>
                  <w:r>
                    <w:rPr>
                      <w:rFonts w:hint="eastAsia"/>
                      <w:bCs/>
                      <w:szCs w:val="21"/>
                    </w:rPr>
                    <w:t>新增</w:t>
                  </w:r>
                </w:p>
              </w:tc>
            </w:tr>
            <w:tr w14:paraId="302E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54E22BF6">
                  <w:pPr>
                    <w:jc w:val="center"/>
                    <w:rPr>
                      <w:szCs w:val="21"/>
                    </w:rPr>
                  </w:pPr>
                </w:p>
              </w:tc>
              <w:tc>
                <w:tcPr>
                  <w:tcW w:w="246" w:type="pct"/>
                  <w:vMerge w:val="continue"/>
                  <w:shd w:val="clear" w:color="auto" w:fill="auto"/>
                  <w:vAlign w:val="center"/>
                </w:tcPr>
                <w:p w14:paraId="03BD705C">
                  <w:pPr>
                    <w:jc w:val="center"/>
                    <w:rPr>
                      <w:szCs w:val="21"/>
                    </w:rPr>
                  </w:pPr>
                </w:p>
              </w:tc>
              <w:tc>
                <w:tcPr>
                  <w:tcW w:w="417" w:type="pct"/>
                  <w:shd w:val="clear" w:color="auto" w:fill="auto"/>
                  <w:vAlign w:val="center"/>
                </w:tcPr>
                <w:p w14:paraId="158C33CB">
                  <w:pPr>
                    <w:jc w:val="center"/>
                    <w:rPr>
                      <w:bCs/>
                      <w:szCs w:val="21"/>
                    </w:rPr>
                  </w:pPr>
                  <w:r>
                    <w:rPr>
                      <w:rFonts w:hint="eastAsia"/>
                      <w:bCs/>
                      <w:szCs w:val="21"/>
                    </w:rPr>
                    <w:t>食堂油烟</w:t>
                  </w:r>
                </w:p>
              </w:tc>
              <w:tc>
                <w:tcPr>
                  <w:tcW w:w="2223" w:type="pct"/>
                  <w:shd w:val="clear" w:color="auto" w:fill="auto"/>
                  <w:vAlign w:val="center"/>
                </w:tcPr>
                <w:p w14:paraId="3EABB954">
                  <w:pPr>
                    <w:rPr>
                      <w:bCs/>
                      <w:szCs w:val="21"/>
                    </w:rPr>
                  </w:pPr>
                  <w:r>
                    <w:rPr>
                      <w:rFonts w:hint="eastAsia"/>
                      <w:bCs/>
                      <w:szCs w:val="21"/>
                    </w:rPr>
                    <w:t>依托厂区已建食堂油烟净化器（TA004</w:t>
                  </w:r>
                  <w:r>
                    <w:rPr>
                      <w:bCs/>
                      <w:szCs w:val="21"/>
                    </w:rPr>
                    <w:t>）</w:t>
                  </w:r>
                  <w:r>
                    <w:rPr>
                      <w:rFonts w:hint="eastAsia"/>
                      <w:bCs/>
                      <w:szCs w:val="21"/>
                    </w:rPr>
                    <w:t>处理后引至食堂屋顶排放（DA004</w:t>
                  </w:r>
                  <w:r>
                    <w:rPr>
                      <w:bCs/>
                      <w:szCs w:val="21"/>
                    </w:rPr>
                    <w:t>）</w:t>
                  </w:r>
                  <w:r>
                    <w:rPr>
                      <w:rFonts w:hint="eastAsia"/>
                      <w:bCs/>
                      <w:szCs w:val="21"/>
                    </w:rPr>
                    <w:t>。</w:t>
                  </w:r>
                </w:p>
              </w:tc>
              <w:tc>
                <w:tcPr>
                  <w:tcW w:w="640" w:type="pct"/>
                  <w:vMerge w:val="continue"/>
                  <w:shd w:val="clear" w:color="auto" w:fill="auto"/>
                  <w:vAlign w:val="center"/>
                </w:tcPr>
                <w:p w14:paraId="5CF1A966">
                  <w:pPr>
                    <w:jc w:val="center"/>
                    <w:rPr>
                      <w:b/>
                      <w:szCs w:val="21"/>
                    </w:rPr>
                  </w:pPr>
                </w:p>
              </w:tc>
              <w:tc>
                <w:tcPr>
                  <w:tcW w:w="654" w:type="pct"/>
                  <w:shd w:val="clear" w:color="auto" w:fill="auto"/>
                  <w:vAlign w:val="center"/>
                </w:tcPr>
                <w:p w14:paraId="3DFC9EBF">
                  <w:pPr>
                    <w:jc w:val="center"/>
                    <w:rPr>
                      <w:bCs/>
                      <w:szCs w:val="21"/>
                    </w:rPr>
                  </w:pPr>
                  <w:r>
                    <w:rPr>
                      <w:rFonts w:hint="eastAsia"/>
                      <w:bCs/>
                      <w:szCs w:val="21"/>
                    </w:rPr>
                    <w:t>噪声</w:t>
                  </w:r>
                </w:p>
              </w:tc>
              <w:tc>
                <w:tcPr>
                  <w:tcW w:w="424" w:type="pct"/>
                  <w:vAlign w:val="center"/>
                </w:tcPr>
                <w:p w14:paraId="1F62E66C">
                  <w:pPr>
                    <w:jc w:val="center"/>
                    <w:rPr>
                      <w:bCs/>
                      <w:szCs w:val="21"/>
                    </w:rPr>
                  </w:pPr>
                  <w:r>
                    <w:rPr>
                      <w:rFonts w:hint="eastAsia"/>
                      <w:bCs/>
                      <w:szCs w:val="21"/>
                    </w:rPr>
                    <w:t>依托</w:t>
                  </w:r>
                </w:p>
              </w:tc>
            </w:tr>
            <w:tr w14:paraId="0B89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01F158EC">
                  <w:pPr>
                    <w:jc w:val="center"/>
                    <w:rPr>
                      <w:szCs w:val="21"/>
                    </w:rPr>
                  </w:pPr>
                </w:p>
              </w:tc>
              <w:tc>
                <w:tcPr>
                  <w:tcW w:w="246" w:type="pct"/>
                  <w:vMerge w:val="restart"/>
                  <w:shd w:val="clear" w:color="auto" w:fill="auto"/>
                  <w:vAlign w:val="center"/>
                </w:tcPr>
                <w:p w14:paraId="22ECFB33">
                  <w:pPr>
                    <w:jc w:val="center"/>
                    <w:rPr>
                      <w:szCs w:val="21"/>
                    </w:rPr>
                  </w:pPr>
                  <w:r>
                    <w:rPr>
                      <w:szCs w:val="21"/>
                    </w:rPr>
                    <w:t>废水</w:t>
                  </w:r>
                </w:p>
              </w:tc>
              <w:tc>
                <w:tcPr>
                  <w:tcW w:w="417" w:type="pct"/>
                  <w:shd w:val="clear" w:color="auto" w:fill="auto"/>
                  <w:vAlign w:val="center"/>
                </w:tcPr>
                <w:p w14:paraId="786DA679">
                  <w:pPr>
                    <w:jc w:val="center"/>
                    <w:rPr>
                      <w:szCs w:val="21"/>
                    </w:rPr>
                  </w:pPr>
                  <w:r>
                    <w:rPr>
                      <w:szCs w:val="21"/>
                    </w:rPr>
                    <w:t>预处理池</w:t>
                  </w:r>
                </w:p>
              </w:tc>
              <w:tc>
                <w:tcPr>
                  <w:tcW w:w="2223" w:type="pct"/>
                  <w:shd w:val="clear" w:color="auto" w:fill="auto"/>
                  <w:vAlign w:val="center"/>
                </w:tcPr>
                <w:p w14:paraId="219863B9">
                  <w:pPr>
                    <w:rPr>
                      <w:szCs w:val="21"/>
                    </w:rPr>
                  </w:pPr>
                  <w:r>
                    <w:rPr>
                      <w:rFonts w:hint="eastAsia"/>
                      <w:szCs w:val="21"/>
                    </w:rPr>
                    <w:t>依托厂区已建的1个预处理池，容积</w:t>
                  </w:r>
                  <w:r>
                    <w:rPr>
                      <w:szCs w:val="21"/>
                    </w:rPr>
                    <w:t>40</w:t>
                  </w:r>
                  <w:r>
                    <w:rPr>
                      <w:rFonts w:hint="eastAsia"/>
                      <w:szCs w:val="21"/>
                    </w:rPr>
                    <w:t>m</w:t>
                  </w:r>
                  <w:r>
                    <w:rPr>
                      <w:rFonts w:hint="eastAsia"/>
                      <w:szCs w:val="21"/>
                      <w:vertAlign w:val="superscript"/>
                    </w:rPr>
                    <w:t>3</w:t>
                  </w:r>
                  <w:r>
                    <w:rPr>
                      <w:rFonts w:hint="eastAsia"/>
                      <w:szCs w:val="21"/>
                    </w:rPr>
                    <w:t>，用于生活污水预处理。</w:t>
                  </w:r>
                </w:p>
              </w:tc>
              <w:tc>
                <w:tcPr>
                  <w:tcW w:w="640" w:type="pct"/>
                  <w:vMerge w:val="continue"/>
                  <w:shd w:val="clear" w:color="auto" w:fill="auto"/>
                  <w:vAlign w:val="center"/>
                </w:tcPr>
                <w:p w14:paraId="6E367C1B">
                  <w:pPr>
                    <w:jc w:val="center"/>
                    <w:rPr>
                      <w:szCs w:val="21"/>
                    </w:rPr>
                  </w:pPr>
                </w:p>
              </w:tc>
              <w:tc>
                <w:tcPr>
                  <w:tcW w:w="654" w:type="pct"/>
                  <w:shd w:val="clear" w:color="auto" w:fill="auto"/>
                  <w:vAlign w:val="center"/>
                </w:tcPr>
                <w:p w14:paraId="3B441816">
                  <w:pPr>
                    <w:jc w:val="center"/>
                    <w:rPr>
                      <w:szCs w:val="21"/>
                    </w:rPr>
                  </w:pPr>
                  <w:r>
                    <w:rPr>
                      <w:rFonts w:hint="eastAsia"/>
                      <w:szCs w:val="21"/>
                    </w:rPr>
                    <w:t>污泥</w:t>
                  </w:r>
                </w:p>
              </w:tc>
              <w:tc>
                <w:tcPr>
                  <w:tcW w:w="424" w:type="pct"/>
                  <w:vAlign w:val="center"/>
                </w:tcPr>
                <w:p w14:paraId="3E5CDCA2">
                  <w:pPr>
                    <w:jc w:val="center"/>
                    <w:rPr>
                      <w:szCs w:val="21"/>
                    </w:rPr>
                  </w:pPr>
                  <w:r>
                    <w:rPr>
                      <w:rFonts w:hint="eastAsia"/>
                      <w:szCs w:val="21"/>
                    </w:rPr>
                    <w:t>依托</w:t>
                  </w:r>
                </w:p>
              </w:tc>
            </w:tr>
            <w:tr w14:paraId="5C57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23095BDD">
                  <w:pPr>
                    <w:jc w:val="center"/>
                    <w:rPr>
                      <w:szCs w:val="21"/>
                    </w:rPr>
                  </w:pPr>
                </w:p>
              </w:tc>
              <w:tc>
                <w:tcPr>
                  <w:tcW w:w="246" w:type="pct"/>
                  <w:vMerge w:val="continue"/>
                  <w:shd w:val="clear" w:color="auto" w:fill="auto"/>
                  <w:vAlign w:val="center"/>
                </w:tcPr>
                <w:p w14:paraId="3915F584">
                  <w:pPr>
                    <w:jc w:val="center"/>
                    <w:rPr>
                      <w:szCs w:val="21"/>
                    </w:rPr>
                  </w:pPr>
                </w:p>
              </w:tc>
              <w:tc>
                <w:tcPr>
                  <w:tcW w:w="417" w:type="pct"/>
                  <w:shd w:val="clear" w:color="auto" w:fill="auto"/>
                  <w:vAlign w:val="center"/>
                </w:tcPr>
                <w:p w14:paraId="1A78A6B1">
                  <w:pPr>
                    <w:jc w:val="center"/>
                    <w:rPr>
                      <w:szCs w:val="21"/>
                    </w:rPr>
                  </w:pPr>
                  <w:r>
                    <w:rPr>
                      <w:rFonts w:hint="eastAsia"/>
                      <w:szCs w:val="21"/>
                    </w:rPr>
                    <w:t>隔油池</w:t>
                  </w:r>
                </w:p>
              </w:tc>
              <w:tc>
                <w:tcPr>
                  <w:tcW w:w="2223" w:type="pct"/>
                  <w:shd w:val="clear" w:color="auto" w:fill="auto"/>
                  <w:vAlign w:val="center"/>
                </w:tcPr>
                <w:p w14:paraId="219F90B2">
                  <w:pPr>
                    <w:rPr>
                      <w:szCs w:val="21"/>
                    </w:rPr>
                  </w:pPr>
                  <w:r>
                    <w:rPr>
                      <w:rFonts w:hint="eastAsia"/>
                      <w:szCs w:val="21"/>
                    </w:rPr>
                    <w:t>依托厂区已建的1个隔油池，容积1m</w:t>
                  </w:r>
                  <w:r>
                    <w:rPr>
                      <w:rFonts w:hint="eastAsia"/>
                      <w:szCs w:val="21"/>
                      <w:vertAlign w:val="superscript"/>
                    </w:rPr>
                    <w:t>3</w:t>
                  </w:r>
                  <w:r>
                    <w:rPr>
                      <w:rFonts w:hint="eastAsia"/>
                      <w:szCs w:val="21"/>
                    </w:rPr>
                    <w:t>，用于食堂废水隔油处理。</w:t>
                  </w:r>
                </w:p>
              </w:tc>
              <w:tc>
                <w:tcPr>
                  <w:tcW w:w="640" w:type="pct"/>
                  <w:vMerge w:val="continue"/>
                  <w:shd w:val="clear" w:color="auto" w:fill="auto"/>
                  <w:vAlign w:val="center"/>
                </w:tcPr>
                <w:p w14:paraId="017EBF94">
                  <w:pPr>
                    <w:jc w:val="center"/>
                    <w:rPr>
                      <w:szCs w:val="21"/>
                    </w:rPr>
                  </w:pPr>
                </w:p>
              </w:tc>
              <w:tc>
                <w:tcPr>
                  <w:tcW w:w="654" w:type="pct"/>
                  <w:shd w:val="clear" w:color="auto" w:fill="auto"/>
                  <w:vAlign w:val="center"/>
                </w:tcPr>
                <w:p w14:paraId="76884C1B">
                  <w:pPr>
                    <w:jc w:val="center"/>
                    <w:rPr>
                      <w:szCs w:val="21"/>
                    </w:rPr>
                  </w:pPr>
                  <w:r>
                    <w:rPr>
                      <w:rFonts w:hint="eastAsia"/>
                      <w:szCs w:val="21"/>
                    </w:rPr>
                    <w:t>浮油</w:t>
                  </w:r>
                </w:p>
              </w:tc>
              <w:tc>
                <w:tcPr>
                  <w:tcW w:w="424" w:type="pct"/>
                  <w:vAlign w:val="center"/>
                </w:tcPr>
                <w:p w14:paraId="65DCA29E">
                  <w:pPr>
                    <w:jc w:val="center"/>
                    <w:rPr>
                      <w:szCs w:val="21"/>
                    </w:rPr>
                  </w:pPr>
                  <w:r>
                    <w:rPr>
                      <w:rFonts w:hint="eastAsia"/>
                      <w:szCs w:val="21"/>
                    </w:rPr>
                    <w:t>依托</w:t>
                  </w:r>
                </w:p>
              </w:tc>
            </w:tr>
            <w:tr w14:paraId="01B9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1F4B720F">
                  <w:pPr>
                    <w:jc w:val="center"/>
                    <w:rPr>
                      <w:szCs w:val="21"/>
                    </w:rPr>
                  </w:pPr>
                </w:p>
              </w:tc>
              <w:tc>
                <w:tcPr>
                  <w:tcW w:w="246" w:type="pct"/>
                  <w:vMerge w:val="restart"/>
                  <w:shd w:val="clear" w:color="auto" w:fill="auto"/>
                  <w:vAlign w:val="center"/>
                </w:tcPr>
                <w:p w14:paraId="2C636A1D">
                  <w:pPr>
                    <w:jc w:val="center"/>
                    <w:rPr>
                      <w:b/>
                      <w:szCs w:val="21"/>
                    </w:rPr>
                  </w:pPr>
                  <w:r>
                    <w:rPr>
                      <w:szCs w:val="21"/>
                    </w:rPr>
                    <w:t>固废</w:t>
                  </w:r>
                </w:p>
              </w:tc>
              <w:tc>
                <w:tcPr>
                  <w:tcW w:w="417" w:type="pct"/>
                  <w:shd w:val="clear" w:color="auto" w:fill="auto"/>
                  <w:vAlign w:val="center"/>
                </w:tcPr>
                <w:p w14:paraId="7CEAAB01">
                  <w:pPr>
                    <w:jc w:val="center"/>
                    <w:rPr>
                      <w:szCs w:val="21"/>
                    </w:rPr>
                  </w:pPr>
                  <w:r>
                    <w:rPr>
                      <w:szCs w:val="21"/>
                    </w:rPr>
                    <w:t>固废暂存间</w:t>
                  </w:r>
                </w:p>
              </w:tc>
              <w:tc>
                <w:tcPr>
                  <w:tcW w:w="2223" w:type="pct"/>
                  <w:shd w:val="clear" w:color="auto" w:fill="auto"/>
                  <w:vAlign w:val="center"/>
                </w:tcPr>
                <w:p w14:paraId="51AF48B6">
                  <w:pPr>
                    <w:rPr>
                      <w:szCs w:val="21"/>
                    </w:rPr>
                  </w:pPr>
                  <w:r>
                    <w:rPr>
                      <w:rFonts w:hint="eastAsia"/>
                      <w:szCs w:val="21"/>
                    </w:rPr>
                    <w:t>依托厂区已建的1间固废暂存间，面积约9</w:t>
                  </w:r>
                  <w:r>
                    <w:rPr>
                      <w:szCs w:val="21"/>
                    </w:rPr>
                    <w:t>0</w:t>
                  </w:r>
                  <w:r>
                    <w:rPr>
                      <w:rFonts w:hint="eastAsia"/>
                      <w:szCs w:val="21"/>
                    </w:rPr>
                    <w:t>m</w:t>
                  </w:r>
                  <w:r>
                    <w:rPr>
                      <w:szCs w:val="21"/>
                      <w:vertAlign w:val="superscript"/>
                    </w:rPr>
                    <w:t>2</w:t>
                  </w:r>
                  <w:r>
                    <w:rPr>
                      <w:rFonts w:hint="eastAsia"/>
                      <w:szCs w:val="21"/>
                    </w:rPr>
                    <w:t>，用于一般固体废物的暂存。</w:t>
                  </w:r>
                </w:p>
              </w:tc>
              <w:tc>
                <w:tcPr>
                  <w:tcW w:w="640" w:type="pct"/>
                  <w:vMerge w:val="continue"/>
                  <w:shd w:val="clear" w:color="auto" w:fill="auto"/>
                  <w:vAlign w:val="center"/>
                </w:tcPr>
                <w:p w14:paraId="4C8557FE">
                  <w:pPr>
                    <w:jc w:val="center"/>
                    <w:rPr>
                      <w:b/>
                      <w:szCs w:val="21"/>
                    </w:rPr>
                  </w:pPr>
                </w:p>
              </w:tc>
              <w:tc>
                <w:tcPr>
                  <w:tcW w:w="654" w:type="pct"/>
                  <w:shd w:val="clear" w:color="auto" w:fill="auto"/>
                  <w:vAlign w:val="center"/>
                </w:tcPr>
                <w:p w14:paraId="328D7800">
                  <w:pPr>
                    <w:jc w:val="center"/>
                    <w:rPr>
                      <w:szCs w:val="21"/>
                    </w:rPr>
                  </w:pPr>
                  <w:r>
                    <w:rPr>
                      <w:rFonts w:hint="eastAsia"/>
                      <w:szCs w:val="21"/>
                    </w:rPr>
                    <w:t>固废</w:t>
                  </w:r>
                </w:p>
              </w:tc>
              <w:tc>
                <w:tcPr>
                  <w:tcW w:w="424" w:type="pct"/>
                  <w:vAlign w:val="center"/>
                </w:tcPr>
                <w:p w14:paraId="784171D6">
                  <w:pPr>
                    <w:jc w:val="center"/>
                    <w:rPr>
                      <w:szCs w:val="21"/>
                    </w:rPr>
                  </w:pPr>
                  <w:r>
                    <w:rPr>
                      <w:rFonts w:hint="eastAsia"/>
                      <w:szCs w:val="21"/>
                    </w:rPr>
                    <w:t>依托</w:t>
                  </w:r>
                </w:p>
              </w:tc>
            </w:tr>
            <w:tr w14:paraId="4EE9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vMerge w:val="continue"/>
                  <w:shd w:val="clear" w:color="auto" w:fill="auto"/>
                  <w:vAlign w:val="center"/>
                </w:tcPr>
                <w:p w14:paraId="34ABA9D5">
                  <w:pPr>
                    <w:jc w:val="center"/>
                    <w:rPr>
                      <w:szCs w:val="21"/>
                    </w:rPr>
                  </w:pPr>
                </w:p>
              </w:tc>
              <w:tc>
                <w:tcPr>
                  <w:tcW w:w="246" w:type="pct"/>
                  <w:vMerge w:val="continue"/>
                  <w:shd w:val="clear" w:color="auto" w:fill="auto"/>
                  <w:vAlign w:val="center"/>
                </w:tcPr>
                <w:p w14:paraId="389F2C8B">
                  <w:pPr>
                    <w:jc w:val="center"/>
                    <w:rPr>
                      <w:szCs w:val="21"/>
                    </w:rPr>
                  </w:pPr>
                </w:p>
              </w:tc>
              <w:tc>
                <w:tcPr>
                  <w:tcW w:w="417" w:type="pct"/>
                  <w:shd w:val="clear" w:color="auto" w:fill="auto"/>
                  <w:vAlign w:val="center"/>
                </w:tcPr>
                <w:p w14:paraId="4D7CAB02">
                  <w:pPr>
                    <w:jc w:val="center"/>
                    <w:rPr>
                      <w:szCs w:val="21"/>
                    </w:rPr>
                  </w:pPr>
                  <w:r>
                    <w:rPr>
                      <w:szCs w:val="21"/>
                    </w:rPr>
                    <w:t>危废暂存间</w:t>
                  </w:r>
                </w:p>
              </w:tc>
              <w:tc>
                <w:tcPr>
                  <w:tcW w:w="2223" w:type="pct"/>
                  <w:shd w:val="clear" w:color="auto" w:fill="auto"/>
                  <w:vAlign w:val="center"/>
                </w:tcPr>
                <w:p w14:paraId="42B955C0">
                  <w:pPr>
                    <w:rPr>
                      <w:szCs w:val="21"/>
                    </w:rPr>
                  </w:pPr>
                  <w:r>
                    <w:rPr>
                      <w:rFonts w:hint="eastAsia"/>
                      <w:szCs w:val="21"/>
                    </w:rPr>
                    <w:t>依托厂区已建的1间危废暂存间，面积约50m</w:t>
                  </w:r>
                  <w:r>
                    <w:rPr>
                      <w:szCs w:val="21"/>
                      <w:vertAlign w:val="superscript"/>
                    </w:rPr>
                    <w:t>2</w:t>
                  </w:r>
                  <w:r>
                    <w:rPr>
                      <w:rFonts w:hint="eastAsia"/>
                      <w:szCs w:val="21"/>
                    </w:rPr>
                    <w:t>，用于危险废物的暂存。</w:t>
                  </w:r>
                </w:p>
              </w:tc>
              <w:tc>
                <w:tcPr>
                  <w:tcW w:w="640" w:type="pct"/>
                  <w:vMerge w:val="continue"/>
                  <w:shd w:val="clear" w:color="auto" w:fill="auto"/>
                  <w:vAlign w:val="center"/>
                </w:tcPr>
                <w:p w14:paraId="5B1B8169">
                  <w:pPr>
                    <w:jc w:val="center"/>
                    <w:rPr>
                      <w:b/>
                      <w:szCs w:val="21"/>
                    </w:rPr>
                  </w:pPr>
                </w:p>
              </w:tc>
              <w:tc>
                <w:tcPr>
                  <w:tcW w:w="654" w:type="pct"/>
                  <w:shd w:val="clear" w:color="auto" w:fill="auto"/>
                  <w:vAlign w:val="center"/>
                </w:tcPr>
                <w:p w14:paraId="4940911B">
                  <w:pPr>
                    <w:jc w:val="center"/>
                    <w:rPr>
                      <w:szCs w:val="21"/>
                    </w:rPr>
                  </w:pPr>
                  <w:r>
                    <w:rPr>
                      <w:rFonts w:hint="eastAsia"/>
                      <w:szCs w:val="21"/>
                    </w:rPr>
                    <w:t>危险废物</w:t>
                  </w:r>
                </w:p>
              </w:tc>
              <w:tc>
                <w:tcPr>
                  <w:tcW w:w="424" w:type="pct"/>
                  <w:vAlign w:val="center"/>
                </w:tcPr>
                <w:p w14:paraId="4D0B8B3B">
                  <w:pPr>
                    <w:jc w:val="center"/>
                    <w:rPr>
                      <w:szCs w:val="21"/>
                    </w:rPr>
                  </w:pPr>
                  <w:r>
                    <w:rPr>
                      <w:rFonts w:hint="eastAsia"/>
                      <w:szCs w:val="21"/>
                    </w:rPr>
                    <w:t>依托</w:t>
                  </w:r>
                </w:p>
              </w:tc>
            </w:tr>
          </w:tbl>
          <w:p w14:paraId="61CE4C08">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、环保设施</w:t>
            </w:r>
            <w:r>
              <w:rPr>
                <w:rFonts w:cs="Times New Roman"/>
                <w:b/>
                <w:sz w:val="24"/>
                <w:szCs w:val="24"/>
              </w:rPr>
              <w:t>依托可行性</w:t>
            </w:r>
          </w:p>
          <w:p w14:paraId="565488B1">
            <w:pPr>
              <w:spacing w:line="360" w:lineRule="auto"/>
              <w:ind w:firstLine="480" w:firstLineChars="200"/>
              <w:rPr>
                <w:kern w:val="24"/>
                <w:sz w:val="24"/>
                <w:szCs w:val="24"/>
              </w:rPr>
            </w:pPr>
            <w:r>
              <w:rPr>
                <w:sz w:val="24"/>
                <w:szCs w:val="24"/>
              </w:rPr>
              <w:t>本</w:t>
            </w:r>
            <w:r>
              <w:rPr>
                <w:rFonts w:hint="eastAsia"/>
                <w:sz w:val="24"/>
                <w:szCs w:val="24"/>
              </w:rPr>
              <w:t>项目部分环保设施将依托现有工程已建设施，</w:t>
            </w:r>
            <w:r>
              <w:rPr>
                <w:rFonts w:hint="eastAsia"/>
                <w:kern w:val="24"/>
                <w:sz w:val="24"/>
                <w:szCs w:val="24"/>
              </w:rPr>
              <w:t>主要依托关系及依托可行性分析见下表。</w:t>
            </w:r>
          </w:p>
          <w:p w14:paraId="75BC681A">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依托关系及依托可行性</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617"/>
              <w:gridCol w:w="2876"/>
              <w:gridCol w:w="3767"/>
            </w:tblGrid>
            <w:tr w14:paraId="5CF5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5" w:type="pct"/>
                  <w:vAlign w:val="center"/>
                </w:tcPr>
                <w:p w14:paraId="0D7C4C8A">
                  <w:pPr>
                    <w:jc w:val="center"/>
                    <w:rPr>
                      <w:rFonts w:cstheme="minorHAnsi"/>
                      <w:szCs w:val="21"/>
                    </w:rPr>
                  </w:pPr>
                  <w:r>
                    <w:rPr>
                      <w:rFonts w:cstheme="minorHAnsi"/>
                      <w:szCs w:val="21"/>
                    </w:rPr>
                    <w:t>序号</w:t>
                  </w:r>
                </w:p>
              </w:tc>
              <w:tc>
                <w:tcPr>
                  <w:tcW w:w="884" w:type="pct"/>
                  <w:vAlign w:val="center"/>
                </w:tcPr>
                <w:p w14:paraId="74910134">
                  <w:pPr>
                    <w:jc w:val="center"/>
                    <w:rPr>
                      <w:rFonts w:cstheme="minorHAnsi"/>
                      <w:szCs w:val="21"/>
                    </w:rPr>
                  </w:pPr>
                  <w:r>
                    <w:rPr>
                      <w:rFonts w:cstheme="minorHAnsi"/>
                      <w:szCs w:val="21"/>
                    </w:rPr>
                    <w:t>名称</w:t>
                  </w:r>
                </w:p>
              </w:tc>
              <w:tc>
                <w:tcPr>
                  <w:tcW w:w="1572" w:type="pct"/>
                  <w:vAlign w:val="center"/>
                </w:tcPr>
                <w:p w14:paraId="79E81522">
                  <w:pPr>
                    <w:jc w:val="center"/>
                    <w:rPr>
                      <w:rFonts w:cstheme="minorHAnsi"/>
                      <w:szCs w:val="21"/>
                    </w:rPr>
                  </w:pPr>
                  <w:r>
                    <w:rPr>
                      <w:rFonts w:cstheme="minorHAnsi"/>
                      <w:szCs w:val="21"/>
                    </w:rPr>
                    <w:t>依托内容</w:t>
                  </w:r>
                </w:p>
              </w:tc>
              <w:tc>
                <w:tcPr>
                  <w:tcW w:w="2059" w:type="pct"/>
                  <w:vAlign w:val="center"/>
                </w:tcPr>
                <w:p w14:paraId="577FB342">
                  <w:pPr>
                    <w:jc w:val="center"/>
                    <w:rPr>
                      <w:rFonts w:cstheme="minorHAnsi"/>
                      <w:szCs w:val="21"/>
                    </w:rPr>
                  </w:pPr>
                  <w:r>
                    <w:rPr>
                      <w:rFonts w:hint="eastAsia" w:cstheme="minorHAnsi"/>
                      <w:szCs w:val="21"/>
                    </w:rPr>
                    <w:t>依托可行性</w:t>
                  </w:r>
                </w:p>
              </w:tc>
            </w:tr>
            <w:tr w14:paraId="3321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5" w:type="pct"/>
                  <w:vAlign w:val="center"/>
                </w:tcPr>
                <w:p w14:paraId="701FD50A">
                  <w:pPr>
                    <w:jc w:val="center"/>
                    <w:rPr>
                      <w:rFonts w:cstheme="minorHAnsi"/>
                      <w:szCs w:val="21"/>
                    </w:rPr>
                  </w:pPr>
                  <w:r>
                    <w:rPr>
                      <w:rFonts w:hint="eastAsia" w:cstheme="minorHAnsi"/>
                      <w:szCs w:val="21"/>
                    </w:rPr>
                    <w:t>1</w:t>
                  </w:r>
                </w:p>
              </w:tc>
              <w:tc>
                <w:tcPr>
                  <w:tcW w:w="884" w:type="pct"/>
                  <w:vAlign w:val="center"/>
                </w:tcPr>
                <w:p w14:paraId="103CE2F0">
                  <w:pPr>
                    <w:jc w:val="center"/>
                    <w:rPr>
                      <w:szCs w:val="21"/>
                    </w:rPr>
                  </w:pPr>
                  <w:r>
                    <w:rPr>
                      <w:rFonts w:hint="eastAsia"/>
                      <w:szCs w:val="21"/>
                    </w:rPr>
                    <w:t>食堂油烟净化系统</w:t>
                  </w:r>
                </w:p>
              </w:tc>
              <w:tc>
                <w:tcPr>
                  <w:tcW w:w="1572" w:type="pct"/>
                  <w:vAlign w:val="center"/>
                </w:tcPr>
                <w:p w14:paraId="0ADABFDF">
                  <w:pPr>
                    <w:rPr>
                      <w:szCs w:val="21"/>
                    </w:rPr>
                  </w:pPr>
                  <w:r>
                    <w:rPr>
                      <w:rFonts w:hint="eastAsia"/>
                      <w:szCs w:val="21"/>
                    </w:rPr>
                    <w:t>1套，油烟采用油烟净化器处理后引至食堂屋顶排放。</w:t>
                  </w:r>
                </w:p>
              </w:tc>
              <w:tc>
                <w:tcPr>
                  <w:tcW w:w="2059" w:type="pct"/>
                  <w:vAlign w:val="center"/>
                </w:tcPr>
                <w:p w14:paraId="04FF87B6">
                  <w:pPr>
                    <w:rPr>
                      <w:rFonts w:cstheme="minorHAnsi"/>
                      <w:szCs w:val="21"/>
                      <w:highlight w:val="yellow"/>
                    </w:rPr>
                  </w:pPr>
                  <w:r>
                    <w:rPr>
                      <w:rFonts w:hint="eastAsia" w:cstheme="minorHAnsi"/>
                      <w:szCs w:val="21"/>
                    </w:rPr>
                    <w:t>本次扩建新增食堂油烟0.0078t/a，扩建后食堂油烟预测排放浓度能够实现达标排放，满足依托需求。</w:t>
                  </w:r>
                </w:p>
              </w:tc>
            </w:tr>
            <w:tr w14:paraId="3AE0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5" w:type="pct"/>
                  <w:vAlign w:val="center"/>
                </w:tcPr>
                <w:p w14:paraId="45E8E43B">
                  <w:pPr>
                    <w:jc w:val="center"/>
                    <w:rPr>
                      <w:rFonts w:cstheme="minorHAnsi"/>
                      <w:szCs w:val="21"/>
                    </w:rPr>
                  </w:pPr>
                  <w:r>
                    <w:rPr>
                      <w:rFonts w:hint="eastAsia" w:cstheme="minorHAnsi"/>
                      <w:szCs w:val="21"/>
                    </w:rPr>
                    <w:t>2</w:t>
                  </w:r>
                </w:p>
              </w:tc>
              <w:tc>
                <w:tcPr>
                  <w:tcW w:w="884" w:type="pct"/>
                  <w:vAlign w:val="center"/>
                </w:tcPr>
                <w:p w14:paraId="128892D6">
                  <w:pPr>
                    <w:jc w:val="center"/>
                    <w:rPr>
                      <w:rFonts w:cstheme="minorHAnsi"/>
                      <w:szCs w:val="21"/>
                    </w:rPr>
                  </w:pPr>
                  <w:r>
                    <w:rPr>
                      <w:szCs w:val="21"/>
                    </w:rPr>
                    <w:t>预处理池</w:t>
                  </w:r>
                </w:p>
              </w:tc>
              <w:tc>
                <w:tcPr>
                  <w:tcW w:w="1572" w:type="pct"/>
                  <w:vAlign w:val="center"/>
                </w:tcPr>
                <w:p w14:paraId="1C75E8B2">
                  <w:pPr>
                    <w:rPr>
                      <w:rFonts w:cstheme="minorHAnsi"/>
                      <w:szCs w:val="21"/>
                    </w:rPr>
                  </w:pPr>
                  <w:r>
                    <w:rPr>
                      <w:rFonts w:hint="eastAsia"/>
                      <w:szCs w:val="21"/>
                    </w:rPr>
                    <w:t>1个，容积4</w:t>
                  </w:r>
                  <w:r>
                    <w:rPr>
                      <w:szCs w:val="21"/>
                    </w:rPr>
                    <w:t>0</w:t>
                  </w:r>
                  <w:r>
                    <w:rPr>
                      <w:rFonts w:hint="eastAsia"/>
                      <w:szCs w:val="21"/>
                    </w:rPr>
                    <w:t>m</w:t>
                  </w:r>
                  <w:r>
                    <w:rPr>
                      <w:rFonts w:hint="eastAsia"/>
                      <w:szCs w:val="21"/>
                      <w:vertAlign w:val="superscript"/>
                    </w:rPr>
                    <w:t>3</w:t>
                  </w:r>
                  <w:r>
                    <w:rPr>
                      <w:rFonts w:hint="eastAsia"/>
                      <w:szCs w:val="21"/>
                    </w:rPr>
                    <w:t>，用于生活污水预处理。</w:t>
                  </w:r>
                </w:p>
              </w:tc>
              <w:tc>
                <w:tcPr>
                  <w:tcW w:w="2059" w:type="pct"/>
                  <w:vAlign w:val="center"/>
                </w:tcPr>
                <w:p w14:paraId="726CBD0B">
                  <w:pPr>
                    <w:rPr>
                      <w:rFonts w:cstheme="minorHAnsi"/>
                      <w:szCs w:val="21"/>
                      <w:highlight w:val="yellow"/>
                    </w:rPr>
                  </w:pPr>
                  <w:r>
                    <w:rPr>
                      <w:rFonts w:hint="eastAsia" w:cstheme="minorHAnsi"/>
                      <w:szCs w:val="21"/>
                    </w:rPr>
                    <w:t>本项目新增生活污水量约2.763m</w:t>
                  </w:r>
                  <w:r>
                    <w:rPr>
                      <w:rFonts w:cstheme="minorHAnsi"/>
                      <w:szCs w:val="21"/>
                      <w:vertAlign w:val="superscript"/>
                    </w:rPr>
                    <w:t>3</w:t>
                  </w:r>
                  <w:r>
                    <w:rPr>
                      <w:rFonts w:cstheme="minorHAnsi"/>
                      <w:szCs w:val="21"/>
                    </w:rPr>
                    <w:t>/d</w:t>
                  </w:r>
                  <w:r>
                    <w:rPr>
                      <w:rFonts w:hint="eastAsia" w:cstheme="minorHAnsi"/>
                      <w:szCs w:val="21"/>
                    </w:rPr>
                    <w:t>（含食堂废水），现有工程废水量约12.656m</w:t>
                  </w:r>
                  <w:r>
                    <w:rPr>
                      <w:rFonts w:hint="eastAsia" w:cstheme="minorHAnsi"/>
                      <w:szCs w:val="21"/>
                      <w:vertAlign w:val="superscript"/>
                    </w:rPr>
                    <w:t>3</w:t>
                  </w:r>
                  <w:r>
                    <w:rPr>
                      <w:rFonts w:hint="eastAsia" w:cstheme="minorHAnsi"/>
                      <w:szCs w:val="21"/>
                    </w:rPr>
                    <w:t>/d，现有预处理池剩余处理能力满足扩建项目废水处理需求。</w:t>
                  </w:r>
                </w:p>
              </w:tc>
            </w:tr>
            <w:tr w14:paraId="6B18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5" w:type="pct"/>
                  <w:vAlign w:val="center"/>
                </w:tcPr>
                <w:p w14:paraId="5382ECBF">
                  <w:pPr>
                    <w:jc w:val="center"/>
                    <w:rPr>
                      <w:rFonts w:cstheme="minorHAnsi"/>
                      <w:szCs w:val="21"/>
                    </w:rPr>
                  </w:pPr>
                  <w:r>
                    <w:rPr>
                      <w:rFonts w:hint="eastAsia" w:cstheme="minorHAnsi"/>
                      <w:szCs w:val="21"/>
                    </w:rPr>
                    <w:t>3</w:t>
                  </w:r>
                </w:p>
              </w:tc>
              <w:tc>
                <w:tcPr>
                  <w:tcW w:w="884" w:type="pct"/>
                  <w:vAlign w:val="center"/>
                </w:tcPr>
                <w:p w14:paraId="60C131ED">
                  <w:pPr>
                    <w:jc w:val="center"/>
                    <w:rPr>
                      <w:szCs w:val="21"/>
                    </w:rPr>
                  </w:pPr>
                  <w:r>
                    <w:rPr>
                      <w:rFonts w:hint="eastAsia"/>
                      <w:szCs w:val="21"/>
                    </w:rPr>
                    <w:t>隔油池</w:t>
                  </w:r>
                </w:p>
              </w:tc>
              <w:tc>
                <w:tcPr>
                  <w:tcW w:w="1572" w:type="pct"/>
                  <w:vAlign w:val="center"/>
                </w:tcPr>
                <w:p w14:paraId="6EA5496E">
                  <w:pPr>
                    <w:rPr>
                      <w:szCs w:val="21"/>
                    </w:rPr>
                  </w:pPr>
                  <w:r>
                    <w:rPr>
                      <w:rFonts w:hint="eastAsia"/>
                      <w:szCs w:val="21"/>
                    </w:rPr>
                    <w:t>1个，有效容积1m</w:t>
                  </w:r>
                  <w:r>
                    <w:rPr>
                      <w:szCs w:val="21"/>
                      <w:vertAlign w:val="superscript"/>
                    </w:rPr>
                    <w:t>3</w:t>
                  </w:r>
                  <w:r>
                    <w:rPr>
                      <w:rFonts w:hint="eastAsia"/>
                      <w:szCs w:val="21"/>
                    </w:rPr>
                    <w:t>，用于食堂废水隔油处理。</w:t>
                  </w:r>
                </w:p>
              </w:tc>
              <w:tc>
                <w:tcPr>
                  <w:tcW w:w="2059" w:type="pct"/>
                  <w:vAlign w:val="center"/>
                </w:tcPr>
                <w:p w14:paraId="55FEF639">
                  <w:pPr>
                    <w:rPr>
                      <w:rFonts w:cstheme="minorHAnsi"/>
                      <w:szCs w:val="21"/>
                    </w:rPr>
                  </w:pPr>
                  <w:r>
                    <w:rPr>
                      <w:rFonts w:hint="eastAsia" w:cstheme="minorHAnsi"/>
                      <w:szCs w:val="21"/>
                    </w:rPr>
                    <w:t>本项目新增食堂废水量约0.553m</w:t>
                  </w:r>
                  <w:r>
                    <w:rPr>
                      <w:rFonts w:cstheme="minorHAnsi"/>
                      <w:szCs w:val="21"/>
                      <w:vertAlign w:val="superscript"/>
                    </w:rPr>
                    <w:t>3</w:t>
                  </w:r>
                  <w:r>
                    <w:rPr>
                      <w:rFonts w:cstheme="minorHAnsi"/>
                      <w:szCs w:val="21"/>
                    </w:rPr>
                    <w:t>/d</w:t>
                  </w:r>
                  <w:r>
                    <w:rPr>
                      <w:rFonts w:hint="eastAsia" w:cstheme="minorHAnsi"/>
                      <w:szCs w:val="21"/>
                    </w:rPr>
                    <w:t>，现有工程食堂废水量约5.424m</w:t>
                  </w:r>
                  <w:r>
                    <w:rPr>
                      <w:rFonts w:hint="eastAsia" w:cstheme="minorHAnsi"/>
                      <w:szCs w:val="21"/>
                      <w:vertAlign w:val="superscript"/>
                    </w:rPr>
                    <w:t>3</w:t>
                  </w:r>
                  <w:r>
                    <w:rPr>
                      <w:rFonts w:hint="eastAsia" w:cstheme="minorHAnsi"/>
                      <w:szCs w:val="21"/>
                    </w:rPr>
                    <w:t>/d，根据建设单位提供的资料，隔油池设计流量为1L/s，实际处理能力20m</w:t>
                  </w:r>
                  <w:r>
                    <w:rPr>
                      <w:rFonts w:hint="eastAsia" w:cstheme="minorHAnsi"/>
                      <w:szCs w:val="21"/>
                      <w:vertAlign w:val="superscript"/>
                    </w:rPr>
                    <w:t>3</w:t>
                  </w:r>
                  <w:r>
                    <w:rPr>
                      <w:rFonts w:hint="eastAsia" w:cstheme="minorHAnsi"/>
                      <w:szCs w:val="21"/>
                    </w:rPr>
                    <w:t>/d，剩余处理能力满足扩建项目废水处理需求。</w:t>
                  </w:r>
                </w:p>
              </w:tc>
            </w:tr>
            <w:tr w14:paraId="7A62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5" w:type="pct"/>
                  <w:vAlign w:val="center"/>
                </w:tcPr>
                <w:p w14:paraId="2A58F282">
                  <w:pPr>
                    <w:jc w:val="center"/>
                    <w:rPr>
                      <w:rFonts w:cstheme="minorHAnsi"/>
                      <w:szCs w:val="21"/>
                    </w:rPr>
                  </w:pPr>
                  <w:r>
                    <w:rPr>
                      <w:rFonts w:hint="eastAsia" w:cstheme="minorHAnsi"/>
                      <w:szCs w:val="21"/>
                    </w:rPr>
                    <w:t>4</w:t>
                  </w:r>
                </w:p>
              </w:tc>
              <w:tc>
                <w:tcPr>
                  <w:tcW w:w="884" w:type="pct"/>
                  <w:vAlign w:val="center"/>
                </w:tcPr>
                <w:p w14:paraId="315C3E18">
                  <w:pPr>
                    <w:jc w:val="center"/>
                    <w:rPr>
                      <w:szCs w:val="21"/>
                    </w:rPr>
                  </w:pPr>
                  <w:r>
                    <w:rPr>
                      <w:szCs w:val="21"/>
                    </w:rPr>
                    <w:t>固废暂存间</w:t>
                  </w:r>
                </w:p>
              </w:tc>
              <w:tc>
                <w:tcPr>
                  <w:tcW w:w="1572" w:type="pct"/>
                  <w:vAlign w:val="center"/>
                </w:tcPr>
                <w:p w14:paraId="3AC6E288">
                  <w:pPr>
                    <w:rPr>
                      <w:szCs w:val="21"/>
                    </w:rPr>
                  </w:pPr>
                  <w:r>
                    <w:rPr>
                      <w:rFonts w:hint="eastAsia"/>
                      <w:szCs w:val="21"/>
                    </w:rPr>
                    <w:t>1间，面积约9</w:t>
                  </w:r>
                  <w:r>
                    <w:rPr>
                      <w:szCs w:val="21"/>
                    </w:rPr>
                    <w:t>0</w:t>
                  </w:r>
                  <w:r>
                    <w:rPr>
                      <w:rFonts w:hint="eastAsia"/>
                      <w:szCs w:val="21"/>
                    </w:rPr>
                    <w:t>m</w:t>
                  </w:r>
                  <w:r>
                    <w:rPr>
                      <w:szCs w:val="21"/>
                      <w:vertAlign w:val="superscript"/>
                    </w:rPr>
                    <w:t>2</w:t>
                  </w:r>
                  <w:r>
                    <w:rPr>
                      <w:rFonts w:hint="eastAsia"/>
                      <w:szCs w:val="21"/>
                    </w:rPr>
                    <w:t>，用于一般固体废物的暂存。</w:t>
                  </w:r>
                </w:p>
              </w:tc>
              <w:tc>
                <w:tcPr>
                  <w:tcW w:w="2059" w:type="pct"/>
                  <w:vAlign w:val="center"/>
                </w:tcPr>
                <w:p w14:paraId="7AED3DA4">
                  <w:pPr>
                    <w:rPr>
                      <w:rFonts w:cstheme="minorHAnsi"/>
                      <w:szCs w:val="21"/>
                    </w:rPr>
                  </w:pPr>
                  <w:r>
                    <w:rPr>
                      <w:rFonts w:hint="eastAsia" w:cstheme="minorHAnsi"/>
                      <w:szCs w:val="21"/>
                    </w:rPr>
                    <w:t>本次扩建后通过增加一般固体废物 频次，可以满足全厂固废贮存需求。</w:t>
                  </w:r>
                </w:p>
              </w:tc>
            </w:tr>
            <w:tr w14:paraId="2A95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485" w:type="pct"/>
                  <w:vAlign w:val="center"/>
                </w:tcPr>
                <w:p w14:paraId="1968987B">
                  <w:pPr>
                    <w:jc w:val="center"/>
                    <w:rPr>
                      <w:rFonts w:cstheme="minorHAnsi"/>
                      <w:szCs w:val="21"/>
                    </w:rPr>
                  </w:pPr>
                  <w:r>
                    <w:rPr>
                      <w:rFonts w:hint="eastAsia" w:cstheme="minorHAnsi"/>
                      <w:szCs w:val="21"/>
                    </w:rPr>
                    <w:t>5</w:t>
                  </w:r>
                </w:p>
              </w:tc>
              <w:tc>
                <w:tcPr>
                  <w:tcW w:w="884" w:type="pct"/>
                  <w:vAlign w:val="center"/>
                </w:tcPr>
                <w:p w14:paraId="5CAE64CD">
                  <w:pPr>
                    <w:jc w:val="center"/>
                    <w:rPr>
                      <w:szCs w:val="21"/>
                    </w:rPr>
                  </w:pPr>
                  <w:r>
                    <w:rPr>
                      <w:szCs w:val="21"/>
                    </w:rPr>
                    <w:t>危废暂存间</w:t>
                  </w:r>
                </w:p>
              </w:tc>
              <w:tc>
                <w:tcPr>
                  <w:tcW w:w="1572" w:type="pct"/>
                  <w:vAlign w:val="center"/>
                </w:tcPr>
                <w:p w14:paraId="295DED35">
                  <w:pPr>
                    <w:rPr>
                      <w:szCs w:val="21"/>
                    </w:rPr>
                  </w:pPr>
                  <w:r>
                    <w:rPr>
                      <w:rFonts w:hint="eastAsia"/>
                      <w:szCs w:val="21"/>
                    </w:rPr>
                    <w:t>1间，面积约50m</w:t>
                  </w:r>
                  <w:r>
                    <w:rPr>
                      <w:szCs w:val="21"/>
                      <w:vertAlign w:val="superscript"/>
                    </w:rPr>
                    <w:t>2</w:t>
                  </w:r>
                  <w:r>
                    <w:rPr>
                      <w:rFonts w:hint="eastAsia"/>
                      <w:szCs w:val="21"/>
                    </w:rPr>
                    <w:t>，用于危险废物的暂存，设计贮存能力25t。</w:t>
                  </w:r>
                </w:p>
              </w:tc>
              <w:tc>
                <w:tcPr>
                  <w:tcW w:w="2059" w:type="pct"/>
                  <w:vAlign w:val="center"/>
                </w:tcPr>
                <w:p w14:paraId="1361D0D7">
                  <w:pPr>
                    <w:rPr>
                      <w:rFonts w:cstheme="minorHAnsi"/>
                      <w:szCs w:val="21"/>
                    </w:rPr>
                  </w:pPr>
                  <w:r>
                    <w:rPr>
                      <w:rFonts w:hint="eastAsia" w:cstheme="minorHAnsi"/>
                      <w:szCs w:val="21"/>
                    </w:rPr>
                    <w:t>本次扩建后通过增加危险废物转运频次，可以满足全厂危险废物贮存需求。</w:t>
                  </w:r>
                </w:p>
              </w:tc>
            </w:tr>
          </w:tbl>
          <w:p w14:paraId="376FBDB5">
            <w:pPr>
              <w:spacing w:line="360" w:lineRule="auto"/>
              <w:ind w:firstLine="480" w:firstLineChars="200"/>
              <w:rPr>
                <w:kern w:val="24"/>
                <w:sz w:val="24"/>
                <w:szCs w:val="24"/>
              </w:rPr>
            </w:pPr>
            <w:r>
              <w:rPr>
                <w:rFonts w:hint="eastAsia"/>
                <w:kern w:val="24"/>
                <w:sz w:val="24"/>
                <w:szCs w:val="24"/>
              </w:rPr>
              <w:t>根据现场调查，目前上述设施均已建成并正常运行，本次扩建依托上述环保设施是可行的。</w:t>
            </w:r>
          </w:p>
          <w:p w14:paraId="54CDA464">
            <w:pPr>
              <w:spacing w:line="360" w:lineRule="auto"/>
              <w:ind w:firstLine="482" w:firstLineChars="200"/>
              <w:rPr>
                <w:rFonts w:cs="Times New Roman"/>
                <w:b/>
                <w:sz w:val="24"/>
                <w:szCs w:val="24"/>
              </w:rPr>
            </w:pPr>
            <w:r>
              <w:rPr>
                <w:rFonts w:cs="Times New Roman"/>
                <w:b/>
                <w:sz w:val="24"/>
                <w:szCs w:val="24"/>
              </w:rPr>
              <w:t>6</w:t>
            </w:r>
            <w:r>
              <w:rPr>
                <w:rFonts w:hint="eastAsia" w:cs="Times New Roman"/>
                <w:b/>
                <w:sz w:val="24"/>
                <w:szCs w:val="24"/>
              </w:rPr>
              <w:t>、</w:t>
            </w:r>
            <w:r>
              <w:rPr>
                <w:rFonts w:cs="Times New Roman"/>
                <w:b/>
                <w:sz w:val="24"/>
                <w:szCs w:val="24"/>
              </w:rPr>
              <w:t>主要生产</w:t>
            </w:r>
            <w:r>
              <w:rPr>
                <w:rFonts w:hint="eastAsia" w:cs="Times New Roman"/>
                <w:b/>
                <w:sz w:val="24"/>
                <w:szCs w:val="24"/>
              </w:rPr>
              <w:t>设施信息</w:t>
            </w:r>
          </w:p>
          <w:p w14:paraId="70286FC9">
            <w:pPr>
              <w:spacing w:line="360" w:lineRule="auto"/>
              <w:ind w:firstLine="480" w:firstLineChars="200"/>
              <w:rPr>
                <w:kern w:val="24"/>
                <w:sz w:val="24"/>
                <w:szCs w:val="24"/>
              </w:rPr>
            </w:pPr>
            <w:r>
              <w:rPr>
                <w:rFonts w:hint="eastAsia"/>
                <w:kern w:val="24"/>
                <w:sz w:val="24"/>
                <w:szCs w:val="24"/>
              </w:rPr>
              <w:t>项目主要生产设施信息见下表。</w:t>
            </w:r>
          </w:p>
          <w:p w14:paraId="0EA6C6E4">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扩建项目新增生产设施信息表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2179"/>
              <w:gridCol w:w="1648"/>
              <w:gridCol w:w="1423"/>
              <w:gridCol w:w="1423"/>
              <w:gridCol w:w="1519"/>
            </w:tblGrid>
            <w:tr w14:paraId="4D48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17A7AD83">
                  <w:pPr>
                    <w:jc w:val="center"/>
                    <w:rPr>
                      <w:rFonts w:cs="Times New Roman"/>
                      <w:bCs/>
                      <w:kern w:val="0"/>
                      <w:szCs w:val="21"/>
                    </w:rPr>
                  </w:pPr>
                  <w:r>
                    <w:rPr>
                      <w:rFonts w:cs="Times New Roman"/>
                      <w:bCs/>
                      <w:kern w:val="0"/>
                      <w:szCs w:val="21"/>
                    </w:rPr>
                    <w:t>序号</w:t>
                  </w:r>
                </w:p>
              </w:tc>
              <w:tc>
                <w:tcPr>
                  <w:tcW w:w="1191" w:type="pct"/>
                  <w:shd w:val="clear" w:color="auto" w:fill="auto"/>
                  <w:vAlign w:val="center"/>
                </w:tcPr>
                <w:p w14:paraId="16B84585">
                  <w:pPr>
                    <w:jc w:val="center"/>
                    <w:rPr>
                      <w:rFonts w:cs="Times New Roman"/>
                      <w:bCs/>
                      <w:kern w:val="0"/>
                      <w:szCs w:val="21"/>
                    </w:rPr>
                  </w:pPr>
                  <w:r>
                    <w:rPr>
                      <w:rFonts w:cs="Times New Roman"/>
                      <w:bCs/>
                      <w:kern w:val="0"/>
                      <w:szCs w:val="21"/>
                    </w:rPr>
                    <w:t>设施名称</w:t>
                  </w:r>
                </w:p>
              </w:tc>
              <w:tc>
                <w:tcPr>
                  <w:tcW w:w="901" w:type="pct"/>
                  <w:shd w:val="clear" w:color="auto" w:fill="auto"/>
                  <w:vAlign w:val="center"/>
                </w:tcPr>
                <w:p w14:paraId="364FCB5F">
                  <w:pPr>
                    <w:jc w:val="center"/>
                    <w:rPr>
                      <w:rFonts w:cs="Times New Roman"/>
                      <w:bCs/>
                      <w:kern w:val="0"/>
                      <w:szCs w:val="21"/>
                    </w:rPr>
                  </w:pPr>
                  <w:r>
                    <w:rPr>
                      <w:rFonts w:hint="eastAsia" w:cs="Times New Roman"/>
                      <w:bCs/>
                      <w:kern w:val="0"/>
                      <w:szCs w:val="21"/>
                    </w:rPr>
                    <w:t>设施</w:t>
                  </w:r>
                  <w:r>
                    <w:rPr>
                      <w:rFonts w:cs="Times New Roman"/>
                      <w:bCs/>
                      <w:kern w:val="0"/>
                      <w:szCs w:val="21"/>
                    </w:rPr>
                    <w:t>型号</w:t>
                  </w:r>
                </w:p>
              </w:tc>
              <w:tc>
                <w:tcPr>
                  <w:tcW w:w="778" w:type="pct"/>
                  <w:vAlign w:val="center"/>
                </w:tcPr>
                <w:p w14:paraId="2E39BD00">
                  <w:pPr>
                    <w:jc w:val="center"/>
                    <w:rPr>
                      <w:rFonts w:cs="Times New Roman"/>
                      <w:bCs/>
                      <w:kern w:val="0"/>
                      <w:szCs w:val="21"/>
                    </w:rPr>
                  </w:pPr>
                  <w:r>
                    <w:rPr>
                      <w:rFonts w:hint="eastAsia" w:cs="Times New Roman"/>
                      <w:bCs/>
                      <w:kern w:val="0"/>
                      <w:szCs w:val="21"/>
                    </w:rPr>
                    <w:t>单位</w:t>
                  </w:r>
                </w:p>
              </w:tc>
              <w:tc>
                <w:tcPr>
                  <w:tcW w:w="778" w:type="pct"/>
                  <w:vAlign w:val="center"/>
                </w:tcPr>
                <w:p w14:paraId="3A37DD34">
                  <w:pPr>
                    <w:widowControl/>
                    <w:jc w:val="center"/>
                    <w:rPr>
                      <w:rFonts w:cs="Times New Roman"/>
                      <w:bCs/>
                      <w:kern w:val="0"/>
                      <w:szCs w:val="21"/>
                    </w:rPr>
                  </w:pPr>
                  <w:r>
                    <w:rPr>
                      <w:rFonts w:hint="eastAsia" w:cs="Times New Roman"/>
                      <w:bCs/>
                      <w:kern w:val="0"/>
                      <w:szCs w:val="21"/>
                    </w:rPr>
                    <w:t>数量</w:t>
                  </w:r>
                </w:p>
              </w:tc>
              <w:tc>
                <w:tcPr>
                  <w:tcW w:w="830" w:type="pct"/>
                  <w:vAlign w:val="center"/>
                </w:tcPr>
                <w:p w14:paraId="44821413">
                  <w:pPr>
                    <w:widowControl/>
                    <w:jc w:val="center"/>
                    <w:rPr>
                      <w:rFonts w:cs="Times New Roman"/>
                      <w:bCs/>
                      <w:kern w:val="0"/>
                      <w:szCs w:val="21"/>
                    </w:rPr>
                  </w:pPr>
                  <w:r>
                    <w:rPr>
                      <w:rFonts w:hint="eastAsia" w:cs="Times New Roman"/>
                      <w:bCs/>
                      <w:kern w:val="0"/>
                      <w:szCs w:val="21"/>
                    </w:rPr>
                    <w:t>备注</w:t>
                  </w:r>
                </w:p>
              </w:tc>
            </w:tr>
            <w:tr w14:paraId="38A6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07C93FBF">
                  <w:pPr>
                    <w:widowControl/>
                    <w:jc w:val="center"/>
                    <w:rPr>
                      <w:szCs w:val="21"/>
                    </w:rPr>
                  </w:pPr>
                  <w:r>
                    <w:rPr>
                      <w:rFonts w:hint="eastAsia"/>
                      <w:szCs w:val="21"/>
                    </w:rPr>
                    <w:t>1</w:t>
                  </w:r>
                </w:p>
              </w:tc>
              <w:tc>
                <w:tcPr>
                  <w:tcW w:w="1191" w:type="pct"/>
                  <w:shd w:val="clear" w:color="auto" w:fill="auto"/>
                  <w:vAlign w:val="center"/>
                </w:tcPr>
                <w:p w14:paraId="4E9F3410">
                  <w:pPr>
                    <w:widowControl/>
                    <w:jc w:val="center"/>
                    <w:rPr>
                      <w:rFonts w:cs="Times New Roman"/>
                      <w:bCs/>
                      <w:kern w:val="0"/>
                      <w:szCs w:val="21"/>
                    </w:rPr>
                  </w:pPr>
                  <w:r>
                    <w:rPr>
                      <w:rFonts w:hint="eastAsia" w:cs="Times New Roman"/>
                      <w:bCs/>
                      <w:kern w:val="0"/>
                      <w:szCs w:val="21"/>
                    </w:rPr>
                    <w:t>注塑成型机</w:t>
                  </w:r>
                </w:p>
              </w:tc>
              <w:tc>
                <w:tcPr>
                  <w:tcW w:w="901" w:type="pct"/>
                  <w:shd w:val="clear" w:color="auto" w:fill="auto"/>
                  <w:vAlign w:val="center"/>
                </w:tcPr>
                <w:p w14:paraId="4C9D340F">
                  <w:pPr>
                    <w:jc w:val="center"/>
                    <w:rPr>
                      <w:rFonts w:cs="Times New Roman"/>
                      <w:szCs w:val="21"/>
                    </w:rPr>
                  </w:pPr>
                  <w:r>
                    <w:rPr>
                      <w:rFonts w:hint="eastAsia" w:cs="Times New Roman"/>
                      <w:szCs w:val="21"/>
                    </w:rPr>
                    <w:t>120T</w:t>
                  </w:r>
                </w:p>
              </w:tc>
              <w:tc>
                <w:tcPr>
                  <w:tcW w:w="778" w:type="pct"/>
                  <w:vAlign w:val="center"/>
                </w:tcPr>
                <w:p w14:paraId="45E31304">
                  <w:pPr>
                    <w:widowControl/>
                    <w:jc w:val="center"/>
                    <w:rPr>
                      <w:rFonts w:cs="Times New Roman"/>
                      <w:bCs/>
                      <w:kern w:val="0"/>
                      <w:szCs w:val="21"/>
                    </w:rPr>
                  </w:pPr>
                  <w:r>
                    <w:rPr>
                      <w:rFonts w:cs="Times New Roman"/>
                      <w:bCs/>
                      <w:kern w:val="0"/>
                      <w:szCs w:val="21"/>
                    </w:rPr>
                    <w:t>台</w:t>
                  </w:r>
                </w:p>
              </w:tc>
              <w:tc>
                <w:tcPr>
                  <w:tcW w:w="778" w:type="pct"/>
                  <w:vAlign w:val="center"/>
                </w:tcPr>
                <w:p w14:paraId="335D6C0D">
                  <w:pPr>
                    <w:widowControl/>
                    <w:jc w:val="center"/>
                    <w:rPr>
                      <w:rFonts w:cs="Times New Roman"/>
                      <w:bCs/>
                      <w:kern w:val="0"/>
                      <w:szCs w:val="21"/>
                    </w:rPr>
                  </w:pPr>
                  <w:r>
                    <w:rPr>
                      <w:rFonts w:hint="eastAsia" w:cs="Times New Roman"/>
                      <w:bCs/>
                      <w:kern w:val="0"/>
                      <w:szCs w:val="21"/>
                    </w:rPr>
                    <w:t>5</w:t>
                  </w:r>
                </w:p>
              </w:tc>
              <w:tc>
                <w:tcPr>
                  <w:tcW w:w="830" w:type="pct"/>
                  <w:vMerge w:val="restart"/>
                  <w:vAlign w:val="center"/>
                </w:tcPr>
                <w:p w14:paraId="4301D71F">
                  <w:pPr>
                    <w:widowControl/>
                    <w:jc w:val="center"/>
                    <w:rPr>
                      <w:rFonts w:cs="Times New Roman"/>
                      <w:bCs/>
                      <w:kern w:val="0"/>
                      <w:szCs w:val="21"/>
                    </w:rPr>
                  </w:pPr>
                  <w:r>
                    <w:rPr>
                      <w:rFonts w:hint="eastAsia" w:cs="Times New Roman"/>
                      <w:bCs/>
                      <w:kern w:val="0"/>
                      <w:szCs w:val="21"/>
                    </w:rPr>
                    <w:t>干燥/注塑成型</w:t>
                  </w:r>
                </w:p>
              </w:tc>
            </w:tr>
            <w:tr w14:paraId="2A7D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69BDA844">
                  <w:pPr>
                    <w:widowControl/>
                    <w:jc w:val="center"/>
                    <w:rPr>
                      <w:szCs w:val="21"/>
                    </w:rPr>
                  </w:pPr>
                  <w:r>
                    <w:rPr>
                      <w:rFonts w:hint="eastAsia"/>
                      <w:szCs w:val="21"/>
                    </w:rPr>
                    <w:t>2</w:t>
                  </w:r>
                </w:p>
              </w:tc>
              <w:tc>
                <w:tcPr>
                  <w:tcW w:w="1191" w:type="pct"/>
                  <w:shd w:val="clear" w:color="auto" w:fill="auto"/>
                </w:tcPr>
                <w:p w14:paraId="2BED267A">
                  <w:pPr>
                    <w:widowControl/>
                    <w:jc w:val="center"/>
                    <w:rPr>
                      <w:rFonts w:cs="Times New Roman"/>
                      <w:bCs/>
                      <w:kern w:val="0"/>
                      <w:szCs w:val="21"/>
                    </w:rPr>
                  </w:pPr>
                  <w:r>
                    <w:rPr>
                      <w:rFonts w:hint="eastAsia" w:cs="Times New Roman"/>
                      <w:bCs/>
                      <w:kern w:val="0"/>
                      <w:szCs w:val="21"/>
                    </w:rPr>
                    <w:t>注塑成型机</w:t>
                  </w:r>
                </w:p>
              </w:tc>
              <w:tc>
                <w:tcPr>
                  <w:tcW w:w="901" w:type="pct"/>
                  <w:shd w:val="clear" w:color="auto" w:fill="auto"/>
                  <w:vAlign w:val="center"/>
                </w:tcPr>
                <w:p w14:paraId="43E9CDC4">
                  <w:pPr>
                    <w:jc w:val="center"/>
                    <w:rPr>
                      <w:rFonts w:cs="Times New Roman"/>
                      <w:szCs w:val="21"/>
                    </w:rPr>
                  </w:pPr>
                  <w:r>
                    <w:rPr>
                      <w:rFonts w:hint="eastAsia" w:cs="Times New Roman"/>
                      <w:szCs w:val="21"/>
                    </w:rPr>
                    <w:t>280T</w:t>
                  </w:r>
                </w:p>
              </w:tc>
              <w:tc>
                <w:tcPr>
                  <w:tcW w:w="778" w:type="pct"/>
                  <w:vAlign w:val="center"/>
                </w:tcPr>
                <w:p w14:paraId="7B87C1EC">
                  <w:pPr>
                    <w:widowControl/>
                    <w:jc w:val="center"/>
                    <w:rPr>
                      <w:rFonts w:cs="Times New Roman"/>
                      <w:bCs/>
                      <w:kern w:val="0"/>
                      <w:szCs w:val="21"/>
                    </w:rPr>
                  </w:pPr>
                  <w:r>
                    <w:rPr>
                      <w:rFonts w:cs="Times New Roman"/>
                      <w:bCs/>
                      <w:kern w:val="0"/>
                      <w:szCs w:val="21"/>
                    </w:rPr>
                    <w:t>台</w:t>
                  </w:r>
                </w:p>
              </w:tc>
              <w:tc>
                <w:tcPr>
                  <w:tcW w:w="778" w:type="pct"/>
                  <w:vAlign w:val="center"/>
                </w:tcPr>
                <w:p w14:paraId="22278641">
                  <w:pPr>
                    <w:widowControl/>
                    <w:jc w:val="center"/>
                    <w:rPr>
                      <w:rFonts w:cs="Times New Roman"/>
                      <w:bCs/>
                      <w:kern w:val="0"/>
                      <w:szCs w:val="21"/>
                    </w:rPr>
                  </w:pPr>
                  <w:r>
                    <w:rPr>
                      <w:rFonts w:hint="eastAsia" w:cs="Times New Roman"/>
                      <w:bCs/>
                      <w:kern w:val="0"/>
                      <w:szCs w:val="21"/>
                    </w:rPr>
                    <w:t>10</w:t>
                  </w:r>
                </w:p>
              </w:tc>
              <w:tc>
                <w:tcPr>
                  <w:tcW w:w="830" w:type="pct"/>
                  <w:vMerge w:val="continue"/>
                  <w:vAlign w:val="center"/>
                </w:tcPr>
                <w:p w14:paraId="3B5E44B0">
                  <w:pPr>
                    <w:widowControl/>
                    <w:jc w:val="center"/>
                    <w:rPr>
                      <w:rFonts w:cs="Times New Roman"/>
                      <w:bCs/>
                      <w:kern w:val="0"/>
                      <w:szCs w:val="21"/>
                    </w:rPr>
                  </w:pPr>
                </w:p>
              </w:tc>
            </w:tr>
            <w:tr w14:paraId="15047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3AE42ACE">
                  <w:pPr>
                    <w:widowControl/>
                    <w:jc w:val="center"/>
                    <w:rPr>
                      <w:szCs w:val="21"/>
                    </w:rPr>
                  </w:pPr>
                  <w:r>
                    <w:rPr>
                      <w:rFonts w:hint="eastAsia"/>
                      <w:szCs w:val="21"/>
                    </w:rPr>
                    <w:t>3</w:t>
                  </w:r>
                </w:p>
              </w:tc>
              <w:tc>
                <w:tcPr>
                  <w:tcW w:w="1191" w:type="pct"/>
                  <w:shd w:val="clear" w:color="auto" w:fill="auto"/>
                </w:tcPr>
                <w:p w14:paraId="5E4AE6D1">
                  <w:pPr>
                    <w:widowControl/>
                    <w:jc w:val="center"/>
                    <w:rPr>
                      <w:rFonts w:cs="Times New Roman"/>
                      <w:szCs w:val="21"/>
                    </w:rPr>
                  </w:pPr>
                  <w:r>
                    <w:rPr>
                      <w:rFonts w:hint="eastAsia" w:cs="Times New Roman"/>
                      <w:bCs/>
                      <w:kern w:val="0"/>
                      <w:szCs w:val="21"/>
                    </w:rPr>
                    <w:t>注塑成型机</w:t>
                  </w:r>
                </w:p>
              </w:tc>
              <w:tc>
                <w:tcPr>
                  <w:tcW w:w="901" w:type="pct"/>
                  <w:shd w:val="clear" w:color="auto" w:fill="auto"/>
                  <w:vAlign w:val="center"/>
                </w:tcPr>
                <w:p w14:paraId="7A85D2CA">
                  <w:pPr>
                    <w:jc w:val="center"/>
                    <w:rPr>
                      <w:rFonts w:cs="Times New Roman"/>
                      <w:szCs w:val="21"/>
                    </w:rPr>
                  </w:pPr>
                  <w:r>
                    <w:rPr>
                      <w:rFonts w:hint="eastAsia" w:cs="Times New Roman"/>
                      <w:szCs w:val="21"/>
                    </w:rPr>
                    <w:t>320T</w:t>
                  </w:r>
                </w:p>
              </w:tc>
              <w:tc>
                <w:tcPr>
                  <w:tcW w:w="778" w:type="pct"/>
                  <w:vAlign w:val="center"/>
                </w:tcPr>
                <w:p w14:paraId="7AF47AAD">
                  <w:pPr>
                    <w:widowControl/>
                    <w:jc w:val="center"/>
                    <w:rPr>
                      <w:rFonts w:cs="Times New Roman"/>
                      <w:bCs/>
                      <w:kern w:val="0"/>
                      <w:szCs w:val="21"/>
                    </w:rPr>
                  </w:pPr>
                  <w:r>
                    <w:rPr>
                      <w:rFonts w:cs="Times New Roman"/>
                      <w:bCs/>
                      <w:kern w:val="0"/>
                      <w:szCs w:val="21"/>
                    </w:rPr>
                    <w:t>台</w:t>
                  </w:r>
                </w:p>
              </w:tc>
              <w:tc>
                <w:tcPr>
                  <w:tcW w:w="778" w:type="pct"/>
                  <w:vAlign w:val="center"/>
                </w:tcPr>
                <w:p w14:paraId="10134340">
                  <w:pPr>
                    <w:widowControl/>
                    <w:jc w:val="center"/>
                    <w:rPr>
                      <w:rFonts w:cs="Times New Roman"/>
                      <w:bCs/>
                      <w:kern w:val="0"/>
                      <w:szCs w:val="21"/>
                    </w:rPr>
                  </w:pPr>
                  <w:r>
                    <w:rPr>
                      <w:rFonts w:hint="eastAsia" w:cs="Times New Roman"/>
                      <w:bCs/>
                      <w:kern w:val="0"/>
                      <w:szCs w:val="21"/>
                    </w:rPr>
                    <w:t>4</w:t>
                  </w:r>
                </w:p>
              </w:tc>
              <w:tc>
                <w:tcPr>
                  <w:tcW w:w="830" w:type="pct"/>
                  <w:vMerge w:val="continue"/>
                  <w:vAlign w:val="center"/>
                </w:tcPr>
                <w:p w14:paraId="6A7E9419">
                  <w:pPr>
                    <w:widowControl/>
                    <w:jc w:val="center"/>
                    <w:rPr>
                      <w:rFonts w:cs="Times New Roman"/>
                      <w:bCs/>
                      <w:kern w:val="0"/>
                      <w:szCs w:val="21"/>
                    </w:rPr>
                  </w:pPr>
                </w:p>
              </w:tc>
            </w:tr>
            <w:tr w14:paraId="4338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66505A2B">
                  <w:pPr>
                    <w:widowControl/>
                    <w:jc w:val="center"/>
                    <w:rPr>
                      <w:szCs w:val="21"/>
                    </w:rPr>
                  </w:pPr>
                  <w:r>
                    <w:rPr>
                      <w:rFonts w:hint="eastAsia"/>
                      <w:szCs w:val="21"/>
                    </w:rPr>
                    <w:t>4</w:t>
                  </w:r>
                </w:p>
              </w:tc>
              <w:tc>
                <w:tcPr>
                  <w:tcW w:w="1191" w:type="pct"/>
                  <w:shd w:val="clear" w:color="auto" w:fill="auto"/>
                </w:tcPr>
                <w:p w14:paraId="33A00C12">
                  <w:pPr>
                    <w:widowControl/>
                    <w:jc w:val="center"/>
                    <w:rPr>
                      <w:rFonts w:cs="Times New Roman"/>
                      <w:szCs w:val="21"/>
                    </w:rPr>
                  </w:pPr>
                  <w:r>
                    <w:rPr>
                      <w:rFonts w:hint="eastAsia" w:cs="Times New Roman"/>
                      <w:bCs/>
                      <w:kern w:val="0"/>
                      <w:szCs w:val="21"/>
                    </w:rPr>
                    <w:t>注塑成型机</w:t>
                  </w:r>
                </w:p>
              </w:tc>
              <w:tc>
                <w:tcPr>
                  <w:tcW w:w="901" w:type="pct"/>
                  <w:shd w:val="clear" w:color="auto" w:fill="auto"/>
                  <w:vAlign w:val="center"/>
                </w:tcPr>
                <w:p w14:paraId="1DFBF053">
                  <w:pPr>
                    <w:jc w:val="center"/>
                    <w:rPr>
                      <w:rFonts w:cs="Times New Roman"/>
                      <w:szCs w:val="21"/>
                    </w:rPr>
                  </w:pPr>
                  <w:r>
                    <w:rPr>
                      <w:rFonts w:hint="eastAsia" w:cs="Times New Roman"/>
                      <w:szCs w:val="21"/>
                    </w:rPr>
                    <w:t>600T</w:t>
                  </w:r>
                </w:p>
              </w:tc>
              <w:tc>
                <w:tcPr>
                  <w:tcW w:w="778" w:type="pct"/>
                  <w:vAlign w:val="center"/>
                </w:tcPr>
                <w:p w14:paraId="653F5533">
                  <w:pPr>
                    <w:widowControl/>
                    <w:jc w:val="center"/>
                    <w:rPr>
                      <w:rFonts w:cs="Times New Roman"/>
                      <w:bCs/>
                      <w:kern w:val="0"/>
                      <w:szCs w:val="21"/>
                    </w:rPr>
                  </w:pPr>
                  <w:r>
                    <w:rPr>
                      <w:rFonts w:cs="Times New Roman"/>
                      <w:bCs/>
                      <w:kern w:val="0"/>
                      <w:szCs w:val="21"/>
                    </w:rPr>
                    <w:t>台</w:t>
                  </w:r>
                </w:p>
              </w:tc>
              <w:tc>
                <w:tcPr>
                  <w:tcW w:w="778" w:type="pct"/>
                  <w:vAlign w:val="center"/>
                </w:tcPr>
                <w:p w14:paraId="49B47672">
                  <w:pPr>
                    <w:widowControl/>
                    <w:jc w:val="center"/>
                    <w:rPr>
                      <w:rFonts w:cs="Times New Roman"/>
                      <w:bCs/>
                      <w:kern w:val="0"/>
                      <w:szCs w:val="21"/>
                    </w:rPr>
                  </w:pPr>
                  <w:r>
                    <w:rPr>
                      <w:rFonts w:hint="eastAsia" w:cs="Times New Roman"/>
                      <w:bCs/>
                      <w:kern w:val="0"/>
                      <w:szCs w:val="21"/>
                    </w:rPr>
                    <w:t>1</w:t>
                  </w:r>
                </w:p>
              </w:tc>
              <w:tc>
                <w:tcPr>
                  <w:tcW w:w="830" w:type="pct"/>
                  <w:vMerge w:val="continue"/>
                  <w:vAlign w:val="center"/>
                </w:tcPr>
                <w:p w14:paraId="2B7F06E4">
                  <w:pPr>
                    <w:widowControl/>
                    <w:jc w:val="center"/>
                    <w:rPr>
                      <w:rFonts w:cs="Times New Roman"/>
                      <w:bCs/>
                      <w:kern w:val="0"/>
                      <w:szCs w:val="21"/>
                    </w:rPr>
                  </w:pPr>
                </w:p>
              </w:tc>
            </w:tr>
            <w:tr w14:paraId="7731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140EFB47">
                  <w:pPr>
                    <w:widowControl/>
                    <w:jc w:val="center"/>
                    <w:rPr>
                      <w:szCs w:val="21"/>
                    </w:rPr>
                  </w:pPr>
                  <w:r>
                    <w:rPr>
                      <w:rFonts w:hint="eastAsia"/>
                      <w:szCs w:val="21"/>
                    </w:rPr>
                    <w:t>5</w:t>
                  </w:r>
                </w:p>
              </w:tc>
              <w:tc>
                <w:tcPr>
                  <w:tcW w:w="1191" w:type="pct"/>
                  <w:shd w:val="clear" w:color="auto" w:fill="auto"/>
                </w:tcPr>
                <w:p w14:paraId="1DCA824D">
                  <w:pPr>
                    <w:widowControl/>
                    <w:jc w:val="center"/>
                    <w:rPr>
                      <w:rFonts w:cs="Times New Roman"/>
                      <w:bCs/>
                      <w:kern w:val="0"/>
                      <w:szCs w:val="21"/>
                    </w:rPr>
                  </w:pPr>
                  <w:r>
                    <w:rPr>
                      <w:rFonts w:hint="eastAsia" w:cs="Times New Roman"/>
                      <w:bCs/>
                      <w:kern w:val="0"/>
                      <w:szCs w:val="21"/>
                    </w:rPr>
                    <w:t>压泡机</w:t>
                  </w:r>
                </w:p>
              </w:tc>
              <w:tc>
                <w:tcPr>
                  <w:tcW w:w="901" w:type="pct"/>
                  <w:shd w:val="clear" w:color="auto" w:fill="auto"/>
                  <w:vAlign w:val="center"/>
                </w:tcPr>
                <w:p w14:paraId="7CF57D97">
                  <w:pPr>
                    <w:jc w:val="center"/>
                    <w:rPr>
                      <w:rFonts w:cs="Times New Roman"/>
                      <w:szCs w:val="21"/>
                    </w:rPr>
                  </w:pPr>
                  <w:r>
                    <w:rPr>
                      <w:rFonts w:hint="eastAsia" w:cs="Times New Roman"/>
                      <w:szCs w:val="21"/>
                    </w:rPr>
                    <w:t>/</w:t>
                  </w:r>
                </w:p>
              </w:tc>
              <w:tc>
                <w:tcPr>
                  <w:tcW w:w="778" w:type="pct"/>
                  <w:vAlign w:val="center"/>
                </w:tcPr>
                <w:p w14:paraId="70DFFDD8">
                  <w:pPr>
                    <w:widowControl/>
                    <w:jc w:val="center"/>
                    <w:rPr>
                      <w:rFonts w:cs="Times New Roman"/>
                      <w:bCs/>
                      <w:kern w:val="0"/>
                      <w:szCs w:val="21"/>
                    </w:rPr>
                  </w:pPr>
                  <w:r>
                    <w:rPr>
                      <w:rFonts w:hint="eastAsia" w:cs="Times New Roman"/>
                      <w:bCs/>
                      <w:kern w:val="0"/>
                      <w:szCs w:val="21"/>
                    </w:rPr>
                    <w:t>台</w:t>
                  </w:r>
                </w:p>
              </w:tc>
              <w:tc>
                <w:tcPr>
                  <w:tcW w:w="778" w:type="pct"/>
                  <w:vAlign w:val="center"/>
                </w:tcPr>
                <w:p w14:paraId="5C1A2833">
                  <w:pPr>
                    <w:widowControl/>
                    <w:jc w:val="center"/>
                    <w:rPr>
                      <w:rFonts w:cs="Times New Roman"/>
                      <w:bCs/>
                      <w:kern w:val="0"/>
                      <w:szCs w:val="21"/>
                    </w:rPr>
                  </w:pPr>
                  <w:r>
                    <w:rPr>
                      <w:rFonts w:hint="eastAsia" w:cs="Times New Roman"/>
                      <w:bCs/>
                      <w:kern w:val="0"/>
                      <w:szCs w:val="21"/>
                    </w:rPr>
                    <w:t>2</w:t>
                  </w:r>
                </w:p>
              </w:tc>
              <w:tc>
                <w:tcPr>
                  <w:tcW w:w="830" w:type="pct"/>
                  <w:vAlign w:val="center"/>
                </w:tcPr>
                <w:p w14:paraId="7285198C">
                  <w:pPr>
                    <w:widowControl/>
                    <w:jc w:val="center"/>
                    <w:rPr>
                      <w:rFonts w:cs="Times New Roman"/>
                      <w:bCs/>
                      <w:kern w:val="0"/>
                      <w:szCs w:val="21"/>
                    </w:rPr>
                  </w:pPr>
                  <w:r>
                    <w:rPr>
                      <w:rFonts w:hint="eastAsia" w:cs="Times New Roman"/>
                      <w:bCs/>
                      <w:kern w:val="0"/>
                      <w:szCs w:val="21"/>
                    </w:rPr>
                    <w:t>压泡</w:t>
                  </w:r>
                </w:p>
              </w:tc>
            </w:tr>
            <w:tr w14:paraId="1BE6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5A4DC636">
                  <w:pPr>
                    <w:widowControl/>
                    <w:jc w:val="center"/>
                    <w:rPr>
                      <w:szCs w:val="21"/>
                    </w:rPr>
                  </w:pPr>
                  <w:r>
                    <w:rPr>
                      <w:rFonts w:hint="eastAsia"/>
                      <w:szCs w:val="21"/>
                    </w:rPr>
                    <w:t>6</w:t>
                  </w:r>
                </w:p>
              </w:tc>
              <w:tc>
                <w:tcPr>
                  <w:tcW w:w="1191" w:type="pct"/>
                  <w:shd w:val="clear" w:color="auto" w:fill="auto"/>
                  <w:vAlign w:val="center"/>
                </w:tcPr>
                <w:p w14:paraId="74B9E7FF">
                  <w:pPr>
                    <w:widowControl/>
                    <w:jc w:val="center"/>
                    <w:rPr>
                      <w:rFonts w:cs="Times New Roman"/>
                      <w:szCs w:val="21"/>
                    </w:rPr>
                  </w:pPr>
                  <w:r>
                    <w:rPr>
                      <w:rFonts w:hint="eastAsia" w:cs="Times New Roman"/>
                      <w:szCs w:val="21"/>
                    </w:rPr>
                    <w:t>全自动多色直印机</w:t>
                  </w:r>
                </w:p>
              </w:tc>
              <w:tc>
                <w:tcPr>
                  <w:tcW w:w="901" w:type="pct"/>
                  <w:shd w:val="clear" w:color="auto" w:fill="auto"/>
                  <w:vAlign w:val="center"/>
                </w:tcPr>
                <w:p w14:paraId="1B060E6F">
                  <w:pPr>
                    <w:jc w:val="center"/>
                    <w:rPr>
                      <w:rFonts w:cs="Times New Roman"/>
                      <w:szCs w:val="21"/>
                    </w:rPr>
                  </w:pPr>
                  <w:r>
                    <w:rPr>
                      <w:rFonts w:hint="eastAsia" w:cs="Times New Roman"/>
                      <w:szCs w:val="21"/>
                    </w:rPr>
                    <w:t>/</w:t>
                  </w:r>
                </w:p>
              </w:tc>
              <w:tc>
                <w:tcPr>
                  <w:tcW w:w="778" w:type="pct"/>
                  <w:vAlign w:val="center"/>
                </w:tcPr>
                <w:p w14:paraId="52648846">
                  <w:pPr>
                    <w:widowControl/>
                    <w:jc w:val="center"/>
                    <w:rPr>
                      <w:rFonts w:cs="Times New Roman"/>
                      <w:bCs/>
                      <w:kern w:val="0"/>
                      <w:szCs w:val="21"/>
                    </w:rPr>
                  </w:pPr>
                  <w:r>
                    <w:rPr>
                      <w:rFonts w:cs="Times New Roman"/>
                      <w:bCs/>
                      <w:kern w:val="0"/>
                      <w:szCs w:val="21"/>
                    </w:rPr>
                    <w:t>台</w:t>
                  </w:r>
                </w:p>
              </w:tc>
              <w:tc>
                <w:tcPr>
                  <w:tcW w:w="778" w:type="pct"/>
                  <w:vAlign w:val="center"/>
                </w:tcPr>
                <w:p w14:paraId="75CCB7FF">
                  <w:pPr>
                    <w:widowControl/>
                    <w:jc w:val="center"/>
                    <w:rPr>
                      <w:rFonts w:cs="Times New Roman"/>
                      <w:bCs/>
                      <w:kern w:val="0"/>
                      <w:szCs w:val="21"/>
                    </w:rPr>
                  </w:pPr>
                  <w:r>
                    <w:rPr>
                      <w:rFonts w:cs="Times New Roman"/>
                      <w:bCs/>
                      <w:kern w:val="0"/>
                      <w:szCs w:val="21"/>
                    </w:rPr>
                    <w:t>2</w:t>
                  </w:r>
                </w:p>
              </w:tc>
              <w:tc>
                <w:tcPr>
                  <w:tcW w:w="830" w:type="pct"/>
                  <w:vAlign w:val="center"/>
                </w:tcPr>
                <w:p w14:paraId="3A925C27">
                  <w:pPr>
                    <w:widowControl/>
                    <w:jc w:val="center"/>
                    <w:rPr>
                      <w:rFonts w:cs="Times New Roman"/>
                      <w:bCs/>
                      <w:kern w:val="0"/>
                      <w:szCs w:val="21"/>
                    </w:rPr>
                  </w:pPr>
                  <w:r>
                    <w:rPr>
                      <w:rFonts w:hint="eastAsia" w:cs="Times New Roman"/>
                      <w:bCs/>
                      <w:kern w:val="0"/>
                      <w:szCs w:val="21"/>
                    </w:rPr>
                    <w:t>丝印/热转印</w:t>
                  </w:r>
                </w:p>
              </w:tc>
            </w:tr>
            <w:tr w14:paraId="499F6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62D2AA29">
                  <w:pPr>
                    <w:widowControl/>
                    <w:jc w:val="center"/>
                    <w:rPr>
                      <w:szCs w:val="21"/>
                    </w:rPr>
                  </w:pPr>
                  <w:r>
                    <w:rPr>
                      <w:rFonts w:hint="eastAsia"/>
                      <w:szCs w:val="21"/>
                    </w:rPr>
                    <w:t>7</w:t>
                  </w:r>
                </w:p>
              </w:tc>
              <w:tc>
                <w:tcPr>
                  <w:tcW w:w="1191" w:type="pct"/>
                  <w:shd w:val="clear" w:color="auto" w:fill="auto"/>
                  <w:vAlign w:val="center"/>
                </w:tcPr>
                <w:p w14:paraId="46D6CE5F">
                  <w:pPr>
                    <w:widowControl/>
                    <w:jc w:val="center"/>
                    <w:rPr>
                      <w:rFonts w:cs="Times New Roman"/>
                      <w:szCs w:val="21"/>
                    </w:rPr>
                  </w:pPr>
                  <w:r>
                    <w:rPr>
                      <w:rFonts w:hint="eastAsia" w:cs="Times New Roman"/>
                      <w:szCs w:val="21"/>
                    </w:rPr>
                    <w:t>全自动烫印机</w:t>
                  </w:r>
                </w:p>
              </w:tc>
              <w:tc>
                <w:tcPr>
                  <w:tcW w:w="901" w:type="pct"/>
                  <w:shd w:val="clear" w:color="auto" w:fill="auto"/>
                  <w:vAlign w:val="center"/>
                </w:tcPr>
                <w:p w14:paraId="39B7E66F">
                  <w:pPr>
                    <w:jc w:val="center"/>
                    <w:rPr>
                      <w:rFonts w:cs="Times New Roman"/>
                      <w:szCs w:val="21"/>
                    </w:rPr>
                  </w:pPr>
                  <w:r>
                    <w:rPr>
                      <w:rFonts w:hint="eastAsia" w:cs="Times New Roman"/>
                      <w:szCs w:val="21"/>
                    </w:rPr>
                    <w:t>/</w:t>
                  </w:r>
                </w:p>
              </w:tc>
              <w:tc>
                <w:tcPr>
                  <w:tcW w:w="778" w:type="pct"/>
                  <w:vAlign w:val="center"/>
                </w:tcPr>
                <w:p w14:paraId="5F0FF495">
                  <w:pPr>
                    <w:widowControl/>
                    <w:jc w:val="center"/>
                    <w:rPr>
                      <w:rFonts w:cs="Times New Roman"/>
                      <w:bCs/>
                      <w:kern w:val="0"/>
                      <w:szCs w:val="21"/>
                    </w:rPr>
                  </w:pPr>
                  <w:r>
                    <w:rPr>
                      <w:rFonts w:cs="Times New Roman"/>
                      <w:bCs/>
                      <w:kern w:val="0"/>
                      <w:szCs w:val="21"/>
                    </w:rPr>
                    <w:t>台</w:t>
                  </w:r>
                </w:p>
              </w:tc>
              <w:tc>
                <w:tcPr>
                  <w:tcW w:w="778" w:type="pct"/>
                  <w:vAlign w:val="center"/>
                </w:tcPr>
                <w:p w14:paraId="0226E42E">
                  <w:pPr>
                    <w:widowControl/>
                    <w:jc w:val="center"/>
                    <w:rPr>
                      <w:rFonts w:cs="Times New Roman"/>
                      <w:bCs/>
                      <w:kern w:val="0"/>
                      <w:szCs w:val="21"/>
                    </w:rPr>
                  </w:pPr>
                  <w:r>
                    <w:rPr>
                      <w:rFonts w:hint="eastAsia" w:cs="Times New Roman"/>
                      <w:bCs/>
                      <w:kern w:val="0"/>
                      <w:szCs w:val="21"/>
                    </w:rPr>
                    <w:t>4</w:t>
                  </w:r>
                </w:p>
              </w:tc>
              <w:tc>
                <w:tcPr>
                  <w:tcW w:w="830" w:type="pct"/>
                  <w:vAlign w:val="center"/>
                </w:tcPr>
                <w:p w14:paraId="05D14DB9">
                  <w:pPr>
                    <w:widowControl/>
                    <w:jc w:val="center"/>
                    <w:rPr>
                      <w:rFonts w:cs="Times New Roman"/>
                      <w:bCs/>
                      <w:kern w:val="0"/>
                      <w:szCs w:val="21"/>
                    </w:rPr>
                  </w:pPr>
                  <w:r>
                    <w:rPr>
                      <w:rFonts w:hint="eastAsia" w:cs="Times New Roman"/>
                      <w:bCs/>
                      <w:kern w:val="0"/>
                      <w:szCs w:val="21"/>
                    </w:rPr>
                    <w:t>烫金</w:t>
                  </w:r>
                </w:p>
              </w:tc>
            </w:tr>
            <w:tr w14:paraId="6063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0390F64D">
                  <w:pPr>
                    <w:widowControl/>
                    <w:jc w:val="center"/>
                    <w:rPr>
                      <w:szCs w:val="21"/>
                    </w:rPr>
                  </w:pPr>
                  <w:r>
                    <w:rPr>
                      <w:rFonts w:hint="eastAsia"/>
                      <w:szCs w:val="21"/>
                    </w:rPr>
                    <w:t>8</w:t>
                  </w:r>
                </w:p>
              </w:tc>
              <w:tc>
                <w:tcPr>
                  <w:tcW w:w="1191" w:type="pct"/>
                  <w:shd w:val="clear" w:color="auto" w:fill="auto"/>
                  <w:vAlign w:val="center"/>
                </w:tcPr>
                <w:p w14:paraId="6B459D3F">
                  <w:pPr>
                    <w:widowControl/>
                    <w:jc w:val="center"/>
                    <w:rPr>
                      <w:rFonts w:cs="Times New Roman"/>
                      <w:szCs w:val="21"/>
                    </w:rPr>
                  </w:pPr>
                  <w:r>
                    <w:rPr>
                      <w:rFonts w:hint="eastAsia" w:cs="Times New Roman"/>
                      <w:szCs w:val="21"/>
                    </w:rPr>
                    <w:t>冷却塔</w:t>
                  </w:r>
                </w:p>
              </w:tc>
              <w:tc>
                <w:tcPr>
                  <w:tcW w:w="901" w:type="pct"/>
                  <w:shd w:val="clear" w:color="auto" w:fill="auto"/>
                  <w:vAlign w:val="center"/>
                </w:tcPr>
                <w:p w14:paraId="68AE5958">
                  <w:pPr>
                    <w:jc w:val="center"/>
                    <w:rPr>
                      <w:rFonts w:cs="Times New Roman"/>
                      <w:szCs w:val="21"/>
                    </w:rPr>
                  </w:pPr>
                  <w:r>
                    <w:rPr>
                      <w:rFonts w:hint="eastAsia" w:cs="Times New Roman"/>
                      <w:szCs w:val="21"/>
                    </w:rPr>
                    <w:t>40m</w:t>
                  </w:r>
                  <w:r>
                    <w:rPr>
                      <w:rFonts w:hint="eastAsia" w:cs="Times New Roman"/>
                      <w:szCs w:val="21"/>
                      <w:vertAlign w:val="superscript"/>
                    </w:rPr>
                    <w:t>3</w:t>
                  </w:r>
                  <w:r>
                    <w:rPr>
                      <w:rFonts w:hint="eastAsia" w:cs="Times New Roman"/>
                      <w:szCs w:val="21"/>
                    </w:rPr>
                    <w:t>/h</w:t>
                  </w:r>
                </w:p>
              </w:tc>
              <w:tc>
                <w:tcPr>
                  <w:tcW w:w="778" w:type="pct"/>
                  <w:vAlign w:val="center"/>
                </w:tcPr>
                <w:p w14:paraId="03A66EB2">
                  <w:pPr>
                    <w:widowControl/>
                    <w:jc w:val="center"/>
                    <w:rPr>
                      <w:rFonts w:cs="Times New Roman"/>
                      <w:bCs/>
                      <w:kern w:val="0"/>
                      <w:szCs w:val="21"/>
                    </w:rPr>
                  </w:pPr>
                  <w:r>
                    <w:rPr>
                      <w:rFonts w:cs="Times New Roman"/>
                      <w:bCs/>
                      <w:kern w:val="0"/>
                      <w:szCs w:val="21"/>
                    </w:rPr>
                    <w:t>台</w:t>
                  </w:r>
                </w:p>
              </w:tc>
              <w:tc>
                <w:tcPr>
                  <w:tcW w:w="778" w:type="pct"/>
                  <w:vAlign w:val="center"/>
                </w:tcPr>
                <w:p w14:paraId="22F16175">
                  <w:pPr>
                    <w:widowControl/>
                    <w:jc w:val="center"/>
                    <w:rPr>
                      <w:rFonts w:cs="Times New Roman"/>
                      <w:bCs/>
                      <w:kern w:val="0"/>
                      <w:szCs w:val="21"/>
                    </w:rPr>
                  </w:pPr>
                  <w:r>
                    <w:rPr>
                      <w:rFonts w:cs="Times New Roman"/>
                      <w:bCs/>
                      <w:kern w:val="0"/>
                      <w:szCs w:val="21"/>
                    </w:rPr>
                    <w:t>1</w:t>
                  </w:r>
                </w:p>
              </w:tc>
              <w:tc>
                <w:tcPr>
                  <w:tcW w:w="830" w:type="pct"/>
                  <w:vMerge w:val="restart"/>
                  <w:vAlign w:val="center"/>
                </w:tcPr>
                <w:p w14:paraId="31DF58EC">
                  <w:pPr>
                    <w:widowControl/>
                    <w:jc w:val="center"/>
                    <w:rPr>
                      <w:rFonts w:cs="Times New Roman"/>
                      <w:bCs/>
                      <w:kern w:val="0"/>
                      <w:szCs w:val="21"/>
                    </w:rPr>
                  </w:pPr>
                  <w:r>
                    <w:rPr>
                      <w:rFonts w:hint="eastAsia" w:cs="Times New Roman"/>
                      <w:bCs/>
                      <w:kern w:val="0"/>
                      <w:szCs w:val="21"/>
                    </w:rPr>
                    <w:t>冷却脱模</w:t>
                  </w:r>
                </w:p>
              </w:tc>
            </w:tr>
            <w:tr w14:paraId="57C4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56D77B13">
                  <w:pPr>
                    <w:widowControl/>
                    <w:jc w:val="center"/>
                    <w:rPr>
                      <w:szCs w:val="21"/>
                    </w:rPr>
                  </w:pPr>
                  <w:r>
                    <w:rPr>
                      <w:rFonts w:hint="eastAsia"/>
                      <w:szCs w:val="21"/>
                    </w:rPr>
                    <w:t>9</w:t>
                  </w:r>
                </w:p>
              </w:tc>
              <w:tc>
                <w:tcPr>
                  <w:tcW w:w="1191" w:type="pct"/>
                  <w:shd w:val="clear" w:color="auto" w:fill="auto"/>
                  <w:vAlign w:val="center"/>
                </w:tcPr>
                <w:p w14:paraId="239972FA">
                  <w:pPr>
                    <w:widowControl/>
                    <w:jc w:val="center"/>
                    <w:rPr>
                      <w:rFonts w:cs="Times New Roman"/>
                      <w:szCs w:val="21"/>
                    </w:rPr>
                  </w:pPr>
                  <w:r>
                    <w:rPr>
                      <w:rFonts w:hint="eastAsia" w:cs="Times New Roman"/>
                      <w:szCs w:val="21"/>
                    </w:rPr>
                    <w:t>循环水塔</w:t>
                  </w:r>
                </w:p>
              </w:tc>
              <w:tc>
                <w:tcPr>
                  <w:tcW w:w="901" w:type="pct"/>
                  <w:shd w:val="clear" w:color="auto" w:fill="auto"/>
                  <w:vAlign w:val="center"/>
                </w:tcPr>
                <w:p w14:paraId="50DCA9F3">
                  <w:pPr>
                    <w:jc w:val="center"/>
                    <w:rPr>
                      <w:rFonts w:cs="Times New Roman"/>
                      <w:szCs w:val="21"/>
                    </w:rPr>
                  </w:pPr>
                  <w:r>
                    <w:rPr>
                      <w:rFonts w:hint="eastAsia" w:cs="Times New Roman"/>
                      <w:szCs w:val="21"/>
                    </w:rPr>
                    <w:t>40m</w:t>
                  </w:r>
                  <w:r>
                    <w:rPr>
                      <w:rFonts w:hint="eastAsia" w:cs="Times New Roman"/>
                      <w:szCs w:val="21"/>
                      <w:vertAlign w:val="superscript"/>
                    </w:rPr>
                    <w:t>3</w:t>
                  </w:r>
                  <w:r>
                    <w:rPr>
                      <w:rFonts w:hint="eastAsia" w:cs="Times New Roman"/>
                      <w:szCs w:val="21"/>
                    </w:rPr>
                    <w:t>/h</w:t>
                  </w:r>
                </w:p>
              </w:tc>
              <w:tc>
                <w:tcPr>
                  <w:tcW w:w="778" w:type="pct"/>
                  <w:vAlign w:val="center"/>
                </w:tcPr>
                <w:p w14:paraId="3C70B3E8">
                  <w:pPr>
                    <w:widowControl/>
                    <w:jc w:val="center"/>
                    <w:rPr>
                      <w:rFonts w:cs="Times New Roman"/>
                      <w:bCs/>
                      <w:kern w:val="0"/>
                      <w:szCs w:val="21"/>
                    </w:rPr>
                  </w:pPr>
                  <w:r>
                    <w:rPr>
                      <w:rFonts w:cs="Times New Roman"/>
                      <w:bCs/>
                      <w:kern w:val="0"/>
                      <w:szCs w:val="21"/>
                    </w:rPr>
                    <w:t>台</w:t>
                  </w:r>
                </w:p>
              </w:tc>
              <w:tc>
                <w:tcPr>
                  <w:tcW w:w="778" w:type="pct"/>
                  <w:vAlign w:val="center"/>
                </w:tcPr>
                <w:p w14:paraId="4AB2A2F2">
                  <w:pPr>
                    <w:widowControl/>
                    <w:jc w:val="center"/>
                    <w:rPr>
                      <w:rFonts w:cs="Times New Roman"/>
                      <w:bCs/>
                      <w:kern w:val="0"/>
                      <w:szCs w:val="21"/>
                    </w:rPr>
                  </w:pPr>
                  <w:r>
                    <w:rPr>
                      <w:rFonts w:hint="eastAsia" w:cs="Times New Roman"/>
                      <w:bCs/>
                      <w:kern w:val="0"/>
                      <w:szCs w:val="21"/>
                    </w:rPr>
                    <w:t>1</w:t>
                  </w:r>
                </w:p>
              </w:tc>
              <w:tc>
                <w:tcPr>
                  <w:tcW w:w="830" w:type="pct"/>
                  <w:vMerge w:val="continue"/>
                  <w:vAlign w:val="center"/>
                </w:tcPr>
                <w:p w14:paraId="09929754">
                  <w:pPr>
                    <w:widowControl/>
                    <w:jc w:val="center"/>
                    <w:rPr>
                      <w:rFonts w:cs="Times New Roman"/>
                      <w:bCs/>
                      <w:kern w:val="0"/>
                      <w:szCs w:val="21"/>
                    </w:rPr>
                  </w:pPr>
                </w:p>
              </w:tc>
            </w:tr>
            <w:tr w14:paraId="721F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2" w:type="pct"/>
                  <w:vAlign w:val="center"/>
                </w:tcPr>
                <w:p w14:paraId="1AE6BC89">
                  <w:pPr>
                    <w:widowControl/>
                    <w:jc w:val="center"/>
                    <w:rPr>
                      <w:szCs w:val="21"/>
                    </w:rPr>
                  </w:pPr>
                  <w:r>
                    <w:rPr>
                      <w:rFonts w:hint="eastAsia"/>
                      <w:szCs w:val="21"/>
                    </w:rPr>
                    <w:t>10</w:t>
                  </w:r>
                </w:p>
              </w:tc>
              <w:tc>
                <w:tcPr>
                  <w:tcW w:w="1191" w:type="pct"/>
                  <w:shd w:val="clear" w:color="auto" w:fill="auto"/>
                  <w:vAlign w:val="center"/>
                </w:tcPr>
                <w:p w14:paraId="20DB8E84">
                  <w:pPr>
                    <w:widowControl/>
                    <w:jc w:val="center"/>
                    <w:rPr>
                      <w:szCs w:val="21"/>
                    </w:rPr>
                  </w:pPr>
                  <w:r>
                    <w:rPr>
                      <w:rFonts w:hint="eastAsia"/>
                      <w:szCs w:val="21"/>
                    </w:rPr>
                    <w:t>空压机</w:t>
                  </w:r>
                </w:p>
              </w:tc>
              <w:tc>
                <w:tcPr>
                  <w:tcW w:w="901" w:type="pct"/>
                  <w:shd w:val="clear" w:color="auto" w:fill="auto"/>
                  <w:vAlign w:val="center"/>
                </w:tcPr>
                <w:p w14:paraId="21F72104">
                  <w:pPr>
                    <w:jc w:val="center"/>
                    <w:rPr>
                      <w:rFonts w:cstheme="minorHAnsi"/>
                      <w:szCs w:val="21"/>
                    </w:rPr>
                  </w:pPr>
                  <w:r>
                    <w:rPr>
                      <w:rFonts w:hint="eastAsia" w:cstheme="minorHAnsi"/>
                      <w:szCs w:val="21"/>
                    </w:rPr>
                    <w:t>/</w:t>
                  </w:r>
                </w:p>
              </w:tc>
              <w:tc>
                <w:tcPr>
                  <w:tcW w:w="778" w:type="pct"/>
                  <w:vAlign w:val="center"/>
                </w:tcPr>
                <w:p w14:paraId="20BA5FBC">
                  <w:pPr>
                    <w:widowControl/>
                    <w:jc w:val="center"/>
                    <w:rPr>
                      <w:rFonts w:cs="Times New Roman"/>
                      <w:bCs/>
                      <w:kern w:val="0"/>
                      <w:szCs w:val="21"/>
                    </w:rPr>
                  </w:pPr>
                  <w:r>
                    <w:rPr>
                      <w:rFonts w:hint="eastAsia" w:cs="Times New Roman"/>
                      <w:bCs/>
                      <w:kern w:val="0"/>
                      <w:szCs w:val="21"/>
                    </w:rPr>
                    <w:t>台</w:t>
                  </w:r>
                </w:p>
              </w:tc>
              <w:tc>
                <w:tcPr>
                  <w:tcW w:w="778" w:type="pct"/>
                  <w:vAlign w:val="center"/>
                </w:tcPr>
                <w:p w14:paraId="28F77B80">
                  <w:pPr>
                    <w:widowControl/>
                    <w:jc w:val="center"/>
                    <w:rPr>
                      <w:rFonts w:cs="Times New Roman"/>
                      <w:bCs/>
                      <w:kern w:val="0"/>
                      <w:szCs w:val="21"/>
                    </w:rPr>
                  </w:pPr>
                  <w:r>
                    <w:rPr>
                      <w:rFonts w:hint="eastAsia" w:cs="Times New Roman"/>
                      <w:bCs/>
                      <w:kern w:val="0"/>
                      <w:szCs w:val="21"/>
                    </w:rPr>
                    <w:t>2</w:t>
                  </w:r>
                </w:p>
              </w:tc>
              <w:tc>
                <w:tcPr>
                  <w:tcW w:w="830" w:type="pct"/>
                  <w:vAlign w:val="center"/>
                </w:tcPr>
                <w:p w14:paraId="59BE3C61">
                  <w:pPr>
                    <w:widowControl/>
                    <w:jc w:val="center"/>
                    <w:rPr>
                      <w:rFonts w:cs="Times New Roman"/>
                      <w:bCs/>
                      <w:kern w:val="0"/>
                      <w:szCs w:val="21"/>
                    </w:rPr>
                  </w:pPr>
                  <w:r>
                    <w:rPr>
                      <w:rFonts w:hint="eastAsia" w:cs="Times New Roman"/>
                      <w:bCs/>
                      <w:kern w:val="0"/>
                      <w:szCs w:val="21"/>
                    </w:rPr>
                    <w:t>辅助设备</w:t>
                  </w:r>
                </w:p>
              </w:tc>
            </w:tr>
          </w:tbl>
          <w:p w14:paraId="7D27F5FA">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扩建后全厂生产设施信息表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2261"/>
              <w:gridCol w:w="1474"/>
              <w:gridCol w:w="1474"/>
              <w:gridCol w:w="1475"/>
              <w:gridCol w:w="1468"/>
            </w:tblGrid>
            <w:tr w14:paraId="1E6A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Merge w:val="restart"/>
                  <w:vAlign w:val="center"/>
                </w:tcPr>
                <w:p w14:paraId="30B74C38">
                  <w:pPr>
                    <w:jc w:val="center"/>
                    <w:rPr>
                      <w:rFonts w:cs="Times New Roman"/>
                      <w:bCs/>
                      <w:kern w:val="0"/>
                      <w:szCs w:val="21"/>
                    </w:rPr>
                  </w:pPr>
                  <w:r>
                    <w:rPr>
                      <w:rFonts w:cs="Times New Roman"/>
                      <w:bCs/>
                      <w:kern w:val="0"/>
                      <w:szCs w:val="21"/>
                    </w:rPr>
                    <w:t>序号</w:t>
                  </w:r>
                </w:p>
              </w:tc>
              <w:tc>
                <w:tcPr>
                  <w:tcW w:w="1236" w:type="pct"/>
                  <w:vMerge w:val="restart"/>
                  <w:shd w:val="clear" w:color="auto" w:fill="auto"/>
                  <w:vAlign w:val="center"/>
                </w:tcPr>
                <w:p w14:paraId="02F3CE20">
                  <w:pPr>
                    <w:jc w:val="center"/>
                    <w:rPr>
                      <w:rFonts w:cs="Times New Roman"/>
                      <w:bCs/>
                      <w:kern w:val="0"/>
                      <w:szCs w:val="21"/>
                    </w:rPr>
                  </w:pPr>
                  <w:r>
                    <w:rPr>
                      <w:rFonts w:cs="Times New Roman"/>
                      <w:bCs/>
                      <w:kern w:val="0"/>
                      <w:szCs w:val="21"/>
                    </w:rPr>
                    <w:t>设施名称</w:t>
                  </w:r>
                </w:p>
              </w:tc>
              <w:tc>
                <w:tcPr>
                  <w:tcW w:w="806" w:type="pct"/>
                  <w:vMerge w:val="restart"/>
                  <w:vAlign w:val="center"/>
                </w:tcPr>
                <w:p w14:paraId="0927F663">
                  <w:pPr>
                    <w:jc w:val="center"/>
                    <w:rPr>
                      <w:rFonts w:cs="Times New Roman"/>
                      <w:bCs/>
                      <w:kern w:val="0"/>
                      <w:szCs w:val="21"/>
                    </w:rPr>
                  </w:pPr>
                  <w:r>
                    <w:rPr>
                      <w:rFonts w:hint="eastAsia" w:cs="Times New Roman"/>
                      <w:bCs/>
                      <w:kern w:val="0"/>
                      <w:szCs w:val="21"/>
                    </w:rPr>
                    <w:t>单位</w:t>
                  </w:r>
                </w:p>
              </w:tc>
              <w:tc>
                <w:tcPr>
                  <w:tcW w:w="2413" w:type="pct"/>
                  <w:gridSpan w:val="3"/>
                  <w:vAlign w:val="center"/>
                </w:tcPr>
                <w:p w14:paraId="57BD4BEE">
                  <w:pPr>
                    <w:widowControl/>
                    <w:jc w:val="center"/>
                    <w:rPr>
                      <w:rFonts w:cs="Times New Roman"/>
                      <w:bCs/>
                      <w:kern w:val="0"/>
                      <w:szCs w:val="21"/>
                    </w:rPr>
                  </w:pPr>
                  <w:r>
                    <w:rPr>
                      <w:rFonts w:hint="eastAsia" w:cs="Times New Roman"/>
                      <w:bCs/>
                      <w:kern w:val="0"/>
                      <w:szCs w:val="21"/>
                    </w:rPr>
                    <w:t>数量</w:t>
                  </w:r>
                </w:p>
              </w:tc>
            </w:tr>
            <w:tr w14:paraId="360C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Merge w:val="continue"/>
                  <w:vAlign w:val="center"/>
                </w:tcPr>
                <w:p w14:paraId="5D12D444">
                  <w:pPr>
                    <w:widowControl/>
                    <w:jc w:val="center"/>
                    <w:rPr>
                      <w:szCs w:val="21"/>
                    </w:rPr>
                  </w:pPr>
                </w:p>
              </w:tc>
              <w:tc>
                <w:tcPr>
                  <w:tcW w:w="1236" w:type="pct"/>
                  <w:vMerge w:val="continue"/>
                  <w:shd w:val="clear" w:color="auto" w:fill="auto"/>
                  <w:vAlign w:val="center"/>
                </w:tcPr>
                <w:p w14:paraId="36660ACC">
                  <w:pPr>
                    <w:widowControl/>
                    <w:jc w:val="center"/>
                    <w:rPr>
                      <w:rFonts w:cs="Times New Roman"/>
                      <w:bCs/>
                      <w:kern w:val="0"/>
                      <w:szCs w:val="21"/>
                    </w:rPr>
                  </w:pPr>
                </w:p>
              </w:tc>
              <w:tc>
                <w:tcPr>
                  <w:tcW w:w="806" w:type="pct"/>
                  <w:vMerge w:val="continue"/>
                  <w:vAlign w:val="center"/>
                </w:tcPr>
                <w:p w14:paraId="6BA6E87A">
                  <w:pPr>
                    <w:widowControl/>
                    <w:jc w:val="center"/>
                    <w:rPr>
                      <w:rFonts w:cs="Times New Roman"/>
                      <w:bCs/>
                      <w:kern w:val="0"/>
                      <w:szCs w:val="21"/>
                    </w:rPr>
                  </w:pPr>
                </w:p>
              </w:tc>
              <w:tc>
                <w:tcPr>
                  <w:tcW w:w="806" w:type="pct"/>
                  <w:vAlign w:val="center"/>
                </w:tcPr>
                <w:p w14:paraId="7D31722C">
                  <w:pPr>
                    <w:widowControl/>
                    <w:jc w:val="center"/>
                    <w:rPr>
                      <w:rFonts w:cs="Times New Roman"/>
                      <w:bCs/>
                      <w:kern w:val="0"/>
                      <w:szCs w:val="21"/>
                    </w:rPr>
                  </w:pPr>
                  <w:r>
                    <w:rPr>
                      <w:rFonts w:hint="eastAsia" w:cs="Times New Roman"/>
                      <w:bCs/>
                      <w:kern w:val="0"/>
                      <w:szCs w:val="21"/>
                    </w:rPr>
                    <w:t>现有工程</w:t>
                  </w:r>
                </w:p>
              </w:tc>
              <w:tc>
                <w:tcPr>
                  <w:tcW w:w="806" w:type="pct"/>
                  <w:vAlign w:val="center"/>
                </w:tcPr>
                <w:p w14:paraId="2C8E8585">
                  <w:pPr>
                    <w:widowControl/>
                    <w:jc w:val="center"/>
                    <w:rPr>
                      <w:rFonts w:cs="Times New Roman"/>
                      <w:bCs/>
                      <w:kern w:val="0"/>
                      <w:szCs w:val="21"/>
                    </w:rPr>
                  </w:pPr>
                  <w:r>
                    <w:rPr>
                      <w:rFonts w:hint="eastAsia" w:cs="Times New Roman"/>
                      <w:bCs/>
                      <w:kern w:val="0"/>
                      <w:szCs w:val="21"/>
                    </w:rPr>
                    <w:t>扩建项目</w:t>
                  </w:r>
                </w:p>
              </w:tc>
              <w:tc>
                <w:tcPr>
                  <w:tcW w:w="802" w:type="pct"/>
                  <w:vAlign w:val="center"/>
                </w:tcPr>
                <w:p w14:paraId="47FBD665">
                  <w:pPr>
                    <w:widowControl/>
                    <w:jc w:val="center"/>
                    <w:rPr>
                      <w:rFonts w:cs="Times New Roman"/>
                      <w:bCs/>
                      <w:kern w:val="0"/>
                      <w:szCs w:val="21"/>
                    </w:rPr>
                  </w:pPr>
                  <w:r>
                    <w:rPr>
                      <w:rFonts w:hint="eastAsia" w:cs="Times New Roman"/>
                      <w:bCs/>
                      <w:kern w:val="0"/>
                      <w:szCs w:val="21"/>
                    </w:rPr>
                    <w:t>全厂</w:t>
                  </w:r>
                </w:p>
              </w:tc>
            </w:tr>
            <w:tr w14:paraId="76E15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1CBDC37">
                  <w:pPr>
                    <w:widowControl/>
                    <w:jc w:val="center"/>
                    <w:rPr>
                      <w:szCs w:val="21"/>
                    </w:rPr>
                  </w:pPr>
                  <w:r>
                    <w:rPr>
                      <w:rFonts w:hint="eastAsia"/>
                      <w:szCs w:val="21"/>
                    </w:rPr>
                    <w:t>1</w:t>
                  </w:r>
                </w:p>
              </w:tc>
              <w:tc>
                <w:tcPr>
                  <w:tcW w:w="1236" w:type="pct"/>
                  <w:shd w:val="clear" w:color="auto" w:fill="auto"/>
                  <w:vAlign w:val="center"/>
                </w:tcPr>
                <w:p w14:paraId="34CC19ED">
                  <w:pPr>
                    <w:widowControl/>
                    <w:jc w:val="center"/>
                    <w:rPr>
                      <w:rFonts w:cs="Times New Roman"/>
                      <w:bCs/>
                      <w:kern w:val="0"/>
                      <w:szCs w:val="21"/>
                    </w:rPr>
                  </w:pPr>
                  <w:r>
                    <w:rPr>
                      <w:rFonts w:hint="eastAsia" w:cs="Times New Roman"/>
                      <w:bCs/>
                      <w:kern w:val="0"/>
                      <w:szCs w:val="21"/>
                    </w:rPr>
                    <w:t>注塑成型机</w:t>
                  </w:r>
                </w:p>
              </w:tc>
              <w:tc>
                <w:tcPr>
                  <w:tcW w:w="806" w:type="pct"/>
                  <w:vAlign w:val="center"/>
                </w:tcPr>
                <w:p w14:paraId="6FAD5C3E">
                  <w:pPr>
                    <w:widowControl/>
                    <w:jc w:val="center"/>
                    <w:rPr>
                      <w:rFonts w:cs="Times New Roman"/>
                      <w:bCs/>
                      <w:kern w:val="0"/>
                      <w:szCs w:val="21"/>
                    </w:rPr>
                  </w:pPr>
                  <w:r>
                    <w:rPr>
                      <w:rFonts w:cs="Times New Roman"/>
                      <w:bCs/>
                      <w:kern w:val="0"/>
                      <w:szCs w:val="21"/>
                    </w:rPr>
                    <w:t>台</w:t>
                  </w:r>
                </w:p>
              </w:tc>
              <w:tc>
                <w:tcPr>
                  <w:tcW w:w="806" w:type="pct"/>
                  <w:vAlign w:val="center"/>
                </w:tcPr>
                <w:p w14:paraId="68B89E4C">
                  <w:pPr>
                    <w:widowControl/>
                    <w:jc w:val="center"/>
                    <w:rPr>
                      <w:rFonts w:cs="Times New Roman"/>
                      <w:bCs/>
                      <w:kern w:val="0"/>
                      <w:szCs w:val="21"/>
                    </w:rPr>
                  </w:pPr>
                  <w:r>
                    <w:rPr>
                      <w:rFonts w:hint="eastAsia" w:cs="Times New Roman"/>
                      <w:bCs/>
                      <w:kern w:val="0"/>
                      <w:szCs w:val="21"/>
                    </w:rPr>
                    <w:t>0</w:t>
                  </w:r>
                </w:p>
              </w:tc>
              <w:tc>
                <w:tcPr>
                  <w:tcW w:w="806" w:type="pct"/>
                  <w:vAlign w:val="center"/>
                </w:tcPr>
                <w:p w14:paraId="41B4B15C">
                  <w:pPr>
                    <w:widowControl/>
                    <w:jc w:val="center"/>
                    <w:rPr>
                      <w:rFonts w:cs="Times New Roman"/>
                      <w:bCs/>
                      <w:kern w:val="0"/>
                      <w:szCs w:val="21"/>
                    </w:rPr>
                  </w:pPr>
                  <w:r>
                    <w:rPr>
                      <w:rFonts w:hint="eastAsia" w:cs="Times New Roman"/>
                      <w:bCs/>
                      <w:kern w:val="0"/>
                      <w:szCs w:val="21"/>
                    </w:rPr>
                    <w:t>20</w:t>
                  </w:r>
                </w:p>
              </w:tc>
              <w:tc>
                <w:tcPr>
                  <w:tcW w:w="802" w:type="pct"/>
                  <w:vAlign w:val="center"/>
                </w:tcPr>
                <w:p w14:paraId="38051E3A">
                  <w:pPr>
                    <w:widowControl/>
                    <w:jc w:val="center"/>
                    <w:rPr>
                      <w:rFonts w:cs="Times New Roman"/>
                      <w:bCs/>
                      <w:kern w:val="0"/>
                      <w:szCs w:val="21"/>
                    </w:rPr>
                  </w:pPr>
                  <w:r>
                    <w:rPr>
                      <w:rFonts w:hint="eastAsia" w:cs="Times New Roman"/>
                      <w:bCs/>
                      <w:kern w:val="0"/>
                      <w:szCs w:val="21"/>
                    </w:rPr>
                    <w:t>20</w:t>
                  </w:r>
                </w:p>
              </w:tc>
            </w:tr>
            <w:tr w14:paraId="0275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2E2FB2E">
                  <w:pPr>
                    <w:widowControl/>
                    <w:jc w:val="center"/>
                    <w:rPr>
                      <w:szCs w:val="21"/>
                    </w:rPr>
                  </w:pPr>
                  <w:r>
                    <w:rPr>
                      <w:rFonts w:hint="eastAsia"/>
                      <w:szCs w:val="21"/>
                    </w:rPr>
                    <w:t>2</w:t>
                  </w:r>
                </w:p>
              </w:tc>
              <w:tc>
                <w:tcPr>
                  <w:tcW w:w="1236" w:type="pct"/>
                  <w:shd w:val="clear" w:color="auto" w:fill="auto"/>
                  <w:vAlign w:val="center"/>
                </w:tcPr>
                <w:p w14:paraId="38CAF50B">
                  <w:pPr>
                    <w:widowControl/>
                    <w:jc w:val="center"/>
                    <w:rPr>
                      <w:rFonts w:cs="Times New Roman"/>
                      <w:bCs/>
                      <w:kern w:val="0"/>
                      <w:szCs w:val="21"/>
                    </w:rPr>
                  </w:pPr>
                  <w:r>
                    <w:rPr>
                      <w:rFonts w:hint="eastAsia" w:cs="Times New Roman"/>
                      <w:bCs/>
                      <w:kern w:val="0"/>
                      <w:szCs w:val="21"/>
                    </w:rPr>
                    <w:t>压泡机</w:t>
                  </w:r>
                </w:p>
              </w:tc>
              <w:tc>
                <w:tcPr>
                  <w:tcW w:w="806" w:type="pct"/>
                  <w:vAlign w:val="center"/>
                </w:tcPr>
                <w:p w14:paraId="4F3E86A6">
                  <w:pPr>
                    <w:widowControl/>
                    <w:jc w:val="center"/>
                    <w:rPr>
                      <w:rFonts w:cs="Times New Roman"/>
                      <w:bCs/>
                      <w:kern w:val="0"/>
                      <w:szCs w:val="21"/>
                    </w:rPr>
                  </w:pPr>
                  <w:r>
                    <w:rPr>
                      <w:rFonts w:hint="eastAsia" w:cs="Times New Roman"/>
                      <w:bCs/>
                      <w:kern w:val="0"/>
                      <w:szCs w:val="21"/>
                    </w:rPr>
                    <w:t>台</w:t>
                  </w:r>
                </w:p>
              </w:tc>
              <w:tc>
                <w:tcPr>
                  <w:tcW w:w="806" w:type="pct"/>
                  <w:vAlign w:val="center"/>
                </w:tcPr>
                <w:p w14:paraId="2CC05BA2">
                  <w:pPr>
                    <w:widowControl/>
                    <w:jc w:val="center"/>
                    <w:rPr>
                      <w:rFonts w:cs="Times New Roman"/>
                      <w:bCs/>
                      <w:kern w:val="0"/>
                      <w:szCs w:val="21"/>
                    </w:rPr>
                  </w:pPr>
                  <w:r>
                    <w:rPr>
                      <w:rFonts w:hint="eastAsia" w:cs="Times New Roman"/>
                      <w:bCs/>
                      <w:kern w:val="0"/>
                      <w:szCs w:val="21"/>
                    </w:rPr>
                    <w:t>0</w:t>
                  </w:r>
                </w:p>
              </w:tc>
              <w:tc>
                <w:tcPr>
                  <w:tcW w:w="806" w:type="pct"/>
                  <w:vAlign w:val="center"/>
                </w:tcPr>
                <w:p w14:paraId="664F1FE3">
                  <w:pPr>
                    <w:widowControl/>
                    <w:jc w:val="center"/>
                    <w:rPr>
                      <w:rFonts w:cs="Times New Roman"/>
                      <w:bCs/>
                      <w:kern w:val="0"/>
                      <w:szCs w:val="21"/>
                    </w:rPr>
                  </w:pPr>
                  <w:r>
                    <w:rPr>
                      <w:rFonts w:hint="eastAsia" w:cs="Times New Roman"/>
                      <w:bCs/>
                      <w:kern w:val="0"/>
                      <w:szCs w:val="21"/>
                    </w:rPr>
                    <w:t>2</w:t>
                  </w:r>
                </w:p>
              </w:tc>
              <w:tc>
                <w:tcPr>
                  <w:tcW w:w="802" w:type="pct"/>
                  <w:vAlign w:val="center"/>
                </w:tcPr>
                <w:p w14:paraId="5553BDE8">
                  <w:pPr>
                    <w:widowControl/>
                    <w:jc w:val="center"/>
                    <w:rPr>
                      <w:rFonts w:cs="Times New Roman"/>
                      <w:bCs/>
                      <w:kern w:val="0"/>
                      <w:szCs w:val="21"/>
                    </w:rPr>
                  </w:pPr>
                  <w:r>
                    <w:rPr>
                      <w:rFonts w:hint="eastAsia" w:cs="Times New Roman"/>
                      <w:bCs/>
                      <w:kern w:val="0"/>
                      <w:szCs w:val="21"/>
                    </w:rPr>
                    <w:t>2</w:t>
                  </w:r>
                </w:p>
              </w:tc>
            </w:tr>
            <w:tr w14:paraId="2D5E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302DA75">
                  <w:pPr>
                    <w:widowControl/>
                    <w:jc w:val="center"/>
                    <w:rPr>
                      <w:szCs w:val="21"/>
                    </w:rPr>
                  </w:pPr>
                  <w:r>
                    <w:rPr>
                      <w:rFonts w:hint="eastAsia"/>
                      <w:szCs w:val="21"/>
                    </w:rPr>
                    <w:t>3</w:t>
                  </w:r>
                </w:p>
              </w:tc>
              <w:tc>
                <w:tcPr>
                  <w:tcW w:w="1236" w:type="pct"/>
                  <w:shd w:val="clear" w:color="auto" w:fill="auto"/>
                  <w:vAlign w:val="center"/>
                </w:tcPr>
                <w:p w14:paraId="4F83B949">
                  <w:pPr>
                    <w:widowControl/>
                    <w:jc w:val="center"/>
                    <w:rPr>
                      <w:rFonts w:cs="Times New Roman"/>
                      <w:szCs w:val="21"/>
                    </w:rPr>
                  </w:pPr>
                  <w:r>
                    <w:rPr>
                      <w:rFonts w:hint="eastAsia" w:cs="Times New Roman"/>
                      <w:szCs w:val="21"/>
                    </w:rPr>
                    <w:t>全自动多色直印机</w:t>
                  </w:r>
                </w:p>
              </w:tc>
              <w:tc>
                <w:tcPr>
                  <w:tcW w:w="806" w:type="pct"/>
                  <w:vAlign w:val="center"/>
                </w:tcPr>
                <w:p w14:paraId="2F60423C">
                  <w:pPr>
                    <w:widowControl/>
                    <w:jc w:val="center"/>
                    <w:rPr>
                      <w:rFonts w:cs="Times New Roman"/>
                      <w:bCs/>
                      <w:kern w:val="0"/>
                      <w:szCs w:val="21"/>
                    </w:rPr>
                  </w:pPr>
                  <w:r>
                    <w:rPr>
                      <w:rFonts w:cs="Times New Roman"/>
                      <w:bCs/>
                      <w:kern w:val="0"/>
                      <w:szCs w:val="21"/>
                    </w:rPr>
                    <w:t>台</w:t>
                  </w:r>
                </w:p>
              </w:tc>
              <w:tc>
                <w:tcPr>
                  <w:tcW w:w="806" w:type="pct"/>
                  <w:vAlign w:val="center"/>
                </w:tcPr>
                <w:p w14:paraId="1AD9BB9C">
                  <w:pPr>
                    <w:widowControl/>
                    <w:jc w:val="center"/>
                    <w:rPr>
                      <w:rFonts w:cs="Times New Roman"/>
                      <w:bCs/>
                      <w:kern w:val="0"/>
                      <w:szCs w:val="21"/>
                    </w:rPr>
                  </w:pPr>
                  <w:r>
                    <w:rPr>
                      <w:rFonts w:hint="eastAsia" w:cs="Times New Roman"/>
                      <w:bCs/>
                      <w:kern w:val="0"/>
                      <w:szCs w:val="21"/>
                    </w:rPr>
                    <w:t>0</w:t>
                  </w:r>
                </w:p>
              </w:tc>
              <w:tc>
                <w:tcPr>
                  <w:tcW w:w="806" w:type="pct"/>
                  <w:vAlign w:val="center"/>
                </w:tcPr>
                <w:p w14:paraId="502F3255">
                  <w:pPr>
                    <w:widowControl/>
                    <w:jc w:val="center"/>
                    <w:rPr>
                      <w:rFonts w:cs="Times New Roman"/>
                      <w:bCs/>
                      <w:kern w:val="0"/>
                      <w:szCs w:val="21"/>
                    </w:rPr>
                  </w:pPr>
                  <w:r>
                    <w:rPr>
                      <w:rFonts w:cs="Times New Roman"/>
                      <w:bCs/>
                      <w:kern w:val="0"/>
                      <w:szCs w:val="21"/>
                    </w:rPr>
                    <w:t>2</w:t>
                  </w:r>
                </w:p>
              </w:tc>
              <w:tc>
                <w:tcPr>
                  <w:tcW w:w="802" w:type="pct"/>
                  <w:vAlign w:val="center"/>
                </w:tcPr>
                <w:p w14:paraId="5FBE7195">
                  <w:pPr>
                    <w:widowControl/>
                    <w:jc w:val="center"/>
                    <w:rPr>
                      <w:rFonts w:cs="Times New Roman"/>
                      <w:bCs/>
                      <w:kern w:val="0"/>
                      <w:szCs w:val="21"/>
                    </w:rPr>
                  </w:pPr>
                  <w:r>
                    <w:rPr>
                      <w:rFonts w:hint="eastAsia" w:cs="Times New Roman"/>
                      <w:bCs/>
                      <w:kern w:val="0"/>
                      <w:szCs w:val="21"/>
                    </w:rPr>
                    <w:t>2</w:t>
                  </w:r>
                </w:p>
              </w:tc>
            </w:tr>
            <w:tr w14:paraId="77C6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2BEA902C">
                  <w:pPr>
                    <w:widowControl/>
                    <w:jc w:val="center"/>
                    <w:rPr>
                      <w:szCs w:val="21"/>
                    </w:rPr>
                  </w:pPr>
                  <w:r>
                    <w:rPr>
                      <w:rFonts w:hint="eastAsia"/>
                      <w:szCs w:val="21"/>
                    </w:rPr>
                    <w:t>4</w:t>
                  </w:r>
                </w:p>
              </w:tc>
              <w:tc>
                <w:tcPr>
                  <w:tcW w:w="1236" w:type="pct"/>
                  <w:shd w:val="clear" w:color="auto" w:fill="auto"/>
                  <w:vAlign w:val="center"/>
                </w:tcPr>
                <w:p w14:paraId="60A9B349">
                  <w:pPr>
                    <w:widowControl/>
                    <w:jc w:val="center"/>
                    <w:rPr>
                      <w:rFonts w:cs="Times New Roman"/>
                      <w:szCs w:val="21"/>
                    </w:rPr>
                  </w:pPr>
                  <w:r>
                    <w:rPr>
                      <w:rFonts w:hint="eastAsia" w:cs="Times New Roman"/>
                      <w:szCs w:val="21"/>
                    </w:rPr>
                    <w:t>全自动烫印机</w:t>
                  </w:r>
                </w:p>
              </w:tc>
              <w:tc>
                <w:tcPr>
                  <w:tcW w:w="806" w:type="pct"/>
                  <w:vAlign w:val="center"/>
                </w:tcPr>
                <w:p w14:paraId="394743C1">
                  <w:pPr>
                    <w:widowControl/>
                    <w:jc w:val="center"/>
                    <w:rPr>
                      <w:rFonts w:cs="Times New Roman"/>
                      <w:bCs/>
                      <w:kern w:val="0"/>
                      <w:szCs w:val="21"/>
                    </w:rPr>
                  </w:pPr>
                  <w:r>
                    <w:rPr>
                      <w:rFonts w:cs="Times New Roman"/>
                      <w:bCs/>
                      <w:kern w:val="0"/>
                      <w:szCs w:val="21"/>
                    </w:rPr>
                    <w:t>台</w:t>
                  </w:r>
                </w:p>
              </w:tc>
              <w:tc>
                <w:tcPr>
                  <w:tcW w:w="806" w:type="pct"/>
                  <w:vAlign w:val="center"/>
                </w:tcPr>
                <w:p w14:paraId="7DFF1562">
                  <w:pPr>
                    <w:widowControl/>
                    <w:jc w:val="center"/>
                    <w:rPr>
                      <w:rFonts w:cs="Times New Roman"/>
                      <w:bCs/>
                      <w:kern w:val="0"/>
                      <w:szCs w:val="21"/>
                    </w:rPr>
                  </w:pPr>
                  <w:r>
                    <w:rPr>
                      <w:rFonts w:hint="eastAsia" w:cs="Times New Roman"/>
                      <w:bCs/>
                      <w:kern w:val="0"/>
                      <w:szCs w:val="21"/>
                    </w:rPr>
                    <w:t>0</w:t>
                  </w:r>
                </w:p>
              </w:tc>
              <w:tc>
                <w:tcPr>
                  <w:tcW w:w="806" w:type="pct"/>
                  <w:vAlign w:val="center"/>
                </w:tcPr>
                <w:p w14:paraId="5D5685FE">
                  <w:pPr>
                    <w:widowControl/>
                    <w:jc w:val="center"/>
                    <w:rPr>
                      <w:rFonts w:cs="Times New Roman"/>
                      <w:bCs/>
                      <w:kern w:val="0"/>
                      <w:szCs w:val="21"/>
                    </w:rPr>
                  </w:pPr>
                  <w:r>
                    <w:rPr>
                      <w:rFonts w:hint="eastAsia" w:cs="Times New Roman"/>
                      <w:bCs/>
                      <w:kern w:val="0"/>
                      <w:szCs w:val="21"/>
                    </w:rPr>
                    <w:t>4</w:t>
                  </w:r>
                </w:p>
              </w:tc>
              <w:tc>
                <w:tcPr>
                  <w:tcW w:w="802" w:type="pct"/>
                  <w:vAlign w:val="center"/>
                </w:tcPr>
                <w:p w14:paraId="4486EEAC">
                  <w:pPr>
                    <w:widowControl/>
                    <w:jc w:val="center"/>
                    <w:rPr>
                      <w:rFonts w:cs="Times New Roman"/>
                      <w:bCs/>
                      <w:kern w:val="0"/>
                      <w:szCs w:val="21"/>
                    </w:rPr>
                  </w:pPr>
                  <w:r>
                    <w:rPr>
                      <w:rFonts w:hint="eastAsia" w:cs="Times New Roman"/>
                      <w:bCs/>
                      <w:kern w:val="0"/>
                      <w:szCs w:val="21"/>
                    </w:rPr>
                    <w:t>4</w:t>
                  </w:r>
                </w:p>
              </w:tc>
            </w:tr>
            <w:tr w14:paraId="10936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1ACAA7C2">
                  <w:pPr>
                    <w:widowControl/>
                    <w:jc w:val="center"/>
                    <w:rPr>
                      <w:szCs w:val="21"/>
                    </w:rPr>
                  </w:pPr>
                  <w:r>
                    <w:rPr>
                      <w:rFonts w:hint="eastAsia"/>
                      <w:szCs w:val="21"/>
                    </w:rPr>
                    <w:t>5</w:t>
                  </w:r>
                </w:p>
              </w:tc>
              <w:tc>
                <w:tcPr>
                  <w:tcW w:w="1236" w:type="pct"/>
                  <w:shd w:val="clear" w:color="auto" w:fill="auto"/>
                  <w:vAlign w:val="center"/>
                </w:tcPr>
                <w:p w14:paraId="6B928F85">
                  <w:pPr>
                    <w:widowControl/>
                    <w:jc w:val="center"/>
                    <w:rPr>
                      <w:rFonts w:cs="Times New Roman"/>
                      <w:szCs w:val="21"/>
                    </w:rPr>
                  </w:pPr>
                  <w:r>
                    <w:rPr>
                      <w:rFonts w:hint="eastAsia" w:cs="Times New Roman"/>
                      <w:szCs w:val="21"/>
                    </w:rPr>
                    <w:t>冷却塔</w:t>
                  </w:r>
                </w:p>
              </w:tc>
              <w:tc>
                <w:tcPr>
                  <w:tcW w:w="806" w:type="pct"/>
                  <w:vAlign w:val="center"/>
                </w:tcPr>
                <w:p w14:paraId="337823FE">
                  <w:pPr>
                    <w:widowControl/>
                    <w:jc w:val="center"/>
                    <w:rPr>
                      <w:rFonts w:cs="Times New Roman"/>
                      <w:bCs/>
                      <w:kern w:val="0"/>
                      <w:szCs w:val="21"/>
                    </w:rPr>
                  </w:pPr>
                  <w:r>
                    <w:rPr>
                      <w:rFonts w:cs="Times New Roman"/>
                      <w:bCs/>
                      <w:kern w:val="0"/>
                      <w:szCs w:val="21"/>
                    </w:rPr>
                    <w:t>台</w:t>
                  </w:r>
                </w:p>
              </w:tc>
              <w:tc>
                <w:tcPr>
                  <w:tcW w:w="806" w:type="pct"/>
                  <w:vAlign w:val="center"/>
                </w:tcPr>
                <w:p w14:paraId="2309A2EA">
                  <w:pPr>
                    <w:widowControl/>
                    <w:jc w:val="center"/>
                    <w:rPr>
                      <w:rFonts w:cs="Times New Roman"/>
                      <w:bCs/>
                      <w:kern w:val="0"/>
                      <w:szCs w:val="21"/>
                    </w:rPr>
                  </w:pPr>
                  <w:r>
                    <w:rPr>
                      <w:rFonts w:hint="eastAsia" w:cs="Times New Roman"/>
                      <w:bCs/>
                      <w:kern w:val="0"/>
                      <w:szCs w:val="21"/>
                    </w:rPr>
                    <w:t>2</w:t>
                  </w:r>
                </w:p>
              </w:tc>
              <w:tc>
                <w:tcPr>
                  <w:tcW w:w="806" w:type="pct"/>
                  <w:vAlign w:val="center"/>
                </w:tcPr>
                <w:p w14:paraId="7314AF0B">
                  <w:pPr>
                    <w:widowControl/>
                    <w:jc w:val="center"/>
                    <w:rPr>
                      <w:rFonts w:cs="Times New Roman"/>
                      <w:bCs/>
                      <w:kern w:val="0"/>
                      <w:szCs w:val="21"/>
                    </w:rPr>
                  </w:pPr>
                  <w:r>
                    <w:rPr>
                      <w:rFonts w:cs="Times New Roman"/>
                      <w:bCs/>
                      <w:kern w:val="0"/>
                      <w:szCs w:val="21"/>
                    </w:rPr>
                    <w:t>1</w:t>
                  </w:r>
                </w:p>
              </w:tc>
              <w:tc>
                <w:tcPr>
                  <w:tcW w:w="802" w:type="pct"/>
                  <w:vAlign w:val="center"/>
                </w:tcPr>
                <w:p w14:paraId="3009F107">
                  <w:pPr>
                    <w:widowControl/>
                    <w:jc w:val="center"/>
                    <w:rPr>
                      <w:rFonts w:cs="Times New Roman"/>
                      <w:bCs/>
                      <w:kern w:val="0"/>
                      <w:szCs w:val="21"/>
                    </w:rPr>
                  </w:pPr>
                  <w:r>
                    <w:rPr>
                      <w:rFonts w:hint="eastAsia" w:cs="Times New Roman"/>
                      <w:bCs/>
                      <w:kern w:val="0"/>
                      <w:szCs w:val="21"/>
                    </w:rPr>
                    <w:t>3</w:t>
                  </w:r>
                </w:p>
              </w:tc>
            </w:tr>
            <w:tr w14:paraId="4F56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014A8E09">
                  <w:pPr>
                    <w:widowControl/>
                    <w:jc w:val="center"/>
                    <w:rPr>
                      <w:szCs w:val="21"/>
                    </w:rPr>
                  </w:pPr>
                  <w:r>
                    <w:rPr>
                      <w:rFonts w:hint="eastAsia"/>
                      <w:szCs w:val="21"/>
                    </w:rPr>
                    <w:t>6</w:t>
                  </w:r>
                </w:p>
              </w:tc>
              <w:tc>
                <w:tcPr>
                  <w:tcW w:w="1236" w:type="pct"/>
                  <w:shd w:val="clear" w:color="auto" w:fill="auto"/>
                  <w:vAlign w:val="center"/>
                </w:tcPr>
                <w:p w14:paraId="2437B33B">
                  <w:pPr>
                    <w:widowControl/>
                    <w:jc w:val="center"/>
                    <w:rPr>
                      <w:rFonts w:cs="Times New Roman"/>
                      <w:szCs w:val="21"/>
                    </w:rPr>
                  </w:pPr>
                  <w:r>
                    <w:rPr>
                      <w:rFonts w:hint="eastAsia" w:cs="Times New Roman"/>
                      <w:szCs w:val="21"/>
                    </w:rPr>
                    <w:t>循环水塔</w:t>
                  </w:r>
                </w:p>
              </w:tc>
              <w:tc>
                <w:tcPr>
                  <w:tcW w:w="806" w:type="pct"/>
                  <w:vAlign w:val="center"/>
                </w:tcPr>
                <w:p w14:paraId="44AE6349">
                  <w:pPr>
                    <w:widowControl/>
                    <w:jc w:val="center"/>
                    <w:rPr>
                      <w:rFonts w:cs="Times New Roman"/>
                      <w:bCs/>
                      <w:kern w:val="0"/>
                      <w:szCs w:val="21"/>
                    </w:rPr>
                  </w:pPr>
                  <w:r>
                    <w:rPr>
                      <w:rFonts w:cs="Times New Roman"/>
                      <w:bCs/>
                      <w:kern w:val="0"/>
                      <w:szCs w:val="21"/>
                    </w:rPr>
                    <w:t>台</w:t>
                  </w:r>
                </w:p>
              </w:tc>
              <w:tc>
                <w:tcPr>
                  <w:tcW w:w="806" w:type="pct"/>
                  <w:vAlign w:val="center"/>
                </w:tcPr>
                <w:p w14:paraId="7123CA16">
                  <w:pPr>
                    <w:widowControl/>
                    <w:jc w:val="center"/>
                    <w:rPr>
                      <w:rFonts w:cs="Times New Roman"/>
                      <w:bCs/>
                      <w:kern w:val="0"/>
                      <w:szCs w:val="21"/>
                    </w:rPr>
                  </w:pPr>
                  <w:r>
                    <w:rPr>
                      <w:rFonts w:hint="eastAsia" w:cs="Times New Roman"/>
                      <w:bCs/>
                      <w:kern w:val="0"/>
                      <w:szCs w:val="21"/>
                    </w:rPr>
                    <w:t>0</w:t>
                  </w:r>
                </w:p>
              </w:tc>
              <w:tc>
                <w:tcPr>
                  <w:tcW w:w="806" w:type="pct"/>
                  <w:vAlign w:val="center"/>
                </w:tcPr>
                <w:p w14:paraId="4D4D2D58">
                  <w:pPr>
                    <w:widowControl/>
                    <w:jc w:val="center"/>
                    <w:rPr>
                      <w:rFonts w:cs="Times New Roman"/>
                      <w:bCs/>
                      <w:kern w:val="0"/>
                      <w:szCs w:val="21"/>
                    </w:rPr>
                  </w:pPr>
                  <w:r>
                    <w:rPr>
                      <w:rFonts w:hint="eastAsia" w:cs="Times New Roman"/>
                      <w:bCs/>
                      <w:kern w:val="0"/>
                      <w:szCs w:val="21"/>
                    </w:rPr>
                    <w:t>1</w:t>
                  </w:r>
                </w:p>
              </w:tc>
              <w:tc>
                <w:tcPr>
                  <w:tcW w:w="802" w:type="pct"/>
                  <w:vAlign w:val="center"/>
                </w:tcPr>
                <w:p w14:paraId="58DCD841">
                  <w:pPr>
                    <w:widowControl/>
                    <w:jc w:val="center"/>
                    <w:rPr>
                      <w:rFonts w:cs="Times New Roman"/>
                      <w:bCs/>
                      <w:kern w:val="0"/>
                      <w:szCs w:val="21"/>
                    </w:rPr>
                  </w:pPr>
                  <w:r>
                    <w:rPr>
                      <w:rFonts w:hint="eastAsia" w:cs="Times New Roman"/>
                      <w:bCs/>
                      <w:kern w:val="0"/>
                      <w:szCs w:val="21"/>
                    </w:rPr>
                    <w:t>1</w:t>
                  </w:r>
                </w:p>
              </w:tc>
            </w:tr>
            <w:tr w14:paraId="7CAE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32DB2D13">
                  <w:pPr>
                    <w:widowControl/>
                    <w:jc w:val="center"/>
                    <w:rPr>
                      <w:szCs w:val="21"/>
                    </w:rPr>
                  </w:pPr>
                  <w:r>
                    <w:rPr>
                      <w:rFonts w:hint="eastAsia"/>
                      <w:szCs w:val="21"/>
                    </w:rPr>
                    <w:t>7</w:t>
                  </w:r>
                </w:p>
              </w:tc>
              <w:tc>
                <w:tcPr>
                  <w:tcW w:w="1236" w:type="pct"/>
                  <w:shd w:val="clear" w:color="auto" w:fill="auto"/>
                  <w:vAlign w:val="center"/>
                </w:tcPr>
                <w:p w14:paraId="1D5D0932">
                  <w:pPr>
                    <w:widowControl/>
                    <w:jc w:val="center"/>
                    <w:rPr>
                      <w:szCs w:val="21"/>
                    </w:rPr>
                  </w:pPr>
                  <w:r>
                    <w:rPr>
                      <w:rFonts w:hint="eastAsia"/>
                      <w:szCs w:val="21"/>
                    </w:rPr>
                    <w:t>空压机</w:t>
                  </w:r>
                </w:p>
              </w:tc>
              <w:tc>
                <w:tcPr>
                  <w:tcW w:w="806" w:type="pct"/>
                  <w:vAlign w:val="center"/>
                </w:tcPr>
                <w:p w14:paraId="68F5FAC5">
                  <w:pPr>
                    <w:widowControl/>
                    <w:jc w:val="center"/>
                    <w:rPr>
                      <w:rFonts w:cs="Times New Roman"/>
                      <w:bCs/>
                      <w:kern w:val="0"/>
                      <w:szCs w:val="21"/>
                    </w:rPr>
                  </w:pPr>
                  <w:r>
                    <w:rPr>
                      <w:rFonts w:hint="eastAsia" w:cs="Times New Roman"/>
                      <w:bCs/>
                      <w:kern w:val="0"/>
                      <w:szCs w:val="21"/>
                    </w:rPr>
                    <w:t>台</w:t>
                  </w:r>
                </w:p>
              </w:tc>
              <w:tc>
                <w:tcPr>
                  <w:tcW w:w="806" w:type="pct"/>
                  <w:vAlign w:val="center"/>
                </w:tcPr>
                <w:p w14:paraId="3FA23F6B">
                  <w:pPr>
                    <w:widowControl/>
                    <w:jc w:val="center"/>
                    <w:rPr>
                      <w:rFonts w:cs="Times New Roman"/>
                      <w:bCs/>
                      <w:kern w:val="0"/>
                      <w:szCs w:val="21"/>
                    </w:rPr>
                  </w:pPr>
                  <w:r>
                    <w:rPr>
                      <w:rFonts w:hint="eastAsia" w:cs="Times New Roman"/>
                      <w:bCs/>
                      <w:kern w:val="0"/>
                      <w:szCs w:val="21"/>
                    </w:rPr>
                    <w:t>3</w:t>
                  </w:r>
                </w:p>
              </w:tc>
              <w:tc>
                <w:tcPr>
                  <w:tcW w:w="806" w:type="pct"/>
                  <w:vAlign w:val="center"/>
                </w:tcPr>
                <w:p w14:paraId="0F27781E">
                  <w:pPr>
                    <w:widowControl/>
                    <w:jc w:val="center"/>
                    <w:rPr>
                      <w:rFonts w:cs="Times New Roman"/>
                      <w:bCs/>
                      <w:kern w:val="0"/>
                      <w:szCs w:val="21"/>
                    </w:rPr>
                  </w:pPr>
                  <w:r>
                    <w:rPr>
                      <w:rFonts w:hint="eastAsia" w:cs="Times New Roman"/>
                      <w:bCs/>
                      <w:kern w:val="0"/>
                      <w:szCs w:val="21"/>
                    </w:rPr>
                    <w:t>2</w:t>
                  </w:r>
                </w:p>
              </w:tc>
              <w:tc>
                <w:tcPr>
                  <w:tcW w:w="802" w:type="pct"/>
                  <w:vAlign w:val="center"/>
                </w:tcPr>
                <w:p w14:paraId="44B1D14A">
                  <w:pPr>
                    <w:widowControl/>
                    <w:jc w:val="center"/>
                    <w:rPr>
                      <w:rFonts w:cs="Times New Roman"/>
                      <w:bCs/>
                      <w:kern w:val="0"/>
                      <w:szCs w:val="21"/>
                    </w:rPr>
                  </w:pPr>
                  <w:r>
                    <w:rPr>
                      <w:rFonts w:hint="eastAsia" w:cs="Times New Roman"/>
                      <w:bCs/>
                      <w:kern w:val="0"/>
                      <w:szCs w:val="21"/>
                    </w:rPr>
                    <w:t>5</w:t>
                  </w:r>
                </w:p>
              </w:tc>
            </w:tr>
            <w:tr w14:paraId="1ED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3D297C8">
                  <w:pPr>
                    <w:widowControl/>
                    <w:jc w:val="center"/>
                    <w:rPr>
                      <w:szCs w:val="21"/>
                    </w:rPr>
                  </w:pPr>
                  <w:r>
                    <w:rPr>
                      <w:rFonts w:hint="eastAsia"/>
                      <w:szCs w:val="21"/>
                    </w:rPr>
                    <w:t>8</w:t>
                  </w:r>
                </w:p>
              </w:tc>
              <w:tc>
                <w:tcPr>
                  <w:tcW w:w="1236" w:type="pct"/>
                  <w:shd w:val="clear" w:color="auto" w:fill="auto"/>
                  <w:vAlign w:val="center"/>
                </w:tcPr>
                <w:p w14:paraId="7115D188">
                  <w:pPr>
                    <w:widowControl/>
                    <w:jc w:val="center"/>
                    <w:rPr>
                      <w:szCs w:val="21"/>
                    </w:rPr>
                  </w:pPr>
                  <w:r>
                    <w:rPr>
                      <w:rFonts w:hint="eastAsia"/>
                      <w:szCs w:val="21"/>
                    </w:rPr>
                    <w:t>涂装流水线</w:t>
                  </w:r>
                </w:p>
              </w:tc>
              <w:tc>
                <w:tcPr>
                  <w:tcW w:w="806" w:type="pct"/>
                  <w:vAlign w:val="center"/>
                </w:tcPr>
                <w:p w14:paraId="6D14549A">
                  <w:pPr>
                    <w:widowControl/>
                    <w:jc w:val="center"/>
                    <w:rPr>
                      <w:rFonts w:cs="Times New Roman"/>
                      <w:bCs/>
                      <w:kern w:val="0"/>
                      <w:szCs w:val="21"/>
                    </w:rPr>
                  </w:pPr>
                  <w:r>
                    <w:rPr>
                      <w:rFonts w:hint="eastAsia" w:cs="Times New Roman"/>
                      <w:bCs/>
                      <w:kern w:val="0"/>
                      <w:szCs w:val="21"/>
                    </w:rPr>
                    <w:t>条</w:t>
                  </w:r>
                </w:p>
              </w:tc>
              <w:tc>
                <w:tcPr>
                  <w:tcW w:w="806" w:type="pct"/>
                  <w:vAlign w:val="center"/>
                </w:tcPr>
                <w:p w14:paraId="3FFE7E13">
                  <w:pPr>
                    <w:widowControl/>
                    <w:jc w:val="center"/>
                    <w:rPr>
                      <w:rFonts w:cs="Times New Roman"/>
                      <w:bCs/>
                      <w:kern w:val="0"/>
                      <w:szCs w:val="21"/>
                    </w:rPr>
                  </w:pPr>
                  <w:r>
                    <w:rPr>
                      <w:rFonts w:hint="eastAsia" w:cs="Times New Roman"/>
                      <w:bCs/>
                      <w:kern w:val="0"/>
                      <w:szCs w:val="21"/>
                    </w:rPr>
                    <w:t>3</w:t>
                  </w:r>
                </w:p>
              </w:tc>
              <w:tc>
                <w:tcPr>
                  <w:tcW w:w="806" w:type="pct"/>
                  <w:vAlign w:val="center"/>
                </w:tcPr>
                <w:p w14:paraId="2137688F">
                  <w:pPr>
                    <w:widowControl/>
                    <w:jc w:val="center"/>
                    <w:rPr>
                      <w:rFonts w:cs="Times New Roman"/>
                      <w:bCs/>
                      <w:kern w:val="0"/>
                      <w:szCs w:val="21"/>
                    </w:rPr>
                  </w:pPr>
                  <w:r>
                    <w:rPr>
                      <w:rFonts w:hint="eastAsia" w:cs="Times New Roman"/>
                      <w:bCs/>
                      <w:kern w:val="0"/>
                      <w:szCs w:val="21"/>
                    </w:rPr>
                    <w:t>0</w:t>
                  </w:r>
                </w:p>
              </w:tc>
              <w:tc>
                <w:tcPr>
                  <w:tcW w:w="802" w:type="pct"/>
                  <w:vAlign w:val="center"/>
                </w:tcPr>
                <w:p w14:paraId="65B2FEA1">
                  <w:pPr>
                    <w:widowControl/>
                    <w:jc w:val="center"/>
                    <w:rPr>
                      <w:rFonts w:cs="Times New Roman"/>
                      <w:bCs/>
                      <w:kern w:val="0"/>
                      <w:szCs w:val="21"/>
                    </w:rPr>
                  </w:pPr>
                  <w:r>
                    <w:rPr>
                      <w:rFonts w:hint="eastAsia" w:cs="Times New Roman"/>
                      <w:bCs/>
                      <w:kern w:val="0"/>
                      <w:szCs w:val="21"/>
                    </w:rPr>
                    <w:t>3</w:t>
                  </w:r>
                </w:p>
              </w:tc>
            </w:tr>
            <w:tr w14:paraId="2AE9A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A8C8B7D">
                  <w:pPr>
                    <w:widowControl/>
                    <w:jc w:val="center"/>
                    <w:rPr>
                      <w:szCs w:val="21"/>
                    </w:rPr>
                  </w:pPr>
                  <w:r>
                    <w:rPr>
                      <w:rFonts w:hint="eastAsia"/>
                      <w:szCs w:val="21"/>
                    </w:rPr>
                    <w:t>9</w:t>
                  </w:r>
                </w:p>
              </w:tc>
              <w:tc>
                <w:tcPr>
                  <w:tcW w:w="1236" w:type="pct"/>
                  <w:shd w:val="clear" w:color="auto" w:fill="auto"/>
                  <w:vAlign w:val="center"/>
                </w:tcPr>
                <w:p w14:paraId="7CD02D1F">
                  <w:pPr>
                    <w:widowControl/>
                    <w:jc w:val="center"/>
                    <w:rPr>
                      <w:szCs w:val="21"/>
                    </w:rPr>
                  </w:pPr>
                  <w:r>
                    <w:rPr>
                      <w:rFonts w:hint="eastAsia"/>
                      <w:szCs w:val="21"/>
                    </w:rPr>
                    <w:t>UV光固机</w:t>
                  </w:r>
                </w:p>
              </w:tc>
              <w:tc>
                <w:tcPr>
                  <w:tcW w:w="806" w:type="pct"/>
                  <w:vAlign w:val="center"/>
                </w:tcPr>
                <w:p w14:paraId="5960020F">
                  <w:pPr>
                    <w:widowControl/>
                    <w:jc w:val="center"/>
                    <w:rPr>
                      <w:rFonts w:cs="Times New Roman"/>
                      <w:bCs/>
                      <w:kern w:val="0"/>
                      <w:szCs w:val="21"/>
                    </w:rPr>
                  </w:pPr>
                  <w:r>
                    <w:rPr>
                      <w:rFonts w:cs="Times New Roman"/>
                      <w:bCs/>
                      <w:kern w:val="0"/>
                      <w:szCs w:val="21"/>
                    </w:rPr>
                    <w:t>台</w:t>
                  </w:r>
                </w:p>
              </w:tc>
              <w:tc>
                <w:tcPr>
                  <w:tcW w:w="806" w:type="pct"/>
                  <w:vAlign w:val="center"/>
                </w:tcPr>
                <w:p w14:paraId="533BE6C5">
                  <w:pPr>
                    <w:widowControl/>
                    <w:jc w:val="center"/>
                    <w:rPr>
                      <w:rFonts w:cs="Times New Roman"/>
                      <w:bCs/>
                      <w:kern w:val="0"/>
                      <w:szCs w:val="21"/>
                    </w:rPr>
                  </w:pPr>
                  <w:r>
                    <w:rPr>
                      <w:rFonts w:hint="eastAsia" w:cs="Times New Roman"/>
                      <w:bCs/>
                      <w:kern w:val="0"/>
                      <w:szCs w:val="21"/>
                    </w:rPr>
                    <w:t>6</w:t>
                  </w:r>
                </w:p>
              </w:tc>
              <w:tc>
                <w:tcPr>
                  <w:tcW w:w="806" w:type="pct"/>
                  <w:vAlign w:val="center"/>
                </w:tcPr>
                <w:p w14:paraId="3C10EDEE">
                  <w:pPr>
                    <w:widowControl/>
                    <w:jc w:val="center"/>
                    <w:rPr>
                      <w:rFonts w:cs="Times New Roman"/>
                      <w:bCs/>
                      <w:kern w:val="0"/>
                      <w:szCs w:val="21"/>
                    </w:rPr>
                  </w:pPr>
                  <w:r>
                    <w:rPr>
                      <w:rFonts w:hint="eastAsia" w:cs="Times New Roman"/>
                      <w:bCs/>
                      <w:kern w:val="0"/>
                      <w:szCs w:val="21"/>
                    </w:rPr>
                    <w:t>0</w:t>
                  </w:r>
                </w:p>
              </w:tc>
              <w:tc>
                <w:tcPr>
                  <w:tcW w:w="802" w:type="pct"/>
                  <w:vAlign w:val="center"/>
                </w:tcPr>
                <w:p w14:paraId="70849F8C">
                  <w:pPr>
                    <w:widowControl/>
                    <w:jc w:val="center"/>
                    <w:rPr>
                      <w:rFonts w:cs="Times New Roman"/>
                      <w:bCs/>
                      <w:kern w:val="0"/>
                      <w:szCs w:val="21"/>
                    </w:rPr>
                  </w:pPr>
                  <w:r>
                    <w:rPr>
                      <w:rFonts w:hint="eastAsia" w:cs="Times New Roman"/>
                      <w:bCs/>
                      <w:kern w:val="0"/>
                      <w:szCs w:val="21"/>
                    </w:rPr>
                    <w:t>6</w:t>
                  </w:r>
                </w:p>
              </w:tc>
            </w:tr>
            <w:tr w14:paraId="6251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29FE994">
                  <w:pPr>
                    <w:widowControl/>
                    <w:jc w:val="center"/>
                    <w:rPr>
                      <w:szCs w:val="21"/>
                    </w:rPr>
                  </w:pPr>
                  <w:r>
                    <w:rPr>
                      <w:rFonts w:hint="eastAsia"/>
                      <w:szCs w:val="21"/>
                    </w:rPr>
                    <w:t>10</w:t>
                  </w:r>
                </w:p>
              </w:tc>
              <w:tc>
                <w:tcPr>
                  <w:tcW w:w="1236" w:type="pct"/>
                  <w:shd w:val="clear" w:color="auto" w:fill="auto"/>
                  <w:vAlign w:val="center"/>
                </w:tcPr>
                <w:p w14:paraId="2BD0C5C8">
                  <w:pPr>
                    <w:widowControl/>
                    <w:jc w:val="center"/>
                    <w:rPr>
                      <w:szCs w:val="21"/>
                    </w:rPr>
                  </w:pPr>
                  <w:r>
                    <w:rPr>
                      <w:rFonts w:hint="eastAsia"/>
                      <w:szCs w:val="21"/>
                    </w:rPr>
                    <w:t>真空镀膜机</w:t>
                  </w:r>
                </w:p>
              </w:tc>
              <w:tc>
                <w:tcPr>
                  <w:tcW w:w="806" w:type="pct"/>
                </w:tcPr>
                <w:p w14:paraId="03405C88">
                  <w:pPr>
                    <w:widowControl/>
                    <w:jc w:val="center"/>
                    <w:rPr>
                      <w:rFonts w:cs="Times New Roman"/>
                      <w:bCs/>
                      <w:kern w:val="0"/>
                      <w:szCs w:val="21"/>
                    </w:rPr>
                  </w:pPr>
                  <w:r>
                    <w:rPr>
                      <w:rFonts w:cs="Times New Roman"/>
                      <w:bCs/>
                      <w:kern w:val="0"/>
                      <w:szCs w:val="21"/>
                    </w:rPr>
                    <w:t>台</w:t>
                  </w:r>
                </w:p>
              </w:tc>
              <w:tc>
                <w:tcPr>
                  <w:tcW w:w="806" w:type="pct"/>
                  <w:vAlign w:val="center"/>
                </w:tcPr>
                <w:p w14:paraId="572A7CD6">
                  <w:pPr>
                    <w:widowControl/>
                    <w:jc w:val="center"/>
                    <w:rPr>
                      <w:rFonts w:cs="Times New Roman"/>
                      <w:bCs/>
                      <w:kern w:val="0"/>
                      <w:szCs w:val="21"/>
                    </w:rPr>
                  </w:pPr>
                  <w:r>
                    <w:rPr>
                      <w:rFonts w:hint="eastAsia" w:cs="Times New Roman"/>
                      <w:bCs/>
                      <w:kern w:val="0"/>
                      <w:szCs w:val="21"/>
                    </w:rPr>
                    <w:t>1</w:t>
                  </w:r>
                </w:p>
              </w:tc>
              <w:tc>
                <w:tcPr>
                  <w:tcW w:w="806" w:type="pct"/>
                  <w:vAlign w:val="center"/>
                </w:tcPr>
                <w:p w14:paraId="1403F6C3">
                  <w:pPr>
                    <w:widowControl/>
                    <w:jc w:val="center"/>
                    <w:rPr>
                      <w:rFonts w:cs="Times New Roman"/>
                      <w:bCs/>
                      <w:kern w:val="0"/>
                      <w:szCs w:val="21"/>
                    </w:rPr>
                  </w:pPr>
                  <w:r>
                    <w:rPr>
                      <w:rFonts w:hint="eastAsia" w:cs="Times New Roman"/>
                      <w:bCs/>
                      <w:kern w:val="0"/>
                      <w:szCs w:val="21"/>
                    </w:rPr>
                    <w:t>0</w:t>
                  </w:r>
                </w:p>
              </w:tc>
              <w:tc>
                <w:tcPr>
                  <w:tcW w:w="802" w:type="pct"/>
                  <w:vAlign w:val="center"/>
                </w:tcPr>
                <w:p w14:paraId="771E5939">
                  <w:pPr>
                    <w:widowControl/>
                    <w:jc w:val="center"/>
                    <w:rPr>
                      <w:rFonts w:cs="Times New Roman"/>
                      <w:bCs/>
                      <w:kern w:val="0"/>
                      <w:szCs w:val="21"/>
                    </w:rPr>
                  </w:pPr>
                  <w:r>
                    <w:rPr>
                      <w:rFonts w:hint="eastAsia" w:cs="Times New Roman"/>
                      <w:bCs/>
                      <w:kern w:val="0"/>
                      <w:szCs w:val="21"/>
                    </w:rPr>
                    <w:t>1</w:t>
                  </w:r>
                </w:p>
              </w:tc>
            </w:tr>
            <w:tr w14:paraId="0239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459B95CA">
                  <w:pPr>
                    <w:widowControl/>
                    <w:jc w:val="center"/>
                    <w:rPr>
                      <w:szCs w:val="21"/>
                    </w:rPr>
                  </w:pPr>
                  <w:r>
                    <w:rPr>
                      <w:rFonts w:hint="eastAsia"/>
                      <w:szCs w:val="21"/>
                    </w:rPr>
                    <w:t>11</w:t>
                  </w:r>
                </w:p>
              </w:tc>
              <w:tc>
                <w:tcPr>
                  <w:tcW w:w="1236" w:type="pct"/>
                  <w:shd w:val="clear" w:color="auto" w:fill="auto"/>
                  <w:vAlign w:val="center"/>
                </w:tcPr>
                <w:p w14:paraId="7CCE2FA9">
                  <w:pPr>
                    <w:widowControl/>
                    <w:jc w:val="center"/>
                    <w:rPr>
                      <w:szCs w:val="21"/>
                    </w:rPr>
                  </w:pPr>
                  <w:r>
                    <w:rPr>
                      <w:rFonts w:hint="eastAsia"/>
                      <w:szCs w:val="21"/>
                    </w:rPr>
                    <w:t>冷风机</w:t>
                  </w:r>
                </w:p>
              </w:tc>
              <w:tc>
                <w:tcPr>
                  <w:tcW w:w="806" w:type="pct"/>
                </w:tcPr>
                <w:p w14:paraId="0D0758F7">
                  <w:pPr>
                    <w:widowControl/>
                    <w:jc w:val="center"/>
                    <w:rPr>
                      <w:rFonts w:cs="Times New Roman"/>
                      <w:bCs/>
                      <w:kern w:val="0"/>
                      <w:szCs w:val="21"/>
                    </w:rPr>
                  </w:pPr>
                  <w:r>
                    <w:rPr>
                      <w:rFonts w:cs="Times New Roman"/>
                      <w:bCs/>
                      <w:kern w:val="0"/>
                      <w:szCs w:val="21"/>
                    </w:rPr>
                    <w:t>台</w:t>
                  </w:r>
                </w:p>
              </w:tc>
              <w:tc>
                <w:tcPr>
                  <w:tcW w:w="806" w:type="pct"/>
                  <w:vAlign w:val="center"/>
                </w:tcPr>
                <w:p w14:paraId="6DECA4DD">
                  <w:pPr>
                    <w:widowControl/>
                    <w:jc w:val="center"/>
                    <w:rPr>
                      <w:rFonts w:cs="Times New Roman"/>
                      <w:bCs/>
                      <w:kern w:val="0"/>
                      <w:szCs w:val="21"/>
                    </w:rPr>
                  </w:pPr>
                  <w:r>
                    <w:rPr>
                      <w:rFonts w:hint="eastAsia" w:cs="Times New Roman"/>
                      <w:bCs/>
                      <w:kern w:val="0"/>
                      <w:szCs w:val="21"/>
                    </w:rPr>
                    <w:t>4</w:t>
                  </w:r>
                </w:p>
              </w:tc>
              <w:tc>
                <w:tcPr>
                  <w:tcW w:w="806" w:type="pct"/>
                  <w:vAlign w:val="center"/>
                </w:tcPr>
                <w:p w14:paraId="2A7DA7C6">
                  <w:pPr>
                    <w:widowControl/>
                    <w:jc w:val="center"/>
                    <w:rPr>
                      <w:rFonts w:cs="Times New Roman"/>
                      <w:bCs/>
                      <w:kern w:val="0"/>
                      <w:szCs w:val="21"/>
                    </w:rPr>
                  </w:pPr>
                  <w:r>
                    <w:rPr>
                      <w:rFonts w:hint="eastAsia" w:cs="Times New Roman"/>
                      <w:bCs/>
                      <w:kern w:val="0"/>
                      <w:szCs w:val="21"/>
                    </w:rPr>
                    <w:t>0</w:t>
                  </w:r>
                </w:p>
              </w:tc>
              <w:tc>
                <w:tcPr>
                  <w:tcW w:w="802" w:type="pct"/>
                  <w:vAlign w:val="center"/>
                </w:tcPr>
                <w:p w14:paraId="319A2994">
                  <w:pPr>
                    <w:widowControl/>
                    <w:jc w:val="center"/>
                    <w:rPr>
                      <w:rFonts w:cs="Times New Roman"/>
                      <w:bCs/>
                      <w:kern w:val="0"/>
                      <w:szCs w:val="21"/>
                    </w:rPr>
                  </w:pPr>
                  <w:r>
                    <w:rPr>
                      <w:rFonts w:hint="eastAsia" w:cs="Times New Roman"/>
                      <w:bCs/>
                      <w:kern w:val="0"/>
                      <w:szCs w:val="21"/>
                    </w:rPr>
                    <w:t>4</w:t>
                  </w:r>
                </w:p>
              </w:tc>
            </w:tr>
            <w:tr w14:paraId="4BDA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2050C5A1">
                  <w:pPr>
                    <w:widowControl/>
                    <w:jc w:val="center"/>
                    <w:rPr>
                      <w:szCs w:val="21"/>
                    </w:rPr>
                  </w:pPr>
                  <w:r>
                    <w:rPr>
                      <w:rFonts w:hint="eastAsia"/>
                      <w:szCs w:val="21"/>
                    </w:rPr>
                    <w:t>12</w:t>
                  </w:r>
                </w:p>
              </w:tc>
              <w:tc>
                <w:tcPr>
                  <w:tcW w:w="1236" w:type="pct"/>
                  <w:shd w:val="clear" w:color="auto" w:fill="auto"/>
                  <w:vAlign w:val="center"/>
                </w:tcPr>
                <w:p w14:paraId="55BA869B">
                  <w:pPr>
                    <w:widowControl/>
                    <w:jc w:val="center"/>
                    <w:rPr>
                      <w:szCs w:val="21"/>
                    </w:rPr>
                  </w:pPr>
                  <w:r>
                    <w:rPr>
                      <w:rFonts w:hint="eastAsia"/>
                      <w:szCs w:val="21"/>
                    </w:rPr>
                    <w:t>干燥机</w:t>
                  </w:r>
                </w:p>
              </w:tc>
              <w:tc>
                <w:tcPr>
                  <w:tcW w:w="806" w:type="pct"/>
                </w:tcPr>
                <w:p w14:paraId="6FCACF55">
                  <w:pPr>
                    <w:widowControl/>
                    <w:jc w:val="center"/>
                    <w:rPr>
                      <w:rFonts w:cs="Times New Roman"/>
                      <w:bCs/>
                      <w:kern w:val="0"/>
                      <w:szCs w:val="21"/>
                    </w:rPr>
                  </w:pPr>
                  <w:r>
                    <w:rPr>
                      <w:rFonts w:cs="Times New Roman"/>
                      <w:bCs/>
                      <w:kern w:val="0"/>
                      <w:szCs w:val="21"/>
                    </w:rPr>
                    <w:t>台</w:t>
                  </w:r>
                </w:p>
              </w:tc>
              <w:tc>
                <w:tcPr>
                  <w:tcW w:w="806" w:type="pct"/>
                  <w:vAlign w:val="center"/>
                </w:tcPr>
                <w:p w14:paraId="5280E6B7">
                  <w:pPr>
                    <w:widowControl/>
                    <w:jc w:val="center"/>
                    <w:rPr>
                      <w:rFonts w:cs="Times New Roman"/>
                      <w:bCs/>
                      <w:kern w:val="0"/>
                      <w:szCs w:val="21"/>
                    </w:rPr>
                  </w:pPr>
                  <w:r>
                    <w:rPr>
                      <w:rFonts w:hint="eastAsia" w:cs="Times New Roman"/>
                      <w:bCs/>
                      <w:kern w:val="0"/>
                      <w:szCs w:val="21"/>
                    </w:rPr>
                    <w:t>4</w:t>
                  </w:r>
                </w:p>
              </w:tc>
              <w:tc>
                <w:tcPr>
                  <w:tcW w:w="806" w:type="pct"/>
                  <w:vAlign w:val="center"/>
                </w:tcPr>
                <w:p w14:paraId="361FD79E">
                  <w:pPr>
                    <w:widowControl/>
                    <w:jc w:val="center"/>
                    <w:rPr>
                      <w:rFonts w:cs="Times New Roman"/>
                      <w:bCs/>
                      <w:kern w:val="0"/>
                      <w:szCs w:val="21"/>
                    </w:rPr>
                  </w:pPr>
                  <w:r>
                    <w:rPr>
                      <w:rFonts w:hint="eastAsia" w:cs="Times New Roman"/>
                      <w:bCs/>
                      <w:kern w:val="0"/>
                      <w:szCs w:val="21"/>
                    </w:rPr>
                    <w:t>0</w:t>
                  </w:r>
                </w:p>
              </w:tc>
              <w:tc>
                <w:tcPr>
                  <w:tcW w:w="802" w:type="pct"/>
                  <w:vAlign w:val="center"/>
                </w:tcPr>
                <w:p w14:paraId="7E9F99C4">
                  <w:pPr>
                    <w:widowControl/>
                    <w:jc w:val="center"/>
                    <w:rPr>
                      <w:rFonts w:cs="Times New Roman"/>
                      <w:bCs/>
                      <w:kern w:val="0"/>
                      <w:szCs w:val="21"/>
                    </w:rPr>
                  </w:pPr>
                  <w:r>
                    <w:rPr>
                      <w:rFonts w:hint="eastAsia" w:cs="Times New Roman"/>
                      <w:bCs/>
                      <w:kern w:val="0"/>
                      <w:szCs w:val="21"/>
                    </w:rPr>
                    <w:t>4</w:t>
                  </w:r>
                </w:p>
              </w:tc>
            </w:tr>
            <w:tr w14:paraId="55D1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58109978">
                  <w:pPr>
                    <w:widowControl/>
                    <w:jc w:val="center"/>
                    <w:rPr>
                      <w:szCs w:val="21"/>
                    </w:rPr>
                  </w:pPr>
                  <w:r>
                    <w:rPr>
                      <w:rFonts w:hint="eastAsia"/>
                      <w:szCs w:val="21"/>
                    </w:rPr>
                    <w:t>13</w:t>
                  </w:r>
                </w:p>
              </w:tc>
              <w:tc>
                <w:tcPr>
                  <w:tcW w:w="1236" w:type="pct"/>
                  <w:shd w:val="clear" w:color="auto" w:fill="auto"/>
                  <w:vAlign w:val="center"/>
                </w:tcPr>
                <w:p w14:paraId="0FDC6B56">
                  <w:pPr>
                    <w:widowControl/>
                    <w:jc w:val="center"/>
                    <w:rPr>
                      <w:szCs w:val="21"/>
                    </w:rPr>
                  </w:pPr>
                  <w:r>
                    <w:rPr>
                      <w:rFonts w:hint="eastAsia"/>
                      <w:szCs w:val="21"/>
                    </w:rPr>
                    <w:t>镭雕机</w:t>
                  </w:r>
                </w:p>
              </w:tc>
              <w:tc>
                <w:tcPr>
                  <w:tcW w:w="806" w:type="pct"/>
                </w:tcPr>
                <w:p w14:paraId="160E7472">
                  <w:pPr>
                    <w:widowControl/>
                    <w:jc w:val="center"/>
                    <w:rPr>
                      <w:rFonts w:cs="Times New Roman"/>
                      <w:bCs/>
                      <w:kern w:val="0"/>
                      <w:szCs w:val="21"/>
                    </w:rPr>
                  </w:pPr>
                  <w:r>
                    <w:rPr>
                      <w:rFonts w:cs="Times New Roman"/>
                      <w:bCs/>
                      <w:kern w:val="0"/>
                      <w:szCs w:val="21"/>
                    </w:rPr>
                    <w:t>台</w:t>
                  </w:r>
                </w:p>
              </w:tc>
              <w:tc>
                <w:tcPr>
                  <w:tcW w:w="806" w:type="pct"/>
                  <w:vAlign w:val="center"/>
                </w:tcPr>
                <w:p w14:paraId="439607B7">
                  <w:pPr>
                    <w:widowControl/>
                    <w:jc w:val="center"/>
                    <w:rPr>
                      <w:rFonts w:cs="Times New Roman"/>
                      <w:bCs/>
                      <w:kern w:val="0"/>
                      <w:szCs w:val="21"/>
                    </w:rPr>
                  </w:pPr>
                  <w:r>
                    <w:rPr>
                      <w:rFonts w:hint="eastAsia" w:cs="Times New Roman"/>
                      <w:bCs/>
                      <w:kern w:val="0"/>
                      <w:szCs w:val="21"/>
                    </w:rPr>
                    <w:t>4</w:t>
                  </w:r>
                </w:p>
              </w:tc>
              <w:tc>
                <w:tcPr>
                  <w:tcW w:w="806" w:type="pct"/>
                  <w:vAlign w:val="center"/>
                </w:tcPr>
                <w:p w14:paraId="6DB2CA33">
                  <w:pPr>
                    <w:widowControl/>
                    <w:jc w:val="center"/>
                    <w:rPr>
                      <w:rFonts w:cs="Times New Roman"/>
                      <w:bCs/>
                      <w:kern w:val="0"/>
                      <w:szCs w:val="21"/>
                    </w:rPr>
                  </w:pPr>
                  <w:r>
                    <w:rPr>
                      <w:rFonts w:hint="eastAsia" w:cs="Times New Roman"/>
                      <w:bCs/>
                      <w:kern w:val="0"/>
                      <w:szCs w:val="21"/>
                    </w:rPr>
                    <w:t>0</w:t>
                  </w:r>
                </w:p>
              </w:tc>
              <w:tc>
                <w:tcPr>
                  <w:tcW w:w="802" w:type="pct"/>
                  <w:vAlign w:val="center"/>
                </w:tcPr>
                <w:p w14:paraId="7F03F4BE">
                  <w:pPr>
                    <w:widowControl/>
                    <w:jc w:val="center"/>
                    <w:rPr>
                      <w:rFonts w:cs="Times New Roman"/>
                      <w:bCs/>
                      <w:kern w:val="0"/>
                      <w:szCs w:val="21"/>
                    </w:rPr>
                  </w:pPr>
                  <w:r>
                    <w:rPr>
                      <w:rFonts w:hint="eastAsia" w:cs="Times New Roman"/>
                      <w:bCs/>
                      <w:kern w:val="0"/>
                      <w:szCs w:val="21"/>
                    </w:rPr>
                    <w:t>4</w:t>
                  </w:r>
                </w:p>
              </w:tc>
            </w:tr>
            <w:tr w14:paraId="4746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3657180">
                  <w:pPr>
                    <w:widowControl/>
                    <w:jc w:val="center"/>
                    <w:rPr>
                      <w:szCs w:val="21"/>
                    </w:rPr>
                  </w:pPr>
                  <w:r>
                    <w:rPr>
                      <w:rFonts w:hint="eastAsia"/>
                      <w:szCs w:val="21"/>
                    </w:rPr>
                    <w:t>14</w:t>
                  </w:r>
                </w:p>
              </w:tc>
              <w:tc>
                <w:tcPr>
                  <w:tcW w:w="1236" w:type="pct"/>
                  <w:shd w:val="clear" w:color="auto" w:fill="auto"/>
                  <w:vAlign w:val="center"/>
                </w:tcPr>
                <w:p w14:paraId="15C028F9">
                  <w:pPr>
                    <w:widowControl/>
                    <w:jc w:val="center"/>
                    <w:rPr>
                      <w:szCs w:val="21"/>
                    </w:rPr>
                  </w:pPr>
                  <w:r>
                    <w:rPr>
                      <w:rFonts w:hint="eastAsia"/>
                      <w:szCs w:val="21"/>
                    </w:rPr>
                    <w:t>喷砂机组</w:t>
                  </w:r>
                </w:p>
              </w:tc>
              <w:tc>
                <w:tcPr>
                  <w:tcW w:w="806" w:type="pct"/>
                </w:tcPr>
                <w:p w14:paraId="07F09A79">
                  <w:pPr>
                    <w:widowControl/>
                    <w:jc w:val="center"/>
                    <w:rPr>
                      <w:rFonts w:cs="Times New Roman"/>
                      <w:bCs/>
                      <w:kern w:val="0"/>
                      <w:szCs w:val="21"/>
                    </w:rPr>
                  </w:pPr>
                  <w:r>
                    <w:rPr>
                      <w:rFonts w:cs="Times New Roman"/>
                      <w:bCs/>
                      <w:kern w:val="0"/>
                      <w:szCs w:val="21"/>
                    </w:rPr>
                    <w:t>台</w:t>
                  </w:r>
                </w:p>
              </w:tc>
              <w:tc>
                <w:tcPr>
                  <w:tcW w:w="806" w:type="pct"/>
                  <w:vAlign w:val="center"/>
                </w:tcPr>
                <w:p w14:paraId="3462C868">
                  <w:pPr>
                    <w:widowControl/>
                    <w:jc w:val="center"/>
                    <w:rPr>
                      <w:rFonts w:cs="Times New Roman"/>
                      <w:bCs/>
                      <w:kern w:val="0"/>
                      <w:szCs w:val="21"/>
                    </w:rPr>
                  </w:pPr>
                  <w:r>
                    <w:rPr>
                      <w:rFonts w:hint="eastAsia" w:cs="Times New Roman"/>
                      <w:bCs/>
                      <w:kern w:val="0"/>
                      <w:szCs w:val="21"/>
                    </w:rPr>
                    <w:t>1</w:t>
                  </w:r>
                </w:p>
              </w:tc>
              <w:tc>
                <w:tcPr>
                  <w:tcW w:w="806" w:type="pct"/>
                  <w:vAlign w:val="center"/>
                </w:tcPr>
                <w:p w14:paraId="4CAF1D50">
                  <w:pPr>
                    <w:widowControl/>
                    <w:jc w:val="center"/>
                    <w:rPr>
                      <w:rFonts w:cs="Times New Roman"/>
                      <w:bCs/>
                      <w:kern w:val="0"/>
                      <w:szCs w:val="21"/>
                    </w:rPr>
                  </w:pPr>
                  <w:r>
                    <w:rPr>
                      <w:rFonts w:hint="eastAsia" w:cs="Times New Roman"/>
                      <w:bCs/>
                      <w:kern w:val="0"/>
                      <w:szCs w:val="21"/>
                    </w:rPr>
                    <w:t>0</w:t>
                  </w:r>
                </w:p>
              </w:tc>
              <w:tc>
                <w:tcPr>
                  <w:tcW w:w="802" w:type="pct"/>
                  <w:vAlign w:val="center"/>
                </w:tcPr>
                <w:p w14:paraId="7504769A">
                  <w:pPr>
                    <w:widowControl/>
                    <w:jc w:val="center"/>
                    <w:rPr>
                      <w:rFonts w:cs="Times New Roman"/>
                      <w:bCs/>
                      <w:kern w:val="0"/>
                      <w:szCs w:val="21"/>
                    </w:rPr>
                  </w:pPr>
                  <w:r>
                    <w:rPr>
                      <w:rFonts w:hint="eastAsia" w:cs="Times New Roman"/>
                      <w:bCs/>
                      <w:kern w:val="0"/>
                      <w:szCs w:val="21"/>
                    </w:rPr>
                    <w:t>1</w:t>
                  </w:r>
                </w:p>
              </w:tc>
            </w:tr>
          </w:tbl>
          <w:p w14:paraId="0F885B6C">
            <w:pPr>
              <w:spacing w:line="360" w:lineRule="auto"/>
              <w:ind w:firstLine="422" w:firstLineChars="200"/>
              <w:rPr>
                <w:rFonts w:cs="Times New Roman"/>
                <w:b/>
                <w:szCs w:val="21"/>
              </w:rPr>
            </w:pPr>
            <w:r>
              <w:rPr>
                <w:rFonts w:cs="Times New Roman"/>
                <w:b/>
                <w:szCs w:val="21"/>
              </w:rPr>
              <w:t>7</w:t>
            </w:r>
            <w:r>
              <w:rPr>
                <w:rFonts w:hint="eastAsia" w:cs="Times New Roman"/>
                <w:b/>
                <w:szCs w:val="21"/>
              </w:rPr>
              <w:t>、</w:t>
            </w:r>
            <w:r>
              <w:rPr>
                <w:rFonts w:cs="Times New Roman"/>
                <w:b/>
                <w:szCs w:val="21"/>
              </w:rPr>
              <w:t>主要</w:t>
            </w:r>
            <w:r>
              <w:rPr>
                <w:rFonts w:hint="eastAsia" w:cs="Times New Roman"/>
                <w:b/>
                <w:szCs w:val="21"/>
              </w:rPr>
              <w:t>原辅材料</w:t>
            </w:r>
            <w:r>
              <w:rPr>
                <w:rFonts w:cs="Times New Roman"/>
                <w:b/>
                <w:szCs w:val="21"/>
              </w:rPr>
              <w:t>及</w:t>
            </w:r>
            <w:r>
              <w:rPr>
                <w:rFonts w:hint="eastAsia" w:cs="Times New Roman"/>
                <w:b/>
                <w:szCs w:val="21"/>
              </w:rPr>
              <w:t>能耗</w:t>
            </w:r>
          </w:p>
          <w:p w14:paraId="6DDA408D">
            <w:pPr>
              <w:spacing w:line="360" w:lineRule="auto"/>
              <w:ind w:firstLine="480" w:firstLineChars="200"/>
              <w:rPr>
                <w:kern w:val="24"/>
                <w:sz w:val="24"/>
                <w:szCs w:val="24"/>
              </w:rPr>
            </w:pPr>
            <w:r>
              <w:rPr>
                <w:rFonts w:hint="eastAsia"/>
                <w:kern w:val="24"/>
                <w:sz w:val="24"/>
                <w:szCs w:val="24"/>
              </w:rPr>
              <w:t>项目主要原辅材料及能耗见下表。</w:t>
            </w:r>
          </w:p>
          <w:p w14:paraId="049AF74F">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扩建项目新增原辅材料及能耗</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3"/>
              <w:gridCol w:w="1522"/>
              <w:gridCol w:w="1919"/>
              <w:gridCol w:w="1048"/>
              <w:gridCol w:w="1266"/>
              <w:gridCol w:w="1129"/>
              <w:gridCol w:w="1220"/>
            </w:tblGrid>
            <w:tr w14:paraId="74E0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70" w:type="pct"/>
                  <w:vAlign w:val="center"/>
                </w:tcPr>
                <w:p w14:paraId="0405C6B7">
                  <w:pPr>
                    <w:pStyle w:val="31"/>
                  </w:pPr>
                  <w:r>
                    <w:t>类型</w:t>
                  </w:r>
                </w:p>
              </w:tc>
              <w:tc>
                <w:tcPr>
                  <w:tcW w:w="832" w:type="pct"/>
                  <w:vAlign w:val="center"/>
                </w:tcPr>
                <w:p w14:paraId="6CA4FC92">
                  <w:pPr>
                    <w:pStyle w:val="31"/>
                  </w:pPr>
                  <w:r>
                    <w:t>名称</w:t>
                  </w:r>
                </w:p>
              </w:tc>
              <w:tc>
                <w:tcPr>
                  <w:tcW w:w="1049" w:type="pct"/>
                </w:tcPr>
                <w:p w14:paraId="107A5FAF">
                  <w:pPr>
                    <w:pStyle w:val="31"/>
                  </w:pPr>
                  <w:r>
                    <w:t>成分</w:t>
                  </w:r>
                </w:p>
              </w:tc>
              <w:tc>
                <w:tcPr>
                  <w:tcW w:w="573" w:type="pct"/>
                  <w:vAlign w:val="center"/>
                </w:tcPr>
                <w:p w14:paraId="6819FA15">
                  <w:pPr>
                    <w:pStyle w:val="31"/>
                  </w:pPr>
                  <w:r>
                    <w:t>单位</w:t>
                  </w:r>
                </w:p>
              </w:tc>
              <w:tc>
                <w:tcPr>
                  <w:tcW w:w="692" w:type="pct"/>
                  <w:vAlign w:val="center"/>
                </w:tcPr>
                <w:p w14:paraId="479BECE4">
                  <w:pPr>
                    <w:pStyle w:val="31"/>
                  </w:pPr>
                  <w:r>
                    <w:t>年用量</w:t>
                  </w:r>
                </w:p>
              </w:tc>
              <w:tc>
                <w:tcPr>
                  <w:tcW w:w="617" w:type="pct"/>
                  <w:vAlign w:val="center"/>
                </w:tcPr>
                <w:p w14:paraId="43DBCAEF">
                  <w:pPr>
                    <w:pStyle w:val="31"/>
                  </w:pPr>
                  <w:r>
                    <w:t>来源</w:t>
                  </w:r>
                </w:p>
              </w:tc>
              <w:tc>
                <w:tcPr>
                  <w:tcW w:w="667" w:type="pct"/>
                  <w:vAlign w:val="center"/>
                </w:tcPr>
                <w:p w14:paraId="62050013">
                  <w:pPr>
                    <w:pStyle w:val="31"/>
                  </w:pPr>
                  <w:r>
                    <w:rPr>
                      <w:rFonts w:hint="eastAsia"/>
                    </w:rPr>
                    <w:t>备注</w:t>
                  </w:r>
                </w:p>
              </w:tc>
            </w:tr>
            <w:tr w14:paraId="68A1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restart"/>
                  <w:vAlign w:val="center"/>
                </w:tcPr>
                <w:p w14:paraId="6CC582B7">
                  <w:pPr>
                    <w:pStyle w:val="31"/>
                  </w:pPr>
                  <w:r>
                    <w:t>主</w:t>
                  </w:r>
                </w:p>
                <w:p w14:paraId="7034A8EE">
                  <w:pPr>
                    <w:pStyle w:val="31"/>
                  </w:pPr>
                  <w:r>
                    <w:rPr>
                      <w:rFonts w:hint="eastAsia"/>
                    </w:rPr>
                    <w:t>（</w:t>
                  </w:r>
                  <w:r>
                    <w:t>辅</w:t>
                  </w:r>
                  <w:r>
                    <w:rPr>
                      <w:rFonts w:hint="eastAsia"/>
                    </w:rPr>
                    <w:t>）</w:t>
                  </w:r>
                </w:p>
                <w:p w14:paraId="2F419571">
                  <w:pPr>
                    <w:pStyle w:val="31"/>
                  </w:pPr>
                  <w:r>
                    <w:t>料</w:t>
                  </w:r>
                </w:p>
              </w:tc>
              <w:tc>
                <w:tcPr>
                  <w:tcW w:w="832" w:type="pct"/>
                  <w:vAlign w:val="center"/>
                </w:tcPr>
                <w:p w14:paraId="020EE7F2">
                  <w:pPr>
                    <w:pStyle w:val="31"/>
                  </w:pPr>
                  <w:r>
                    <w:rPr>
                      <w:rFonts w:hint="eastAsia"/>
                    </w:rPr>
                    <w:t>ABS</w:t>
                  </w:r>
                  <w:r>
                    <w:t>塑料</w:t>
                  </w:r>
                </w:p>
              </w:tc>
              <w:tc>
                <w:tcPr>
                  <w:tcW w:w="1049" w:type="pct"/>
                </w:tcPr>
                <w:p w14:paraId="10E4E4DE">
                  <w:pPr>
                    <w:pStyle w:val="31"/>
                  </w:pPr>
                  <w:r>
                    <w:rPr>
                      <w:rFonts w:hint="eastAsia"/>
                    </w:rPr>
                    <w:t>ABS、乙撑双硬脂酰胺、其他添加剂</w:t>
                  </w:r>
                </w:p>
              </w:tc>
              <w:tc>
                <w:tcPr>
                  <w:tcW w:w="573" w:type="pct"/>
                  <w:vAlign w:val="center"/>
                </w:tcPr>
                <w:p w14:paraId="285DDEC9">
                  <w:pPr>
                    <w:pStyle w:val="31"/>
                  </w:pPr>
                  <w:r>
                    <w:rPr>
                      <w:rFonts w:hint="eastAsia"/>
                    </w:rPr>
                    <w:t>t</w:t>
                  </w:r>
                </w:p>
              </w:tc>
              <w:tc>
                <w:tcPr>
                  <w:tcW w:w="692" w:type="pct"/>
                  <w:vAlign w:val="center"/>
                </w:tcPr>
                <w:p w14:paraId="3438968B">
                  <w:pPr>
                    <w:pStyle w:val="31"/>
                  </w:pPr>
                  <w:r>
                    <w:t>1658.064</w:t>
                  </w:r>
                </w:p>
              </w:tc>
              <w:tc>
                <w:tcPr>
                  <w:tcW w:w="617" w:type="pct"/>
                  <w:vAlign w:val="center"/>
                </w:tcPr>
                <w:p w14:paraId="79F41DF2">
                  <w:pPr>
                    <w:pStyle w:val="31"/>
                  </w:pPr>
                  <w:r>
                    <w:t>外购</w:t>
                  </w:r>
                </w:p>
              </w:tc>
              <w:tc>
                <w:tcPr>
                  <w:tcW w:w="667" w:type="pct"/>
                  <w:vAlign w:val="center"/>
                </w:tcPr>
                <w:p w14:paraId="252DC9BF">
                  <w:pPr>
                    <w:pStyle w:val="31"/>
                  </w:pPr>
                  <w:r>
                    <w:t>原料</w:t>
                  </w:r>
                </w:p>
              </w:tc>
            </w:tr>
            <w:tr w14:paraId="6A465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3E139736">
                  <w:pPr>
                    <w:pStyle w:val="31"/>
                  </w:pPr>
                </w:p>
              </w:tc>
              <w:tc>
                <w:tcPr>
                  <w:tcW w:w="832" w:type="pct"/>
                  <w:vAlign w:val="center"/>
                </w:tcPr>
                <w:p w14:paraId="109CBFB9">
                  <w:pPr>
                    <w:pStyle w:val="31"/>
                  </w:pPr>
                  <w:r>
                    <w:rPr>
                      <w:rFonts w:hint="eastAsia"/>
                    </w:rPr>
                    <w:t>模具</w:t>
                  </w:r>
                </w:p>
              </w:tc>
              <w:tc>
                <w:tcPr>
                  <w:tcW w:w="1049" w:type="pct"/>
                </w:tcPr>
                <w:p w14:paraId="6873CC29">
                  <w:pPr>
                    <w:pStyle w:val="31"/>
                  </w:pPr>
                  <w:r>
                    <w:rPr>
                      <w:rFonts w:hint="eastAsia"/>
                    </w:rPr>
                    <w:t>钢</w:t>
                  </w:r>
                </w:p>
              </w:tc>
              <w:tc>
                <w:tcPr>
                  <w:tcW w:w="573" w:type="pct"/>
                  <w:vAlign w:val="center"/>
                </w:tcPr>
                <w:p w14:paraId="3D6C2453">
                  <w:pPr>
                    <w:pStyle w:val="31"/>
                  </w:pPr>
                  <w:r>
                    <w:rPr>
                      <w:rFonts w:hint="eastAsia"/>
                    </w:rPr>
                    <w:t>套</w:t>
                  </w:r>
                </w:p>
              </w:tc>
              <w:tc>
                <w:tcPr>
                  <w:tcW w:w="692" w:type="pct"/>
                  <w:vAlign w:val="center"/>
                </w:tcPr>
                <w:p w14:paraId="78BA5F69">
                  <w:pPr>
                    <w:pStyle w:val="31"/>
                  </w:pPr>
                  <w:r>
                    <w:rPr>
                      <w:rFonts w:hint="eastAsia"/>
                    </w:rPr>
                    <w:t>100</w:t>
                  </w:r>
                </w:p>
              </w:tc>
              <w:tc>
                <w:tcPr>
                  <w:tcW w:w="617" w:type="pct"/>
                  <w:vAlign w:val="center"/>
                </w:tcPr>
                <w:p w14:paraId="20EB487E">
                  <w:pPr>
                    <w:pStyle w:val="31"/>
                  </w:pPr>
                  <w:r>
                    <w:t>外购</w:t>
                  </w:r>
                </w:p>
              </w:tc>
              <w:tc>
                <w:tcPr>
                  <w:tcW w:w="667" w:type="pct"/>
                  <w:vAlign w:val="center"/>
                </w:tcPr>
                <w:p w14:paraId="7D48BB4C">
                  <w:pPr>
                    <w:pStyle w:val="31"/>
                  </w:pPr>
                  <w:r>
                    <w:rPr>
                      <w:rFonts w:hint="eastAsia"/>
                    </w:rPr>
                    <w:t>注塑成型</w:t>
                  </w:r>
                </w:p>
              </w:tc>
            </w:tr>
            <w:tr w14:paraId="3BDD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55236D1C">
                  <w:pPr>
                    <w:pStyle w:val="31"/>
                  </w:pPr>
                </w:p>
              </w:tc>
              <w:tc>
                <w:tcPr>
                  <w:tcW w:w="832" w:type="pct"/>
                  <w:vAlign w:val="center"/>
                </w:tcPr>
                <w:p w14:paraId="4B1DBE1D">
                  <w:pPr>
                    <w:pStyle w:val="31"/>
                  </w:pPr>
                  <w:r>
                    <w:rPr>
                      <w:rFonts w:hint="eastAsia"/>
                    </w:rPr>
                    <w:t>UV油墨</w:t>
                  </w:r>
                </w:p>
              </w:tc>
              <w:tc>
                <w:tcPr>
                  <w:tcW w:w="1049" w:type="pct"/>
                </w:tcPr>
                <w:p w14:paraId="4F132A70">
                  <w:pPr>
                    <w:pStyle w:val="31"/>
                  </w:pPr>
                  <w:r>
                    <w:rPr>
                      <w:rFonts w:hint="eastAsia"/>
                    </w:rPr>
                    <w:t>水基光固化树脂、光引发剂、颜料等</w:t>
                  </w:r>
                </w:p>
              </w:tc>
              <w:tc>
                <w:tcPr>
                  <w:tcW w:w="573" w:type="pct"/>
                  <w:vAlign w:val="center"/>
                </w:tcPr>
                <w:p w14:paraId="6D01C095">
                  <w:pPr>
                    <w:pStyle w:val="31"/>
                  </w:pPr>
                  <w:r>
                    <w:rPr>
                      <w:rFonts w:hint="eastAsia"/>
                    </w:rPr>
                    <w:t>t</w:t>
                  </w:r>
                </w:p>
              </w:tc>
              <w:tc>
                <w:tcPr>
                  <w:tcW w:w="692" w:type="pct"/>
                  <w:vAlign w:val="center"/>
                </w:tcPr>
                <w:p w14:paraId="77460FC2">
                  <w:pPr>
                    <w:pStyle w:val="31"/>
                  </w:pPr>
                  <w:r>
                    <w:rPr>
                      <w:rFonts w:hint="eastAsia"/>
                    </w:rPr>
                    <w:t>0.5</w:t>
                  </w:r>
                </w:p>
              </w:tc>
              <w:tc>
                <w:tcPr>
                  <w:tcW w:w="617" w:type="pct"/>
                  <w:vAlign w:val="center"/>
                </w:tcPr>
                <w:p w14:paraId="55D77A97">
                  <w:pPr>
                    <w:pStyle w:val="31"/>
                  </w:pPr>
                  <w:r>
                    <w:t>外购</w:t>
                  </w:r>
                </w:p>
              </w:tc>
              <w:tc>
                <w:tcPr>
                  <w:tcW w:w="667" w:type="pct"/>
                  <w:vAlign w:val="center"/>
                </w:tcPr>
                <w:p w14:paraId="4686C919">
                  <w:pPr>
                    <w:pStyle w:val="31"/>
                  </w:pPr>
                  <w:r>
                    <w:rPr>
                      <w:rFonts w:hint="eastAsia"/>
                    </w:rPr>
                    <w:t>丝印/转印</w:t>
                  </w:r>
                </w:p>
              </w:tc>
            </w:tr>
            <w:tr w14:paraId="6A420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0F81437D">
                  <w:pPr>
                    <w:pStyle w:val="31"/>
                  </w:pPr>
                </w:p>
              </w:tc>
              <w:tc>
                <w:tcPr>
                  <w:tcW w:w="832" w:type="pct"/>
                  <w:vAlign w:val="center"/>
                </w:tcPr>
                <w:p w14:paraId="6D06D5FE">
                  <w:pPr>
                    <w:pStyle w:val="31"/>
                  </w:pPr>
                  <w:r>
                    <w:rPr>
                      <w:rFonts w:hint="eastAsia"/>
                    </w:rPr>
                    <w:t>网版</w:t>
                  </w:r>
                </w:p>
              </w:tc>
              <w:tc>
                <w:tcPr>
                  <w:tcW w:w="1049" w:type="pct"/>
                  <w:vAlign w:val="center"/>
                </w:tcPr>
                <w:p w14:paraId="3A4C6B55">
                  <w:pPr>
                    <w:pStyle w:val="31"/>
                  </w:pPr>
                  <w:r>
                    <w:rPr>
                      <w:rFonts w:hint="eastAsia"/>
                    </w:rPr>
                    <w:t>/</w:t>
                  </w:r>
                </w:p>
              </w:tc>
              <w:tc>
                <w:tcPr>
                  <w:tcW w:w="573" w:type="pct"/>
                  <w:vAlign w:val="center"/>
                </w:tcPr>
                <w:p w14:paraId="20BE71AD">
                  <w:pPr>
                    <w:pStyle w:val="31"/>
                  </w:pPr>
                  <w:r>
                    <w:rPr>
                      <w:rFonts w:hint="eastAsia"/>
                    </w:rPr>
                    <w:t>个</w:t>
                  </w:r>
                </w:p>
              </w:tc>
              <w:tc>
                <w:tcPr>
                  <w:tcW w:w="692" w:type="pct"/>
                  <w:vAlign w:val="center"/>
                </w:tcPr>
                <w:p w14:paraId="451BAC80">
                  <w:pPr>
                    <w:pStyle w:val="31"/>
                  </w:pPr>
                  <w:r>
                    <w:rPr>
                      <w:rFonts w:hint="eastAsia"/>
                    </w:rPr>
                    <w:t>1200</w:t>
                  </w:r>
                </w:p>
              </w:tc>
              <w:tc>
                <w:tcPr>
                  <w:tcW w:w="617" w:type="pct"/>
                  <w:vAlign w:val="center"/>
                </w:tcPr>
                <w:p w14:paraId="51B57C3F">
                  <w:pPr>
                    <w:pStyle w:val="31"/>
                  </w:pPr>
                  <w:r>
                    <w:t>外购</w:t>
                  </w:r>
                </w:p>
              </w:tc>
              <w:tc>
                <w:tcPr>
                  <w:tcW w:w="667" w:type="pct"/>
                  <w:vAlign w:val="center"/>
                </w:tcPr>
                <w:p w14:paraId="3A6C5D3F">
                  <w:pPr>
                    <w:pStyle w:val="31"/>
                  </w:pPr>
                  <w:r>
                    <w:rPr>
                      <w:rFonts w:hint="eastAsia"/>
                    </w:rPr>
                    <w:t>丝印/转印</w:t>
                  </w:r>
                </w:p>
              </w:tc>
            </w:tr>
            <w:tr w14:paraId="5236D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12CEF591">
                  <w:pPr>
                    <w:pStyle w:val="31"/>
                  </w:pPr>
                </w:p>
              </w:tc>
              <w:tc>
                <w:tcPr>
                  <w:tcW w:w="832" w:type="pct"/>
                  <w:vAlign w:val="center"/>
                </w:tcPr>
                <w:p w14:paraId="28AF6EEE">
                  <w:pPr>
                    <w:pStyle w:val="31"/>
                  </w:pPr>
                  <w:r>
                    <w:rPr>
                      <w:rFonts w:hint="eastAsia"/>
                    </w:rPr>
                    <w:t>电化铝箔</w:t>
                  </w:r>
                </w:p>
              </w:tc>
              <w:tc>
                <w:tcPr>
                  <w:tcW w:w="1049" w:type="pct"/>
                </w:tcPr>
                <w:p w14:paraId="6D3F5D3A">
                  <w:pPr>
                    <w:pStyle w:val="31"/>
                  </w:pPr>
                  <w:r>
                    <w:rPr>
                      <w:rFonts w:hint="eastAsia"/>
                    </w:rPr>
                    <w:t>铝</w:t>
                  </w:r>
                </w:p>
              </w:tc>
              <w:tc>
                <w:tcPr>
                  <w:tcW w:w="573" w:type="pct"/>
                  <w:vAlign w:val="center"/>
                </w:tcPr>
                <w:p w14:paraId="17B0EEE8">
                  <w:pPr>
                    <w:pStyle w:val="31"/>
                  </w:pPr>
                  <w:r>
                    <w:rPr>
                      <w:rFonts w:hint="eastAsia"/>
                    </w:rPr>
                    <w:t>t</w:t>
                  </w:r>
                </w:p>
              </w:tc>
              <w:tc>
                <w:tcPr>
                  <w:tcW w:w="692" w:type="pct"/>
                  <w:vAlign w:val="center"/>
                </w:tcPr>
                <w:p w14:paraId="79C9F82B">
                  <w:pPr>
                    <w:pStyle w:val="31"/>
                  </w:pPr>
                  <w:r>
                    <w:rPr>
                      <w:rFonts w:hint="eastAsia"/>
                    </w:rPr>
                    <w:t>0.1</w:t>
                  </w:r>
                </w:p>
              </w:tc>
              <w:tc>
                <w:tcPr>
                  <w:tcW w:w="617" w:type="pct"/>
                  <w:vAlign w:val="center"/>
                </w:tcPr>
                <w:p w14:paraId="54428B2C">
                  <w:pPr>
                    <w:pStyle w:val="31"/>
                  </w:pPr>
                  <w:r>
                    <w:t>外购</w:t>
                  </w:r>
                </w:p>
              </w:tc>
              <w:tc>
                <w:tcPr>
                  <w:tcW w:w="667" w:type="pct"/>
                  <w:vAlign w:val="center"/>
                </w:tcPr>
                <w:p w14:paraId="17E1F313">
                  <w:pPr>
                    <w:pStyle w:val="31"/>
                  </w:pPr>
                  <w:r>
                    <w:rPr>
                      <w:rFonts w:hint="eastAsia"/>
                    </w:rPr>
                    <w:t>烫金</w:t>
                  </w:r>
                </w:p>
              </w:tc>
            </w:tr>
            <w:tr w14:paraId="22E9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7ECBD720">
                  <w:pPr>
                    <w:pStyle w:val="31"/>
                  </w:pPr>
                </w:p>
              </w:tc>
              <w:tc>
                <w:tcPr>
                  <w:tcW w:w="832" w:type="pct"/>
                  <w:vAlign w:val="center"/>
                </w:tcPr>
                <w:p w14:paraId="6D08E507">
                  <w:pPr>
                    <w:pStyle w:val="31"/>
                  </w:pPr>
                  <w:r>
                    <w:rPr>
                      <w:rFonts w:hint="eastAsia"/>
                    </w:rPr>
                    <w:t>包装纸盒</w:t>
                  </w:r>
                </w:p>
              </w:tc>
              <w:tc>
                <w:tcPr>
                  <w:tcW w:w="1049" w:type="pct"/>
                </w:tcPr>
                <w:p w14:paraId="094727DF">
                  <w:pPr>
                    <w:pStyle w:val="31"/>
                  </w:pPr>
                  <w:r>
                    <w:rPr>
                      <w:rFonts w:hint="eastAsia"/>
                    </w:rPr>
                    <w:t>/</w:t>
                  </w:r>
                </w:p>
              </w:tc>
              <w:tc>
                <w:tcPr>
                  <w:tcW w:w="573" w:type="pct"/>
                  <w:vAlign w:val="center"/>
                </w:tcPr>
                <w:p w14:paraId="3B8D22A3">
                  <w:pPr>
                    <w:pStyle w:val="31"/>
                  </w:pPr>
                  <w:r>
                    <w:rPr>
                      <w:rFonts w:hint="eastAsia"/>
                    </w:rPr>
                    <w:t>万个</w:t>
                  </w:r>
                </w:p>
              </w:tc>
              <w:tc>
                <w:tcPr>
                  <w:tcW w:w="692" w:type="pct"/>
                  <w:vAlign w:val="center"/>
                </w:tcPr>
                <w:p w14:paraId="30769704">
                  <w:pPr>
                    <w:pStyle w:val="31"/>
                  </w:pPr>
                  <w:r>
                    <w:rPr>
                      <w:rFonts w:hint="eastAsia"/>
                    </w:rPr>
                    <w:t>4004</w:t>
                  </w:r>
                </w:p>
              </w:tc>
              <w:tc>
                <w:tcPr>
                  <w:tcW w:w="617" w:type="pct"/>
                  <w:vAlign w:val="center"/>
                </w:tcPr>
                <w:p w14:paraId="508C3916">
                  <w:pPr>
                    <w:pStyle w:val="31"/>
                  </w:pPr>
                  <w:r>
                    <w:t>外购</w:t>
                  </w:r>
                </w:p>
              </w:tc>
              <w:tc>
                <w:tcPr>
                  <w:tcW w:w="667" w:type="pct"/>
                  <w:vAlign w:val="center"/>
                </w:tcPr>
                <w:p w14:paraId="2E76E985">
                  <w:pPr>
                    <w:pStyle w:val="31"/>
                  </w:pPr>
                  <w:r>
                    <w:rPr>
                      <w:rFonts w:hint="eastAsia"/>
                    </w:rPr>
                    <w:t>包装</w:t>
                  </w:r>
                </w:p>
              </w:tc>
            </w:tr>
            <w:tr w14:paraId="5540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0" w:type="pct"/>
                  <w:vMerge w:val="continue"/>
                  <w:vAlign w:val="center"/>
                </w:tcPr>
                <w:p w14:paraId="30B5E40D">
                  <w:pPr>
                    <w:pStyle w:val="31"/>
                  </w:pPr>
                </w:p>
              </w:tc>
              <w:tc>
                <w:tcPr>
                  <w:tcW w:w="832" w:type="pct"/>
                  <w:vAlign w:val="center"/>
                </w:tcPr>
                <w:p w14:paraId="4CFA8FA1">
                  <w:pPr>
                    <w:pStyle w:val="31"/>
                  </w:pPr>
                  <w:r>
                    <w:rPr>
                      <w:rFonts w:hint="eastAsia"/>
                    </w:rPr>
                    <w:t>机油</w:t>
                  </w:r>
                </w:p>
              </w:tc>
              <w:tc>
                <w:tcPr>
                  <w:tcW w:w="1049" w:type="pct"/>
                  <w:vAlign w:val="center"/>
                </w:tcPr>
                <w:p w14:paraId="4364E336">
                  <w:pPr>
                    <w:pStyle w:val="31"/>
                  </w:pPr>
                  <w:r>
                    <w:rPr>
                      <w:rFonts w:hint="eastAsia"/>
                    </w:rPr>
                    <w:t>矿物油</w:t>
                  </w:r>
                </w:p>
              </w:tc>
              <w:tc>
                <w:tcPr>
                  <w:tcW w:w="573" w:type="pct"/>
                  <w:vAlign w:val="center"/>
                </w:tcPr>
                <w:p w14:paraId="106D72A6">
                  <w:pPr>
                    <w:pStyle w:val="31"/>
                  </w:pPr>
                  <w:r>
                    <w:rPr>
                      <w:rFonts w:hint="eastAsia"/>
                    </w:rPr>
                    <w:t>t</w:t>
                  </w:r>
                </w:p>
              </w:tc>
              <w:tc>
                <w:tcPr>
                  <w:tcW w:w="692" w:type="pct"/>
                  <w:vAlign w:val="center"/>
                </w:tcPr>
                <w:p w14:paraId="51D41096">
                  <w:pPr>
                    <w:pStyle w:val="31"/>
                  </w:pPr>
                  <w:r>
                    <w:rPr>
                      <w:rFonts w:hint="eastAsia"/>
                    </w:rPr>
                    <w:t>0.1</w:t>
                  </w:r>
                </w:p>
              </w:tc>
              <w:tc>
                <w:tcPr>
                  <w:tcW w:w="617" w:type="pct"/>
                  <w:vAlign w:val="center"/>
                </w:tcPr>
                <w:p w14:paraId="4F8D32DE">
                  <w:pPr>
                    <w:pStyle w:val="31"/>
                  </w:pPr>
                  <w:r>
                    <w:t>外购</w:t>
                  </w:r>
                </w:p>
              </w:tc>
              <w:tc>
                <w:tcPr>
                  <w:tcW w:w="667" w:type="pct"/>
                  <w:vAlign w:val="center"/>
                </w:tcPr>
                <w:p w14:paraId="76E54975">
                  <w:pPr>
                    <w:pStyle w:val="31"/>
                  </w:pPr>
                  <w:r>
                    <w:t>设备</w:t>
                  </w:r>
                  <w:r>
                    <w:rPr>
                      <w:rFonts w:hint="eastAsia"/>
                    </w:rPr>
                    <w:t>养护</w:t>
                  </w:r>
                </w:p>
              </w:tc>
            </w:tr>
            <w:tr w14:paraId="48A4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0543BC01">
                  <w:pPr>
                    <w:pStyle w:val="31"/>
                  </w:pPr>
                </w:p>
              </w:tc>
              <w:tc>
                <w:tcPr>
                  <w:tcW w:w="832" w:type="pct"/>
                  <w:vAlign w:val="center"/>
                </w:tcPr>
                <w:p w14:paraId="1290270A">
                  <w:pPr>
                    <w:pStyle w:val="31"/>
                  </w:pPr>
                  <w:r>
                    <w:rPr>
                      <w:rFonts w:hint="eastAsia"/>
                    </w:rPr>
                    <w:t>劳保用品</w:t>
                  </w:r>
                </w:p>
              </w:tc>
              <w:tc>
                <w:tcPr>
                  <w:tcW w:w="1049" w:type="pct"/>
                  <w:vAlign w:val="center"/>
                </w:tcPr>
                <w:p w14:paraId="3F3678B5">
                  <w:pPr>
                    <w:pStyle w:val="31"/>
                  </w:pPr>
                  <w:r>
                    <w:rPr>
                      <w:rFonts w:hint="eastAsia"/>
                    </w:rPr>
                    <w:t>口罩、手套等</w:t>
                  </w:r>
                </w:p>
              </w:tc>
              <w:tc>
                <w:tcPr>
                  <w:tcW w:w="573" w:type="pct"/>
                  <w:vAlign w:val="center"/>
                </w:tcPr>
                <w:p w14:paraId="27C19BEF">
                  <w:pPr>
                    <w:pStyle w:val="31"/>
                  </w:pPr>
                  <w:r>
                    <w:rPr>
                      <w:rFonts w:hint="eastAsia"/>
                    </w:rPr>
                    <w:t>t</w:t>
                  </w:r>
                </w:p>
              </w:tc>
              <w:tc>
                <w:tcPr>
                  <w:tcW w:w="692" w:type="pct"/>
                  <w:vAlign w:val="center"/>
                </w:tcPr>
                <w:p w14:paraId="4987F40B">
                  <w:pPr>
                    <w:pStyle w:val="31"/>
                  </w:pPr>
                  <w:r>
                    <w:rPr>
                      <w:rFonts w:hint="eastAsia"/>
                    </w:rPr>
                    <w:t>0.02</w:t>
                  </w:r>
                </w:p>
              </w:tc>
              <w:tc>
                <w:tcPr>
                  <w:tcW w:w="617" w:type="pct"/>
                  <w:vAlign w:val="center"/>
                </w:tcPr>
                <w:p w14:paraId="7FAA2A20">
                  <w:pPr>
                    <w:pStyle w:val="31"/>
                  </w:pPr>
                  <w:r>
                    <w:t>外购</w:t>
                  </w:r>
                </w:p>
              </w:tc>
              <w:tc>
                <w:tcPr>
                  <w:tcW w:w="667" w:type="pct"/>
                  <w:vAlign w:val="center"/>
                </w:tcPr>
                <w:p w14:paraId="3E1F0F8D">
                  <w:pPr>
                    <w:pStyle w:val="31"/>
                  </w:pPr>
                  <w:r>
                    <w:rPr>
                      <w:rFonts w:hint="eastAsia"/>
                    </w:rPr>
                    <w:t>劳动防护</w:t>
                  </w:r>
                </w:p>
              </w:tc>
            </w:tr>
            <w:tr w14:paraId="6399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restart"/>
                  <w:vAlign w:val="center"/>
                </w:tcPr>
                <w:p w14:paraId="395745AE">
                  <w:pPr>
                    <w:pStyle w:val="31"/>
                  </w:pPr>
                  <w:r>
                    <w:t>能源</w:t>
                  </w:r>
                </w:p>
              </w:tc>
              <w:tc>
                <w:tcPr>
                  <w:tcW w:w="832" w:type="pct"/>
                  <w:vAlign w:val="center"/>
                </w:tcPr>
                <w:p w14:paraId="6418EA1E">
                  <w:pPr>
                    <w:pStyle w:val="31"/>
                  </w:pPr>
                  <w:r>
                    <w:t>电</w:t>
                  </w:r>
                </w:p>
              </w:tc>
              <w:tc>
                <w:tcPr>
                  <w:tcW w:w="1049" w:type="pct"/>
                </w:tcPr>
                <w:p w14:paraId="2ADA6CCC">
                  <w:pPr>
                    <w:pStyle w:val="31"/>
                  </w:pPr>
                  <w:r>
                    <w:rPr>
                      <w:rFonts w:hint="eastAsia"/>
                    </w:rPr>
                    <w:t>/</w:t>
                  </w:r>
                </w:p>
              </w:tc>
              <w:tc>
                <w:tcPr>
                  <w:tcW w:w="573" w:type="pct"/>
                  <w:vAlign w:val="center"/>
                </w:tcPr>
                <w:p w14:paraId="649003EB">
                  <w:pPr>
                    <w:pStyle w:val="31"/>
                  </w:pPr>
                  <w:r>
                    <w:t>万kw·h</w:t>
                  </w:r>
                </w:p>
              </w:tc>
              <w:tc>
                <w:tcPr>
                  <w:tcW w:w="692" w:type="pct"/>
                  <w:vAlign w:val="center"/>
                </w:tcPr>
                <w:p w14:paraId="03F32A2A">
                  <w:pPr>
                    <w:pStyle w:val="31"/>
                  </w:pPr>
                  <w:r>
                    <w:rPr>
                      <w:rFonts w:hint="eastAsia"/>
                    </w:rPr>
                    <w:t>200</w:t>
                  </w:r>
                </w:p>
              </w:tc>
              <w:tc>
                <w:tcPr>
                  <w:tcW w:w="617" w:type="pct"/>
                  <w:vAlign w:val="center"/>
                </w:tcPr>
                <w:p w14:paraId="22A52DEE">
                  <w:pPr>
                    <w:pStyle w:val="31"/>
                  </w:pPr>
                  <w:r>
                    <w:t>市政供电</w:t>
                  </w:r>
                </w:p>
              </w:tc>
              <w:tc>
                <w:tcPr>
                  <w:tcW w:w="667" w:type="pct"/>
                  <w:vAlign w:val="center"/>
                </w:tcPr>
                <w:p w14:paraId="35DFBE6E">
                  <w:pPr>
                    <w:pStyle w:val="31"/>
                  </w:pPr>
                  <w:r>
                    <w:rPr>
                      <w:rFonts w:hint="eastAsia"/>
                    </w:rPr>
                    <w:t>/</w:t>
                  </w:r>
                </w:p>
              </w:tc>
            </w:tr>
            <w:tr w14:paraId="7C30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Merge w:val="continue"/>
                  <w:vAlign w:val="center"/>
                </w:tcPr>
                <w:p w14:paraId="772BA196">
                  <w:pPr>
                    <w:pStyle w:val="31"/>
                  </w:pPr>
                </w:p>
              </w:tc>
              <w:tc>
                <w:tcPr>
                  <w:tcW w:w="832" w:type="pct"/>
                  <w:vAlign w:val="center"/>
                </w:tcPr>
                <w:p w14:paraId="5FE2FFB6">
                  <w:pPr>
                    <w:pStyle w:val="31"/>
                  </w:pPr>
                  <w:r>
                    <w:rPr>
                      <w:rFonts w:hint="eastAsia"/>
                    </w:rPr>
                    <w:t>天然气</w:t>
                  </w:r>
                </w:p>
              </w:tc>
              <w:tc>
                <w:tcPr>
                  <w:tcW w:w="1049" w:type="pct"/>
                </w:tcPr>
                <w:p w14:paraId="2278CBA6">
                  <w:pPr>
                    <w:pStyle w:val="31"/>
                  </w:pPr>
                  <w:r>
                    <w:rPr>
                      <w:rFonts w:hint="eastAsia"/>
                    </w:rPr>
                    <w:t>/</w:t>
                  </w:r>
                </w:p>
              </w:tc>
              <w:tc>
                <w:tcPr>
                  <w:tcW w:w="573" w:type="pct"/>
                  <w:vAlign w:val="center"/>
                </w:tcPr>
                <w:p w14:paraId="0F2973AD">
                  <w:pPr>
                    <w:pStyle w:val="31"/>
                  </w:pPr>
                  <w:r>
                    <w:rPr>
                      <w:rFonts w:hint="eastAsia"/>
                    </w:rPr>
                    <w:t>m</w:t>
                  </w:r>
                  <w:r>
                    <w:rPr>
                      <w:rFonts w:hint="eastAsia"/>
                      <w:vertAlign w:val="superscript"/>
                    </w:rPr>
                    <w:t>3</w:t>
                  </w:r>
                </w:p>
              </w:tc>
              <w:tc>
                <w:tcPr>
                  <w:tcW w:w="692" w:type="pct"/>
                  <w:vAlign w:val="center"/>
                </w:tcPr>
                <w:p w14:paraId="44477B8E">
                  <w:pPr>
                    <w:pStyle w:val="31"/>
                  </w:pPr>
                  <w:r>
                    <w:rPr>
                      <w:rFonts w:hint="eastAsia"/>
                    </w:rPr>
                    <w:t>3250</w:t>
                  </w:r>
                </w:p>
              </w:tc>
              <w:tc>
                <w:tcPr>
                  <w:tcW w:w="617" w:type="pct"/>
                  <w:vAlign w:val="center"/>
                </w:tcPr>
                <w:p w14:paraId="055BC9E9">
                  <w:pPr>
                    <w:pStyle w:val="31"/>
                  </w:pPr>
                  <w:r>
                    <w:rPr>
                      <w:rFonts w:hint="eastAsia"/>
                    </w:rPr>
                    <w:t>市政供气</w:t>
                  </w:r>
                </w:p>
              </w:tc>
              <w:tc>
                <w:tcPr>
                  <w:tcW w:w="667" w:type="pct"/>
                  <w:vAlign w:val="center"/>
                </w:tcPr>
                <w:p w14:paraId="2D5DA286">
                  <w:pPr>
                    <w:pStyle w:val="31"/>
                  </w:pPr>
                  <w:r>
                    <w:rPr>
                      <w:rFonts w:hint="eastAsia"/>
                    </w:rPr>
                    <w:t>/</w:t>
                  </w:r>
                </w:p>
              </w:tc>
            </w:tr>
            <w:tr w14:paraId="1700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pct"/>
                  <w:vAlign w:val="center"/>
                </w:tcPr>
                <w:p w14:paraId="0D1BBC62">
                  <w:pPr>
                    <w:pStyle w:val="31"/>
                  </w:pPr>
                  <w:r>
                    <w:t>水</w:t>
                  </w:r>
                </w:p>
              </w:tc>
              <w:tc>
                <w:tcPr>
                  <w:tcW w:w="832" w:type="pct"/>
                  <w:vAlign w:val="center"/>
                </w:tcPr>
                <w:p w14:paraId="7C16A290">
                  <w:pPr>
                    <w:pStyle w:val="31"/>
                  </w:pPr>
                  <w:r>
                    <w:t>水</w:t>
                  </w:r>
                </w:p>
              </w:tc>
              <w:tc>
                <w:tcPr>
                  <w:tcW w:w="1049" w:type="pct"/>
                </w:tcPr>
                <w:p w14:paraId="0B67598A">
                  <w:pPr>
                    <w:pStyle w:val="31"/>
                  </w:pPr>
                  <w:r>
                    <w:rPr>
                      <w:rFonts w:hint="eastAsia"/>
                    </w:rPr>
                    <w:t>/</w:t>
                  </w:r>
                </w:p>
              </w:tc>
              <w:tc>
                <w:tcPr>
                  <w:tcW w:w="573" w:type="pct"/>
                  <w:vAlign w:val="center"/>
                </w:tcPr>
                <w:p w14:paraId="121CD501">
                  <w:pPr>
                    <w:pStyle w:val="31"/>
                  </w:pPr>
                  <w:r>
                    <w:rPr>
                      <w:rFonts w:hint="eastAsia"/>
                    </w:rPr>
                    <w:t>m</w:t>
                  </w:r>
                  <w:r>
                    <w:rPr>
                      <w:rFonts w:hint="eastAsia"/>
                      <w:vertAlign w:val="superscript"/>
                    </w:rPr>
                    <w:t>3</w:t>
                  </w:r>
                </w:p>
              </w:tc>
              <w:tc>
                <w:tcPr>
                  <w:tcW w:w="692" w:type="pct"/>
                  <w:vAlign w:val="center"/>
                </w:tcPr>
                <w:p w14:paraId="7724354B">
                  <w:pPr>
                    <w:pStyle w:val="31"/>
                  </w:pPr>
                  <w:r>
                    <w:rPr>
                      <w:rFonts w:hint="eastAsia"/>
                    </w:rPr>
                    <w:t>1612.5</w:t>
                  </w:r>
                </w:p>
              </w:tc>
              <w:tc>
                <w:tcPr>
                  <w:tcW w:w="617" w:type="pct"/>
                  <w:vAlign w:val="center"/>
                </w:tcPr>
                <w:p w14:paraId="431D6559">
                  <w:pPr>
                    <w:pStyle w:val="31"/>
                  </w:pPr>
                  <w:r>
                    <w:t>市政供水</w:t>
                  </w:r>
                </w:p>
              </w:tc>
              <w:tc>
                <w:tcPr>
                  <w:tcW w:w="667" w:type="pct"/>
                  <w:vAlign w:val="center"/>
                </w:tcPr>
                <w:p w14:paraId="59C5DEC6">
                  <w:pPr>
                    <w:pStyle w:val="31"/>
                  </w:pPr>
                  <w:r>
                    <w:rPr>
                      <w:rFonts w:hint="eastAsia"/>
                    </w:rPr>
                    <w:t>/</w:t>
                  </w:r>
                </w:p>
              </w:tc>
            </w:tr>
          </w:tbl>
          <w:p w14:paraId="0AE66F9A">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扩建后全厂原辅材料及能耗</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5"/>
              <w:gridCol w:w="2589"/>
              <w:gridCol w:w="1147"/>
              <w:gridCol w:w="1474"/>
              <w:gridCol w:w="1474"/>
              <w:gridCol w:w="1468"/>
            </w:tblGrid>
            <w:tr w14:paraId="3F96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Merge w:val="restart"/>
                  <w:vAlign w:val="center"/>
                </w:tcPr>
                <w:p w14:paraId="416919C7">
                  <w:pPr>
                    <w:jc w:val="center"/>
                    <w:rPr>
                      <w:rFonts w:cs="Times New Roman"/>
                      <w:bCs/>
                      <w:kern w:val="0"/>
                      <w:szCs w:val="21"/>
                    </w:rPr>
                  </w:pPr>
                  <w:r>
                    <w:rPr>
                      <w:rFonts w:cs="Times New Roman"/>
                      <w:bCs/>
                      <w:kern w:val="0"/>
                      <w:szCs w:val="21"/>
                    </w:rPr>
                    <w:t>序号</w:t>
                  </w:r>
                </w:p>
              </w:tc>
              <w:tc>
                <w:tcPr>
                  <w:tcW w:w="1415" w:type="pct"/>
                  <w:vMerge w:val="restart"/>
                  <w:shd w:val="clear" w:color="auto" w:fill="auto"/>
                  <w:vAlign w:val="center"/>
                </w:tcPr>
                <w:p w14:paraId="780EC879">
                  <w:pPr>
                    <w:jc w:val="center"/>
                    <w:rPr>
                      <w:rFonts w:cs="Times New Roman"/>
                      <w:bCs/>
                      <w:kern w:val="0"/>
                      <w:szCs w:val="21"/>
                    </w:rPr>
                  </w:pPr>
                  <w:r>
                    <w:rPr>
                      <w:rFonts w:cs="Times New Roman"/>
                      <w:bCs/>
                      <w:kern w:val="0"/>
                      <w:szCs w:val="21"/>
                    </w:rPr>
                    <w:t>名称</w:t>
                  </w:r>
                </w:p>
              </w:tc>
              <w:tc>
                <w:tcPr>
                  <w:tcW w:w="627" w:type="pct"/>
                  <w:vMerge w:val="restart"/>
                  <w:vAlign w:val="center"/>
                </w:tcPr>
                <w:p w14:paraId="6A2DBA59">
                  <w:pPr>
                    <w:jc w:val="center"/>
                    <w:rPr>
                      <w:rFonts w:cs="Times New Roman"/>
                      <w:bCs/>
                      <w:kern w:val="0"/>
                      <w:szCs w:val="21"/>
                    </w:rPr>
                  </w:pPr>
                  <w:r>
                    <w:rPr>
                      <w:rFonts w:hint="eastAsia" w:cs="Times New Roman"/>
                      <w:bCs/>
                      <w:kern w:val="0"/>
                      <w:szCs w:val="21"/>
                    </w:rPr>
                    <w:t>单位</w:t>
                  </w:r>
                </w:p>
              </w:tc>
              <w:tc>
                <w:tcPr>
                  <w:tcW w:w="2414" w:type="pct"/>
                  <w:gridSpan w:val="3"/>
                  <w:vAlign w:val="center"/>
                </w:tcPr>
                <w:p w14:paraId="7752D3DA">
                  <w:pPr>
                    <w:widowControl/>
                    <w:jc w:val="center"/>
                    <w:rPr>
                      <w:rFonts w:cs="Times New Roman"/>
                      <w:bCs/>
                      <w:kern w:val="0"/>
                      <w:szCs w:val="21"/>
                    </w:rPr>
                  </w:pPr>
                  <w:r>
                    <w:rPr>
                      <w:rFonts w:hint="eastAsia" w:cs="Times New Roman"/>
                      <w:bCs/>
                      <w:kern w:val="0"/>
                      <w:szCs w:val="21"/>
                    </w:rPr>
                    <w:t>年用量</w:t>
                  </w:r>
                </w:p>
              </w:tc>
            </w:tr>
            <w:tr w14:paraId="02898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Merge w:val="continue"/>
                  <w:vAlign w:val="center"/>
                </w:tcPr>
                <w:p w14:paraId="02E71BC5">
                  <w:pPr>
                    <w:widowControl/>
                    <w:jc w:val="center"/>
                    <w:rPr>
                      <w:szCs w:val="21"/>
                    </w:rPr>
                  </w:pPr>
                </w:p>
              </w:tc>
              <w:tc>
                <w:tcPr>
                  <w:tcW w:w="1415" w:type="pct"/>
                  <w:vMerge w:val="continue"/>
                  <w:shd w:val="clear" w:color="auto" w:fill="auto"/>
                  <w:vAlign w:val="center"/>
                </w:tcPr>
                <w:p w14:paraId="7721160D">
                  <w:pPr>
                    <w:widowControl/>
                    <w:jc w:val="center"/>
                    <w:rPr>
                      <w:rFonts w:cs="Times New Roman"/>
                      <w:bCs/>
                      <w:kern w:val="0"/>
                      <w:szCs w:val="21"/>
                    </w:rPr>
                  </w:pPr>
                </w:p>
              </w:tc>
              <w:tc>
                <w:tcPr>
                  <w:tcW w:w="627" w:type="pct"/>
                  <w:vMerge w:val="continue"/>
                  <w:vAlign w:val="center"/>
                </w:tcPr>
                <w:p w14:paraId="4B57E77C">
                  <w:pPr>
                    <w:widowControl/>
                    <w:jc w:val="center"/>
                    <w:rPr>
                      <w:rFonts w:cs="Times New Roman"/>
                      <w:bCs/>
                      <w:kern w:val="0"/>
                      <w:szCs w:val="21"/>
                    </w:rPr>
                  </w:pPr>
                </w:p>
              </w:tc>
              <w:tc>
                <w:tcPr>
                  <w:tcW w:w="806" w:type="pct"/>
                  <w:vAlign w:val="center"/>
                </w:tcPr>
                <w:p w14:paraId="06586D12">
                  <w:pPr>
                    <w:widowControl/>
                    <w:jc w:val="center"/>
                    <w:rPr>
                      <w:rFonts w:cs="Times New Roman"/>
                      <w:bCs/>
                      <w:kern w:val="0"/>
                      <w:szCs w:val="21"/>
                    </w:rPr>
                  </w:pPr>
                  <w:r>
                    <w:rPr>
                      <w:rFonts w:hint="eastAsia" w:cs="Times New Roman"/>
                      <w:bCs/>
                      <w:kern w:val="0"/>
                      <w:szCs w:val="21"/>
                    </w:rPr>
                    <w:t>现有工程</w:t>
                  </w:r>
                </w:p>
              </w:tc>
              <w:tc>
                <w:tcPr>
                  <w:tcW w:w="806" w:type="pct"/>
                  <w:vAlign w:val="center"/>
                </w:tcPr>
                <w:p w14:paraId="095D0A08">
                  <w:pPr>
                    <w:widowControl/>
                    <w:jc w:val="center"/>
                    <w:rPr>
                      <w:rFonts w:cs="Times New Roman"/>
                      <w:bCs/>
                      <w:kern w:val="0"/>
                      <w:szCs w:val="21"/>
                    </w:rPr>
                  </w:pPr>
                  <w:r>
                    <w:rPr>
                      <w:rFonts w:hint="eastAsia" w:cs="Times New Roman"/>
                      <w:bCs/>
                      <w:kern w:val="0"/>
                      <w:szCs w:val="21"/>
                    </w:rPr>
                    <w:t>扩建项目</w:t>
                  </w:r>
                </w:p>
              </w:tc>
              <w:tc>
                <w:tcPr>
                  <w:tcW w:w="802" w:type="pct"/>
                  <w:vAlign w:val="center"/>
                </w:tcPr>
                <w:p w14:paraId="51569B1D">
                  <w:pPr>
                    <w:widowControl/>
                    <w:jc w:val="center"/>
                    <w:rPr>
                      <w:rFonts w:cs="Times New Roman"/>
                      <w:bCs/>
                      <w:kern w:val="0"/>
                      <w:szCs w:val="21"/>
                    </w:rPr>
                  </w:pPr>
                  <w:r>
                    <w:rPr>
                      <w:rFonts w:hint="eastAsia" w:cs="Times New Roman"/>
                      <w:bCs/>
                      <w:kern w:val="0"/>
                      <w:szCs w:val="21"/>
                    </w:rPr>
                    <w:t>全厂</w:t>
                  </w:r>
                </w:p>
              </w:tc>
            </w:tr>
            <w:tr w14:paraId="24D6D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157647B">
                  <w:pPr>
                    <w:widowControl/>
                    <w:jc w:val="center"/>
                    <w:rPr>
                      <w:szCs w:val="21"/>
                    </w:rPr>
                  </w:pPr>
                  <w:r>
                    <w:rPr>
                      <w:rFonts w:hint="eastAsia"/>
                      <w:szCs w:val="21"/>
                    </w:rPr>
                    <w:t>1</w:t>
                  </w:r>
                </w:p>
              </w:tc>
              <w:tc>
                <w:tcPr>
                  <w:tcW w:w="1415" w:type="pct"/>
                  <w:shd w:val="clear" w:color="auto" w:fill="auto"/>
                  <w:vAlign w:val="center"/>
                </w:tcPr>
                <w:p w14:paraId="40B6C835">
                  <w:pPr>
                    <w:widowControl/>
                    <w:jc w:val="center"/>
                    <w:rPr>
                      <w:rFonts w:cs="Times New Roman"/>
                      <w:bCs/>
                      <w:kern w:val="0"/>
                      <w:szCs w:val="21"/>
                    </w:rPr>
                  </w:pPr>
                  <w:r>
                    <w:rPr>
                      <w:rFonts w:hint="eastAsia"/>
                    </w:rPr>
                    <w:t>ABS</w:t>
                  </w:r>
                  <w:r>
                    <w:t>塑料</w:t>
                  </w:r>
                </w:p>
              </w:tc>
              <w:tc>
                <w:tcPr>
                  <w:tcW w:w="627" w:type="pct"/>
                  <w:vAlign w:val="center"/>
                </w:tcPr>
                <w:p w14:paraId="3F2B7E08">
                  <w:pPr>
                    <w:widowControl/>
                    <w:jc w:val="center"/>
                    <w:rPr>
                      <w:rFonts w:cs="Times New Roman"/>
                      <w:bCs/>
                      <w:kern w:val="0"/>
                      <w:szCs w:val="21"/>
                    </w:rPr>
                  </w:pPr>
                  <w:r>
                    <w:rPr>
                      <w:rFonts w:hint="eastAsia"/>
                    </w:rPr>
                    <w:t>t</w:t>
                  </w:r>
                </w:p>
              </w:tc>
              <w:tc>
                <w:tcPr>
                  <w:tcW w:w="806" w:type="pct"/>
                  <w:vAlign w:val="center"/>
                </w:tcPr>
                <w:p w14:paraId="028EDE83">
                  <w:pPr>
                    <w:widowControl/>
                    <w:jc w:val="center"/>
                    <w:rPr>
                      <w:rFonts w:cs="Times New Roman"/>
                      <w:bCs/>
                      <w:kern w:val="0"/>
                      <w:szCs w:val="21"/>
                    </w:rPr>
                  </w:pPr>
                  <w:r>
                    <w:rPr>
                      <w:rFonts w:hint="eastAsia" w:cs="Times New Roman"/>
                      <w:bCs/>
                      <w:kern w:val="0"/>
                      <w:szCs w:val="21"/>
                    </w:rPr>
                    <w:t>0</w:t>
                  </w:r>
                </w:p>
              </w:tc>
              <w:tc>
                <w:tcPr>
                  <w:tcW w:w="806" w:type="pct"/>
                  <w:vAlign w:val="center"/>
                </w:tcPr>
                <w:p w14:paraId="3DFB06C1">
                  <w:pPr>
                    <w:widowControl/>
                    <w:jc w:val="center"/>
                    <w:rPr>
                      <w:rFonts w:cs="Times New Roman"/>
                      <w:bCs/>
                      <w:kern w:val="0"/>
                      <w:szCs w:val="21"/>
                    </w:rPr>
                  </w:pPr>
                  <w:r>
                    <w:t>1658.064</w:t>
                  </w:r>
                </w:p>
              </w:tc>
              <w:tc>
                <w:tcPr>
                  <w:tcW w:w="802" w:type="pct"/>
                  <w:vAlign w:val="center"/>
                </w:tcPr>
                <w:p w14:paraId="623EF8AC">
                  <w:pPr>
                    <w:widowControl/>
                    <w:jc w:val="center"/>
                    <w:rPr>
                      <w:rFonts w:cs="Times New Roman"/>
                      <w:bCs/>
                      <w:kern w:val="0"/>
                      <w:szCs w:val="21"/>
                    </w:rPr>
                  </w:pPr>
                  <w:r>
                    <w:t>1658.064</w:t>
                  </w:r>
                </w:p>
              </w:tc>
            </w:tr>
            <w:tr w14:paraId="55F7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311903A0">
                  <w:pPr>
                    <w:widowControl/>
                    <w:jc w:val="center"/>
                    <w:rPr>
                      <w:szCs w:val="21"/>
                    </w:rPr>
                  </w:pPr>
                  <w:r>
                    <w:rPr>
                      <w:rFonts w:hint="eastAsia"/>
                      <w:szCs w:val="21"/>
                    </w:rPr>
                    <w:t>2</w:t>
                  </w:r>
                </w:p>
              </w:tc>
              <w:tc>
                <w:tcPr>
                  <w:tcW w:w="1415" w:type="pct"/>
                  <w:shd w:val="clear" w:color="auto" w:fill="auto"/>
                  <w:vAlign w:val="center"/>
                </w:tcPr>
                <w:p w14:paraId="27ACDE9A">
                  <w:pPr>
                    <w:widowControl/>
                    <w:jc w:val="center"/>
                    <w:rPr>
                      <w:rFonts w:cs="Times New Roman"/>
                      <w:szCs w:val="21"/>
                    </w:rPr>
                  </w:pPr>
                  <w:r>
                    <w:rPr>
                      <w:rFonts w:hint="eastAsia"/>
                    </w:rPr>
                    <w:t>模具</w:t>
                  </w:r>
                </w:p>
              </w:tc>
              <w:tc>
                <w:tcPr>
                  <w:tcW w:w="627" w:type="pct"/>
                  <w:vAlign w:val="center"/>
                </w:tcPr>
                <w:p w14:paraId="2DE48CBE">
                  <w:pPr>
                    <w:widowControl/>
                    <w:jc w:val="center"/>
                    <w:rPr>
                      <w:rFonts w:cs="Times New Roman"/>
                      <w:bCs/>
                      <w:kern w:val="0"/>
                      <w:szCs w:val="21"/>
                    </w:rPr>
                  </w:pPr>
                  <w:r>
                    <w:rPr>
                      <w:rFonts w:hint="eastAsia"/>
                    </w:rPr>
                    <w:t>套</w:t>
                  </w:r>
                </w:p>
              </w:tc>
              <w:tc>
                <w:tcPr>
                  <w:tcW w:w="806" w:type="pct"/>
                  <w:vAlign w:val="center"/>
                </w:tcPr>
                <w:p w14:paraId="33F823D9">
                  <w:pPr>
                    <w:widowControl/>
                    <w:jc w:val="center"/>
                    <w:rPr>
                      <w:rFonts w:cs="Times New Roman"/>
                      <w:bCs/>
                      <w:kern w:val="0"/>
                      <w:szCs w:val="21"/>
                    </w:rPr>
                  </w:pPr>
                  <w:r>
                    <w:rPr>
                      <w:rFonts w:hint="eastAsia" w:cs="Times New Roman"/>
                      <w:bCs/>
                      <w:kern w:val="0"/>
                      <w:szCs w:val="21"/>
                    </w:rPr>
                    <w:t>0</w:t>
                  </w:r>
                </w:p>
              </w:tc>
              <w:tc>
                <w:tcPr>
                  <w:tcW w:w="806" w:type="pct"/>
                  <w:vAlign w:val="center"/>
                </w:tcPr>
                <w:p w14:paraId="518418F8">
                  <w:pPr>
                    <w:widowControl/>
                    <w:jc w:val="center"/>
                    <w:rPr>
                      <w:rFonts w:cs="Times New Roman"/>
                      <w:bCs/>
                      <w:kern w:val="0"/>
                      <w:szCs w:val="21"/>
                    </w:rPr>
                  </w:pPr>
                  <w:r>
                    <w:rPr>
                      <w:rFonts w:hint="eastAsia"/>
                    </w:rPr>
                    <w:t>100</w:t>
                  </w:r>
                </w:p>
              </w:tc>
              <w:tc>
                <w:tcPr>
                  <w:tcW w:w="802" w:type="pct"/>
                  <w:vAlign w:val="center"/>
                </w:tcPr>
                <w:p w14:paraId="53BEB377">
                  <w:pPr>
                    <w:widowControl/>
                    <w:jc w:val="center"/>
                    <w:rPr>
                      <w:rFonts w:cs="Times New Roman"/>
                      <w:bCs/>
                      <w:kern w:val="0"/>
                      <w:szCs w:val="21"/>
                    </w:rPr>
                  </w:pPr>
                  <w:r>
                    <w:rPr>
                      <w:rFonts w:hint="eastAsia"/>
                    </w:rPr>
                    <w:t>100</w:t>
                  </w:r>
                </w:p>
              </w:tc>
            </w:tr>
            <w:tr w14:paraId="0DA6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1C91D0E2">
                  <w:pPr>
                    <w:widowControl/>
                    <w:jc w:val="center"/>
                    <w:rPr>
                      <w:szCs w:val="21"/>
                    </w:rPr>
                  </w:pPr>
                  <w:r>
                    <w:rPr>
                      <w:rFonts w:hint="eastAsia"/>
                      <w:szCs w:val="21"/>
                    </w:rPr>
                    <w:t>3</w:t>
                  </w:r>
                </w:p>
              </w:tc>
              <w:tc>
                <w:tcPr>
                  <w:tcW w:w="1415" w:type="pct"/>
                  <w:shd w:val="clear" w:color="auto" w:fill="auto"/>
                  <w:vAlign w:val="center"/>
                </w:tcPr>
                <w:p w14:paraId="2107385C">
                  <w:pPr>
                    <w:widowControl/>
                    <w:jc w:val="center"/>
                    <w:rPr>
                      <w:rFonts w:cs="Times New Roman"/>
                      <w:szCs w:val="21"/>
                    </w:rPr>
                  </w:pPr>
                  <w:r>
                    <w:rPr>
                      <w:rFonts w:hint="eastAsia"/>
                    </w:rPr>
                    <w:t>UV油墨</w:t>
                  </w:r>
                </w:p>
              </w:tc>
              <w:tc>
                <w:tcPr>
                  <w:tcW w:w="627" w:type="pct"/>
                  <w:vAlign w:val="center"/>
                </w:tcPr>
                <w:p w14:paraId="2D09D520">
                  <w:pPr>
                    <w:widowControl/>
                    <w:jc w:val="center"/>
                    <w:rPr>
                      <w:rFonts w:cs="Times New Roman"/>
                      <w:bCs/>
                      <w:kern w:val="0"/>
                      <w:szCs w:val="21"/>
                    </w:rPr>
                  </w:pPr>
                  <w:r>
                    <w:rPr>
                      <w:rFonts w:hint="eastAsia"/>
                    </w:rPr>
                    <w:t>t</w:t>
                  </w:r>
                </w:p>
              </w:tc>
              <w:tc>
                <w:tcPr>
                  <w:tcW w:w="806" w:type="pct"/>
                  <w:vAlign w:val="center"/>
                </w:tcPr>
                <w:p w14:paraId="6D41ECD6">
                  <w:pPr>
                    <w:widowControl/>
                    <w:jc w:val="center"/>
                    <w:rPr>
                      <w:rFonts w:cs="Times New Roman"/>
                      <w:bCs/>
                      <w:kern w:val="0"/>
                      <w:szCs w:val="21"/>
                    </w:rPr>
                  </w:pPr>
                  <w:r>
                    <w:rPr>
                      <w:rFonts w:hint="eastAsia" w:cs="Times New Roman"/>
                      <w:bCs/>
                      <w:kern w:val="0"/>
                      <w:szCs w:val="21"/>
                    </w:rPr>
                    <w:t>0</w:t>
                  </w:r>
                </w:p>
              </w:tc>
              <w:tc>
                <w:tcPr>
                  <w:tcW w:w="806" w:type="pct"/>
                  <w:vAlign w:val="center"/>
                </w:tcPr>
                <w:p w14:paraId="1527C122">
                  <w:pPr>
                    <w:widowControl/>
                    <w:jc w:val="center"/>
                    <w:rPr>
                      <w:rFonts w:cs="Times New Roman"/>
                      <w:bCs/>
                      <w:kern w:val="0"/>
                      <w:szCs w:val="21"/>
                    </w:rPr>
                  </w:pPr>
                  <w:r>
                    <w:rPr>
                      <w:rFonts w:hint="eastAsia"/>
                    </w:rPr>
                    <w:t>0.5</w:t>
                  </w:r>
                </w:p>
              </w:tc>
              <w:tc>
                <w:tcPr>
                  <w:tcW w:w="802" w:type="pct"/>
                  <w:vAlign w:val="center"/>
                </w:tcPr>
                <w:p w14:paraId="312904B4">
                  <w:pPr>
                    <w:widowControl/>
                    <w:jc w:val="center"/>
                    <w:rPr>
                      <w:rFonts w:cs="Times New Roman"/>
                      <w:bCs/>
                      <w:kern w:val="0"/>
                      <w:szCs w:val="21"/>
                    </w:rPr>
                  </w:pPr>
                  <w:r>
                    <w:rPr>
                      <w:rFonts w:hint="eastAsia"/>
                    </w:rPr>
                    <w:t>0.5</w:t>
                  </w:r>
                </w:p>
              </w:tc>
            </w:tr>
            <w:tr w14:paraId="61E9F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3B55BEA7">
                  <w:pPr>
                    <w:widowControl/>
                    <w:jc w:val="center"/>
                    <w:rPr>
                      <w:szCs w:val="21"/>
                    </w:rPr>
                  </w:pPr>
                  <w:r>
                    <w:rPr>
                      <w:rFonts w:hint="eastAsia"/>
                      <w:szCs w:val="21"/>
                    </w:rPr>
                    <w:t>4</w:t>
                  </w:r>
                </w:p>
              </w:tc>
              <w:tc>
                <w:tcPr>
                  <w:tcW w:w="1415" w:type="pct"/>
                  <w:shd w:val="clear" w:color="auto" w:fill="auto"/>
                  <w:vAlign w:val="center"/>
                </w:tcPr>
                <w:p w14:paraId="637FF32B">
                  <w:pPr>
                    <w:widowControl/>
                    <w:jc w:val="center"/>
                    <w:rPr>
                      <w:rFonts w:cs="Times New Roman"/>
                      <w:szCs w:val="21"/>
                    </w:rPr>
                  </w:pPr>
                  <w:r>
                    <w:rPr>
                      <w:rFonts w:hint="eastAsia"/>
                    </w:rPr>
                    <w:t>网版</w:t>
                  </w:r>
                </w:p>
              </w:tc>
              <w:tc>
                <w:tcPr>
                  <w:tcW w:w="627" w:type="pct"/>
                  <w:vAlign w:val="center"/>
                </w:tcPr>
                <w:p w14:paraId="3EA0A50B">
                  <w:pPr>
                    <w:widowControl/>
                    <w:jc w:val="center"/>
                    <w:rPr>
                      <w:rFonts w:cs="Times New Roman"/>
                      <w:bCs/>
                      <w:kern w:val="0"/>
                      <w:szCs w:val="21"/>
                    </w:rPr>
                  </w:pPr>
                  <w:r>
                    <w:rPr>
                      <w:rFonts w:hint="eastAsia"/>
                    </w:rPr>
                    <w:t>个</w:t>
                  </w:r>
                </w:p>
              </w:tc>
              <w:tc>
                <w:tcPr>
                  <w:tcW w:w="806" w:type="pct"/>
                  <w:vAlign w:val="center"/>
                </w:tcPr>
                <w:p w14:paraId="33E86A78">
                  <w:pPr>
                    <w:widowControl/>
                    <w:jc w:val="center"/>
                    <w:rPr>
                      <w:rFonts w:cs="Times New Roman"/>
                      <w:bCs/>
                      <w:kern w:val="0"/>
                      <w:szCs w:val="21"/>
                    </w:rPr>
                  </w:pPr>
                  <w:r>
                    <w:rPr>
                      <w:rFonts w:hint="eastAsia" w:cs="Times New Roman"/>
                      <w:bCs/>
                      <w:kern w:val="0"/>
                      <w:szCs w:val="21"/>
                    </w:rPr>
                    <w:t>0</w:t>
                  </w:r>
                </w:p>
              </w:tc>
              <w:tc>
                <w:tcPr>
                  <w:tcW w:w="806" w:type="pct"/>
                  <w:vAlign w:val="center"/>
                </w:tcPr>
                <w:p w14:paraId="76493E67">
                  <w:pPr>
                    <w:widowControl/>
                    <w:jc w:val="center"/>
                    <w:rPr>
                      <w:rFonts w:cs="Times New Roman"/>
                      <w:bCs/>
                      <w:kern w:val="0"/>
                      <w:szCs w:val="21"/>
                    </w:rPr>
                  </w:pPr>
                  <w:r>
                    <w:rPr>
                      <w:rFonts w:hint="eastAsia"/>
                    </w:rPr>
                    <w:t>1200</w:t>
                  </w:r>
                </w:p>
              </w:tc>
              <w:tc>
                <w:tcPr>
                  <w:tcW w:w="802" w:type="pct"/>
                  <w:vAlign w:val="center"/>
                </w:tcPr>
                <w:p w14:paraId="72EBFA30">
                  <w:pPr>
                    <w:widowControl/>
                    <w:jc w:val="center"/>
                    <w:rPr>
                      <w:rFonts w:cs="Times New Roman"/>
                      <w:bCs/>
                      <w:kern w:val="0"/>
                      <w:szCs w:val="21"/>
                    </w:rPr>
                  </w:pPr>
                  <w:r>
                    <w:rPr>
                      <w:rFonts w:hint="eastAsia"/>
                    </w:rPr>
                    <w:t>1200</w:t>
                  </w:r>
                </w:p>
              </w:tc>
            </w:tr>
            <w:tr w14:paraId="3A2C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8D7051E">
                  <w:pPr>
                    <w:widowControl/>
                    <w:jc w:val="center"/>
                    <w:rPr>
                      <w:szCs w:val="21"/>
                    </w:rPr>
                  </w:pPr>
                  <w:r>
                    <w:rPr>
                      <w:rFonts w:hint="eastAsia"/>
                      <w:szCs w:val="21"/>
                    </w:rPr>
                    <w:t>5</w:t>
                  </w:r>
                </w:p>
              </w:tc>
              <w:tc>
                <w:tcPr>
                  <w:tcW w:w="1415" w:type="pct"/>
                  <w:shd w:val="clear" w:color="auto" w:fill="auto"/>
                  <w:vAlign w:val="center"/>
                </w:tcPr>
                <w:p w14:paraId="1BEC3BF3">
                  <w:pPr>
                    <w:widowControl/>
                    <w:jc w:val="center"/>
                    <w:rPr>
                      <w:rFonts w:cs="Times New Roman"/>
                      <w:szCs w:val="21"/>
                    </w:rPr>
                  </w:pPr>
                  <w:r>
                    <w:rPr>
                      <w:rFonts w:hint="eastAsia"/>
                    </w:rPr>
                    <w:t>电化铝箔</w:t>
                  </w:r>
                </w:p>
              </w:tc>
              <w:tc>
                <w:tcPr>
                  <w:tcW w:w="627" w:type="pct"/>
                  <w:vAlign w:val="center"/>
                </w:tcPr>
                <w:p w14:paraId="50C489E8">
                  <w:pPr>
                    <w:widowControl/>
                    <w:jc w:val="center"/>
                    <w:rPr>
                      <w:rFonts w:cs="Times New Roman"/>
                      <w:bCs/>
                      <w:kern w:val="0"/>
                      <w:szCs w:val="21"/>
                    </w:rPr>
                  </w:pPr>
                  <w:r>
                    <w:rPr>
                      <w:rFonts w:hint="eastAsia"/>
                    </w:rPr>
                    <w:t>t</w:t>
                  </w:r>
                </w:p>
              </w:tc>
              <w:tc>
                <w:tcPr>
                  <w:tcW w:w="806" w:type="pct"/>
                  <w:vAlign w:val="center"/>
                </w:tcPr>
                <w:p w14:paraId="1EEB5EB4">
                  <w:pPr>
                    <w:widowControl/>
                    <w:jc w:val="center"/>
                    <w:rPr>
                      <w:rFonts w:cs="Times New Roman"/>
                      <w:bCs/>
                      <w:kern w:val="0"/>
                      <w:szCs w:val="21"/>
                    </w:rPr>
                  </w:pPr>
                  <w:r>
                    <w:rPr>
                      <w:rFonts w:hint="eastAsia" w:cs="Times New Roman"/>
                      <w:bCs/>
                      <w:kern w:val="0"/>
                      <w:szCs w:val="21"/>
                    </w:rPr>
                    <w:t>0</w:t>
                  </w:r>
                </w:p>
              </w:tc>
              <w:tc>
                <w:tcPr>
                  <w:tcW w:w="806" w:type="pct"/>
                  <w:vAlign w:val="center"/>
                </w:tcPr>
                <w:p w14:paraId="469CD590">
                  <w:pPr>
                    <w:widowControl/>
                    <w:jc w:val="center"/>
                    <w:rPr>
                      <w:rFonts w:cs="Times New Roman"/>
                      <w:bCs/>
                      <w:kern w:val="0"/>
                      <w:szCs w:val="21"/>
                    </w:rPr>
                  </w:pPr>
                  <w:r>
                    <w:rPr>
                      <w:rFonts w:hint="eastAsia"/>
                    </w:rPr>
                    <w:t>5</w:t>
                  </w:r>
                </w:p>
              </w:tc>
              <w:tc>
                <w:tcPr>
                  <w:tcW w:w="802" w:type="pct"/>
                  <w:vAlign w:val="center"/>
                </w:tcPr>
                <w:p w14:paraId="09B9DBAB">
                  <w:pPr>
                    <w:widowControl/>
                    <w:jc w:val="center"/>
                    <w:rPr>
                      <w:rFonts w:cs="Times New Roman"/>
                      <w:bCs/>
                      <w:kern w:val="0"/>
                      <w:szCs w:val="21"/>
                    </w:rPr>
                  </w:pPr>
                  <w:r>
                    <w:rPr>
                      <w:rFonts w:hint="eastAsia"/>
                    </w:rPr>
                    <w:t>5</w:t>
                  </w:r>
                </w:p>
              </w:tc>
            </w:tr>
            <w:tr w14:paraId="74D7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7B0113C">
                  <w:pPr>
                    <w:widowControl/>
                    <w:jc w:val="center"/>
                    <w:rPr>
                      <w:szCs w:val="21"/>
                    </w:rPr>
                  </w:pPr>
                  <w:r>
                    <w:rPr>
                      <w:rFonts w:hint="eastAsia"/>
                      <w:szCs w:val="21"/>
                    </w:rPr>
                    <w:t>6</w:t>
                  </w:r>
                </w:p>
              </w:tc>
              <w:tc>
                <w:tcPr>
                  <w:tcW w:w="1415" w:type="pct"/>
                  <w:shd w:val="clear" w:color="auto" w:fill="auto"/>
                  <w:vAlign w:val="center"/>
                </w:tcPr>
                <w:p w14:paraId="68921139">
                  <w:pPr>
                    <w:widowControl/>
                    <w:jc w:val="center"/>
                    <w:rPr>
                      <w:szCs w:val="21"/>
                    </w:rPr>
                  </w:pPr>
                  <w:r>
                    <w:rPr>
                      <w:rFonts w:hint="eastAsia"/>
                    </w:rPr>
                    <w:t>包装纸盒</w:t>
                  </w:r>
                </w:p>
              </w:tc>
              <w:tc>
                <w:tcPr>
                  <w:tcW w:w="627" w:type="pct"/>
                  <w:vAlign w:val="center"/>
                </w:tcPr>
                <w:p w14:paraId="46AB9D29">
                  <w:pPr>
                    <w:widowControl/>
                    <w:jc w:val="center"/>
                    <w:rPr>
                      <w:rFonts w:cs="Times New Roman"/>
                      <w:bCs/>
                      <w:kern w:val="0"/>
                      <w:szCs w:val="21"/>
                    </w:rPr>
                  </w:pPr>
                  <w:r>
                    <w:rPr>
                      <w:rFonts w:hint="eastAsia"/>
                    </w:rPr>
                    <w:t>万个</w:t>
                  </w:r>
                </w:p>
              </w:tc>
              <w:tc>
                <w:tcPr>
                  <w:tcW w:w="806" w:type="pct"/>
                  <w:vAlign w:val="center"/>
                </w:tcPr>
                <w:p w14:paraId="40B9057C">
                  <w:pPr>
                    <w:widowControl/>
                    <w:jc w:val="center"/>
                    <w:rPr>
                      <w:rFonts w:cs="Times New Roman"/>
                      <w:bCs/>
                      <w:kern w:val="0"/>
                      <w:szCs w:val="21"/>
                    </w:rPr>
                  </w:pPr>
                  <w:r>
                    <w:rPr>
                      <w:rFonts w:hint="eastAsia" w:cs="Times New Roman"/>
                      <w:bCs/>
                      <w:kern w:val="0"/>
                      <w:szCs w:val="21"/>
                    </w:rPr>
                    <w:t>0</w:t>
                  </w:r>
                </w:p>
              </w:tc>
              <w:tc>
                <w:tcPr>
                  <w:tcW w:w="806" w:type="pct"/>
                  <w:vAlign w:val="center"/>
                </w:tcPr>
                <w:p w14:paraId="15144CDA">
                  <w:pPr>
                    <w:widowControl/>
                    <w:jc w:val="center"/>
                    <w:rPr>
                      <w:rFonts w:cs="Times New Roman"/>
                      <w:bCs/>
                      <w:kern w:val="0"/>
                      <w:szCs w:val="21"/>
                    </w:rPr>
                  </w:pPr>
                  <w:r>
                    <w:rPr>
                      <w:rFonts w:hint="eastAsia"/>
                    </w:rPr>
                    <w:t>4004</w:t>
                  </w:r>
                </w:p>
              </w:tc>
              <w:tc>
                <w:tcPr>
                  <w:tcW w:w="802" w:type="pct"/>
                  <w:vAlign w:val="center"/>
                </w:tcPr>
                <w:p w14:paraId="46D502C3">
                  <w:pPr>
                    <w:widowControl/>
                    <w:jc w:val="center"/>
                    <w:rPr>
                      <w:rFonts w:cs="Times New Roman"/>
                      <w:bCs/>
                      <w:kern w:val="0"/>
                      <w:szCs w:val="21"/>
                    </w:rPr>
                  </w:pPr>
                  <w:r>
                    <w:rPr>
                      <w:rFonts w:hint="eastAsia"/>
                    </w:rPr>
                    <w:t>4004</w:t>
                  </w:r>
                </w:p>
              </w:tc>
            </w:tr>
            <w:tr w14:paraId="36E0B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1827061D">
                  <w:pPr>
                    <w:widowControl/>
                    <w:jc w:val="center"/>
                    <w:rPr>
                      <w:szCs w:val="21"/>
                    </w:rPr>
                  </w:pPr>
                  <w:r>
                    <w:rPr>
                      <w:rFonts w:hint="eastAsia"/>
                      <w:szCs w:val="21"/>
                    </w:rPr>
                    <w:t>7</w:t>
                  </w:r>
                </w:p>
              </w:tc>
              <w:tc>
                <w:tcPr>
                  <w:tcW w:w="1415" w:type="pct"/>
                  <w:shd w:val="clear" w:color="auto" w:fill="auto"/>
                  <w:vAlign w:val="center"/>
                </w:tcPr>
                <w:p w14:paraId="2C2256EF">
                  <w:pPr>
                    <w:widowControl/>
                    <w:jc w:val="center"/>
                    <w:rPr>
                      <w:szCs w:val="21"/>
                    </w:rPr>
                  </w:pPr>
                  <w:r>
                    <w:rPr>
                      <w:rFonts w:hint="eastAsia"/>
                    </w:rPr>
                    <w:t>机油</w:t>
                  </w:r>
                </w:p>
              </w:tc>
              <w:tc>
                <w:tcPr>
                  <w:tcW w:w="627" w:type="pct"/>
                  <w:vAlign w:val="center"/>
                </w:tcPr>
                <w:p w14:paraId="3C6DE4D8">
                  <w:pPr>
                    <w:widowControl/>
                    <w:jc w:val="center"/>
                    <w:rPr>
                      <w:rFonts w:cs="Times New Roman"/>
                      <w:bCs/>
                      <w:kern w:val="0"/>
                      <w:szCs w:val="21"/>
                    </w:rPr>
                  </w:pPr>
                  <w:r>
                    <w:rPr>
                      <w:rFonts w:hint="eastAsia"/>
                    </w:rPr>
                    <w:t>t</w:t>
                  </w:r>
                </w:p>
              </w:tc>
              <w:tc>
                <w:tcPr>
                  <w:tcW w:w="806" w:type="pct"/>
                  <w:vAlign w:val="center"/>
                </w:tcPr>
                <w:p w14:paraId="5EF0FA06">
                  <w:pPr>
                    <w:widowControl/>
                    <w:jc w:val="center"/>
                    <w:rPr>
                      <w:rFonts w:cs="Times New Roman"/>
                      <w:bCs/>
                      <w:kern w:val="0"/>
                      <w:szCs w:val="21"/>
                    </w:rPr>
                  </w:pPr>
                  <w:r>
                    <w:rPr>
                      <w:rFonts w:hint="eastAsia" w:cs="Times New Roman"/>
                      <w:bCs/>
                      <w:kern w:val="0"/>
                      <w:szCs w:val="21"/>
                    </w:rPr>
                    <w:t>0.1</w:t>
                  </w:r>
                </w:p>
              </w:tc>
              <w:tc>
                <w:tcPr>
                  <w:tcW w:w="806" w:type="pct"/>
                  <w:vAlign w:val="center"/>
                </w:tcPr>
                <w:p w14:paraId="5DB4A3ED">
                  <w:pPr>
                    <w:widowControl/>
                    <w:jc w:val="center"/>
                    <w:rPr>
                      <w:rFonts w:cs="Times New Roman"/>
                      <w:bCs/>
                      <w:kern w:val="0"/>
                      <w:szCs w:val="21"/>
                    </w:rPr>
                  </w:pPr>
                  <w:r>
                    <w:rPr>
                      <w:rFonts w:hint="eastAsia"/>
                    </w:rPr>
                    <w:t>0.1</w:t>
                  </w:r>
                </w:p>
              </w:tc>
              <w:tc>
                <w:tcPr>
                  <w:tcW w:w="802" w:type="pct"/>
                  <w:vAlign w:val="center"/>
                </w:tcPr>
                <w:p w14:paraId="76019C94">
                  <w:pPr>
                    <w:widowControl/>
                    <w:jc w:val="center"/>
                    <w:rPr>
                      <w:rFonts w:cs="Times New Roman"/>
                      <w:bCs/>
                      <w:kern w:val="0"/>
                      <w:szCs w:val="21"/>
                    </w:rPr>
                  </w:pPr>
                  <w:r>
                    <w:rPr>
                      <w:rFonts w:hint="eastAsia" w:cs="Times New Roman"/>
                      <w:bCs/>
                      <w:kern w:val="0"/>
                      <w:szCs w:val="21"/>
                    </w:rPr>
                    <w:t>0.2</w:t>
                  </w:r>
                </w:p>
              </w:tc>
            </w:tr>
            <w:tr w14:paraId="0727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725DE28">
                  <w:pPr>
                    <w:widowControl/>
                    <w:jc w:val="center"/>
                    <w:rPr>
                      <w:szCs w:val="21"/>
                    </w:rPr>
                  </w:pPr>
                  <w:r>
                    <w:rPr>
                      <w:rFonts w:hint="eastAsia"/>
                      <w:szCs w:val="21"/>
                    </w:rPr>
                    <w:t>8</w:t>
                  </w:r>
                </w:p>
              </w:tc>
              <w:tc>
                <w:tcPr>
                  <w:tcW w:w="1415" w:type="pct"/>
                  <w:shd w:val="clear" w:color="auto" w:fill="auto"/>
                  <w:vAlign w:val="center"/>
                </w:tcPr>
                <w:p w14:paraId="32C898F9">
                  <w:pPr>
                    <w:widowControl/>
                    <w:jc w:val="center"/>
                    <w:rPr>
                      <w:szCs w:val="21"/>
                    </w:rPr>
                  </w:pPr>
                  <w:r>
                    <w:rPr>
                      <w:rFonts w:hint="eastAsia"/>
                    </w:rPr>
                    <w:t>劳保用品</w:t>
                  </w:r>
                </w:p>
              </w:tc>
              <w:tc>
                <w:tcPr>
                  <w:tcW w:w="627" w:type="pct"/>
                  <w:vAlign w:val="center"/>
                </w:tcPr>
                <w:p w14:paraId="54A14646">
                  <w:pPr>
                    <w:widowControl/>
                    <w:jc w:val="center"/>
                    <w:rPr>
                      <w:rFonts w:cs="Times New Roman"/>
                      <w:bCs/>
                      <w:kern w:val="0"/>
                      <w:szCs w:val="21"/>
                    </w:rPr>
                  </w:pPr>
                  <w:r>
                    <w:rPr>
                      <w:rFonts w:hint="eastAsia"/>
                    </w:rPr>
                    <w:t>t</w:t>
                  </w:r>
                </w:p>
              </w:tc>
              <w:tc>
                <w:tcPr>
                  <w:tcW w:w="806" w:type="pct"/>
                  <w:vAlign w:val="center"/>
                </w:tcPr>
                <w:p w14:paraId="4A11BFA6">
                  <w:pPr>
                    <w:widowControl/>
                    <w:jc w:val="center"/>
                    <w:rPr>
                      <w:rFonts w:cs="Times New Roman"/>
                      <w:bCs/>
                      <w:kern w:val="0"/>
                      <w:szCs w:val="21"/>
                    </w:rPr>
                  </w:pPr>
                  <w:r>
                    <w:rPr>
                      <w:rFonts w:hint="eastAsia" w:cs="Times New Roman"/>
                      <w:bCs/>
                      <w:kern w:val="0"/>
                      <w:szCs w:val="21"/>
                    </w:rPr>
                    <w:t>0</w:t>
                  </w:r>
                </w:p>
              </w:tc>
              <w:tc>
                <w:tcPr>
                  <w:tcW w:w="806" w:type="pct"/>
                  <w:vAlign w:val="center"/>
                </w:tcPr>
                <w:p w14:paraId="25F22371">
                  <w:pPr>
                    <w:widowControl/>
                    <w:jc w:val="center"/>
                    <w:rPr>
                      <w:rFonts w:cs="Times New Roman"/>
                      <w:bCs/>
                      <w:kern w:val="0"/>
                      <w:szCs w:val="21"/>
                    </w:rPr>
                  </w:pPr>
                  <w:r>
                    <w:rPr>
                      <w:rFonts w:hint="eastAsia"/>
                    </w:rPr>
                    <w:t>0.02</w:t>
                  </w:r>
                </w:p>
              </w:tc>
              <w:tc>
                <w:tcPr>
                  <w:tcW w:w="802" w:type="pct"/>
                  <w:vAlign w:val="center"/>
                </w:tcPr>
                <w:p w14:paraId="55465B40">
                  <w:pPr>
                    <w:widowControl/>
                    <w:jc w:val="center"/>
                    <w:rPr>
                      <w:rFonts w:cs="Times New Roman"/>
                      <w:bCs/>
                      <w:kern w:val="0"/>
                      <w:szCs w:val="21"/>
                    </w:rPr>
                  </w:pPr>
                  <w:r>
                    <w:rPr>
                      <w:rFonts w:hint="eastAsia"/>
                    </w:rPr>
                    <w:t>0.02</w:t>
                  </w:r>
                </w:p>
              </w:tc>
            </w:tr>
            <w:tr w14:paraId="141A9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1136065C">
                  <w:pPr>
                    <w:widowControl/>
                    <w:jc w:val="center"/>
                    <w:rPr>
                      <w:szCs w:val="21"/>
                    </w:rPr>
                  </w:pPr>
                  <w:r>
                    <w:rPr>
                      <w:rFonts w:hint="eastAsia"/>
                      <w:szCs w:val="21"/>
                    </w:rPr>
                    <w:t>9</w:t>
                  </w:r>
                </w:p>
              </w:tc>
              <w:tc>
                <w:tcPr>
                  <w:tcW w:w="1415" w:type="pct"/>
                  <w:shd w:val="clear" w:color="auto" w:fill="auto"/>
                  <w:vAlign w:val="center"/>
                </w:tcPr>
                <w:p w14:paraId="609EA7E6">
                  <w:pPr>
                    <w:widowControl/>
                    <w:jc w:val="center"/>
                    <w:rPr>
                      <w:szCs w:val="21"/>
                    </w:rPr>
                  </w:pPr>
                  <w:r>
                    <w:rPr>
                      <w:rFonts w:hint="eastAsia"/>
                      <w:szCs w:val="21"/>
                    </w:rPr>
                    <w:t>半成品瓶身</w:t>
                  </w:r>
                </w:p>
              </w:tc>
              <w:tc>
                <w:tcPr>
                  <w:tcW w:w="627" w:type="pct"/>
                </w:tcPr>
                <w:p w14:paraId="419C1066">
                  <w:pPr>
                    <w:widowControl/>
                    <w:jc w:val="center"/>
                    <w:rPr>
                      <w:rFonts w:cs="Times New Roman"/>
                      <w:bCs/>
                      <w:kern w:val="0"/>
                      <w:szCs w:val="21"/>
                    </w:rPr>
                  </w:pPr>
                  <w:r>
                    <w:rPr>
                      <w:rFonts w:hint="eastAsia" w:cs="Times New Roman"/>
                      <w:bCs/>
                      <w:kern w:val="0"/>
                      <w:szCs w:val="21"/>
                    </w:rPr>
                    <w:t>万个</w:t>
                  </w:r>
                </w:p>
              </w:tc>
              <w:tc>
                <w:tcPr>
                  <w:tcW w:w="806" w:type="pct"/>
                  <w:vAlign w:val="center"/>
                </w:tcPr>
                <w:p w14:paraId="1B2DFDD6">
                  <w:pPr>
                    <w:widowControl/>
                    <w:jc w:val="center"/>
                    <w:rPr>
                      <w:rFonts w:cs="Times New Roman"/>
                      <w:bCs/>
                      <w:kern w:val="0"/>
                      <w:szCs w:val="21"/>
                    </w:rPr>
                  </w:pPr>
                  <w:r>
                    <w:rPr>
                      <w:rFonts w:hint="eastAsia" w:cs="Times New Roman"/>
                      <w:bCs/>
                      <w:kern w:val="0"/>
                      <w:szCs w:val="21"/>
                    </w:rPr>
                    <w:t>1800</w:t>
                  </w:r>
                </w:p>
              </w:tc>
              <w:tc>
                <w:tcPr>
                  <w:tcW w:w="806" w:type="pct"/>
                </w:tcPr>
                <w:p w14:paraId="4E6FB9FB">
                  <w:pPr>
                    <w:widowControl/>
                    <w:jc w:val="center"/>
                    <w:rPr>
                      <w:rFonts w:cs="Times New Roman"/>
                      <w:bCs/>
                      <w:kern w:val="0"/>
                      <w:szCs w:val="21"/>
                    </w:rPr>
                  </w:pPr>
                  <w:r>
                    <w:rPr>
                      <w:rFonts w:hint="eastAsia" w:cs="Times New Roman"/>
                      <w:bCs/>
                      <w:kern w:val="0"/>
                      <w:szCs w:val="21"/>
                    </w:rPr>
                    <w:t>0</w:t>
                  </w:r>
                </w:p>
              </w:tc>
              <w:tc>
                <w:tcPr>
                  <w:tcW w:w="802" w:type="pct"/>
                  <w:vAlign w:val="center"/>
                </w:tcPr>
                <w:p w14:paraId="2F3EB7B6">
                  <w:pPr>
                    <w:widowControl/>
                    <w:jc w:val="center"/>
                    <w:rPr>
                      <w:rFonts w:cs="Times New Roman"/>
                      <w:bCs/>
                      <w:kern w:val="0"/>
                      <w:szCs w:val="21"/>
                    </w:rPr>
                  </w:pPr>
                  <w:r>
                    <w:rPr>
                      <w:rFonts w:hint="eastAsia" w:cs="Times New Roman"/>
                      <w:bCs/>
                      <w:kern w:val="0"/>
                      <w:szCs w:val="21"/>
                    </w:rPr>
                    <w:t>1800</w:t>
                  </w:r>
                </w:p>
              </w:tc>
            </w:tr>
            <w:tr w14:paraId="664C0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5C6C9287">
                  <w:pPr>
                    <w:widowControl/>
                    <w:jc w:val="center"/>
                    <w:rPr>
                      <w:szCs w:val="21"/>
                    </w:rPr>
                  </w:pPr>
                  <w:r>
                    <w:rPr>
                      <w:rFonts w:hint="eastAsia"/>
                      <w:szCs w:val="21"/>
                    </w:rPr>
                    <w:t>10</w:t>
                  </w:r>
                </w:p>
              </w:tc>
              <w:tc>
                <w:tcPr>
                  <w:tcW w:w="1415" w:type="pct"/>
                  <w:shd w:val="clear" w:color="auto" w:fill="auto"/>
                  <w:vAlign w:val="center"/>
                </w:tcPr>
                <w:p w14:paraId="4C3E2759">
                  <w:pPr>
                    <w:widowControl/>
                    <w:jc w:val="center"/>
                    <w:rPr>
                      <w:szCs w:val="21"/>
                    </w:rPr>
                  </w:pPr>
                  <w:r>
                    <w:rPr>
                      <w:rFonts w:hint="eastAsia"/>
                      <w:szCs w:val="21"/>
                    </w:rPr>
                    <w:t>半成品瓶盖</w:t>
                  </w:r>
                </w:p>
              </w:tc>
              <w:tc>
                <w:tcPr>
                  <w:tcW w:w="627" w:type="pct"/>
                </w:tcPr>
                <w:p w14:paraId="0778672A">
                  <w:pPr>
                    <w:widowControl/>
                    <w:jc w:val="center"/>
                    <w:rPr>
                      <w:rFonts w:cs="Times New Roman"/>
                      <w:bCs/>
                      <w:kern w:val="0"/>
                      <w:szCs w:val="21"/>
                    </w:rPr>
                  </w:pPr>
                  <w:r>
                    <w:rPr>
                      <w:rFonts w:hint="eastAsia" w:cs="Times New Roman"/>
                      <w:bCs/>
                      <w:kern w:val="0"/>
                      <w:szCs w:val="21"/>
                    </w:rPr>
                    <w:t>万个</w:t>
                  </w:r>
                </w:p>
              </w:tc>
              <w:tc>
                <w:tcPr>
                  <w:tcW w:w="806" w:type="pct"/>
                  <w:vAlign w:val="center"/>
                </w:tcPr>
                <w:p w14:paraId="311A63F7">
                  <w:pPr>
                    <w:widowControl/>
                    <w:jc w:val="center"/>
                    <w:rPr>
                      <w:rFonts w:cs="Times New Roman"/>
                      <w:bCs/>
                      <w:kern w:val="0"/>
                      <w:szCs w:val="21"/>
                    </w:rPr>
                  </w:pPr>
                  <w:r>
                    <w:rPr>
                      <w:rFonts w:hint="eastAsia" w:cs="Times New Roman"/>
                      <w:bCs/>
                      <w:kern w:val="0"/>
                      <w:szCs w:val="21"/>
                    </w:rPr>
                    <w:t>400</w:t>
                  </w:r>
                </w:p>
              </w:tc>
              <w:tc>
                <w:tcPr>
                  <w:tcW w:w="806" w:type="pct"/>
                </w:tcPr>
                <w:p w14:paraId="5C79CCED">
                  <w:pPr>
                    <w:widowControl/>
                    <w:jc w:val="center"/>
                    <w:rPr>
                      <w:rFonts w:cs="Times New Roman"/>
                      <w:bCs/>
                      <w:kern w:val="0"/>
                      <w:szCs w:val="21"/>
                    </w:rPr>
                  </w:pPr>
                  <w:r>
                    <w:rPr>
                      <w:rFonts w:hint="eastAsia" w:cs="Times New Roman"/>
                      <w:bCs/>
                      <w:kern w:val="0"/>
                      <w:szCs w:val="21"/>
                    </w:rPr>
                    <w:t>0</w:t>
                  </w:r>
                </w:p>
              </w:tc>
              <w:tc>
                <w:tcPr>
                  <w:tcW w:w="802" w:type="pct"/>
                  <w:vAlign w:val="center"/>
                </w:tcPr>
                <w:p w14:paraId="47B783E7">
                  <w:pPr>
                    <w:widowControl/>
                    <w:jc w:val="center"/>
                    <w:rPr>
                      <w:rFonts w:cs="Times New Roman"/>
                      <w:bCs/>
                      <w:kern w:val="0"/>
                      <w:szCs w:val="21"/>
                    </w:rPr>
                  </w:pPr>
                  <w:r>
                    <w:rPr>
                      <w:rFonts w:hint="eastAsia" w:cs="Times New Roman"/>
                      <w:bCs/>
                      <w:kern w:val="0"/>
                      <w:szCs w:val="21"/>
                    </w:rPr>
                    <w:t>400</w:t>
                  </w:r>
                </w:p>
              </w:tc>
            </w:tr>
            <w:tr w14:paraId="740A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0E8E7DC6">
                  <w:pPr>
                    <w:widowControl/>
                    <w:jc w:val="center"/>
                    <w:rPr>
                      <w:szCs w:val="21"/>
                    </w:rPr>
                  </w:pPr>
                  <w:r>
                    <w:rPr>
                      <w:rFonts w:hint="eastAsia"/>
                      <w:szCs w:val="21"/>
                    </w:rPr>
                    <w:t>11</w:t>
                  </w:r>
                </w:p>
              </w:tc>
              <w:tc>
                <w:tcPr>
                  <w:tcW w:w="1415" w:type="pct"/>
                  <w:shd w:val="clear" w:color="auto" w:fill="auto"/>
                  <w:vAlign w:val="center"/>
                </w:tcPr>
                <w:p w14:paraId="0B7BC842">
                  <w:pPr>
                    <w:widowControl/>
                    <w:jc w:val="center"/>
                    <w:rPr>
                      <w:szCs w:val="21"/>
                    </w:rPr>
                  </w:pPr>
                  <w:r>
                    <w:rPr>
                      <w:rFonts w:hint="eastAsia"/>
                      <w:szCs w:val="21"/>
                    </w:rPr>
                    <w:t>包装材料</w:t>
                  </w:r>
                </w:p>
              </w:tc>
              <w:tc>
                <w:tcPr>
                  <w:tcW w:w="627" w:type="pct"/>
                </w:tcPr>
                <w:p w14:paraId="26BE4FB7">
                  <w:pPr>
                    <w:widowControl/>
                    <w:jc w:val="center"/>
                    <w:rPr>
                      <w:rFonts w:cs="Times New Roman"/>
                      <w:bCs/>
                      <w:kern w:val="0"/>
                      <w:szCs w:val="21"/>
                    </w:rPr>
                  </w:pPr>
                  <w:r>
                    <w:rPr>
                      <w:rFonts w:hint="eastAsia"/>
                    </w:rPr>
                    <w:t>t</w:t>
                  </w:r>
                </w:p>
              </w:tc>
              <w:tc>
                <w:tcPr>
                  <w:tcW w:w="806" w:type="pct"/>
                  <w:vAlign w:val="center"/>
                </w:tcPr>
                <w:p w14:paraId="6E04DABF">
                  <w:pPr>
                    <w:widowControl/>
                    <w:jc w:val="center"/>
                    <w:rPr>
                      <w:rFonts w:cs="Times New Roman"/>
                      <w:bCs/>
                      <w:kern w:val="0"/>
                      <w:szCs w:val="21"/>
                    </w:rPr>
                  </w:pPr>
                  <w:r>
                    <w:rPr>
                      <w:rFonts w:hint="eastAsia" w:cs="Times New Roman"/>
                      <w:bCs/>
                      <w:kern w:val="0"/>
                      <w:szCs w:val="21"/>
                    </w:rPr>
                    <w:t>25</w:t>
                  </w:r>
                </w:p>
              </w:tc>
              <w:tc>
                <w:tcPr>
                  <w:tcW w:w="806" w:type="pct"/>
                </w:tcPr>
                <w:p w14:paraId="4B48C53A">
                  <w:pPr>
                    <w:widowControl/>
                    <w:jc w:val="center"/>
                    <w:rPr>
                      <w:rFonts w:cs="Times New Roman"/>
                      <w:bCs/>
                      <w:kern w:val="0"/>
                      <w:szCs w:val="21"/>
                    </w:rPr>
                  </w:pPr>
                  <w:r>
                    <w:rPr>
                      <w:rFonts w:hint="eastAsia" w:cs="Times New Roman"/>
                      <w:bCs/>
                      <w:kern w:val="0"/>
                      <w:szCs w:val="21"/>
                    </w:rPr>
                    <w:t>0</w:t>
                  </w:r>
                </w:p>
              </w:tc>
              <w:tc>
                <w:tcPr>
                  <w:tcW w:w="802" w:type="pct"/>
                  <w:vAlign w:val="center"/>
                </w:tcPr>
                <w:p w14:paraId="41C31504">
                  <w:pPr>
                    <w:widowControl/>
                    <w:jc w:val="center"/>
                    <w:rPr>
                      <w:rFonts w:cs="Times New Roman"/>
                      <w:bCs/>
                      <w:kern w:val="0"/>
                      <w:szCs w:val="21"/>
                    </w:rPr>
                  </w:pPr>
                  <w:r>
                    <w:rPr>
                      <w:rFonts w:hint="eastAsia" w:cs="Times New Roman"/>
                      <w:bCs/>
                      <w:kern w:val="0"/>
                      <w:szCs w:val="21"/>
                    </w:rPr>
                    <w:t>25</w:t>
                  </w:r>
                </w:p>
              </w:tc>
            </w:tr>
            <w:tr w14:paraId="5B50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42296DE0">
                  <w:pPr>
                    <w:widowControl/>
                    <w:jc w:val="center"/>
                    <w:rPr>
                      <w:szCs w:val="21"/>
                    </w:rPr>
                  </w:pPr>
                  <w:r>
                    <w:rPr>
                      <w:rFonts w:hint="eastAsia"/>
                      <w:szCs w:val="21"/>
                    </w:rPr>
                    <w:t>12</w:t>
                  </w:r>
                </w:p>
              </w:tc>
              <w:tc>
                <w:tcPr>
                  <w:tcW w:w="1415" w:type="pct"/>
                  <w:shd w:val="clear" w:color="auto" w:fill="auto"/>
                  <w:vAlign w:val="center"/>
                </w:tcPr>
                <w:p w14:paraId="4A68FC92">
                  <w:pPr>
                    <w:widowControl/>
                    <w:jc w:val="center"/>
                    <w:rPr>
                      <w:szCs w:val="21"/>
                    </w:rPr>
                  </w:pPr>
                  <w:r>
                    <w:rPr>
                      <w:rFonts w:hint="eastAsia"/>
                      <w:szCs w:val="21"/>
                    </w:rPr>
                    <w:t>UV清漆（底漆）</w:t>
                  </w:r>
                </w:p>
              </w:tc>
              <w:tc>
                <w:tcPr>
                  <w:tcW w:w="627" w:type="pct"/>
                </w:tcPr>
                <w:p w14:paraId="38AE50D8">
                  <w:pPr>
                    <w:widowControl/>
                    <w:jc w:val="center"/>
                    <w:rPr>
                      <w:rFonts w:cs="Times New Roman"/>
                      <w:bCs/>
                      <w:kern w:val="0"/>
                      <w:szCs w:val="21"/>
                    </w:rPr>
                  </w:pPr>
                  <w:r>
                    <w:rPr>
                      <w:rFonts w:hint="eastAsia"/>
                    </w:rPr>
                    <w:t>t</w:t>
                  </w:r>
                </w:p>
              </w:tc>
              <w:tc>
                <w:tcPr>
                  <w:tcW w:w="806" w:type="pct"/>
                  <w:vAlign w:val="center"/>
                </w:tcPr>
                <w:p w14:paraId="12604636">
                  <w:pPr>
                    <w:widowControl/>
                    <w:jc w:val="center"/>
                    <w:rPr>
                      <w:rFonts w:cs="Times New Roman"/>
                      <w:bCs/>
                      <w:kern w:val="0"/>
                      <w:szCs w:val="21"/>
                    </w:rPr>
                  </w:pPr>
                  <w:r>
                    <w:rPr>
                      <w:rFonts w:hint="eastAsia" w:cs="Times New Roman"/>
                      <w:bCs/>
                      <w:kern w:val="0"/>
                      <w:szCs w:val="21"/>
                    </w:rPr>
                    <w:t>5.72</w:t>
                  </w:r>
                </w:p>
              </w:tc>
              <w:tc>
                <w:tcPr>
                  <w:tcW w:w="806" w:type="pct"/>
                </w:tcPr>
                <w:p w14:paraId="127253FF">
                  <w:pPr>
                    <w:widowControl/>
                    <w:jc w:val="center"/>
                    <w:rPr>
                      <w:rFonts w:cs="Times New Roman"/>
                      <w:bCs/>
                      <w:kern w:val="0"/>
                      <w:szCs w:val="21"/>
                    </w:rPr>
                  </w:pPr>
                  <w:r>
                    <w:rPr>
                      <w:rFonts w:hint="eastAsia" w:cs="Times New Roman"/>
                      <w:bCs/>
                      <w:kern w:val="0"/>
                      <w:szCs w:val="21"/>
                    </w:rPr>
                    <w:t>0</w:t>
                  </w:r>
                </w:p>
              </w:tc>
              <w:tc>
                <w:tcPr>
                  <w:tcW w:w="802" w:type="pct"/>
                  <w:vAlign w:val="center"/>
                </w:tcPr>
                <w:p w14:paraId="470D10F6">
                  <w:pPr>
                    <w:widowControl/>
                    <w:jc w:val="center"/>
                    <w:rPr>
                      <w:rFonts w:cs="Times New Roman"/>
                      <w:bCs/>
                      <w:kern w:val="0"/>
                      <w:szCs w:val="21"/>
                    </w:rPr>
                  </w:pPr>
                  <w:r>
                    <w:rPr>
                      <w:rFonts w:hint="eastAsia" w:cs="Times New Roman"/>
                      <w:bCs/>
                      <w:kern w:val="0"/>
                      <w:szCs w:val="21"/>
                    </w:rPr>
                    <w:t>5.72</w:t>
                  </w:r>
                </w:p>
              </w:tc>
            </w:tr>
            <w:tr w14:paraId="690E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3DCF91DD">
                  <w:pPr>
                    <w:widowControl/>
                    <w:jc w:val="center"/>
                    <w:rPr>
                      <w:szCs w:val="21"/>
                    </w:rPr>
                  </w:pPr>
                  <w:r>
                    <w:rPr>
                      <w:rFonts w:hint="eastAsia"/>
                      <w:szCs w:val="21"/>
                    </w:rPr>
                    <w:t>13</w:t>
                  </w:r>
                </w:p>
              </w:tc>
              <w:tc>
                <w:tcPr>
                  <w:tcW w:w="1415" w:type="pct"/>
                  <w:shd w:val="clear" w:color="auto" w:fill="auto"/>
                  <w:vAlign w:val="center"/>
                </w:tcPr>
                <w:p w14:paraId="5F1B98C2">
                  <w:pPr>
                    <w:widowControl/>
                    <w:jc w:val="center"/>
                    <w:rPr>
                      <w:szCs w:val="21"/>
                    </w:rPr>
                  </w:pPr>
                  <w:r>
                    <w:rPr>
                      <w:rFonts w:hint="eastAsia"/>
                      <w:szCs w:val="21"/>
                    </w:rPr>
                    <w:t>细银浆漆（面漆）</w:t>
                  </w:r>
                </w:p>
              </w:tc>
              <w:tc>
                <w:tcPr>
                  <w:tcW w:w="627" w:type="pct"/>
                </w:tcPr>
                <w:p w14:paraId="40C043A3">
                  <w:pPr>
                    <w:widowControl/>
                    <w:jc w:val="center"/>
                    <w:rPr>
                      <w:rFonts w:cs="Times New Roman"/>
                      <w:bCs/>
                      <w:kern w:val="0"/>
                      <w:szCs w:val="21"/>
                    </w:rPr>
                  </w:pPr>
                  <w:r>
                    <w:rPr>
                      <w:rFonts w:hint="eastAsia"/>
                    </w:rPr>
                    <w:t>t</w:t>
                  </w:r>
                </w:p>
              </w:tc>
              <w:tc>
                <w:tcPr>
                  <w:tcW w:w="806" w:type="pct"/>
                  <w:vAlign w:val="center"/>
                </w:tcPr>
                <w:p w14:paraId="2AEF930B">
                  <w:pPr>
                    <w:widowControl/>
                    <w:jc w:val="center"/>
                    <w:rPr>
                      <w:rFonts w:cs="Times New Roman"/>
                      <w:bCs/>
                      <w:kern w:val="0"/>
                      <w:szCs w:val="21"/>
                    </w:rPr>
                  </w:pPr>
                  <w:r>
                    <w:rPr>
                      <w:rFonts w:hint="eastAsia" w:cs="Times New Roman"/>
                      <w:bCs/>
                      <w:kern w:val="0"/>
                      <w:szCs w:val="21"/>
                    </w:rPr>
                    <w:t>5.94</w:t>
                  </w:r>
                </w:p>
              </w:tc>
              <w:tc>
                <w:tcPr>
                  <w:tcW w:w="806" w:type="pct"/>
                </w:tcPr>
                <w:p w14:paraId="43E8C3C5">
                  <w:pPr>
                    <w:widowControl/>
                    <w:jc w:val="center"/>
                    <w:rPr>
                      <w:rFonts w:cs="Times New Roman"/>
                      <w:bCs/>
                      <w:kern w:val="0"/>
                      <w:szCs w:val="21"/>
                    </w:rPr>
                  </w:pPr>
                  <w:r>
                    <w:rPr>
                      <w:rFonts w:hint="eastAsia" w:cs="Times New Roman"/>
                      <w:bCs/>
                      <w:kern w:val="0"/>
                      <w:szCs w:val="21"/>
                    </w:rPr>
                    <w:t>0</w:t>
                  </w:r>
                </w:p>
              </w:tc>
              <w:tc>
                <w:tcPr>
                  <w:tcW w:w="802" w:type="pct"/>
                  <w:vAlign w:val="center"/>
                </w:tcPr>
                <w:p w14:paraId="53AB2DF0">
                  <w:pPr>
                    <w:widowControl/>
                    <w:jc w:val="center"/>
                    <w:rPr>
                      <w:rFonts w:cs="Times New Roman"/>
                      <w:bCs/>
                      <w:kern w:val="0"/>
                      <w:szCs w:val="21"/>
                    </w:rPr>
                  </w:pPr>
                  <w:r>
                    <w:rPr>
                      <w:rFonts w:hint="eastAsia" w:cs="Times New Roman"/>
                      <w:bCs/>
                      <w:kern w:val="0"/>
                      <w:szCs w:val="21"/>
                    </w:rPr>
                    <w:t>5.94</w:t>
                  </w:r>
                </w:p>
              </w:tc>
            </w:tr>
            <w:tr w14:paraId="173F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64DA44E">
                  <w:pPr>
                    <w:widowControl/>
                    <w:jc w:val="center"/>
                    <w:rPr>
                      <w:szCs w:val="21"/>
                    </w:rPr>
                  </w:pPr>
                  <w:r>
                    <w:rPr>
                      <w:rFonts w:hint="eastAsia"/>
                      <w:szCs w:val="21"/>
                    </w:rPr>
                    <w:t>14</w:t>
                  </w:r>
                </w:p>
              </w:tc>
              <w:tc>
                <w:tcPr>
                  <w:tcW w:w="1415" w:type="pct"/>
                  <w:shd w:val="clear" w:color="auto" w:fill="auto"/>
                  <w:vAlign w:val="center"/>
                </w:tcPr>
                <w:p w14:paraId="4BA52EBC">
                  <w:pPr>
                    <w:widowControl/>
                    <w:jc w:val="center"/>
                    <w:rPr>
                      <w:szCs w:val="21"/>
                    </w:rPr>
                  </w:pPr>
                  <w:r>
                    <w:rPr>
                      <w:rFonts w:hint="eastAsia"/>
                      <w:szCs w:val="21"/>
                    </w:rPr>
                    <w:t>水性工业漆（底面漆）</w:t>
                  </w:r>
                </w:p>
              </w:tc>
              <w:tc>
                <w:tcPr>
                  <w:tcW w:w="627" w:type="pct"/>
                </w:tcPr>
                <w:p w14:paraId="1AFEB971">
                  <w:pPr>
                    <w:widowControl/>
                    <w:jc w:val="center"/>
                    <w:rPr>
                      <w:rFonts w:cs="Times New Roman"/>
                      <w:bCs/>
                      <w:kern w:val="0"/>
                      <w:szCs w:val="21"/>
                    </w:rPr>
                  </w:pPr>
                  <w:r>
                    <w:rPr>
                      <w:rFonts w:hint="eastAsia"/>
                    </w:rPr>
                    <w:t>t</w:t>
                  </w:r>
                </w:p>
              </w:tc>
              <w:tc>
                <w:tcPr>
                  <w:tcW w:w="806" w:type="pct"/>
                  <w:vAlign w:val="center"/>
                </w:tcPr>
                <w:p w14:paraId="391CE10B">
                  <w:pPr>
                    <w:widowControl/>
                    <w:jc w:val="center"/>
                    <w:rPr>
                      <w:rFonts w:cs="Times New Roman"/>
                      <w:bCs/>
                      <w:kern w:val="0"/>
                      <w:szCs w:val="21"/>
                    </w:rPr>
                  </w:pPr>
                  <w:r>
                    <w:rPr>
                      <w:rFonts w:hint="eastAsia" w:cs="Times New Roman"/>
                      <w:bCs/>
                      <w:kern w:val="0"/>
                      <w:szCs w:val="21"/>
                    </w:rPr>
                    <w:t>73.5</w:t>
                  </w:r>
                </w:p>
              </w:tc>
              <w:tc>
                <w:tcPr>
                  <w:tcW w:w="806" w:type="pct"/>
                </w:tcPr>
                <w:p w14:paraId="23F2374B">
                  <w:pPr>
                    <w:widowControl/>
                    <w:jc w:val="center"/>
                    <w:rPr>
                      <w:rFonts w:cs="Times New Roman"/>
                      <w:bCs/>
                      <w:kern w:val="0"/>
                      <w:szCs w:val="21"/>
                    </w:rPr>
                  </w:pPr>
                  <w:r>
                    <w:rPr>
                      <w:rFonts w:hint="eastAsia" w:cs="Times New Roman"/>
                      <w:bCs/>
                      <w:kern w:val="0"/>
                      <w:szCs w:val="21"/>
                    </w:rPr>
                    <w:t>0</w:t>
                  </w:r>
                </w:p>
              </w:tc>
              <w:tc>
                <w:tcPr>
                  <w:tcW w:w="802" w:type="pct"/>
                  <w:vAlign w:val="center"/>
                </w:tcPr>
                <w:p w14:paraId="1E3FF8FD">
                  <w:pPr>
                    <w:widowControl/>
                    <w:jc w:val="center"/>
                    <w:rPr>
                      <w:rFonts w:cs="Times New Roman"/>
                      <w:bCs/>
                      <w:kern w:val="0"/>
                      <w:szCs w:val="21"/>
                    </w:rPr>
                  </w:pPr>
                  <w:r>
                    <w:rPr>
                      <w:rFonts w:hint="eastAsia" w:cs="Times New Roman"/>
                      <w:bCs/>
                      <w:kern w:val="0"/>
                      <w:szCs w:val="21"/>
                    </w:rPr>
                    <w:t>73.5</w:t>
                  </w:r>
                </w:p>
              </w:tc>
            </w:tr>
            <w:tr w14:paraId="2CDD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640DEEE4">
                  <w:pPr>
                    <w:widowControl/>
                    <w:jc w:val="center"/>
                    <w:rPr>
                      <w:szCs w:val="21"/>
                    </w:rPr>
                  </w:pPr>
                  <w:r>
                    <w:rPr>
                      <w:rFonts w:hint="eastAsia"/>
                      <w:szCs w:val="21"/>
                    </w:rPr>
                    <w:t>15</w:t>
                  </w:r>
                </w:p>
              </w:tc>
              <w:tc>
                <w:tcPr>
                  <w:tcW w:w="1415" w:type="pct"/>
                  <w:shd w:val="clear" w:color="auto" w:fill="auto"/>
                  <w:vAlign w:val="center"/>
                </w:tcPr>
                <w:p w14:paraId="05927C78">
                  <w:pPr>
                    <w:widowControl/>
                    <w:jc w:val="center"/>
                    <w:rPr>
                      <w:szCs w:val="21"/>
                    </w:rPr>
                  </w:pPr>
                  <w:r>
                    <w:rPr>
                      <w:rFonts w:hint="eastAsia" w:hAnsi="宋体"/>
                      <w:szCs w:val="21"/>
                    </w:rPr>
                    <w:t>清洗剂（醋酸丁酯）</w:t>
                  </w:r>
                </w:p>
              </w:tc>
              <w:tc>
                <w:tcPr>
                  <w:tcW w:w="627" w:type="pct"/>
                </w:tcPr>
                <w:p w14:paraId="5FBDC0B0">
                  <w:pPr>
                    <w:widowControl/>
                    <w:jc w:val="center"/>
                    <w:rPr>
                      <w:rFonts w:cs="Times New Roman"/>
                      <w:bCs/>
                      <w:kern w:val="0"/>
                      <w:szCs w:val="21"/>
                    </w:rPr>
                  </w:pPr>
                  <w:r>
                    <w:rPr>
                      <w:rFonts w:hint="eastAsia" w:cs="Times New Roman"/>
                      <w:bCs/>
                      <w:kern w:val="0"/>
                      <w:szCs w:val="21"/>
                    </w:rPr>
                    <w:t>L</w:t>
                  </w:r>
                </w:p>
              </w:tc>
              <w:tc>
                <w:tcPr>
                  <w:tcW w:w="806" w:type="pct"/>
                  <w:vAlign w:val="center"/>
                </w:tcPr>
                <w:p w14:paraId="0D960984">
                  <w:pPr>
                    <w:widowControl/>
                    <w:jc w:val="center"/>
                    <w:rPr>
                      <w:rFonts w:cs="Times New Roman"/>
                      <w:bCs/>
                      <w:kern w:val="0"/>
                      <w:szCs w:val="21"/>
                    </w:rPr>
                  </w:pPr>
                  <w:r>
                    <w:rPr>
                      <w:rFonts w:hint="eastAsia" w:cs="Times New Roman"/>
                      <w:bCs/>
                      <w:kern w:val="0"/>
                      <w:szCs w:val="21"/>
                    </w:rPr>
                    <w:t>90</w:t>
                  </w:r>
                </w:p>
              </w:tc>
              <w:tc>
                <w:tcPr>
                  <w:tcW w:w="806" w:type="pct"/>
                </w:tcPr>
                <w:p w14:paraId="4FF7BDCE">
                  <w:pPr>
                    <w:widowControl/>
                    <w:jc w:val="center"/>
                    <w:rPr>
                      <w:rFonts w:cs="Times New Roman"/>
                      <w:bCs/>
                      <w:kern w:val="0"/>
                      <w:szCs w:val="21"/>
                    </w:rPr>
                  </w:pPr>
                  <w:r>
                    <w:rPr>
                      <w:rFonts w:hint="eastAsia" w:cs="Times New Roman"/>
                      <w:bCs/>
                      <w:kern w:val="0"/>
                      <w:szCs w:val="21"/>
                    </w:rPr>
                    <w:t>0</w:t>
                  </w:r>
                </w:p>
              </w:tc>
              <w:tc>
                <w:tcPr>
                  <w:tcW w:w="802" w:type="pct"/>
                  <w:vAlign w:val="center"/>
                </w:tcPr>
                <w:p w14:paraId="6E397228">
                  <w:pPr>
                    <w:widowControl/>
                    <w:jc w:val="center"/>
                    <w:rPr>
                      <w:rFonts w:cs="Times New Roman"/>
                      <w:bCs/>
                      <w:kern w:val="0"/>
                      <w:szCs w:val="21"/>
                    </w:rPr>
                  </w:pPr>
                  <w:r>
                    <w:rPr>
                      <w:rFonts w:hint="eastAsia" w:cs="Times New Roman"/>
                      <w:bCs/>
                      <w:kern w:val="0"/>
                      <w:szCs w:val="21"/>
                    </w:rPr>
                    <w:t>90</w:t>
                  </w:r>
                </w:p>
              </w:tc>
            </w:tr>
            <w:tr w14:paraId="75B1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21858EA8">
                  <w:pPr>
                    <w:widowControl/>
                    <w:jc w:val="center"/>
                    <w:rPr>
                      <w:szCs w:val="21"/>
                    </w:rPr>
                  </w:pPr>
                  <w:r>
                    <w:rPr>
                      <w:rFonts w:hint="eastAsia"/>
                      <w:szCs w:val="21"/>
                    </w:rPr>
                    <w:t>16</w:t>
                  </w:r>
                </w:p>
              </w:tc>
              <w:tc>
                <w:tcPr>
                  <w:tcW w:w="1415" w:type="pct"/>
                  <w:shd w:val="clear" w:color="auto" w:fill="auto"/>
                  <w:vAlign w:val="center"/>
                </w:tcPr>
                <w:p w14:paraId="1BBE9A07">
                  <w:pPr>
                    <w:widowControl/>
                    <w:jc w:val="center"/>
                    <w:rPr>
                      <w:szCs w:val="21"/>
                    </w:rPr>
                  </w:pPr>
                  <w:r>
                    <w:rPr>
                      <w:rFonts w:hAnsi="宋体"/>
                      <w:szCs w:val="21"/>
                    </w:rPr>
                    <w:t>工业酒精</w:t>
                  </w:r>
                </w:p>
              </w:tc>
              <w:tc>
                <w:tcPr>
                  <w:tcW w:w="627" w:type="pct"/>
                </w:tcPr>
                <w:p w14:paraId="7A27AD98">
                  <w:pPr>
                    <w:widowControl/>
                    <w:jc w:val="center"/>
                    <w:rPr>
                      <w:rFonts w:cs="Times New Roman"/>
                      <w:bCs/>
                      <w:kern w:val="0"/>
                      <w:szCs w:val="21"/>
                    </w:rPr>
                  </w:pPr>
                  <w:r>
                    <w:rPr>
                      <w:rFonts w:hint="eastAsia"/>
                    </w:rPr>
                    <w:t>t</w:t>
                  </w:r>
                </w:p>
              </w:tc>
              <w:tc>
                <w:tcPr>
                  <w:tcW w:w="806" w:type="pct"/>
                  <w:vAlign w:val="center"/>
                </w:tcPr>
                <w:p w14:paraId="5F3BA31E">
                  <w:pPr>
                    <w:widowControl/>
                    <w:jc w:val="center"/>
                    <w:rPr>
                      <w:rFonts w:cs="Times New Roman"/>
                      <w:bCs/>
                      <w:kern w:val="0"/>
                      <w:szCs w:val="21"/>
                    </w:rPr>
                  </w:pPr>
                  <w:r>
                    <w:rPr>
                      <w:rFonts w:hint="eastAsia" w:cs="Times New Roman"/>
                      <w:bCs/>
                      <w:kern w:val="0"/>
                      <w:szCs w:val="21"/>
                    </w:rPr>
                    <w:t>0.36</w:t>
                  </w:r>
                </w:p>
              </w:tc>
              <w:tc>
                <w:tcPr>
                  <w:tcW w:w="806" w:type="pct"/>
                </w:tcPr>
                <w:p w14:paraId="0DED9C54">
                  <w:pPr>
                    <w:widowControl/>
                    <w:jc w:val="center"/>
                    <w:rPr>
                      <w:rFonts w:cs="Times New Roman"/>
                      <w:bCs/>
                      <w:kern w:val="0"/>
                      <w:szCs w:val="21"/>
                    </w:rPr>
                  </w:pPr>
                  <w:r>
                    <w:rPr>
                      <w:rFonts w:hint="eastAsia" w:cs="Times New Roman"/>
                      <w:bCs/>
                      <w:kern w:val="0"/>
                      <w:szCs w:val="21"/>
                    </w:rPr>
                    <w:t>0</w:t>
                  </w:r>
                </w:p>
              </w:tc>
              <w:tc>
                <w:tcPr>
                  <w:tcW w:w="802" w:type="pct"/>
                  <w:vAlign w:val="center"/>
                </w:tcPr>
                <w:p w14:paraId="6F93019A">
                  <w:pPr>
                    <w:widowControl/>
                    <w:jc w:val="center"/>
                    <w:rPr>
                      <w:rFonts w:cs="Times New Roman"/>
                      <w:bCs/>
                      <w:kern w:val="0"/>
                      <w:szCs w:val="21"/>
                    </w:rPr>
                  </w:pPr>
                  <w:r>
                    <w:rPr>
                      <w:rFonts w:hint="eastAsia" w:cs="Times New Roman"/>
                      <w:bCs/>
                      <w:kern w:val="0"/>
                      <w:szCs w:val="21"/>
                    </w:rPr>
                    <w:t>0.36</w:t>
                  </w:r>
                </w:p>
              </w:tc>
            </w:tr>
            <w:tr w14:paraId="7745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203AC81">
                  <w:pPr>
                    <w:widowControl/>
                    <w:jc w:val="center"/>
                    <w:rPr>
                      <w:szCs w:val="21"/>
                    </w:rPr>
                  </w:pPr>
                  <w:r>
                    <w:rPr>
                      <w:rFonts w:hint="eastAsia"/>
                      <w:szCs w:val="21"/>
                    </w:rPr>
                    <w:t>17</w:t>
                  </w:r>
                </w:p>
              </w:tc>
              <w:tc>
                <w:tcPr>
                  <w:tcW w:w="1415" w:type="pct"/>
                  <w:shd w:val="clear" w:color="auto" w:fill="auto"/>
                  <w:vAlign w:val="center"/>
                </w:tcPr>
                <w:p w14:paraId="11FDD02B">
                  <w:pPr>
                    <w:widowControl/>
                    <w:jc w:val="center"/>
                    <w:rPr>
                      <w:szCs w:val="21"/>
                    </w:rPr>
                  </w:pPr>
                  <w:r>
                    <w:rPr>
                      <w:rFonts w:hAnsi="宋体"/>
                      <w:szCs w:val="21"/>
                    </w:rPr>
                    <w:t>钨加热子</w:t>
                  </w:r>
                  <w:r>
                    <w:rPr>
                      <w:szCs w:val="21"/>
                    </w:rPr>
                    <w:t>NB6</w:t>
                  </w:r>
                </w:p>
              </w:tc>
              <w:tc>
                <w:tcPr>
                  <w:tcW w:w="627" w:type="pct"/>
                </w:tcPr>
                <w:p w14:paraId="5127CC79">
                  <w:pPr>
                    <w:widowControl/>
                    <w:jc w:val="center"/>
                    <w:rPr>
                      <w:rFonts w:cs="Times New Roman"/>
                      <w:bCs/>
                      <w:kern w:val="0"/>
                      <w:szCs w:val="21"/>
                    </w:rPr>
                  </w:pPr>
                  <w:r>
                    <w:rPr>
                      <w:rFonts w:hint="eastAsia"/>
                    </w:rPr>
                    <w:t>t</w:t>
                  </w:r>
                </w:p>
              </w:tc>
              <w:tc>
                <w:tcPr>
                  <w:tcW w:w="806" w:type="pct"/>
                  <w:vAlign w:val="center"/>
                </w:tcPr>
                <w:p w14:paraId="7EDC2967">
                  <w:pPr>
                    <w:widowControl/>
                    <w:jc w:val="center"/>
                    <w:rPr>
                      <w:rFonts w:cs="Times New Roman"/>
                      <w:bCs/>
                      <w:kern w:val="0"/>
                      <w:szCs w:val="21"/>
                    </w:rPr>
                  </w:pPr>
                  <w:r>
                    <w:rPr>
                      <w:rFonts w:hint="eastAsia" w:cs="Times New Roman"/>
                      <w:bCs/>
                      <w:kern w:val="0"/>
                      <w:szCs w:val="21"/>
                    </w:rPr>
                    <w:t>0.36</w:t>
                  </w:r>
                </w:p>
              </w:tc>
              <w:tc>
                <w:tcPr>
                  <w:tcW w:w="806" w:type="pct"/>
                </w:tcPr>
                <w:p w14:paraId="5F2D4063">
                  <w:pPr>
                    <w:widowControl/>
                    <w:jc w:val="center"/>
                    <w:rPr>
                      <w:rFonts w:cs="Times New Roman"/>
                      <w:bCs/>
                      <w:kern w:val="0"/>
                      <w:szCs w:val="21"/>
                    </w:rPr>
                  </w:pPr>
                  <w:r>
                    <w:rPr>
                      <w:rFonts w:hint="eastAsia" w:cs="Times New Roman"/>
                      <w:bCs/>
                      <w:kern w:val="0"/>
                      <w:szCs w:val="21"/>
                    </w:rPr>
                    <w:t>0</w:t>
                  </w:r>
                </w:p>
              </w:tc>
              <w:tc>
                <w:tcPr>
                  <w:tcW w:w="802" w:type="pct"/>
                  <w:vAlign w:val="center"/>
                </w:tcPr>
                <w:p w14:paraId="660C0C6D">
                  <w:pPr>
                    <w:widowControl/>
                    <w:jc w:val="center"/>
                    <w:rPr>
                      <w:rFonts w:cs="Times New Roman"/>
                      <w:bCs/>
                      <w:kern w:val="0"/>
                      <w:szCs w:val="21"/>
                    </w:rPr>
                  </w:pPr>
                  <w:r>
                    <w:rPr>
                      <w:rFonts w:hint="eastAsia" w:cs="Times New Roman"/>
                      <w:bCs/>
                      <w:kern w:val="0"/>
                      <w:szCs w:val="21"/>
                    </w:rPr>
                    <w:t>0.36</w:t>
                  </w:r>
                </w:p>
              </w:tc>
            </w:tr>
            <w:tr w14:paraId="2999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0A322C3E">
                  <w:pPr>
                    <w:widowControl/>
                    <w:jc w:val="center"/>
                    <w:rPr>
                      <w:szCs w:val="21"/>
                    </w:rPr>
                  </w:pPr>
                  <w:r>
                    <w:rPr>
                      <w:rFonts w:hint="eastAsia"/>
                      <w:szCs w:val="21"/>
                    </w:rPr>
                    <w:t>18</w:t>
                  </w:r>
                </w:p>
              </w:tc>
              <w:tc>
                <w:tcPr>
                  <w:tcW w:w="1415" w:type="pct"/>
                  <w:shd w:val="clear" w:color="auto" w:fill="auto"/>
                  <w:vAlign w:val="center"/>
                </w:tcPr>
                <w:p w14:paraId="41D7EC70">
                  <w:pPr>
                    <w:widowControl/>
                    <w:jc w:val="center"/>
                    <w:rPr>
                      <w:szCs w:val="21"/>
                    </w:rPr>
                  </w:pPr>
                  <w:r>
                    <w:rPr>
                      <w:rFonts w:hAnsi="宋体"/>
                      <w:szCs w:val="21"/>
                    </w:rPr>
                    <w:t>铝线</w:t>
                  </w:r>
                </w:p>
              </w:tc>
              <w:tc>
                <w:tcPr>
                  <w:tcW w:w="627" w:type="pct"/>
                </w:tcPr>
                <w:p w14:paraId="13965B15">
                  <w:pPr>
                    <w:widowControl/>
                    <w:jc w:val="center"/>
                    <w:rPr>
                      <w:rFonts w:cs="Times New Roman"/>
                      <w:bCs/>
                      <w:kern w:val="0"/>
                      <w:szCs w:val="21"/>
                    </w:rPr>
                  </w:pPr>
                  <w:r>
                    <w:rPr>
                      <w:rFonts w:hint="eastAsia"/>
                    </w:rPr>
                    <w:t>t</w:t>
                  </w:r>
                </w:p>
              </w:tc>
              <w:tc>
                <w:tcPr>
                  <w:tcW w:w="806" w:type="pct"/>
                  <w:vAlign w:val="center"/>
                </w:tcPr>
                <w:p w14:paraId="0A30F8AB">
                  <w:pPr>
                    <w:widowControl/>
                    <w:jc w:val="center"/>
                    <w:rPr>
                      <w:rFonts w:cs="Times New Roman"/>
                      <w:bCs/>
                      <w:kern w:val="0"/>
                      <w:szCs w:val="21"/>
                    </w:rPr>
                  </w:pPr>
                  <w:r>
                    <w:rPr>
                      <w:rFonts w:hint="eastAsia" w:cs="Times New Roman"/>
                      <w:bCs/>
                      <w:kern w:val="0"/>
                      <w:szCs w:val="21"/>
                    </w:rPr>
                    <w:t>0.18</w:t>
                  </w:r>
                </w:p>
              </w:tc>
              <w:tc>
                <w:tcPr>
                  <w:tcW w:w="806" w:type="pct"/>
                </w:tcPr>
                <w:p w14:paraId="13C068E7">
                  <w:pPr>
                    <w:widowControl/>
                    <w:jc w:val="center"/>
                    <w:rPr>
                      <w:rFonts w:cs="Times New Roman"/>
                      <w:bCs/>
                      <w:kern w:val="0"/>
                      <w:szCs w:val="21"/>
                    </w:rPr>
                  </w:pPr>
                  <w:r>
                    <w:rPr>
                      <w:rFonts w:hint="eastAsia" w:cs="Times New Roman"/>
                      <w:bCs/>
                      <w:kern w:val="0"/>
                      <w:szCs w:val="21"/>
                    </w:rPr>
                    <w:t>0</w:t>
                  </w:r>
                </w:p>
              </w:tc>
              <w:tc>
                <w:tcPr>
                  <w:tcW w:w="802" w:type="pct"/>
                  <w:vAlign w:val="center"/>
                </w:tcPr>
                <w:p w14:paraId="578522E9">
                  <w:pPr>
                    <w:widowControl/>
                    <w:jc w:val="center"/>
                    <w:rPr>
                      <w:rFonts w:cs="Times New Roman"/>
                      <w:bCs/>
                      <w:kern w:val="0"/>
                      <w:szCs w:val="21"/>
                    </w:rPr>
                  </w:pPr>
                  <w:r>
                    <w:rPr>
                      <w:rFonts w:hint="eastAsia" w:cs="Times New Roman"/>
                      <w:bCs/>
                      <w:kern w:val="0"/>
                      <w:szCs w:val="21"/>
                    </w:rPr>
                    <w:t>0.18</w:t>
                  </w:r>
                </w:p>
              </w:tc>
            </w:tr>
            <w:tr w14:paraId="42228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7E74993F">
                  <w:pPr>
                    <w:widowControl/>
                    <w:jc w:val="center"/>
                    <w:rPr>
                      <w:szCs w:val="21"/>
                    </w:rPr>
                  </w:pPr>
                  <w:r>
                    <w:rPr>
                      <w:rFonts w:hint="eastAsia"/>
                      <w:szCs w:val="21"/>
                    </w:rPr>
                    <w:t>19</w:t>
                  </w:r>
                </w:p>
              </w:tc>
              <w:tc>
                <w:tcPr>
                  <w:tcW w:w="1415" w:type="pct"/>
                  <w:shd w:val="clear" w:color="auto" w:fill="auto"/>
                  <w:vAlign w:val="center"/>
                </w:tcPr>
                <w:p w14:paraId="5A27EFD6">
                  <w:pPr>
                    <w:widowControl/>
                    <w:jc w:val="center"/>
                    <w:rPr>
                      <w:szCs w:val="21"/>
                    </w:rPr>
                  </w:pPr>
                  <w:r>
                    <w:rPr>
                      <w:rFonts w:hint="eastAsia"/>
                      <w:szCs w:val="21"/>
                    </w:rPr>
                    <w:t>天然气</w:t>
                  </w:r>
                </w:p>
              </w:tc>
              <w:tc>
                <w:tcPr>
                  <w:tcW w:w="627" w:type="pct"/>
                </w:tcPr>
                <w:p w14:paraId="4928B896">
                  <w:pPr>
                    <w:widowControl/>
                    <w:jc w:val="center"/>
                    <w:rPr>
                      <w:rFonts w:cs="Times New Roman"/>
                      <w:bCs/>
                      <w:kern w:val="0"/>
                      <w:szCs w:val="21"/>
                    </w:rPr>
                  </w:pPr>
                  <w:r>
                    <w:rPr>
                      <w:rFonts w:hint="eastAsia"/>
                    </w:rPr>
                    <w:t>m</w:t>
                  </w:r>
                  <w:r>
                    <w:rPr>
                      <w:rFonts w:hint="eastAsia"/>
                      <w:vertAlign w:val="superscript"/>
                    </w:rPr>
                    <w:t>3</w:t>
                  </w:r>
                </w:p>
              </w:tc>
              <w:tc>
                <w:tcPr>
                  <w:tcW w:w="806" w:type="pct"/>
                  <w:vAlign w:val="center"/>
                </w:tcPr>
                <w:p w14:paraId="3A3E3626">
                  <w:pPr>
                    <w:widowControl/>
                    <w:jc w:val="center"/>
                    <w:rPr>
                      <w:rFonts w:cs="Times New Roman"/>
                      <w:bCs/>
                      <w:kern w:val="0"/>
                      <w:szCs w:val="21"/>
                    </w:rPr>
                  </w:pPr>
                  <w:r>
                    <w:rPr>
                      <w:rFonts w:hint="eastAsia"/>
                    </w:rPr>
                    <w:t>10500</w:t>
                  </w:r>
                </w:p>
              </w:tc>
              <w:tc>
                <w:tcPr>
                  <w:tcW w:w="806" w:type="pct"/>
                  <w:vAlign w:val="center"/>
                </w:tcPr>
                <w:p w14:paraId="7FB0199B">
                  <w:pPr>
                    <w:widowControl/>
                    <w:jc w:val="center"/>
                    <w:rPr>
                      <w:rFonts w:cs="Times New Roman"/>
                      <w:bCs/>
                      <w:kern w:val="0"/>
                      <w:szCs w:val="21"/>
                    </w:rPr>
                  </w:pPr>
                  <w:r>
                    <w:rPr>
                      <w:rFonts w:hint="eastAsia"/>
                    </w:rPr>
                    <w:t>3250</w:t>
                  </w:r>
                </w:p>
              </w:tc>
              <w:tc>
                <w:tcPr>
                  <w:tcW w:w="802" w:type="pct"/>
                  <w:vAlign w:val="center"/>
                </w:tcPr>
                <w:p w14:paraId="21D34C4B">
                  <w:pPr>
                    <w:widowControl/>
                    <w:jc w:val="center"/>
                    <w:rPr>
                      <w:rFonts w:cs="Times New Roman"/>
                      <w:bCs/>
                      <w:kern w:val="0"/>
                      <w:szCs w:val="21"/>
                    </w:rPr>
                  </w:pPr>
                  <w:r>
                    <w:rPr>
                      <w:rFonts w:hint="eastAsia" w:cs="Times New Roman"/>
                      <w:bCs/>
                      <w:kern w:val="0"/>
                      <w:szCs w:val="21"/>
                    </w:rPr>
                    <w:t>13750</w:t>
                  </w:r>
                </w:p>
              </w:tc>
            </w:tr>
            <w:tr w14:paraId="66F7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4" w:type="pct"/>
                  <w:vAlign w:val="center"/>
                </w:tcPr>
                <w:p w14:paraId="55048CAE">
                  <w:pPr>
                    <w:widowControl/>
                    <w:jc w:val="center"/>
                    <w:rPr>
                      <w:szCs w:val="21"/>
                    </w:rPr>
                  </w:pPr>
                  <w:r>
                    <w:rPr>
                      <w:rFonts w:hint="eastAsia"/>
                      <w:szCs w:val="21"/>
                    </w:rPr>
                    <w:t>20</w:t>
                  </w:r>
                </w:p>
              </w:tc>
              <w:tc>
                <w:tcPr>
                  <w:tcW w:w="1415" w:type="pct"/>
                  <w:shd w:val="clear" w:color="auto" w:fill="auto"/>
                  <w:vAlign w:val="center"/>
                </w:tcPr>
                <w:p w14:paraId="2A95DCD5">
                  <w:pPr>
                    <w:widowControl/>
                    <w:jc w:val="center"/>
                    <w:rPr>
                      <w:szCs w:val="21"/>
                    </w:rPr>
                  </w:pPr>
                  <w:r>
                    <w:rPr>
                      <w:rFonts w:hint="eastAsia"/>
                      <w:szCs w:val="21"/>
                    </w:rPr>
                    <w:t>水</w:t>
                  </w:r>
                </w:p>
              </w:tc>
              <w:tc>
                <w:tcPr>
                  <w:tcW w:w="627" w:type="pct"/>
                </w:tcPr>
                <w:p w14:paraId="5245A740">
                  <w:pPr>
                    <w:widowControl/>
                    <w:jc w:val="center"/>
                    <w:rPr>
                      <w:rFonts w:cs="Times New Roman"/>
                      <w:bCs/>
                      <w:kern w:val="0"/>
                      <w:szCs w:val="21"/>
                    </w:rPr>
                  </w:pPr>
                  <w:r>
                    <w:rPr>
                      <w:rFonts w:hint="eastAsia"/>
                    </w:rPr>
                    <w:t>m</w:t>
                  </w:r>
                  <w:r>
                    <w:rPr>
                      <w:rFonts w:hint="eastAsia"/>
                      <w:vertAlign w:val="superscript"/>
                    </w:rPr>
                    <w:t>3</w:t>
                  </w:r>
                </w:p>
              </w:tc>
              <w:tc>
                <w:tcPr>
                  <w:tcW w:w="806" w:type="pct"/>
                  <w:vAlign w:val="center"/>
                </w:tcPr>
                <w:p w14:paraId="552E3437">
                  <w:pPr>
                    <w:widowControl/>
                    <w:jc w:val="center"/>
                    <w:rPr>
                      <w:rFonts w:cs="Times New Roman"/>
                      <w:bCs/>
                      <w:kern w:val="0"/>
                      <w:szCs w:val="21"/>
                    </w:rPr>
                  </w:pPr>
                  <w:r>
                    <w:rPr>
                      <w:rFonts w:hint="eastAsia" w:cs="Times New Roman"/>
                      <w:bCs/>
                      <w:kern w:val="0"/>
                      <w:szCs w:val="21"/>
                    </w:rPr>
                    <w:t>3966.4</w:t>
                  </w:r>
                </w:p>
              </w:tc>
              <w:tc>
                <w:tcPr>
                  <w:tcW w:w="806" w:type="pct"/>
                  <w:vAlign w:val="center"/>
                </w:tcPr>
                <w:p w14:paraId="68960662">
                  <w:pPr>
                    <w:widowControl/>
                    <w:jc w:val="center"/>
                    <w:rPr>
                      <w:rFonts w:cs="Times New Roman"/>
                      <w:bCs/>
                      <w:kern w:val="0"/>
                      <w:szCs w:val="21"/>
                    </w:rPr>
                  </w:pPr>
                  <w:r>
                    <w:rPr>
                      <w:rFonts w:hint="eastAsia"/>
                    </w:rPr>
                    <w:t>1612.5</w:t>
                  </w:r>
                </w:p>
              </w:tc>
              <w:tc>
                <w:tcPr>
                  <w:tcW w:w="802" w:type="pct"/>
                  <w:vAlign w:val="center"/>
                </w:tcPr>
                <w:p w14:paraId="5E7FC6B9">
                  <w:pPr>
                    <w:widowControl/>
                    <w:jc w:val="center"/>
                    <w:rPr>
                      <w:rFonts w:cs="Times New Roman"/>
                      <w:bCs/>
                      <w:kern w:val="0"/>
                      <w:szCs w:val="21"/>
                    </w:rPr>
                  </w:pPr>
                  <w:r>
                    <w:rPr>
                      <w:rFonts w:hint="eastAsia" w:cs="Times New Roman"/>
                      <w:bCs/>
                      <w:kern w:val="0"/>
                      <w:szCs w:val="21"/>
                    </w:rPr>
                    <w:t>5578.9</w:t>
                  </w:r>
                </w:p>
              </w:tc>
            </w:tr>
          </w:tbl>
          <w:p w14:paraId="12A79BD1">
            <w:pPr>
              <w:spacing w:line="360" w:lineRule="auto"/>
              <w:ind w:firstLine="482" w:firstLineChars="200"/>
              <w:rPr>
                <w:b/>
                <w:sz w:val="24"/>
                <w:szCs w:val="24"/>
              </w:rPr>
            </w:pPr>
            <w:r>
              <w:rPr>
                <w:rFonts w:hint="eastAsia"/>
                <w:b/>
                <w:sz w:val="24"/>
                <w:szCs w:val="24"/>
              </w:rPr>
              <w:t>主要新增原辅料特性</w:t>
            </w:r>
            <w:r>
              <w:rPr>
                <w:b/>
                <w:sz w:val="24"/>
                <w:szCs w:val="24"/>
              </w:rPr>
              <w:t>：</w:t>
            </w:r>
          </w:p>
          <w:p w14:paraId="7DA8C692">
            <w:pPr>
              <w:spacing w:line="360" w:lineRule="auto"/>
              <w:ind w:firstLine="482" w:firstLineChars="200"/>
              <w:rPr>
                <w:b/>
                <w:sz w:val="24"/>
                <w:szCs w:val="24"/>
              </w:rPr>
            </w:pPr>
            <w:r>
              <w:rPr>
                <w:rFonts w:hint="eastAsia"/>
                <w:b/>
                <w:sz w:val="24"/>
                <w:szCs w:val="24"/>
              </w:rPr>
              <w:t>（1）ABS塑料</w:t>
            </w:r>
          </w:p>
          <w:p w14:paraId="4ED6BEC2">
            <w:pPr>
              <w:spacing w:line="360" w:lineRule="auto"/>
              <w:ind w:firstLine="480" w:firstLineChars="200"/>
              <w:rPr>
                <w:sz w:val="24"/>
                <w:szCs w:val="24"/>
              </w:rPr>
            </w:pPr>
            <w:r>
              <w:rPr>
                <w:sz w:val="24"/>
                <w:szCs w:val="24"/>
              </w:rPr>
              <w:t>ABS</w:t>
            </w:r>
            <w:r>
              <w:rPr>
                <w:rFonts w:hint="eastAsia"/>
                <w:sz w:val="24"/>
                <w:szCs w:val="24"/>
              </w:rPr>
              <w:t>塑料是丙烯腈、丁二烯、苯乙烯三种单体的三元共聚物，为淡树脂味乳白色固体，</w:t>
            </w:r>
            <w:r>
              <w:rPr>
                <w:rFonts w:cstheme="minorHAnsi"/>
                <w:sz w:val="24"/>
                <w:szCs w:val="24"/>
              </w:rPr>
              <w:t>密度为</w:t>
            </w:r>
            <w:r>
              <w:rPr>
                <w:rFonts w:hint="eastAsia" w:cstheme="minorHAnsi"/>
                <w:sz w:val="24"/>
                <w:szCs w:val="24"/>
              </w:rPr>
              <w:t>1.04</w:t>
            </w:r>
            <w:r>
              <w:rPr>
                <w:rFonts w:cstheme="minorHAnsi"/>
                <w:sz w:val="24"/>
                <w:szCs w:val="24"/>
              </w:rPr>
              <w:t>~1.</w:t>
            </w:r>
            <w:r>
              <w:rPr>
                <w:rFonts w:hint="eastAsia" w:cstheme="minorHAnsi"/>
                <w:sz w:val="24"/>
                <w:szCs w:val="24"/>
              </w:rPr>
              <w:t>055</w:t>
            </w:r>
            <w:r>
              <w:rPr>
                <w:rFonts w:cstheme="minorHAnsi"/>
                <w:sz w:val="24"/>
                <w:szCs w:val="24"/>
              </w:rPr>
              <w:t>g/cm</w:t>
            </w:r>
            <w:r>
              <w:rPr>
                <w:rFonts w:cstheme="minorHAnsi"/>
                <w:sz w:val="24"/>
                <w:szCs w:val="24"/>
                <w:vertAlign w:val="superscript"/>
              </w:rPr>
              <w:t>3</w:t>
            </w:r>
            <w:r>
              <w:rPr>
                <w:rFonts w:cstheme="minorHAnsi"/>
                <w:sz w:val="24"/>
                <w:szCs w:val="24"/>
              </w:rPr>
              <w:t>，</w:t>
            </w:r>
            <w:r>
              <w:rPr>
                <w:rFonts w:hint="eastAsia" w:cstheme="minorHAnsi"/>
                <w:sz w:val="24"/>
                <w:szCs w:val="24"/>
              </w:rPr>
              <w:t>热变形温度为93~118℃，熔点130</w:t>
            </w:r>
            <w:r>
              <w:rPr>
                <w:rFonts w:cstheme="minorHAnsi"/>
                <w:sz w:val="24"/>
                <w:szCs w:val="24"/>
              </w:rPr>
              <w:t>~</w:t>
            </w:r>
            <w:r>
              <w:rPr>
                <w:rFonts w:hint="eastAsia" w:cstheme="minorHAnsi"/>
                <w:sz w:val="24"/>
                <w:szCs w:val="24"/>
              </w:rPr>
              <w:t>200</w:t>
            </w:r>
            <w:r>
              <w:rPr>
                <w:rFonts w:cstheme="minorHAnsi"/>
                <w:sz w:val="24"/>
                <w:szCs w:val="24"/>
              </w:rPr>
              <w:t>℃，热分解温度&gt;250℃</w:t>
            </w:r>
            <w:r>
              <w:rPr>
                <w:rFonts w:hint="eastAsia"/>
                <w:sz w:val="24"/>
                <w:szCs w:val="24"/>
              </w:rPr>
              <w:t>，是一种原料易得、综合性能良好、价格便宜、用途广泛的“坚韧、质硬、刚性”材料。</w:t>
            </w:r>
          </w:p>
          <w:p w14:paraId="43116543">
            <w:pPr>
              <w:spacing w:line="360" w:lineRule="auto"/>
              <w:ind w:firstLine="482" w:firstLineChars="200"/>
              <w:rPr>
                <w:b/>
                <w:bCs/>
                <w:kern w:val="24"/>
                <w:sz w:val="24"/>
                <w:szCs w:val="24"/>
              </w:rPr>
            </w:pPr>
            <w:r>
              <w:rPr>
                <w:rFonts w:hint="eastAsia"/>
                <w:b/>
                <w:bCs/>
                <w:kern w:val="24"/>
                <w:sz w:val="24"/>
                <w:szCs w:val="24"/>
              </w:rPr>
              <w:t>（2）UV油墨</w:t>
            </w:r>
          </w:p>
          <w:p w14:paraId="13020048">
            <w:pPr>
              <w:spacing w:line="360" w:lineRule="auto"/>
              <w:ind w:firstLine="480" w:firstLineChars="200"/>
              <w:rPr>
                <w:rFonts w:cs="Times New Roman"/>
                <w:kern w:val="24"/>
                <w:sz w:val="24"/>
                <w:szCs w:val="24"/>
              </w:rPr>
            </w:pPr>
            <w:r>
              <w:rPr>
                <w:rFonts w:hint="eastAsia"/>
                <w:kern w:val="24"/>
                <w:sz w:val="24"/>
                <w:szCs w:val="24"/>
              </w:rPr>
              <w:t>本项目</w:t>
            </w:r>
            <w:r>
              <w:rPr>
                <w:rFonts w:cs="Times New Roman"/>
                <w:kern w:val="24"/>
                <w:sz w:val="24"/>
                <w:szCs w:val="24"/>
              </w:rPr>
              <w:t>丝印、热转印使用UV油墨，其是由预聚物（水基光固化树脂）、光引发剂、颜料和添加剂等配制而成的一种新型环保油墨，为黑色膏体。根据建设单位提供的《检测报告》，油墨中VOCs含量为0.8%，满足《油墨中可挥发性有机化合物</w:t>
            </w:r>
            <w:r>
              <w:rPr>
                <w:rFonts w:hint="eastAsia" w:cs="Times New Roman"/>
                <w:kern w:val="24"/>
                <w:sz w:val="24"/>
                <w:szCs w:val="24"/>
              </w:rPr>
              <w:t>（</w:t>
            </w:r>
            <w:r>
              <w:rPr>
                <w:rFonts w:cs="Times New Roman"/>
                <w:kern w:val="24"/>
                <w:sz w:val="24"/>
                <w:szCs w:val="24"/>
              </w:rPr>
              <w:t>VOCs</w:t>
            </w:r>
            <w:r>
              <w:rPr>
                <w:rFonts w:hint="eastAsia" w:cs="Times New Roman"/>
                <w:kern w:val="24"/>
                <w:sz w:val="24"/>
                <w:szCs w:val="24"/>
              </w:rPr>
              <w:t>）</w:t>
            </w:r>
            <w:r>
              <w:rPr>
                <w:rFonts w:cs="Times New Roman"/>
                <w:kern w:val="24"/>
                <w:sz w:val="24"/>
                <w:szCs w:val="24"/>
              </w:rPr>
              <w:t>含量的限值》（GB38507-2020）中能量固化油墨—网印油墨挥发性有机物（VOCs）含量限值（≤5%）。</w:t>
            </w:r>
          </w:p>
          <w:p w14:paraId="3869A60F">
            <w:pPr>
              <w:spacing w:line="360" w:lineRule="auto"/>
              <w:ind w:firstLine="482" w:firstLineChars="200"/>
              <w:rPr>
                <w:rFonts w:cs="Times New Roman"/>
                <w:b/>
                <w:sz w:val="24"/>
                <w:szCs w:val="24"/>
              </w:rPr>
            </w:pPr>
            <w:r>
              <w:rPr>
                <w:rFonts w:cs="Times New Roman"/>
                <w:b/>
                <w:sz w:val="24"/>
                <w:szCs w:val="24"/>
              </w:rPr>
              <w:t>8</w:t>
            </w:r>
            <w:r>
              <w:rPr>
                <w:rFonts w:hint="eastAsia" w:cs="Times New Roman"/>
                <w:b/>
                <w:sz w:val="24"/>
                <w:szCs w:val="24"/>
              </w:rPr>
              <w:t>、物料平衡和水平衡</w:t>
            </w:r>
          </w:p>
          <w:p w14:paraId="48146916">
            <w:pPr>
              <w:spacing w:line="360" w:lineRule="auto"/>
              <w:ind w:firstLine="482" w:firstLineChars="200"/>
              <w:rPr>
                <w:b/>
                <w:kern w:val="24"/>
                <w:sz w:val="24"/>
                <w:szCs w:val="24"/>
              </w:rPr>
            </w:pPr>
            <w:r>
              <w:rPr>
                <w:rFonts w:hint="eastAsia"/>
                <w:b/>
                <w:kern w:val="24"/>
                <w:sz w:val="24"/>
                <w:szCs w:val="24"/>
              </w:rPr>
              <w:t>（1）物料平衡</w:t>
            </w:r>
          </w:p>
          <w:p w14:paraId="52105073">
            <w:pPr>
              <w:spacing w:line="360" w:lineRule="auto"/>
              <w:ind w:firstLine="480" w:firstLineChars="200"/>
              <w:rPr>
                <w:kern w:val="24"/>
                <w:sz w:val="24"/>
                <w:szCs w:val="24"/>
              </w:rPr>
            </w:pPr>
            <w:r>
              <w:rPr>
                <w:rFonts w:hint="eastAsia"/>
                <w:kern w:val="24"/>
                <w:sz w:val="24"/>
                <w:szCs w:val="24"/>
              </w:rPr>
              <w:t>本项目物料平衡见下表。</w:t>
            </w:r>
          </w:p>
          <w:p w14:paraId="4D20E342">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项目物料平衡表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6"/>
              <w:gridCol w:w="2287"/>
              <w:gridCol w:w="2287"/>
              <w:gridCol w:w="2287"/>
            </w:tblGrid>
            <w:tr w14:paraId="1ACA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gridSpan w:val="2"/>
                  <w:vAlign w:val="center"/>
                </w:tcPr>
                <w:p w14:paraId="454D6D69">
                  <w:pPr>
                    <w:jc w:val="center"/>
                    <w:rPr>
                      <w:rFonts w:cs="Times New Roman"/>
                      <w:szCs w:val="21"/>
                    </w:rPr>
                  </w:pPr>
                  <w:r>
                    <w:rPr>
                      <w:rFonts w:hint="eastAsia" w:cs="Times New Roman"/>
                      <w:szCs w:val="21"/>
                    </w:rPr>
                    <w:t>投入</w:t>
                  </w:r>
                </w:p>
              </w:tc>
              <w:tc>
                <w:tcPr>
                  <w:tcW w:w="2500" w:type="pct"/>
                  <w:gridSpan w:val="2"/>
                  <w:vAlign w:val="center"/>
                </w:tcPr>
                <w:p w14:paraId="466B3B32">
                  <w:pPr>
                    <w:jc w:val="center"/>
                    <w:rPr>
                      <w:rFonts w:cs="Times New Roman"/>
                      <w:szCs w:val="21"/>
                    </w:rPr>
                  </w:pPr>
                  <w:r>
                    <w:rPr>
                      <w:rFonts w:hint="eastAsia" w:cs="Times New Roman"/>
                      <w:szCs w:val="21"/>
                    </w:rPr>
                    <w:t>产出</w:t>
                  </w:r>
                </w:p>
              </w:tc>
            </w:tr>
            <w:tr w14:paraId="27E0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7285E8E9">
                  <w:pPr>
                    <w:jc w:val="center"/>
                    <w:rPr>
                      <w:rFonts w:cs="Times New Roman"/>
                      <w:szCs w:val="21"/>
                    </w:rPr>
                  </w:pPr>
                  <w:r>
                    <w:rPr>
                      <w:rFonts w:hint="eastAsia" w:cs="Times New Roman"/>
                      <w:szCs w:val="21"/>
                    </w:rPr>
                    <w:t>原料名称</w:t>
                  </w:r>
                </w:p>
              </w:tc>
              <w:tc>
                <w:tcPr>
                  <w:tcW w:w="1250" w:type="pct"/>
                  <w:vAlign w:val="center"/>
                </w:tcPr>
                <w:p w14:paraId="16451793">
                  <w:pPr>
                    <w:jc w:val="center"/>
                    <w:rPr>
                      <w:rFonts w:cs="Times New Roman"/>
                      <w:szCs w:val="21"/>
                    </w:rPr>
                  </w:pPr>
                  <w:r>
                    <w:rPr>
                      <w:rFonts w:hint="eastAsia" w:cs="Times New Roman"/>
                      <w:szCs w:val="21"/>
                    </w:rPr>
                    <w:t>用量（t/a）</w:t>
                  </w:r>
                </w:p>
              </w:tc>
              <w:tc>
                <w:tcPr>
                  <w:tcW w:w="1250" w:type="pct"/>
                  <w:vAlign w:val="center"/>
                </w:tcPr>
                <w:p w14:paraId="73A62FA7">
                  <w:pPr>
                    <w:jc w:val="center"/>
                    <w:rPr>
                      <w:rFonts w:cs="Times New Roman"/>
                      <w:szCs w:val="21"/>
                    </w:rPr>
                  </w:pPr>
                  <w:r>
                    <w:rPr>
                      <w:rFonts w:hint="eastAsia" w:cs="Times New Roman"/>
                      <w:szCs w:val="21"/>
                    </w:rPr>
                    <w:t>产物名称</w:t>
                  </w:r>
                </w:p>
              </w:tc>
              <w:tc>
                <w:tcPr>
                  <w:tcW w:w="1250" w:type="pct"/>
                  <w:vAlign w:val="center"/>
                </w:tcPr>
                <w:p w14:paraId="497EFDEC">
                  <w:pPr>
                    <w:jc w:val="center"/>
                    <w:rPr>
                      <w:rFonts w:cs="Times New Roman"/>
                      <w:szCs w:val="21"/>
                    </w:rPr>
                  </w:pPr>
                  <w:r>
                    <w:rPr>
                      <w:rFonts w:hint="eastAsia" w:cs="Times New Roman"/>
                      <w:szCs w:val="21"/>
                    </w:rPr>
                    <w:t>产生量（t/a）</w:t>
                  </w:r>
                </w:p>
              </w:tc>
            </w:tr>
            <w:tr w14:paraId="7EAD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C87F67C">
                  <w:pPr>
                    <w:jc w:val="center"/>
                    <w:rPr>
                      <w:rFonts w:cs="Times New Roman"/>
                      <w:szCs w:val="21"/>
                    </w:rPr>
                  </w:pPr>
                  <w:r>
                    <w:rPr>
                      <w:rFonts w:hint="eastAsia"/>
                    </w:rPr>
                    <w:t>ABS</w:t>
                  </w:r>
                  <w:r>
                    <w:t>塑料</w:t>
                  </w:r>
                </w:p>
              </w:tc>
              <w:tc>
                <w:tcPr>
                  <w:tcW w:w="1250" w:type="pct"/>
                  <w:vAlign w:val="center"/>
                </w:tcPr>
                <w:p w14:paraId="6707ED1A">
                  <w:pPr>
                    <w:jc w:val="center"/>
                    <w:rPr>
                      <w:rFonts w:cs="Times New Roman"/>
                      <w:szCs w:val="21"/>
                    </w:rPr>
                  </w:pPr>
                  <w:r>
                    <w:t>1658.064</w:t>
                  </w:r>
                </w:p>
              </w:tc>
              <w:tc>
                <w:tcPr>
                  <w:tcW w:w="1250" w:type="pct"/>
                  <w:vAlign w:val="center"/>
                </w:tcPr>
                <w:p w14:paraId="361FFA87">
                  <w:pPr>
                    <w:jc w:val="center"/>
                    <w:rPr>
                      <w:rFonts w:cs="Times New Roman"/>
                      <w:szCs w:val="21"/>
                    </w:rPr>
                  </w:pPr>
                  <w:r>
                    <w:rPr>
                      <w:rFonts w:hint="eastAsia"/>
                      <w:szCs w:val="21"/>
                    </w:rPr>
                    <w:t>酒瓶外包装盒</w:t>
                  </w:r>
                </w:p>
              </w:tc>
              <w:tc>
                <w:tcPr>
                  <w:tcW w:w="1250" w:type="pct"/>
                  <w:vAlign w:val="center"/>
                </w:tcPr>
                <w:p w14:paraId="03DADF18">
                  <w:pPr>
                    <w:jc w:val="center"/>
                    <w:rPr>
                      <w:rFonts w:cs="Times New Roman"/>
                      <w:szCs w:val="21"/>
                    </w:rPr>
                  </w:pPr>
                  <w:r>
                    <w:rPr>
                      <w:rFonts w:hint="eastAsia" w:cs="Times New Roman"/>
                      <w:szCs w:val="21"/>
                    </w:rPr>
                    <w:t>1050</w:t>
                  </w:r>
                </w:p>
              </w:tc>
            </w:tr>
            <w:tr w14:paraId="7613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92BA9B0">
                  <w:pPr>
                    <w:jc w:val="center"/>
                    <w:rPr>
                      <w:rFonts w:cs="Times New Roman"/>
                      <w:szCs w:val="21"/>
                    </w:rPr>
                  </w:pPr>
                  <w:r>
                    <w:rPr>
                      <w:rFonts w:hint="eastAsia"/>
                    </w:rPr>
                    <w:t>UV油墨</w:t>
                  </w:r>
                </w:p>
              </w:tc>
              <w:tc>
                <w:tcPr>
                  <w:tcW w:w="1250" w:type="pct"/>
                  <w:vAlign w:val="center"/>
                </w:tcPr>
                <w:p w14:paraId="7B19B900">
                  <w:pPr>
                    <w:jc w:val="center"/>
                    <w:rPr>
                      <w:rFonts w:cs="Times New Roman"/>
                      <w:szCs w:val="21"/>
                    </w:rPr>
                  </w:pPr>
                  <w:r>
                    <w:rPr>
                      <w:rFonts w:hint="eastAsia"/>
                    </w:rPr>
                    <w:t>0.5</w:t>
                  </w:r>
                </w:p>
              </w:tc>
              <w:tc>
                <w:tcPr>
                  <w:tcW w:w="1250" w:type="pct"/>
                  <w:vAlign w:val="center"/>
                </w:tcPr>
                <w:p w14:paraId="24DB1CB4">
                  <w:pPr>
                    <w:jc w:val="center"/>
                    <w:rPr>
                      <w:rFonts w:cs="Times New Roman"/>
                      <w:szCs w:val="21"/>
                    </w:rPr>
                  </w:pPr>
                  <w:r>
                    <w:rPr>
                      <w:rFonts w:hint="eastAsia"/>
                      <w:szCs w:val="21"/>
                    </w:rPr>
                    <w:t>日用家电配件</w:t>
                  </w:r>
                </w:p>
              </w:tc>
              <w:tc>
                <w:tcPr>
                  <w:tcW w:w="1250" w:type="pct"/>
                  <w:vAlign w:val="center"/>
                </w:tcPr>
                <w:p w14:paraId="04E8E7DB">
                  <w:pPr>
                    <w:jc w:val="center"/>
                    <w:rPr>
                      <w:rFonts w:cs="Times New Roman"/>
                      <w:szCs w:val="21"/>
                    </w:rPr>
                  </w:pPr>
                  <w:r>
                    <w:rPr>
                      <w:rFonts w:hint="eastAsia" w:cs="Times New Roman"/>
                      <w:szCs w:val="21"/>
                    </w:rPr>
                    <w:t>600</w:t>
                  </w:r>
                </w:p>
              </w:tc>
            </w:tr>
            <w:tr w14:paraId="159D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6367734F">
                  <w:pPr>
                    <w:jc w:val="center"/>
                    <w:rPr>
                      <w:rFonts w:cs="Times New Roman"/>
                      <w:szCs w:val="21"/>
                    </w:rPr>
                  </w:pPr>
                  <w:r>
                    <w:rPr>
                      <w:rFonts w:hint="eastAsia"/>
                    </w:rPr>
                    <w:t>电化铝箔</w:t>
                  </w:r>
                </w:p>
              </w:tc>
              <w:tc>
                <w:tcPr>
                  <w:tcW w:w="1250" w:type="pct"/>
                  <w:vAlign w:val="center"/>
                </w:tcPr>
                <w:p w14:paraId="12BF9091">
                  <w:pPr>
                    <w:jc w:val="center"/>
                    <w:rPr>
                      <w:rFonts w:cs="Times New Roman"/>
                      <w:szCs w:val="21"/>
                    </w:rPr>
                  </w:pPr>
                  <w:r>
                    <w:rPr>
                      <w:rFonts w:hint="eastAsia" w:cs="Times New Roman"/>
                      <w:szCs w:val="21"/>
                    </w:rPr>
                    <w:t>0.1</w:t>
                  </w:r>
                </w:p>
              </w:tc>
              <w:tc>
                <w:tcPr>
                  <w:tcW w:w="1250" w:type="pct"/>
                  <w:vAlign w:val="center"/>
                </w:tcPr>
                <w:p w14:paraId="5A19CF9C">
                  <w:pPr>
                    <w:jc w:val="center"/>
                    <w:rPr>
                      <w:rFonts w:cs="Times New Roman"/>
                      <w:szCs w:val="21"/>
                    </w:rPr>
                  </w:pPr>
                  <w:r>
                    <w:rPr>
                      <w:rFonts w:hint="eastAsia" w:cs="Times New Roman"/>
                      <w:szCs w:val="21"/>
                    </w:rPr>
                    <w:t>有机废气</w:t>
                  </w:r>
                </w:p>
              </w:tc>
              <w:tc>
                <w:tcPr>
                  <w:tcW w:w="1250" w:type="pct"/>
                  <w:vAlign w:val="center"/>
                </w:tcPr>
                <w:p w14:paraId="2B3E71B5">
                  <w:pPr>
                    <w:jc w:val="center"/>
                    <w:rPr>
                      <w:rFonts w:cs="Times New Roman"/>
                      <w:szCs w:val="21"/>
                    </w:rPr>
                  </w:pPr>
                  <w:r>
                    <w:rPr>
                      <w:rFonts w:hint="eastAsia" w:cs="Times New Roman"/>
                      <w:szCs w:val="21"/>
                    </w:rPr>
                    <w:t>4.459</w:t>
                  </w:r>
                </w:p>
              </w:tc>
            </w:tr>
            <w:tr w14:paraId="537F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43D6699B">
                  <w:pPr>
                    <w:jc w:val="center"/>
                    <w:rPr>
                      <w:rFonts w:cs="Times New Roman"/>
                      <w:szCs w:val="21"/>
                    </w:rPr>
                  </w:pPr>
                  <w:r>
                    <w:rPr>
                      <w:rFonts w:hint="eastAsia" w:cs="Times New Roman"/>
                      <w:szCs w:val="21"/>
                    </w:rPr>
                    <w:t>/</w:t>
                  </w:r>
                </w:p>
              </w:tc>
              <w:tc>
                <w:tcPr>
                  <w:tcW w:w="1250" w:type="pct"/>
                  <w:vAlign w:val="center"/>
                </w:tcPr>
                <w:p w14:paraId="139E4284">
                  <w:pPr>
                    <w:jc w:val="center"/>
                    <w:rPr>
                      <w:rFonts w:cs="Times New Roman"/>
                      <w:szCs w:val="21"/>
                    </w:rPr>
                  </w:pPr>
                  <w:r>
                    <w:rPr>
                      <w:rFonts w:hint="eastAsia" w:cs="Times New Roman"/>
                      <w:szCs w:val="21"/>
                    </w:rPr>
                    <w:t>/</w:t>
                  </w:r>
                </w:p>
              </w:tc>
              <w:tc>
                <w:tcPr>
                  <w:tcW w:w="1250" w:type="pct"/>
                  <w:vAlign w:val="center"/>
                </w:tcPr>
                <w:p w14:paraId="396A8850">
                  <w:pPr>
                    <w:jc w:val="center"/>
                    <w:rPr>
                      <w:rFonts w:cs="Times New Roman"/>
                      <w:szCs w:val="21"/>
                    </w:rPr>
                  </w:pPr>
                  <w:r>
                    <w:rPr>
                      <w:rFonts w:hint="eastAsia" w:cs="Times New Roman"/>
                      <w:szCs w:val="21"/>
                    </w:rPr>
                    <w:t>废边角料、残次品</w:t>
                  </w:r>
                </w:p>
              </w:tc>
              <w:tc>
                <w:tcPr>
                  <w:tcW w:w="1250" w:type="pct"/>
                  <w:vAlign w:val="center"/>
                </w:tcPr>
                <w:p w14:paraId="46FC2E0B">
                  <w:pPr>
                    <w:jc w:val="center"/>
                    <w:rPr>
                      <w:rFonts w:cs="Times New Roman"/>
                      <w:szCs w:val="21"/>
                    </w:rPr>
                  </w:pPr>
                  <w:r>
                    <w:rPr>
                      <w:rFonts w:hint="eastAsia" w:cs="Times New Roman"/>
                      <w:szCs w:val="21"/>
                    </w:rPr>
                    <w:t>4.125</w:t>
                  </w:r>
                </w:p>
              </w:tc>
            </w:tr>
            <w:tr w14:paraId="2256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51C869D8">
                  <w:pPr>
                    <w:jc w:val="center"/>
                    <w:rPr>
                      <w:rFonts w:cs="Times New Roman"/>
                      <w:szCs w:val="21"/>
                    </w:rPr>
                  </w:pPr>
                  <w:r>
                    <w:rPr>
                      <w:rFonts w:hint="eastAsia" w:cs="Times New Roman"/>
                      <w:szCs w:val="21"/>
                    </w:rPr>
                    <w:t>/</w:t>
                  </w:r>
                </w:p>
              </w:tc>
              <w:tc>
                <w:tcPr>
                  <w:tcW w:w="1250" w:type="pct"/>
                  <w:vAlign w:val="center"/>
                </w:tcPr>
                <w:p w14:paraId="1091707E">
                  <w:pPr>
                    <w:jc w:val="center"/>
                    <w:rPr>
                      <w:rFonts w:cs="Times New Roman"/>
                      <w:szCs w:val="21"/>
                    </w:rPr>
                  </w:pPr>
                  <w:r>
                    <w:rPr>
                      <w:rFonts w:hint="eastAsia" w:cs="Times New Roman"/>
                      <w:szCs w:val="21"/>
                    </w:rPr>
                    <w:t>/</w:t>
                  </w:r>
                </w:p>
              </w:tc>
              <w:tc>
                <w:tcPr>
                  <w:tcW w:w="1250" w:type="pct"/>
                  <w:vAlign w:val="center"/>
                </w:tcPr>
                <w:p w14:paraId="36955044">
                  <w:pPr>
                    <w:jc w:val="center"/>
                    <w:rPr>
                      <w:rFonts w:cs="Times New Roman"/>
                      <w:szCs w:val="21"/>
                    </w:rPr>
                  </w:pPr>
                  <w:r>
                    <w:rPr>
                      <w:rFonts w:hint="eastAsia" w:cs="Times New Roman"/>
                      <w:szCs w:val="21"/>
                    </w:rPr>
                    <w:t>废旧铝箔</w:t>
                  </w:r>
                </w:p>
              </w:tc>
              <w:tc>
                <w:tcPr>
                  <w:tcW w:w="1250" w:type="pct"/>
                  <w:vAlign w:val="center"/>
                </w:tcPr>
                <w:p w14:paraId="193506EA">
                  <w:pPr>
                    <w:jc w:val="center"/>
                    <w:rPr>
                      <w:rFonts w:cs="Times New Roman"/>
                      <w:szCs w:val="21"/>
                    </w:rPr>
                  </w:pPr>
                  <w:r>
                    <w:rPr>
                      <w:rFonts w:hint="eastAsia" w:cs="Times New Roman"/>
                      <w:szCs w:val="21"/>
                    </w:rPr>
                    <w:t>0.08</w:t>
                  </w:r>
                </w:p>
              </w:tc>
            </w:tr>
            <w:tr w14:paraId="2C1AC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vAlign w:val="center"/>
                </w:tcPr>
                <w:p w14:paraId="0B89E670">
                  <w:pPr>
                    <w:jc w:val="center"/>
                    <w:rPr>
                      <w:rFonts w:cs="Times New Roman"/>
                      <w:szCs w:val="21"/>
                    </w:rPr>
                  </w:pPr>
                  <w:r>
                    <w:rPr>
                      <w:rFonts w:hint="eastAsia" w:cs="Times New Roman"/>
                      <w:szCs w:val="21"/>
                    </w:rPr>
                    <w:t>合计</w:t>
                  </w:r>
                </w:p>
              </w:tc>
              <w:tc>
                <w:tcPr>
                  <w:tcW w:w="1250" w:type="pct"/>
                  <w:vAlign w:val="center"/>
                </w:tcPr>
                <w:p w14:paraId="445A1D6B">
                  <w:pPr>
                    <w:jc w:val="center"/>
                    <w:rPr>
                      <w:rFonts w:cs="Times New Roman"/>
                      <w:szCs w:val="21"/>
                    </w:rPr>
                  </w:pPr>
                  <w:r>
                    <w:rPr>
                      <w:rFonts w:hint="eastAsia" w:cs="Times New Roman"/>
                      <w:szCs w:val="21"/>
                    </w:rPr>
                    <w:t>1658.664</w:t>
                  </w:r>
                </w:p>
              </w:tc>
              <w:tc>
                <w:tcPr>
                  <w:tcW w:w="1250" w:type="pct"/>
                  <w:vAlign w:val="center"/>
                </w:tcPr>
                <w:p w14:paraId="50277DB1">
                  <w:pPr>
                    <w:jc w:val="center"/>
                    <w:rPr>
                      <w:rFonts w:cs="Times New Roman"/>
                      <w:szCs w:val="21"/>
                    </w:rPr>
                  </w:pPr>
                  <w:r>
                    <w:rPr>
                      <w:rFonts w:hint="eastAsia" w:cs="Times New Roman"/>
                      <w:szCs w:val="21"/>
                    </w:rPr>
                    <w:t>合计</w:t>
                  </w:r>
                </w:p>
              </w:tc>
              <w:tc>
                <w:tcPr>
                  <w:tcW w:w="1250" w:type="pct"/>
                  <w:vAlign w:val="center"/>
                </w:tcPr>
                <w:p w14:paraId="160DD7C1">
                  <w:pPr>
                    <w:jc w:val="center"/>
                    <w:rPr>
                      <w:rFonts w:cs="Times New Roman"/>
                      <w:szCs w:val="21"/>
                    </w:rPr>
                  </w:pPr>
                  <w:r>
                    <w:rPr>
                      <w:rFonts w:hint="eastAsia" w:cs="Times New Roman"/>
                      <w:szCs w:val="21"/>
                    </w:rPr>
                    <w:t>1658.664</w:t>
                  </w:r>
                </w:p>
              </w:tc>
            </w:tr>
          </w:tbl>
          <w:p w14:paraId="4E1DF583">
            <w:pPr>
              <w:spacing w:line="360" w:lineRule="auto"/>
              <w:ind w:firstLine="480" w:firstLineChars="200"/>
              <w:rPr>
                <w:kern w:val="24"/>
                <w:sz w:val="24"/>
                <w:szCs w:val="24"/>
              </w:rPr>
            </w:pPr>
            <w:r>
              <w:rPr>
                <w:rFonts w:hint="eastAsia"/>
                <w:kern w:val="24"/>
                <w:sz w:val="24"/>
                <w:szCs w:val="24"/>
              </w:rPr>
              <w:t>项目挥发性有机物</w:t>
            </w:r>
            <w:r>
              <w:rPr>
                <w:kern w:val="24"/>
                <w:sz w:val="24"/>
                <w:szCs w:val="24"/>
              </w:rPr>
              <w:t>平衡见下</w:t>
            </w:r>
            <w:r>
              <w:rPr>
                <w:rFonts w:hint="eastAsia"/>
                <w:kern w:val="24"/>
                <w:sz w:val="24"/>
                <w:szCs w:val="24"/>
              </w:rPr>
              <w:t>图</w:t>
            </w:r>
            <w:r>
              <w:rPr>
                <w:kern w:val="24"/>
                <w:sz w:val="24"/>
                <w:szCs w:val="24"/>
              </w:rPr>
              <w:t>。</w:t>
            </w:r>
          </w:p>
          <w:p w14:paraId="5C259DF0">
            <w:pPr>
              <w:spacing w:line="360" w:lineRule="auto"/>
              <w:jc w:val="center"/>
            </w:pPr>
            <w:r>
              <w:rPr>
                <w:rFonts w:hint="eastAsia"/>
              </w:rPr>
              <w:object>
                <v:shape id="_x0000_i1025" o:spt="75" type="#_x0000_t75" style="height:120.75pt;width:369.7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14:paraId="0905B896">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VOCs平衡图</w:t>
            </w:r>
          </w:p>
          <w:p w14:paraId="27B04008">
            <w:pPr>
              <w:spacing w:line="360" w:lineRule="auto"/>
              <w:jc w:val="center"/>
              <w:rPr>
                <w:rFonts w:eastAsia="黑体" w:cs="Times New Roman"/>
                <w:szCs w:val="21"/>
              </w:rPr>
            </w:pPr>
            <w:r>
              <w:rPr>
                <w:rFonts w:hint="eastAsia"/>
              </w:rPr>
              <w:object>
                <v:shape id="_x0000_i1026" o:spt="75" type="#_x0000_t75" style="height:123.75pt;width:303.75pt;" o:ole="t" filled="f" o:preferrelative="t" stroked="f" coordsize="21600,21600">
                  <v:path/>
                  <v:fill on="f" focussize="0,0"/>
                  <v:stroke on="f" joinstyle="miter"/>
                  <v:imagedata r:id="rId13" o:title=""/>
                  <o:lock v:ext="edit" aspectratio="t"/>
                  <w10:wrap type="none"/>
                  <w10:anchorlock/>
                </v:shape>
                <o:OLEObject Type="Embed" ProgID="Visio.Drawing.15" ShapeID="_x0000_i1026" DrawAspect="Content" ObjectID="_1468075726" r:id="rId12">
                  <o:LockedField>false</o:LockedField>
                </o:OLEObject>
              </w:object>
            </w:r>
          </w:p>
          <w:p w14:paraId="17FFD276">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苯乙烯平衡图</w:t>
            </w:r>
          </w:p>
          <w:p w14:paraId="1A628840">
            <w:pPr>
              <w:spacing w:line="360" w:lineRule="auto"/>
              <w:jc w:val="center"/>
              <w:rPr>
                <w:rFonts w:eastAsia="黑体" w:cs="Times New Roman"/>
                <w:szCs w:val="21"/>
              </w:rPr>
            </w:pPr>
            <w:r>
              <w:rPr>
                <w:rFonts w:hint="eastAsia"/>
              </w:rPr>
              <w:object>
                <v:shape id="_x0000_i1027" o:spt="75" type="#_x0000_t75" style="height:124.5pt;width:303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14:paraId="5111CF33">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丙烯腈平衡图</w:t>
            </w:r>
          </w:p>
          <w:p w14:paraId="698C31DC">
            <w:pPr>
              <w:spacing w:line="360" w:lineRule="auto"/>
              <w:jc w:val="center"/>
              <w:rPr>
                <w:rFonts w:eastAsia="黑体" w:cs="Times New Roman"/>
                <w:szCs w:val="21"/>
              </w:rPr>
            </w:pPr>
            <w:r>
              <w:rPr>
                <w:rFonts w:hint="eastAsia"/>
              </w:rPr>
              <w:object>
                <v:shape id="_x0000_i1028" o:spt="75" type="#_x0000_t75" style="height:122.25pt;width:299.2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14:paraId="4261A5F4">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1,3-丁二烯平衡图</w:t>
            </w:r>
          </w:p>
          <w:p w14:paraId="5F45D419">
            <w:pPr>
              <w:spacing w:line="360" w:lineRule="auto"/>
              <w:jc w:val="center"/>
              <w:rPr>
                <w:rFonts w:eastAsia="黑体" w:cs="Times New Roman"/>
                <w:szCs w:val="21"/>
              </w:rPr>
            </w:pPr>
            <w:r>
              <w:rPr>
                <w:rFonts w:hint="eastAsia"/>
              </w:rPr>
              <w:object>
                <v:shape id="_x0000_i1029" o:spt="75" type="#_x0000_t75" style="height:122.25pt;width:300pt;" o:ole="t" filled="f" o:preferrelative="t" stroked="f" coordsize="21600,21600">
                  <v:path/>
                  <v:fill on="f" focussize="0,0"/>
                  <v:stroke on="f" joinstyle="miter"/>
                  <v:imagedata r:id="rId19" o:title=""/>
                  <o:lock v:ext="edit" aspectratio="t"/>
                  <w10:wrap type="none"/>
                  <w10:anchorlock/>
                </v:shape>
                <o:OLEObject Type="Embed" ProgID="Visio.Drawing.15" ShapeID="_x0000_i1029" DrawAspect="Content" ObjectID="_1468075729" r:id="rId18">
                  <o:LockedField>false</o:LockedField>
                </o:OLEObject>
              </w:object>
            </w:r>
          </w:p>
          <w:p w14:paraId="14E6A983">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甲苯平衡图</w:t>
            </w:r>
          </w:p>
          <w:p w14:paraId="72E5E35C">
            <w:pPr>
              <w:spacing w:line="360" w:lineRule="auto"/>
              <w:jc w:val="center"/>
              <w:rPr>
                <w:rFonts w:eastAsia="黑体" w:cs="Times New Roman"/>
                <w:szCs w:val="21"/>
              </w:rPr>
            </w:pPr>
            <w:r>
              <w:rPr>
                <w:rFonts w:hint="eastAsia"/>
              </w:rPr>
              <w:object>
                <v:shape id="_x0000_i1030" o:spt="75" type="#_x0000_t75" style="height:122.25pt;width:300.75pt;" o:ole="t" filled="f" o:preferrelative="t" stroked="f" coordsize="21600,21600">
                  <v:path/>
                  <v:fill on="f" focussize="0,0"/>
                  <v:stroke on="f" joinstyle="miter"/>
                  <v:imagedata r:id="rId21" o:title=""/>
                  <o:lock v:ext="edit" aspectratio="t"/>
                  <w10:wrap type="none"/>
                  <w10:anchorlock/>
                </v:shape>
                <o:OLEObject Type="Embed" ProgID="Visio.Drawing.15" ShapeID="_x0000_i1030" DrawAspect="Content" ObjectID="_1468075730" r:id="rId20">
                  <o:LockedField>false</o:LockedField>
                </o:OLEObject>
              </w:object>
            </w:r>
          </w:p>
          <w:p w14:paraId="78503169">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乙苯平衡图</w:t>
            </w:r>
          </w:p>
          <w:p w14:paraId="69A1B9D0">
            <w:pPr>
              <w:spacing w:line="360" w:lineRule="auto"/>
              <w:ind w:firstLine="482" w:firstLineChars="200"/>
              <w:rPr>
                <w:b/>
                <w:kern w:val="24"/>
                <w:sz w:val="24"/>
                <w:szCs w:val="24"/>
              </w:rPr>
            </w:pPr>
            <w:r>
              <w:rPr>
                <w:rFonts w:hint="eastAsia"/>
                <w:b/>
                <w:kern w:val="24"/>
                <w:sz w:val="24"/>
                <w:szCs w:val="24"/>
              </w:rPr>
              <w:t>（</w:t>
            </w:r>
            <w:r>
              <w:rPr>
                <w:b/>
                <w:kern w:val="24"/>
                <w:sz w:val="24"/>
                <w:szCs w:val="24"/>
              </w:rPr>
              <w:t>2</w:t>
            </w:r>
            <w:r>
              <w:rPr>
                <w:rFonts w:hint="eastAsia"/>
                <w:b/>
                <w:kern w:val="24"/>
                <w:sz w:val="24"/>
                <w:szCs w:val="24"/>
              </w:rPr>
              <w:t>）水平衡</w:t>
            </w:r>
          </w:p>
          <w:p w14:paraId="7C625D8A">
            <w:pPr>
              <w:spacing w:line="360" w:lineRule="auto"/>
              <w:ind w:firstLine="482" w:firstLineChars="200"/>
              <w:rPr>
                <w:b/>
                <w:kern w:val="24"/>
                <w:sz w:val="24"/>
                <w:szCs w:val="24"/>
              </w:rPr>
            </w:pPr>
            <w:r>
              <w:rPr>
                <w:rFonts w:hint="eastAsia"/>
                <w:b/>
                <w:kern w:val="24"/>
                <w:sz w:val="24"/>
                <w:szCs w:val="24"/>
              </w:rPr>
              <w:t>①给水</w:t>
            </w:r>
          </w:p>
          <w:p w14:paraId="6F86439A">
            <w:pPr>
              <w:spacing w:line="360" w:lineRule="auto"/>
              <w:ind w:firstLine="480" w:firstLineChars="200"/>
              <w:rPr>
                <w:sz w:val="24"/>
                <w:szCs w:val="24"/>
              </w:rPr>
            </w:pPr>
            <w:r>
              <w:rPr>
                <w:rFonts w:hint="eastAsia"/>
                <w:kern w:val="24"/>
                <w:sz w:val="24"/>
                <w:szCs w:val="24"/>
              </w:rPr>
              <w:t>本项目</w:t>
            </w:r>
            <w:r>
              <w:rPr>
                <w:rFonts w:hint="eastAsia"/>
                <w:sz w:val="24"/>
                <w:szCs w:val="24"/>
              </w:rPr>
              <w:t>供水采用市政供水，生产车间采用干式清洁。项目用水主要为生活用水、食堂用水和循环冷却水系统补水，其中：</w:t>
            </w:r>
          </w:p>
          <w:p w14:paraId="46080674">
            <w:pPr>
              <w:spacing w:line="360" w:lineRule="auto"/>
              <w:ind w:firstLine="482" w:firstLineChars="200"/>
              <w:rPr>
                <w:sz w:val="24"/>
                <w:szCs w:val="24"/>
              </w:rPr>
            </w:pPr>
            <w:r>
              <w:rPr>
                <w:rFonts w:hint="eastAsia"/>
                <w:b/>
                <w:bCs/>
                <w:sz w:val="24"/>
                <w:szCs w:val="24"/>
              </w:rPr>
              <w:t>生活用水</w:t>
            </w:r>
            <w:r>
              <w:rPr>
                <w:rFonts w:hint="eastAsia"/>
                <w:sz w:val="24"/>
                <w:szCs w:val="24"/>
              </w:rPr>
              <w:t>：本次扩建新增劳动</w:t>
            </w:r>
            <w:r>
              <w:rPr>
                <w:rFonts w:cs="Times New Roman"/>
                <w:sz w:val="24"/>
                <w:szCs w:val="24"/>
              </w:rPr>
              <w:t>定员26人，根据《四川省用水定额》（川府函〔2021〕8号）制定的用水标准，生活用水量按100L/人·d计，</w:t>
            </w:r>
            <w:r>
              <w:rPr>
                <w:rFonts w:hint="eastAsia" w:cs="Times New Roman"/>
                <w:sz w:val="24"/>
                <w:szCs w:val="24"/>
              </w:rPr>
              <w:t>则生活用水量约2.6m</w:t>
            </w:r>
            <w:r>
              <w:rPr>
                <w:rFonts w:hint="eastAsia" w:cs="Times New Roman"/>
                <w:sz w:val="24"/>
                <w:szCs w:val="24"/>
                <w:vertAlign w:val="superscript"/>
              </w:rPr>
              <w:t>3</w:t>
            </w:r>
            <w:r>
              <w:rPr>
                <w:rFonts w:hint="eastAsia" w:cs="Times New Roman"/>
                <w:sz w:val="24"/>
                <w:szCs w:val="24"/>
              </w:rPr>
              <w:t>/d。</w:t>
            </w:r>
          </w:p>
          <w:p w14:paraId="731B5170">
            <w:pPr>
              <w:spacing w:line="360" w:lineRule="auto"/>
              <w:ind w:firstLine="482" w:firstLineChars="200"/>
              <w:rPr>
                <w:sz w:val="24"/>
                <w:szCs w:val="24"/>
              </w:rPr>
            </w:pPr>
            <w:r>
              <w:rPr>
                <w:rFonts w:hint="eastAsia"/>
                <w:b/>
                <w:bCs/>
                <w:sz w:val="24"/>
                <w:szCs w:val="24"/>
              </w:rPr>
              <w:t>食堂用水</w:t>
            </w:r>
            <w:r>
              <w:rPr>
                <w:rFonts w:hint="eastAsia"/>
                <w:sz w:val="24"/>
                <w:szCs w:val="24"/>
              </w:rPr>
              <w:t>：厂区食堂为职工供应三餐，</w:t>
            </w:r>
            <w:r>
              <w:rPr>
                <w:rFonts w:cs="Times New Roman"/>
                <w:sz w:val="24"/>
                <w:szCs w:val="24"/>
              </w:rPr>
              <w:t>根据《四川省用水定额》（川府函〔2021〕8号）</w:t>
            </w:r>
            <w:r>
              <w:rPr>
                <w:rFonts w:hint="eastAsia" w:cs="Times New Roman"/>
                <w:sz w:val="24"/>
                <w:szCs w:val="24"/>
              </w:rPr>
              <w:t>和《建筑给水排水设计标准》（GB50015-2019）</w:t>
            </w:r>
            <w:r>
              <w:rPr>
                <w:rFonts w:cs="Times New Roman"/>
                <w:sz w:val="24"/>
                <w:szCs w:val="24"/>
              </w:rPr>
              <w:t>，</w:t>
            </w:r>
            <w:r>
              <w:rPr>
                <w:rFonts w:hint="eastAsia" w:cs="Times New Roman"/>
                <w:sz w:val="24"/>
                <w:szCs w:val="24"/>
              </w:rPr>
              <w:t>食堂</w:t>
            </w:r>
            <w:r>
              <w:rPr>
                <w:rFonts w:cs="Times New Roman"/>
                <w:sz w:val="24"/>
                <w:szCs w:val="24"/>
              </w:rPr>
              <w:t>用水量按</w:t>
            </w:r>
            <w:r>
              <w:rPr>
                <w:rFonts w:hint="eastAsia" w:cs="Times New Roman"/>
                <w:sz w:val="24"/>
                <w:szCs w:val="24"/>
              </w:rPr>
              <w:t>25</w:t>
            </w:r>
            <w:r>
              <w:rPr>
                <w:rFonts w:cs="Times New Roman"/>
                <w:sz w:val="24"/>
                <w:szCs w:val="24"/>
              </w:rPr>
              <w:t>L/人·d计，</w:t>
            </w:r>
            <w:r>
              <w:rPr>
                <w:rFonts w:hint="eastAsia" w:cs="Times New Roman"/>
                <w:sz w:val="24"/>
                <w:szCs w:val="24"/>
              </w:rPr>
              <w:t>则本次扩建新增食堂用水量约0.65m</w:t>
            </w:r>
            <w:r>
              <w:rPr>
                <w:rFonts w:hint="eastAsia" w:cs="Times New Roman"/>
                <w:sz w:val="24"/>
                <w:szCs w:val="24"/>
                <w:vertAlign w:val="superscript"/>
              </w:rPr>
              <w:t>3</w:t>
            </w:r>
            <w:r>
              <w:rPr>
                <w:rFonts w:hint="eastAsia" w:cs="Times New Roman"/>
                <w:sz w:val="24"/>
                <w:szCs w:val="24"/>
              </w:rPr>
              <w:t>/d。</w:t>
            </w:r>
          </w:p>
          <w:p w14:paraId="5393C066">
            <w:pPr>
              <w:spacing w:line="360" w:lineRule="auto"/>
              <w:ind w:firstLine="482" w:firstLineChars="200"/>
              <w:rPr>
                <w:sz w:val="24"/>
                <w:szCs w:val="24"/>
              </w:rPr>
            </w:pPr>
            <w:r>
              <w:rPr>
                <w:rFonts w:hint="eastAsia"/>
                <w:b/>
                <w:bCs/>
                <w:sz w:val="24"/>
                <w:szCs w:val="24"/>
              </w:rPr>
              <w:t>循环冷却水系统补水</w:t>
            </w:r>
            <w:r>
              <w:rPr>
                <w:rFonts w:hint="eastAsia"/>
                <w:sz w:val="24"/>
                <w:szCs w:val="24"/>
              </w:rPr>
              <w:t>：根据建设单位提供的资料，本项目循环冷却水系统循环水量约40</w:t>
            </w:r>
            <w:r>
              <w:rPr>
                <w:sz w:val="24"/>
                <w:szCs w:val="24"/>
              </w:rPr>
              <w:t>m</w:t>
            </w:r>
            <w:r>
              <w:rPr>
                <w:sz w:val="24"/>
                <w:szCs w:val="24"/>
                <w:vertAlign w:val="superscript"/>
              </w:rPr>
              <w:t>3</w:t>
            </w:r>
            <w:r>
              <w:rPr>
                <w:sz w:val="24"/>
                <w:szCs w:val="24"/>
              </w:rPr>
              <w:t>/h，</w:t>
            </w:r>
            <w:r>
              <w:rPr>
                <w:rFonts w:hint="eastAsia"/>
                <w:sz w:val="24"/>
                <w:szCs w:val="24"/>
              </w:rPr>
              <w:t>参照</w:t>
            </w:r>
            <w:r>
              <w:rPr>
                <w:sz w:val="24"/>
                <w:szCs w:val="24"/>
              </w:rPr>
              <w:t>《</w:t>
            </w:r>
            <w:r>
              <w:rPr>
                <w:rFonts w:hint="eastAsia"/>
                <w:sz w:val="24"/>
                <w:szCs w:val="24"/>
              </w:rPr>
              <w:t>建筑给水排水设计标准》（GB50015-2019），补水量按循环水量的</w:t>
            </w:r>
            <w:r>
              <w:rPr>
                <w:sz w:val="24"/>
                <w:szCs w:val="24"/>
              </w:rPr>
              <w:t>1%计，则</w:t>
            </w:r>
            <w:r>
              <w:rPr>
                <w:rFonts w:hint="eastAsia"/>
                <w:sz w:val="24"/>
                <w:szCs w:val="24"/>
              </w:rPr>
              <w:t>循环冷却水系统补水量约</w:t>
            </w:r>
            <w:r>
              <w:rPr>
                <w:rFonts w:hint="eastAsia"/>
                <w:bCs/>
                <w:sz w:val="24"/>
                <w:szCs w:val="24"/>
              </w:rPr>
              <w:t>3.2</w:t>
            </w:r>
            <w:r>
              <w:rPr>
                <w:sz w:val="24"/>
                <w:szCs w:val="24"/>
              </w:rPr>
              <w:t>m</w:t>
            </w:r>
            <w:r>
              <w:rPr>
                <w:sz w:val="24"/>
                <w:szCs w:val="24"/>
                <w:vertAlign w:val="superscript"/>
              </w:rPr>
              <w:t>3</w:t>
            </w:r>
            <w:r>
              <w:rPr>
                <w:sz w:val="24"/>
                <w:szCs w:val="24"/>
              </w:rPr>
              <w:t>/</w:t>
            </w:r>
            <w:r>
              <w:rPr>
                <w:rFonts w:hint="eastAsia"/>
                <w:sz w:val="24"/>
                <w:szCs w:val="24"/>
              </w:rPr>
              <w:t>d</w:t>
            </w:r>
            <w:r>
              <w:rPr>
                <w:sz w:val="24"/>
                <w:szCs w:val="24"/>
              </w:rPr>
              <w:t>。</w:t>
            </w:r>
          </w:p>
          <w:p w14:paraId="64AB766F">
            <w:pPr>
              <w:spacing w:line="360" w:lineRule="auto"/>
              <w:ind w:firstLine="480" w:firstLineChars="200"/>
              <w:rPr>
                <w:sz w:val="24"/>
                <w:szCs w:val="24"/>
              </w:rPr>
            </w:pPr>
            <w:r>
              <w:rPr>
                <w:rFonts w:hint="eastAsia"/>
                <w:sz w:val="24"/>
                <w:szCs w:val="24"/>
              </w:rPr>
              <w:t>本项目用水量及分配情况见下表。</w:t>
            </w:r>
          </w:p>
          <w:p w14:paraId="2389E623">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项目用水量预测及分配情况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3"/>
              <w:gridCol w:w="2241"/>
              <w:gridCol w:w="1498"/>
              <w:gridCol w:w="1498"/>
              <w:gridCol w:w="1796"/>
              <w:gridCol w:w="1371"/>
            </w:tblGrid>
            <w:tr w14:paraId="782C4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06" w:type="pct"/>
                  <w:vAlign w:val="center"/>
                </w:tcPr>
                <w:p w14:paraId="036FA696">
                  <w:pPr>
                    <w:jc w:val="center"/>
                    <w:rPr>
                      <w:rFonts w:cs="Times New Roman"/>
                      <w:szCs w:val="21"/>
                    </w:rPr>
                  </w:pPr>
                  <w:r>
                    <w:rPr>
                      <w:rFonts w:cs="Times New Roman"/>
                      <w:szCs w:val="21"/>
                    </w:rPr>
                    <w:t>序号</w:t>
                  </w:r>
                </w:p>
              </w:tc>
              <w:tc>
                <w:tcPr>
                  <w:tcW w:w="1225" w:type="pct"/>
                  <w:vAlign w:val="center"/>
                </w:tcPr>
                <w:p w14:paraId="6D5667BC">
                  <w:pPr>
                    <w:jc w:val="center"/>
                    <w:rPr>
                      <w:rFonts w:cs="Times New Roman"/>
                      <w:szCs w:val="21"/>
                    </w:rPr>
                  </w:pPr>
                  <w:r>
                    <w:rPr>
                      <w:rFonts w:cs="Times New Roman"/>
                      <w:szCs w:val="21"/>
                    </w:rPr>
                    <w:t>类型</w:t>
                  </w:r>
                </w:p>
              </w:tc>
              <w:tc>
                <w:tcPr>
                  <w:tcW w:w="819" w:type="pct"/>
                  <w:vAlign w:val="center"/>
                </w:tcPr>
                <w:p w14:paraId="26D68DAF">
                  <w:pPr>
                    <w:jc w:val="center"/>
                    <w:rPr>
                      <w:rFonts w:cs="Times New Roman"/>
                      <w:szCs w:val="21"/>
                    </w:rPr>
                  </w:pPr>
                  <w:r>
                    <w:rPr>
                      <w:rFonts w:cs="Times New Roman"/>
                      <w:szCs w:val="21"/>
                    </w:rPr>
                    <w:t>用水标准</w:t>
                  </w:r>
                </w:p>
              </w:tc>
              <w:tc>
                <w:tcPr>
                  <w:tcW w:w="819" w:type="pct"/>
                  <w:vAlign w:val="center"/>
                </w:tcPr>
                <w:p w14:paraId="10064C1E">
                  <w:pPr>
                    <w:jc w:val="center"/>
                    <w:rPr>
                      <w:rFonts w:cs="Times New Roman"/>
                      <w:szCs w:val="21"/>
                    </w:rPr>
                  </w:pPr>
                  <w:r>
                    <w:rPr>
                      <w:rFonts w:cs="Times New Roman"/>
                      <w:szCs w:val="21"/>
                    </w:rPr>
                    <w:t>用水规模</w:t>
                  </w:r>
                </w:p>
              </w:tc>
              <w:tc>
                <w:tcPr>
                  <w:tcW w:w="982" w:type="pct"/>
                  <w:vAlign w:val="center"/>
                </w:tcPr>
                <w:p w14:paraId="5CA2D0B2">
                  <w:pPr>
                    <w:jc w:val="center"/>
                    <w:rPr>
                      <w:rFonts w:cs="Times New Roman"/>
                      <w:szCs w:val="21"/>
                    </w:rPr>
                  </w:pPr>
                  <w:r>
                    <w:rPr>
                      <w:rFonts w:cs="Times New Roman"/>
                      <w:szCs w:val="21"/>
                    </w:rPr>
                    <w:t>用水量（m</w:t>
                  </w:r>
                  <w:r>
                    <w:rPr>
                      <w:rFonts w:cs="Times New Roman"/>
                      <w:szCs w:val="21"/>
                      <w:vertAlign w:val="superscript"/>
                    </w:rPr>
                    <w:t>3</w:t>
                  </w:r>
                  <w:r>
                    <w:rPr>
                      <w:rFonts w:cs="Times New Roman"/>
                      <w:szCs w:val="21"/>
                    </w:rPr>
                    <w:t>/d）</w:t>
                  </w:r>
                </w:p>
              </w:tc>
              <w:tc>
                <w:tcPr>
                  <w:tcW w:w="750" w:type="pct"/>
                  <w:vAlign w:val="center"/>
                </w:tcPr>
                <w:p w14:paraId="6D2D2689">
                  <w:pPr>
                    <w:jc w:val="center"/>
                    <w:rPr>
                      <w:rFonts w:cs="Times New Roman"/>
                      <w:szCs w:val="21"/>
                    </w:rPr>
                  </w:pPr>
                  <w:r>
                    <w:rPr>
                      <w:rFonts w:cs="Times New Roman"/>
                      <w:szCs w:val="21"/>
                    </w:rPr>
                    <w:t>备注</w:t>
                  </w:r>
                </w:p>
              </w:tc>
            </w:tr>
            <w:tr w14:paraId="3A4A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6" w:type="pct"/>
                  <w:vAlign w:val="center"/>
                </w:tcPr>
                <w:p w14:paraId="55F3F9C3">
                  <w:pPr>
                    <w:jc w:val="center"/>
                    <w:rPr>
                      <w:rFonts w:cs="Times New Roman"/>
                      <w:szCs w:val="21"/>
                    </w:rPr>
                  </w:pPr>
                  <w:r>
                    <w:rPr>
                      <w:rFonts w:cs="Times New Roman"/>
                      <w:szCs w:val="21"/>
                    </w:rPr>
                    <w:t>1</w:t>
                  </w:r>
                </w:p>
              </w:tc>
              <w:tc>
                <w:tcPr>
                  <w:tcW w:w="1225" w:type="pct"/>
                  <w:vAlign w:val="center"/>
                </w:tcPr>
                <w:p w14:paraId="0BC17F97">
                  <w:pPr>
                    <w:jc w:val="center"/>
                    <w:rPr>
                      <w:rFonts w:cs="Times New Roman"/>
                      <w:szCs w:val="21"/>
                    </w:rPr>
                  </w:pPr>
                  <w:r>
                    <w:rPr>
                      <w:rFonts w:cs="Times New Roman"/>
                      <w:szCs w:val="21"/>
                    </w:rPr>
                    <w:t>生活用水</w:t>
                  </w:r>
                </w:p>
              </w:tc>
              <w:tc>
                <w:tcPr>
                  <w:tcW w:w="819" w:type="pct"/>
                  <w:vAlign w:val="center"/>
                </w:tcPr>
                <w:p w14:paraId="19487DDA">
                  <w:pPr>
                    <w:jc w:val="center"/>
                    <w:rPr>
                      <w:rFonts w:cs="Times New Roman"/>
                      <w:szCs w:val="21"/>
                    </w:rPr>
                  </w:pPr>
                  <w:r>
                    <w:rPr>
                      <w:rFonts w:hint="eastAsia" w:cs="Times New Roman"/>
                      <w:szCs w:val="21"/>
                    </w:rPr>
                    <w:t>10</w:t>
                  </w:r>
                  <w:r>
                    <w:rPr>
                      <w:rFonts w:cs="Times New Roman"/>
                      <w:szCs w:val="21"/>
                    </w:rPr>
                    <w:t>0L/人·d</w:t>
                  </w:r>
                </w:p>
              </w:tc>
              <w:tc>
                <w:tcPr>
                  <w:tcW w:w="819" w:type="pct"/>
                  <w:vAlign w:val="center"/>
                </w:tcPr>
                <w:p w14:paraId="0D10DE4E">
                  <w:pPr>
                    <w:jc w:val="center"/>
                    <w:rPr>
                      <w:rFonts w:cs="Times New Roman"/>
                      <w:szCs w:val="21"/>
                    </w:rPr>
                  </w:pPr>
                  <w:r>
                    <w:rPr>
                      <w:rFonts w:hint="eastAsia" w:cs="Times New Roman"/>
                      <w:szCs w:val="21"/>
                    </w:rPr>
                    <w:t>26</w:t>
                  </w:r>
                  <w:r>
                    <w:rPr>
                      <w:rFonts w:cs="Times New Roman"/>
                      <w:szCs w:val="21"/>
                    </w:rPr>
                    <w:t>人</w:t>
                  </w:r>
                </w:p>
              </w:tc>
              <w:tc>
                <w:tcPr>
                  <w:tcW w:w="982" w:type="pct"/>
                  <w:vAlign w:val="center"/>
                </w:tcPr>
                <w:p w14:paraId="5B2CFC19">
                  <w:pPr>
                    <w:jc w:val="center"/>
                    <w:rPr>
                      <w:rFonts w:cs="Times New Roman"/>
                      <w:szCs w:val="21"/>
                    </w:rPr>
                  </w:pPr>
                  <w:r>
                    <w:rPr>
                      <w:rFonts w:hint="eastAsia" w:cs="Times New Roman"/>
                      <w:szCs w:val="21"/>
                    </w:rPr>
                    <w:t>2.6</w:t>
                  </w:r>
                </w:p>
              </w:tc>
              <w:tc>
                <w:tcPr>
                  <w:tcW w:w="750" w:type="pct"/>
                  <w:vMerge w:val="restart"/>
                  <w:vAlign w:val="center"/>
                </w:tcPr>
                <w:p w14:paraId="67D039E6">
                  <w:pPr>
                    <w:jc w:val="center"/>
                    <w:rPr>
                      <w:rFonts w:cs="Times New Roman"/>
                      <w:szCs w:val="21"/>
                    </w:rPr>
                  </w:pPr>
                  <w:r>
                    <w:rPr>
                      <w:rFonts w:cs="Times New Roman"/>
                      <w:szCs w:val="21"/>
                    </w:rPr>
                    <w:t>市政供水</w:t>
                  </w:r>
                </w:p>
              </w:tc>
            </w:tr>
            <w:tr w14:paraId="66C0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6" w:type="pct"/>
                  <w:vAlign w:val="center"/>
                </w:tcPr>
                <w:p w14:paraId="489B978E">
                  <w:pPr>
                    <w:jc w:val="center"/>
                    <w:rPr>
                      <w:rFonts w:cs="Times New Roman"/>
                      <w:szCs w:val="21"/>
                    </w:rPr>
                  </w:pPr>
                  <w:r>
                    <w:rPr>
                      <w:rFonts w:hint="eastAsia" w:cs="Times New Roman"/>
                      <w:szCs w:val="21"/>
                    </w:rPr>
                    <w:t>2</w:t>
                  </w:r>
                </w:p>
              </w:tc>
              <w:tc>
                <w:tcPr>
                  <w:tcW w:w="1225" w:type="pct"/>
                  <w:vAlign w:val="center"/>
                </w:tcPr>
                <w:p w14:paraId="14120CFD">
                  <w:pPr>
                    <w:jc w:val="center"/>
                    <w:rPr>
                      <w:rFonts w:cs="Times New Roman"/>
                      <w:szCs w:val="21"/>
                    </w:rPr>
                  </w:pPr>
                  <w:r>
                    <w:rPr>
                      <w:rFonts w:hint="eastAsia" w:cs="Times New Roman"/>
                      <w:szCs w:val="21"/>
                    </w:rPr>
                    <w:t>食堂用水</w:t>
                  </w:r>
                </w:p>
              </w:tc>
              <w:tc>
                <w:tcPr>
                  <w:tcW w:w="819" w:type="pct"/>
                  <w:vAlign w:val="center"/>
                </w:tcPr>
                <w:p w14:paraId="1388F6B1">
                  <w:pPr>
                    <w:jc w:val="center"/>
                    <w:rPr>
                      <w:rFonts w:cs="Times New Roman"/>
                      <w:szCs w:val="21"/>
                    </w:rPr>
                  </w:pPr>
                  <w:r>
                    <w:rPr>
                      <w:rFonts w:hint="eastAsia" w:cs="Times New Roman"/>
                      <w:szCs w:val="21"/>
                    </w:rPr>
                    <w:t>25</w:t>
                  </w:r>
                  <w:r>
                    <w:rPr>
                      <w:rFonts w:cs="Times New Roman"/>
                      <w:szCs w:val="21"/>
                    </w:rPr>
                    <w:t>L/人·d</w:t>
                  </w:r>
                </w:p>
              </w:tc>
              <w:tc>
                <w:tcPr>
                  <w:tcW w:w="819" w:type="pct"/>
                  <w:vAlign w:val="center"/>
                </w:tcPr>
                <w:p w14:paraId="086CA14C">
                  <w:pPr>
                    <w:jc w:val="center"/>
                    <w:rPr>
                      <w:rFonts w:cs="Times New Roman"/>
                      <w:szCs w:val="21"/>
                    </w:rPr>
                  </w:pPr>
                  <w:r>
                    <w:rPr>
                      <w:rFonts w:hint="eastAsia" w:cs="Times New Roman"/>
                      <w:szCs w:val="21"/>
                    </w:rPr>
                    <w:t>26</w:t>
                  </w:r>
                  <w:r>
                    <w:rPr>
                      <w:rFonts w:cs="Times New Roman"/>
                      <w:szCs w:val="21"/>
                    </w:rPr>
                    <w:t>人</w:t>
                  </w:r>
                </w:p>
              </w:tc>
              <w:tc>
                <w:tcPr>
                  <w:tcW w:w="982" w:type="pct"/>
                  <w:vAlign w:val="center"/>
                </w:tcPr>
                <w:p w14:paraId="4A748E8A">
                  <w:pPr>
                    <w:jc w:val="center"/>
                    <w:rPr>
                      <w:rFonts w:cs="Times New Roman"/>
                      <w:szCs w:val="21"/>
                    </w:rPr>
                  </w:pPr>
                  <w:r>
                    <w:rPr>
                      <w:rFonts w:hint="eastAsia" w:cs="Times New Roman"/>
                      <w:szCs w:val="21"/>
                    </w:rPr>
                    <w:t>0.65</w:t>
                  </w:r>
                </w:p>
              </w:tc>
              <w:tc>
                <w:tcPr>
                  <w:tcW w:w="750" w:type="pct"/>
                  <w:vMerge w:val="continue"/>
                  <w:vAlign w:val="center"/>
                </w:tcPr>
                <w:p w14:paraId="748D2B3B">
                  <w:pPr>
                    <w:jc w:val="center"/>
                    <w:rPr>
                      <w:rFonts w:cs="Times New Roman"/>
                      <w:szCs w:val="21"/>
                    </w:rPr>
                  </w:pPr>
                </w:p>
              </w:tc>
            </w:tr>
            <w:tr w14:paraId="5249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6" w:type="pct"/>
                  <w:vAlign w:val="center"/>
                </w:tcPr>
                <w:p w14:paraId="43FCC26C">
                  <w:pPr>
                    <w:jc w:val="center"/>
                    <w:rPr>
                      <w:rFonts w:cs="Times New Roman"/>
                      <w:szCs w:val="21"/>
                    </w:rPr>
                  </w:pPr>
                  <w:r>
                    <w:rPr>
                      <w:rFonts w:hint="eastAsia" w:cs="Times New Roman"/>
                      <w:szCs w:val="21"/>
                    </w:rPr>
                    <w:t>3</w:t>
                  </w:r>
                </w:p>
              </w:tc>
              <w:tc>
                <w:tcPr>
                  <w:tcW w:w="1225" w:type="pct"/>
                  <w:vAlign w:val="center"/>
                </w:tcPr>
                <w:p w14:paraId="52BB773C">
                  <w:pPr>
                    <w:jc w:val="center"/>
                    <w:rPr>
                      <w:rFonts w:cs="Times New Roman"/>
                      <w:szCs w:val="21"/>
                    </w:rPr>
                  </w:pPr>
                  <w:r>
                    <w:rPr>
                      <w:rFonts w:hint="eastAsia" w:cs="Times New Roman"/>
                      <w:szCs w:val="21"/>
                    </w:rPr>
                    <w:t>循环冷却水系统补水</w:t>
                  </w:r>
                </w:p>
              </w:tc>
              <w:tc>
                <w:tcPr>
                  <w:tcW w:w="819" w:type="pct"/>
                  <w:vAlign w:val="center"/>
                </w:tcPr>
                <w:p w14:paraId="7CDA1601">
                  <w:pPr>
                    <w:jc w:val="center"/>
                    <w:rPr>
                      <w:rFonts w:cs="Times New Roman"/>
                      <w:szCs w:val="21"/>
                    </w:rPr>
                  </w:pPr>
                  <w:r>
                    <w:rPr>
                      <w:rFonts w:hint="eastAsia" w:cs="Times New Roman"/>
                      <w:szCs w:val="21"/>
                    </w:rPr>
                    <w:t>1%</w:t>
                  </w:r>
                </w:p>
              </w:tc>
              <w:tc>
                <w:tcPr>
                  <w:tcW w:w="819" w:type="pct"/>
                  <w:vAlign w:val="center"/>
                </w:tcPr>
                <w:p w14:paraId="558B2311">
                  <w:pPr>
                    <w:jc w:val="center"/>
                    <w:rPr>
                      <w:rFonts w:cs="Times New Roman"/>
                      <w:szCs w:val="21"/>
                    </w:rPr>
                  </w:pPr>
                  <w:r>
                    <w:rPr>
                      <w:rFonts w:hint="eastAsia" w:cs="Times New Roman"/>
                      <w:szCs w:val="21"/>
                    </w:rPr>
                    <w:t>320m</w:t>
                  </w:r>
                  <w:r>
                    <w:rPr>
                      <w:rFonts w:hint="eastAsia" w:cs="Times New Roman"/>
                      <w:szCs w:val="21"/>
                      <w:vertAlign w:val="superscript"/>
                    </w:rPr>
                    <w:t>3</w:t>
                  </w:r>
                </w:p>
              </w:tc>
              <w:tc>
                <w:tcPr>
                  <w:tcW w:w="982" w:type="pct"/>
                  <w:vAlign w:val="center"/>
                </w:tcPr>
                <w:p w14:paraId="55CD2302">
                  <w:pPr>
                    <w:jc w:val="center"/>
                    <w:rPr>
                      <w:rFonts w:cs="Times New Roman"/>
                      <w:szCs w:val="21"/>
                    </w:rPr>
                  </w:pPr>
                  <w:r>
                    <w:rPr>
                      <w:rFonts w:hint="eastAsia" w:cs="Times New Roman"/>
                      <w:szCs w:val="21"/>
                    </w:rPr>
                    <w:t>3.2</w:t>
                  </w:r>
                </w:p>
              </w:tc>
              <w:tc>
                <w:tcPr>
                  <w:tcW w:w="750" w:type="pct"/>
                  <w:vMerge w:val="continue"/>
                  <w:vAlign w:val="center"/>
                </w:tcPr>
                <w:p w14:paraId="39C4E9C8">
                  <w:pPr>
                    <w:jc w:val="center"/>
                    <w:rPr>
                      <w:rFonts w:cs="Times New Roman"/>
                      <w:szCs w:val="21"/>
                    </w:rPr>
                  </w:pPr>
                </w:p>
              </w:tc>
            </w:tr>
            <w:tr w14:paraId="1042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68" w:type="pct"/>
                  <w:gridSpan w:val="4"/>
                  <w:vAlign w:val="center"/>
                </w:tcPr>
                <w:p w14:paraId="0038211B">
                  <w:pPr>
                    <w:jc w:val="center"/>
                    <w:rPr>
                      <w:rFonts w:cs="Times New Roman"/>
                      <w:szCs w:val="21"/>
                    </w:rPr>
                  </w:pPr>
                  <w:r>
                    <w:rPr>
                      <w:rFonts w:hint="eastAsia" w:cs="Times New Roman"/>
                      <w:szCs w:val="21"/>
                    </w:rPr>
                    <w:t>合计</w:t>
                  </w:r>
                </w:p>
              </w:tc>
              <w:tc>
                <w:tcPr>
                  <w:tcW w:w="982" w:type="pct"/>
                  <w:vAlign w:val="center"/>
                </w:tcPr>
                <w:p w14:paraId="045AAD3A">
                  <w:pPr>
                    <w:jc w:val="center"/>
                    <w:rPr>
                      <w:rFonts w:cs="Times New Roman"/>
                      <w:szCs w:val="21"/>
                    </w:rPr>
                  </w:pPr>
                  <w:r>
                    <w:rPr>
                      <w:rFonts w:hint="eastAsia" w:cs="Times New Roman"/>
                      <w:szCs w:val="21"/>
                    </w:rPr>
                    <w:t>6.45</w:t>
                  </w:r>
                </w:p>
              </w:tc>
              <w:tc>
                <w:tcPr>
                  <w:tcW w:w="750" w:type="pct"/>
                  <w:vAlign w:val="center"/>
                </w:tcPr>
                <w:p w14:paraId="25B44830">
                  <w:pPr>
                    <w:jc w:val="center"/>
                    <w:rPr>
                      <w:rFonts w:cs="Times New Roman"/>
                      <w:szCs w:val="21"/>
                    </w:rPr>
                  </w:pPr>
                  <w:r>
                    <w:rPr>
                      <w:rFonts w:cs="Times New Roman"/>
                      <w:szCs w:val="21"/>
                    </w:rPr>
                    <w:t>市政供水</w:t>
                  </w:r>
                </w:p>
              </w:tc>
            </w:tr>
          </w:tbl>
          <w:p w14:paraId="56735575">
            <w:pPr>
              <w:spacing w:line="360" w:lineRule="auto"/>
              <w:ind w:firstLine="482" w:firstLineChars="200"/>
              <w:rPr>
                <w:b/>
                <w:kern w:val="24"/>
                <w:sz w:val="24"/>
                <w:szCs w:val="24"/>
              </w:rPr>
            </w:pPr>
            <w:r>
              <w:rPr>
                <w:rFonts w:hint="eastAsia"/>
                <w:b/>
                <w:kern w:val="24"/>
                <w:sz w:val="24"/>
                <w:szCs w:val="24"/>
              </w:rPr>
              <w:t>②排水</w:t>
            </w:r>
          </w:p>
          <w:p w14:paraId="2FE7CC1C">
            <w:pPr>
              <w:spacing w:line="360" w:lineRule="auto"/>
              <w:ind w:firstLine="480"/>
              <w:rPr>
                <w:kern w:val="24"/>
                <w:sz w:val="24"/>
                <w:szCs w:val="24"/>
              </w:rPr>
            </w:pPr>
            <w:r>
              <w:rPr>
                <w:rFonts w:hint="eastAsia"/>
                <w:kern w:val="24"/>
                <w:sz w:val="24"/>
                <w:szCs w:val="24"/>
              </w:rPr>
              <w:t>项目排水</w:t>
            </w:r>
            <w:r>
              <w:rPr>
                <w:kern w:val="24"/>
                <w:sz w:val="24"/>
                <w:szCs w:val="24"/>
              </w:rPr>
              <w:t>采用雨、污分流制</w:t>
            </w:r>
            <w:r>
              <w:rPr>
                <w:rFonts w:hint="eastAsia"/>
                <w:kern w:val="24"/>
                <w:sz w:val="24"/>
                <w:szCs w:val="24"/>
              </w:rPr>
              <w:t>，雨水经厂区雨水管网排入园区雨水管网，</w:t>
            </w:r>
            <w:r>
              <w:rPr>
                <w:rFonts w:hint="eastAsia"/>
                <w:sz w:val="24"/>
              </w:rPr>
              <w:t>外排废水主要为</w:t>
            </w:r>
            <w:r>
              <w:rPr>
                <w:rFonts w:hint="eastAsia"/>
                <w:kern w:val="24"/>
                <w:sz w:val="24"/>
                <w:szCs w:val="24"/>
              </w:rPr>
              <w:t>生活污水、食堂废水和循环冷却排污水。生活污水和食堂废水产生量按用水量的85%计，则生活污水、食堂废水产生量分别为</w:t>
            </w:r>
            <w:r>
              <w:rPr>
                <w:rFonts w:hint="eastAsia"/>
                <w:bCs/>
                <w:sz w:val="24"/>
                <w:szCs w:val="24"/>
              </w:rPr>
              <w:t>2.21</w:t>
            </w:r>
            <w:r>
              <w:rPr>
                <w:sz w:val="24"/>
                <w:szCs w:val="24"/>
              </w:rPr>
              <w:t>m</w:t>
            </w:r>
            <w:r>
              <w:rPr>
                <w:sz w:val="24"/>
                <w:szCs w:val="24"/>
                <w:vertAlign w:val="superscript"/>
              </w:rPr>
              <w:t>3</w:t>
            </w:r>
            <w:r>
              <w:rPr>
                <w:sz w:val="24"/>
                <w:szCs w:val="24"/>
              </w:rPr>
              <w:t>/</w:t>
            </w:r>
            <w:r>
              <w:rPr>
                <w:rFonts w:hint="eastAsia"/>
                <w:sz w:val="24"/>
                <w:szCs w:val="24"/>
              </w:rPr>
              <w:t>d、</w:t>
            </w:r>
            <w:r>
              <w:rPr>
                <w:rFonts w:hint="eastAsia"/>
                <w:bCs/>
                <w:sz w:val="24"/>
                <w:szCs w:val="24"/>
              </w:rPr>
              <w:t>0.553</w:t>
            </w:r>
            <w:r>
              <w:rPr>
                <w:sz w:val="24"/>
                <w:szCs w:val="24"/>
              </w:rPr>
              <w:t>m</w:t>
            </w:r>
            <w:r>
              <w:rPr>
                <w:sz w:val="24"/>
                <w:szCs w:val="24"/>
                <w:vertAlign w:val="superscript"/>
              </w:rPr>
              <w:t>3</w:t>
            </w:r>
            <w:r>
              <w:rPr>
                <w:sz w:val="24"/>
                <w:szCs w:val="24"/>
              </w:rPr>
              <w:t>/</w:t>
            </w:r>
            <w:r>
              <w:rPr>
                <w:rFonts w:hint="eastAsia"/>
                <w:sz w:val="24"/>
                <w:szCs w:val="24"/>
              </w:rPr>
              <w:t>d</w:t>
            </w:r>
            <w:r>
              <w:rPr>
                <w:rFonts w:hint="eastAsia"/>
                <w:kern w:val="24"/>
                <w:sz w:val="24"/>
                <w:szCs w:val="24"/>
              </w:rPr>
              <w:t>。循环冷却水采用间接冷却方式，</w:t>
            </w:r>
            <w:r>
              <w:rPr>
                <w:rFonts w:hint="eastAsia"/>
                <w:sz w:val="24"/>
              </w:rPr>
              <w:t>冷却水循环使用</w:t>
            </w:r>
            <w:r>
              <w:rPr>
                <w:rFonts w:hint="eastAsia"/>
                <w:kern w:val="24"/>
                <w:sz w:val="24"/>
                <w:szCs w:val="24"/>
              </w:rPr>
              <w:t>，由于循环冷却水通过冷却塔时水分不断蒸发，循环冷却水中的溶解盐类不断被浓缩，含盐量不断增加，可能会引起结垢和腐蚀，因此必须排掉一部分循环水，排污量按循环水量的0.2%计，项目</w:t>
            </w:r>
            <w:r>
              <w:rPr>
                <w:rFonts w:hint="eastAsia"/>
                <w:sz w:val="24"/>
                <w:szCs w:val="24"/>
              </w:rPr>
              <w:t>循环冷却水系统循环水量约40</w:t>
            </w:r>
            <w:r>
              <w:rPr>
                <w:sz w:val="24"/>
                <w:szCs w:val="24"/>
              </w:rPr>
              <w:t>m</w:t>
            </w:r>
            <w:r>
              <w:rPr>
                <w:sz w:val="24"/>
                <w:szCs w:val="24"/>
                <w:vertAlign w:val="superscript"/>
              </w:rPr>
              <w:t>3</w:t>
            </w:r>
            <w:r>
              <w:rPr>
                <w:sz w:val="24"/>
                <w:szCs w:val="24"/>
              </w:rPr>
              <w:t>/h，</w:t>
            </w:r>
            <w:r>
              <w:rPr>
                <w:rFonts w:hint="eastAsia"/>
                <w:kern w:val="24"/>
                <w:sz w:val="24"/>
                <w:szCs w:val="24"/>
              </w:rPr>
              <w:t>则循环排污水排放量平均约0.64m</w:t>
            </w:r>
            <w:r>
              <w:rPr>
                <w:rFonts w:hint="eastAsia"/>
                <w:kern w:val="24"/>
                <w:sz w:val="24"/>
                <w:szCs w:val="24"/>
                <w:vertAlign w:val="superscript"/>
              </w:rPr>
              <w:t>3</w:t>
            </w:r>
            <w:r>
              <w:rPr>
                <w:rFonts w:hint="eastAsia"/>
                <w:kern w:val="24"/>
                <w:sz w:val="24"/>
                <w:szCs w:val="24"/>
              </w:rPr>
              <w:t>/d。</w:t>
            </w:r>
          </w:p>
          <w:p w14:paraId="21A2554A">
            <w:pPr>
              <w:spacing w:line="360" w:lineRule="auto"/>
              <w:ind w:firstLine="480"/>
              <w:rPr>
                <w:kern w:val="24"/>
                <w:sz w:val="24"/>
                <w:szCs w:val="24"/>
              </w:rPr>
            </w:pPr>
            <w:r>
              <w:rPr>
                <w:rFonts w:hint="eastAsia"/>
                <w:sz w:val="24"/>
              </w:rPr>
              <w:t>运营期</w:t>
            </w:r>
            <w:r>
              <w:rPr>
                <w:rFonts w:hint="eastAsia"/>
                <w:kern w:val="24"/>
                <w:sz w:val="24"/>
                <w:szCs w:val="24"/>
              </w:rPr>
              <w:t>生活污水经预处理池处理（食堂废水先经隔油池处理）达到《污水综合排放标准》（GB8978-1996）三级标准后，与循环冷却排污水一起排入园区污水管网，经大英县工业污水处理厂处理达标后排入郪江。</w:t>
            </w:r>
          </w:p>
          <w:p w14:paraId="6BAEC9B4">
            <w:pPr>
              <w:spacing w:line="360" w:lineRule="auto"/>
              <w:ind w:firstLine="482" w:firstLineChars="200"/>
              <w:rPr>
                <w:b/>
                <w:kern w:val="24"/>
                <w:sz w:val="24"/>
                <w:szCs w:val="24"/>
              </w:rPr>
            </w:pPr>
            <w:r>
              <w:rPr>
                <w:rFonts w:hint="eastAsia"/>
                <w:b/>
                <w:kern w:val="24"/>
                <w:sz w:val="24"/>
                <w:szCs w:val="24"/>
              </w:rPr>
              <w:t>③水平衡图</w:t>
            </w:r>
          </w:p>
          <w:p w14:paraId="36F1C35C">
            <w:pPr>
              <w:spacing w:line="360" w:lineRule="auto"/>
              <w:ind w:firstLine="480" w:firstLineChars="200"/>
              <w:rPr>
                <w:kern w:val="24"/>
                <w:sz w:val="24"/>
                <w:szCs w:val="24"/>
              </w:rPr>
            </w:pPr>
            <w:r>
              <w:rPr>
                <w:rFonts w:hint="eastAsia"/>
                <w:kern w:val="24"/>
                <w:sz w:val="24"/>
                <w:szCs w:val="24"/>
              </w:rPr>
              <w:t>本项目水量平衡见下图。</w:t>
            </w:r>
          </w:p>
          <w:p w14:paraId="76CF9E82">
            <w:pPr>
              <w:spacing w:line="360" w:lineRule="auto"/>
              <w:jc w:val="center"/>
            </w:pPr>
            <w:r>
              <w:rPr>
                <w:rFonts w:hint="eastAsia"/>
              </w:rPr>
              <w:object>
                <v:shape id="_x0000_i1031" o:spt="75" type="#_x0000_t75" style="height:198.75pt;width:377.25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p>
          <w:p w14:paraId="43FF8B70">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扩建项目</w:t>
            </w:r>
            <w:r>
              <w:rPr>
                <w:rFonts w:hint="eastAsia" w:eastAsia="黑体" w:cstheme="minorHAnsi"/>
                <w:szCs w:val="21"/>
              </w:rPr>
              <w:t>水量平衡图</w:t>
            </w:r>
            <w:r>
              <w:rPr>
                <w:szCs w:val="21"/>
              </w:rPr>
              <w:t>（</w:t>
            </w:r>
            <w:r>
              <w:rPr>
                <w:rFonts w:eastAsia="黑体"/>
                <w:szCs w:val="21"/>
              </w:rPr>
              <w:t>m</w:t>
            </w:r>
            <w:r>
              <w:rPr>
                <w:rFonts w:eastAsia="黑体"/>
                <w:szCs w:val="21"/>
                <w:vertAlign w:val="superscript"/>
              </w:rPr>
              <w:t>3</w:t>
            </w:r>
            <w:r>
              <w:rPr>
                <w:rFonts w:eastAsia="黑体"/>
                <w:szCs w:val="21"/>
              </w:rPr>
              <w:t>/d</w:t>
            </w:r>
            <w:r>
              <w:rPr>
                <w:rFonts w:hint="eastAsia"/>
                <w:szCs w:val="21"/>
              </w:rPr>
              <w:t>）</w:t>
            </w:r>
          </w:p>
          <w:p w14:paraId="60656439">
            <w:pPr>
              <w:spacing w:line="360" w:lineRule="auto"/>
              <w:jc w:val="center"/>
              <w:rPr>
                <w:rFonts w:eastAsia="黑体" w:cstheme="minorHAnsi"/>
                <w:szCs w:val="21"/>
              </w:rPr>
            </w:pPr>
            <w:r>
              <w:rPr>
                <w:rFonts w:hint="eastAsia"/>
              </w:rPr>
              <w:object>
                <v:shape id="_x0000_i1032" o:spt="75" type="#_x0000_t75" style="height:279.75pt;width:379.5pt;" o:ole="t" filled="f" o:preferrelative="t" stroked="f" coordsize="21600,21600">
                  <v:path/>
                  <v:fill on="f" focussize="0,0"/>
                  <v:stroke on="f" joinstyle="miter"/>
                  <v:imagedata r:id="rId25" o:title=""/>
                  <o:lock v:ext="edit" aspectratio="t"/>
                  <w10:wrap type="none"/>
                  <w10:anchorlock/>
                </v:shape>
                <o:OLEObject Type="Embed" ProgID="Visio.Drawing.15" ShapeID="_x0000_i1032" DrawAspect="Content" ObjectID="_1468075732" r:id="rId24">
                  <o:LockedField>false</o:LockedField>
                </o:OLEObject>
              </w:object>
            </w:r>
          </w:p>
          <w:p w14:paraId="332B7D54">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扩建后全厂</w:t>
            </w:r>
            <w:r>
              <w:rPr>
                <w:rFonts w:hint="eastAsia" w:eastAsia="黑体" w:cstheme="minorHAnsi"/>
                <w:szCs w:val="21"/>
              </w:rPr>
              <w:t>水量平衡图</w:t>
            </w:r>
            <w:r>
              <w:rPr>
                <w:szCs w:val="21"/>
              </w:rPr>
              <w:t>（</w:t>
            </w:r>
            <w:r>
              <w:rPr>
                <w:rFonts w:eastAsia="黑体"/>
                <w:szCs w:val="21"/>
              </w:rPr>
              <w:t>m</w:t>
            </w:r>
            <w:r>
              <w:rPr>
                <w:rFonts w:eastAsia="黑体"/>
                <w:szCs w:val="21"/>
                <w:vertAlign w:val="superscript"/>
              </w:rPr>
              <w:t>3</w:t>
            </w:r>
            <w:r>
              <w:rPr>
                <w:rFonts w:eastAsia="黑体"/>
                <w:szCs w:val="21"/>
              </w:rPr>
              <w:t>/</w:t>
            </w:r>
            <w:r>
              <w:rPr>
                <w:rFonts w:hint="eastAsia" w:eastAsia="黑体"/>
                <w:szCs w:val="21"/>
              </w:rPr>
              <w:t>a</w:t>
            </w:r>
            <w:r>
              <w:rPr>
                <w:rFonts w:hint="eastAsia"/>
                <w:szCs w:val="21"/>
              </w:rPr>
              <w:t>）</w:t>
            </w:r>
          </w:p>
          <w:p w14:paraId="7667D91F">
            <w:pPr>
              <w:spacing w:line="360" w:lineRule="auto"/>
              <w:ind w:firstLine="482" w:firstLineChars="200"/>
              <w:rPr>
                <w:rFonts w:cs="Times New Roman"/>
                <w:b/>
                <w:sz w:val="24"/>
                <w:szCs w:val="24"/>
              </w:rPr>
            </w:pPr>
            <w:r>
              <w:rPr>
                <w:rFonts w:cs="Times New Roman"/>
                <w:b/>
                <w:sz w:val="24"/>
                <w:szCs w:val="24"/>
              </w:rPr>
              <w:t>9</w:t>
            </w:r>
            <w:r>
              <w:rPr>
                <w:rFonts w:hint="eastAsia" w:cs="Times New Roman"/>
                <w:b/>
                <w:sz w:val="24"/>
                <w:szCs w:val="24"/>
              </w:rPr>
              <w:t>、劳动定员及工作制度</w:t>
            </w:r>
          </w:p>
          <w:p w14:paraId="090169C2">
            <w:pPr>
              <w:spacing w:line="360" w:lineRule="auto"/>
              <w:ind w:firstLine="480" w:firstLineChars="200"/>
              <w:rPr>
                <w:sz w:val="24"/>
                <w:szCs w:val="24"/>
              </w:rPr>
            </w:pPr>
            <w:r>
              <w:rPr>
                <w:rFonts w:hint="eastAsia"/>
                <w:sz w:val="24"/>
                <w:szCs w:val="24"/>
              </w:rPr>
              <w:t>本项目劳动定员26人，年生产250天，每天生产8小时</w:t>
            </w:r>
            <w:r>
              <w:rPr>
                <w:rFonts w:hint="eastAsia"/>
                <w:kern w:val="24"/>
                <w:sz w:val="24"/>
                <w:szCs w:val="24"/>
              </w:rPr>
              <w:t>。</w:t>
            </w:r>
          </w:p>
          <w:p w14:paraId="1642F5BF">
            <w:pPr>
              <w:spacing w:line="360" w:lineRule="auto"/>
              <w:ind w:firstLine="482" w:firstLineChars="200"/>
              <w:rPr>
                <w:rFonts w:cs="Times New Roman"/>
                <w:b/>
                <w:sz w:val="24"/>
                <w:szCs w:val="24"/>
              </w:rPr>
            </w:pPr>
            <w:r>
              <w:rPr>
                <w:rFonts w:cs="Times New Roman"/>
                <w:b/>
                <w:sz w:val="24"/>
                <w:szCs w:val="24"/>
              </w:rPr>
              <w:t>10</w:t>
            </w:r>
            <w:r>
              <w:rPr>
                <w:rFonts w:hint="eastAsia" w:cs="Times New Roman"/>
                <w:b/>
                <w:sz w:val="24"/>
                <w:szCs w:val="24"/>
              </w:rPr>
              <w:t>、总平面布置</w:t>
            </w:r>
          </w:p>
          <w:p w14:paraId="21DA51B1">
            <w:pPr>
              <w:spacing w:line="360" w:lineRule="auto"/>
              <w:ind w:firstLine="480" w:firstLineChars="200"/>
              <w:rPr>
                <w:rFonts w:cs="Times New Roman"/>
                <w:sz w:val="24"/>
                <w:szCs w:val="24"/>
              </w:rPr>
            </w:pPr>
            <w:r>
              <w:rPr>
                <w:rFonts w:hint="eastAsia" w:cs="Times New Roman"/>
                <w:sz w:val="24"/>
                <w:szCs w:val="24"/>
              </w:rPr>
              <w:t>项目新增地块紧邻现有厂区，总体规划思路为功能布局、厂房分布组合、道路系统、景观系统与公共基础设施统一规划，形成统一整体，充分结合现有厂区布局及周围环境特征进行布局。新增地块包括1栋成品库房和1栋生产车间，分别由南向北顺向布局。新增生产车间根据生产工艺需要，1F为生产加工区，2F为</w:t>
            </w:r>
            <w:r>
              <w:rPr>
                <w:rFonts w:hint="eastAsia"/>
                <w:bCs/>
                <w:szCs w:val="21"/>
              </w:rPr>
              <w:t>成品暂存区</w:t>
            </w:r>
            <w:r>
              <w:rPr>
                <w:rFonts w:hint="eastAsia" w:cs="Times New Roman"/>
                <w:sz w:val="24"/>
                <w:szCs w:val="24"/>
              </w:rPr>
              <w:t>，主要生产工序均集中布置于车间西侧，以便于废气的收集和集中处理，以及冷却水的供应；车间内各区域结合生产工艺进行流水线布局，功能分区明确。</w:t>
            </w:r>
          </w:p>
          <w:p w14:paraId="4F7CBAB5">
            <w:pPr>
              <w:spacing w:line="360" w:lineRule="auto"/>
              <w:ind w:firstLine="480" w:firstLineChars="200"/>
              <w:rPr>
                <w:rFonts w:cs="Times New Roman"/>
                <w:sz w:val="24"/>
                <w:szCs w:val="24"/>
              </w:rPr>
            </w:pPr>
            <w:r>
              <w:rPr>
                <w:kern w:val="24"/>
                <w:sz w:val="24"/>
                <w:szCs w:val="24"/>
              </w:rPr>
              <w:t>项目总平面布置见附图</w:t>
            </w:r>
            <w:r>
              <w:rPr>
                <w:rFonts w:hint="eastAsia"/>
                <w:kern w:val="24"/>
                <w:sz w:val="24"/>
                <w:szCs w:val="24"/>
              </w:rPr>
              <w:t>。</w:t>
            </w:r>
          </w:p>
        </w:tc>
      </w:tr>
      <w:tr w14:paraId="3F6F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2C77710A">
            <w:pPr>
              <w:spacing w:line="360" w:lineRule="auto"/>
              <w:jc w:val="center"/>
              <w:rPr>
                <w:rFonts w:cs="Times New Roman"/>
                <w:sz w:val="24"/>
                <w:szCs w:val="24"/>
              </w:rPr>
            </w:pPr>
            <w:r>
              <w:rPr>
                <w:rFonts w:hint="eastAsia" w:cs="Times New Roman"/>
                <w:sz w:val="24"/>
                <w:szCs w:val="24"/>
              </w:rPr>
              <w:t>工艺流程和产排污环节</w:t>
            </w:r>
          </w:p>
        </w:tc>
        <w:tc>
          <w:tcPr>
            <w:tcW w:w="4756" w:type="pct"/>
            <w:vAlign w:val="center"/>
          </w:tcPr>
          <w:p w14:paraId="7D384B7F">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、施工期工艺流程和产污环节</w:t>
            </w:r>
          </w:p>
          <w:p w14:paraId="73B5302F">
            <w:pPr>
              <w:spacing w:line="360" w:lineRule="auto"/>
              <w:ind w:firstLine="480"/>
              <w:rPr>
                <w:sz w:val="24"/>
                <w:szCs w:val="24"/>
              </w:rPr>
            </w:pPr>
            <w:r>
              <w:rPr>
                <w:rFonts w:hint="eastAsia"/>
                <w:sz w:val="24"/>
                <w:szCs w:val="24"/>
              </w:rPr>
              <w:t>施工期基础工程、主体工程、装饰工程、设备安装等建设阶段将产生噪声、扬尘、固体废物、少量污水和废气等污染物，其排放量随工期和施工强度不同而有所变化，施工期工艺流程及产污环节如下图所示。</w:t>
            </w:r>
          </w:p>
          <w:p w14:paraId="7DEA02C0">
            <w:pPr>
              <w:spacing w:line="360" w:lineRule="auto"/>
              <w:ind w:firstLine="480"/>
              <w:rPr>
                <w:sz w:val="24"/>
                <w:szCs w:val="24"/>
              </w:rPr>
            </w:pPr>
          </w:p>
          <w:p w14:paraId="4986F42F">
            <w:pPr>
              <w:spacing w:line="360" w:lineRule="auto"/>
              <w:ind w:firstLine="480"/>
              <w:rPr>
                <w:sz w:val="24"/>
                <w:szCs w:val="24"/>
              </w:rPr>
            </w:pPr>
          </w:p>
          <w:p w14:paraId="5052540C">
            <w:pPr>
              <w:spacing w:line="360" w:lineRule="auto"/>
              <w:ind w:firstLine="480"/>
              <w:rPr>
                <w:sz w:val="24"/>
                <w:szCs w:val="24"/>
              </w:rPr>
            </w:pPr>
          </w:p>
          <w:p w14:paraId="09066E64">
            <w:pPr>
              <w:spacing w:line="360" w:lineRule="auto"/>
              <w:jc w:val="center"/>
            </w:pPr>
            <w:r>
              <w:object>
                <v:shape id="_x0000_i1033" o:spt="75" type="#_x0000_t75" style="height:123pt;width:369.75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3" r:id="rId26">
                  <o:LockedField>false</o:LockedField>
                </o:OLEObject>
              </w:object>
            </w:r>
          </w:p>
          <w:p w14:paraId="0CCA1970">
            <w:pPr>
              <w:pStyle w:val="51"/>
              <w:numPr>
                <w:ilvl w:val="0"/>
                <w:numId w:val="4"/>
              </w:numPr>
              <w:spacing w:line="360" w:lineRule="auto"/>
              <w:ind w:firstLineChars="0"/>
              <w:jc w:val="center"/>
              <w:rPr>
                <w:rFonts w:eastAsia="黑体" w:cs="Times New Roman"/>
                <w:szCs w:val="21"/>
              </w:rPr>
            </w:pPr>
            <w:r>
              <w:rPr>
                <w:rFonts w:eastAsia="黑体" w:cs="Times New Roman"/>
                <w:szCs w:val="21"/>
              </w:rPr>
              <w:t>施工期工艺流程及产污环节图</w:t>
            </w:r>
          </w:p>
          <w:p w14:paraId="573119D8">
            <w:pPr>
              <w:spacing w:line="360" w:lineRule="auto"/>
              <w:ind w:firstLine="480"/>
              <w:rPr>
                <w:b/>
                <w:bCs/>
                <w:sz w:val="24"/>
                <w:szCs w:val="24"/>
              </w:rPr>
            </w:pPr>
            <w:r>
              <w:rPr>
                <w:rFonts w:hint="eastAsia"/>
                <w:b/>
                <w:bCs/>
                <w:sz w:val="24"/>
                <w:szCs w:val="24"/>
              </w:rPr>
              <w:t>主要工序简述：</w:t>
            </w:r>
          </w:p>
          <w:p w14:paraId="11B9527B">
            <w:pPr>
              <w:spacing w:line="360" w:lineRule="auto"/>
              <w:ind w:firstLine="482" w:firstLineChars="200"/>
              <w:rPr>
                <w:b/>
                <w:bCs/>
                <w:sz w:val="24"/>
                <w:szCs w:val="24"/>
              </w:rPr>
            </w:pPr>
            <w:r>
              <w:rPr>
                <w:rFonts w:hint="eastAsia"/>
                <w:b/>
                <w:bCs/>
                <w:sz w:val="24"/>
                <w:szCs w:val="24"/>
              </w:rPr>
              <w:t>（1）基础工程</w:t>
            </w:r>
          </w:p>
          <w:p w14:paraId="0D9DF873">
            <w:pPr>
              <w:spacing w:line="360" w:lineRule="auto"/>
              <w:ind w:firstLine="480"/>
              <w:rPr>
                <w:sz w:val="24"/>
                <w:szCs w:val="24"/>
              </w:rPr>
            </w:pPr>
            <w:r>
              <w:rPr>
                <w:rFonts w:hint="eastAsia"/>
                <w:sz w:val="24"/>
                <w:szCs w:val="24"/>
              </w:rPr>
              <w:t>在基础开挖、地基处理（岩土工程）与基础施工时，由于挖土机、运土卡车等施工机械的运行，将产生一定的噪声；同时产生扬尘和工人生活废水；基础开挖会造成生态变化并引起一定程度的水土流失。</w:t>
            </w:r>
          </w:p>
          <w:p w14:paraId="00511D5C">
            <w:pPr>
              <w:spacing w:line="360" w:lineRule="auto"/>
              <w:ind w:firstLine="480"/>
              <w:rPr>
                <w:b/>
                <w:bCs/>
                <w:sz w:val="24"/>
                <w:szCs w:val="24"/>
              </w:rPr>
            </w:pPr>
            <w:r>
              <w:rPr>
                <w:rFonts w:hint="eastAsia"/>
                <w:b/>
                <w:bCs/>
                <w:sz w:val="24"/>
                <w:szCs w:val="24"/>
              </w:rPr>
              <w:t>（</w:t>
            </w:r>
            <w:r>
              <w:rPr>
                <w:b/>
                <w:bCs/>
                <w:sz w:val="24"/>
                <w:szCs w:val="24"/>
              </w:rPr>
              <w:t>2</w:t>
            </w:r>
            <w:r>
              <w:rPr>
                <w:rFonts w:hint="eastAsia"/>
                <w:b/>
                <w:bCs/>
                <w:sz w:val="24"/>
                <w:szCs w:val="24"/>
              </w:rPr>
              <w:t>）主体工程</w:t>
            </w:r>
          </w:p>
          <w:p w14:paraId="42E01422">
            <w:pPr>
              <w:spacing w:line="360" w:lineRule="auto"/>
              <w:ind w:firstLine="480"/>
              <w:rPr>
                <w:sz w:val="24"/>
                <w:szCs w:val="24"/>
              </w:rPr>
            </w:pPr>
            <w:r>
              <w:rPr>
                <w:rFonts w:hint="eastAsia"/>
                <w:sz w:val="24"/>
                <w:szCs w:val="24"/>
              </w:rPr>
              <w:t>主体施工时，挖掘机、打夯机、装载汽车等运行时会产生噪声，同时产生扬尘。此外，还有一些原材料废弃料以及生产和生活污水产生。</w:t>
            </w:r>
          </w:p>
          <w:p w14:paraId="297141A8">
            <w:pPr>
              <w:spacing w:line="360" w:lineRule="auto"/>
              <w:ind w:firstLine="480"/>
              <w:rPr>
                <w:b/>
                <w:sz w:val="24"/>
                <w:szCs w:val="24"/>
              </w:rPr>
            </w:pPr>
            <w:r>
              <w:rPr>
                <w:rFonts w:hint="eastAsia"/>
                <w:b/>
                <w:bCs/>
                <w:sz w:val="24"/>
                <w:szCs w:val="24"/>
              </w:rPr>
              <w:t>（</w:t>
            </w:r>
            <w:r>
              <w:rPr>
                <w:b/>
                <w:bCs/>
                <w:sz w:val="24"/>
                <w:szCs w:val="24"/>
              </w:rPr>
              <w:t>3</w:t>
            </w:r>
            <w:r>
              <w:rPr>
                <w:rFonts w:hint="eastAsia"/>
                <w:b/>
                <w:bCs/>
                <w:sz w:val="24"/>
                <w:szCs w:val="24"/>
              </w:rPr>
              <w:t>）</w:t>
            </w:r>
            <w:r>
              <w:rPr>
                <w:rFonts w:hint="eastAsia"/>
                <w:b/>
                <w:sz w:val="24"/>
                <w:szCs w:val="24"/>
              </w:rPr>
              <w:t>装饰工程</w:t>
            </w:r>
          </w:p>
          <w:p w14:paraId="78F0A212">
            <w:pPr>
              <w:spacing w:line="360" w:lineRule="auto"/>
              <w:ind w:firstLine="480"/>
              <w:rPr>
                <w:sz w:val="24"/>
                <w:szCs w:val="24"/>
              </w:rPr>
            </w:pPr>
            <w:r>
              <w:rPr>
                <w:rFonts w:hint="eastAsia"/>
                <w:sz w:val="24"/>
                <w:szCs w:val="24"/>
              </w:rPr>
              <w:t>在对构筑物的室内外进行装修时（如表面粉刷、喷涂、裱糊等），钻机、电锤等产生噪声，涂料产生废气、废弃物料及污水。</w:t>
            </w:r>
          </w:p>
          <w:p w14:paraId="428676CA">
            <w:pPr>
              <w:spacing w:line="360" w:lineRule="auto"/>
              <w:ind w:firstLine="480"/>
              <w:rPr>
                <w:b/>
                <w:bCs/>
                <w:sz w:val="24"/>
                <w:szCs w:val="24"/>
              </w:rPr>
            </w:pPr>
            <w:r>
              <w:rPr>
                <w:rFonts w:hint="eastAsia"/>
                <w:b/>
                <w:bCs/>
                <w:sz w:val="24"/>
                <w:szCs w:val="24"/>
              </w:rPr>
              <w:t>（</w:t>
            </w:r>
            <w:r>
              <w:rPr>
                <w:b/>
                <w:bCs/>
                <w:sz w:val="24"/>
                <w:szCs w:val="24"/>
              </w:rPr>
              <w:t>4</w:t>
            </w:r>
            <w:r>
              <w:rPr>
                <w:rFonts w:hint="eastAsia"/>
                <w:b/>
                <w:bCs/>
                <w:sz w:val="24"/>
                <w:szCs w:val="24"/>
              </w:rPr>
              <w:t>）设备安装/调试</w:t>
            </w:r>
          </w:p>
          <w:p w14:paraId="48E33505">
            <w:pPr>
              <w:spacing w:line="360" w:lineRule="auto"/>
              <w:ind w:firstLine="480"/>
              <w:rPr>
                <w:sz w:val="24"/>
                <w:szCs w:val="24"/>
              </w:rPr>
            </w:pPr>
            <w:r>
              <w:rPr>
                <w:rFonts w:hint="eastAsia"/>
                <w:sz w:val="24"/>
                <w:szCs w:val="24"/>
              </w:rPr>
              <w:t>主要包括设施设备的安装和调试工作。</w:t>
            </w:r>
          </w:p>
          <w:p w14:paraId="4F75D376">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、运营期工艺流程和产污环节</w:t>
            </w:r>
          </w:p>
          <w:p w14:paraId="5227AD7D">
            <w:pPr>
              <w:spacing w:line="360" w:lineRule="auto"/>
              <w:ind w:firstLine="480" w:firstLineChars="200"/>
              <w:rPr>
                <w:rFonts w:cs="Times New Roman"/>
                <w:sz w:val="24"/>
                <w:szCs w:val="24"/>
              </w:rPr>
            </w:pPr>
            <w:r>
              <w:rPr>
                <w:rFonts w:hint="eastAsia"/>
                <w:sz w:val="24"/>
                <w:szCs w:val="24"/>
              </w:rPr>
              <w:t>本项目主要从事酒类及家电类环保塑料制品生产，所有原料均为外购的新料，不涉及废旧塑料的回收利用。运营期主要生产工艺及产污环节见下图</w:t>
            </w:r>
            <w:r>
              <w:rPr>
                <w:rFonts w:hint="eastAsia" w:cs="Times New Roman"/>
                <w:sz w:val="24"/>
                <w:szCs w:val="24"/>
              </w:rPr>
              <w:t>：</w:t>
            </w:r>
          </w:p>
          <w:p w14:paraId="3DF5E312">
            <w:pPr>
              <w:spacing w:line="360" w:lineRule="auto"/>
              <w:ind w:firstLine="480" w:firstLineChars="200"/>
              <w:rPr>
                <w:rFonts w:cs="Times New Roman"/>
                <w:sz w:val="24"/>
                <w:szCs w:val="24"/>
              </w:rPr>
            </w:pPr>
          </w:p>
          <w:p w14:paraId="21C98BA8">
            <w:pPr>
              <w:spacing w:line="360" w:lineRule="auto"/>
              <w:ind w:firstLine="480" w:firstLineChars="200"/>
              <w:rPr>
                <w:rFonts w:cs="Times New Roman"/>
                <w:sz w:val="24"/>
                <w:szCs w:val="24"/>
              </w:rPr>
            </w:pPr>
          </w:p>
          <w:p w14:paraId="224455C5">
            <w:pPr>
              <w:spacing w:line="360" w:lineRule="auto"/>
              <w:ind w:firstLine="480" w:firstLineChars="200"/>
              <w:rPr>
                <w:rFonts w:cs="Times New Roman"/>
                <w:sz w:val="24"/>
                <w:szCs w:val="24"/>
              </w:rPr>
            </w:pPr>
          </w:p>
          <w:p w14:paraId="03E6C24D">
            <w:pPr>
              <w:spacing w:line="360" w:lineRule="auto"/>
              <w:ind w:firstLine="480" w:firstLineChars="200"/>
              <w:rPr>
                <w:rFonts w:cs="Times New Roman"/>
                <w:sz w:val="24"/>
                <w:szCs w:val="24"/>
              </w:rPr>
            </w:pPr>
          </w:p>
          <w:p w14:paraId="369C3160">
            <w:pPr>
              <w:spacing w:line="360" w:lineRule="auto"/>
              <w:ind w:firstLine="480" w:firstLineChars="200"/>
              <w:rPr>
                <w:rFonts w:cs="Times New Roman"/>
                <w:sz w:val="24"/>
                <w:szCs w:val="24"/>
              </w:rPr>
            </w:pPr>
          </w:p>
          <w:p w14:paraId="3B520ADB">
            <w:pPr>
              <w:spacing w:line="360" w:lineRule="auto"/>
              <w:ind w:firstLine="480" w:firstLineChars="200"/>
              <w:rPr>
                <w:rFonts w:cs="Times New Roman"/>
                <w:sz w:val="24"/>
                <w:szCs w:val="24"/>
              </w:rPr>
            </w:pPr>
          </w:p>
          <w:p w14:paraId="5CB035EC">
            <w:pPr>
              <w:spacing w:line="360" w:lineRule="auto"/>
              <w:ind w:firstLine="480" w:firstLineChars="200"/>
              <w:rPr>
                <w:rFonts w:cs="Times New Roman"/>
                <w:sz w:val="24"/>
                <w:szCs w:val="24"/>
              </w:rPr>
            </w:pPr>
          </w:p>
          <w:p w14:paraId="10FA1B26">
            <w:pPr>
              <w:spacing w:line="360" w:lineRule="auto"/>
              <w:ind w:firstLine="480" w:firstLineChars="200"/>
              <w:rPr>
                <w:rFonts w:cs="Times New Roman"/>
                <w:sz w:val="24"/>
                <w:szCs w:val="24"/>
              </w:rPr>
            </w:pPr>
          </w:p>
          <w:p w14:paraId="7D629B72">
            <w:pPr>
              <w:spacing w:line="360" w:lineRule="auto"/>
              <w:jc w:val="center"/>
            </w:pPr>
            <w:r>
              <w:rPr>
                <w:rFonts w:hint="eastAsia"/>
              </w:rPr>
              <w:object>
                <v:shape id="_x0000_i1034" o:spt="75" type="#_x0000_t75" style="height:505.5pt;width:302.25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4" r:id="rId28">
                  <o:LockedField>false</o:LockedField>
                </o:OLEObject>
              </w:object>
            </w:r>
          </w:p>
          <w:p w14:paraId="0676AE8D">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运营期</w:t>
            </w:r>
            <w:r>
              <w:rPr>
                <w:rFonts w:eastAsia="黑体" w:cs="Times New Roman"/>
                <w:szCs w:val="21"/>
              </w:rPr>
              <w:t>工艺流程及产污环节图</w:t>
            </w:r>
          </w:p>
          <w:p w14:paraId="2DA93FC7">
            <w:pPr>
              <w:spacing w:line="360" w:lineRule="auto"/>
              <w:ind w:firstLine="482" w:firstLineChars="200"/>
              <w:rPr>
                <w:b/>
                <w:sz w:val="24"/>
                <w:szCs w:val="24"/>
              </w:rPr>
            </w:pPr>
            <w:r>
              <w:rPr>
                <w:rFonts w:hint="eastAsia"/>
                <w:b/>
                <w:sz w:val="24"/>
                <w:szCs w:val="24"/>
              </w:rPr>
              <w:t>主要工序</w:t>
            </w:r>
            <w:r>
              <w:rPr>
                <w:b/>
                <w:sz w:val="24"/>
                <w:szCs w:val="24"/>
              </w:rPr>
              <w:t>简述：</w:t>
            </w:r>
          </w:p>
          <w:p w14:paraId="51008E88">
            <w:pPr>
              <w:spacing w:line="360" w:lineRule="auto"/>
              <w:ind w:firstLine="482" w:firstLineChars="200"/>
              <w:rPr>
                <w:b/>
                <w:sz w:val="24"/>
              </w:rPr>
            </w:pPr>
            <w:r>
              <w:rPr>
                <w:rFonts w:hint="eastAsia"/>
                <w:b/>
                <w:sz w:val="24"/>
              </w:rPr>
              <w:t>①配料</w:t>
            </w:r>
          </w:p>
          <w:p w14:paraId="395D37BD">
            <w:pPr>
              <w:spacing w:line="360" w:lineRule="auto"/>
              <w:ind w:firstLine="480" w:firstLineChars="200"/>
              <w:rPr>
                <w:sz w:val="24"/>
              </w:rPr>
            </w:pPr>
            <w:r>
              <w:rPr>
                <w:rFonts w:hint="eastAsia"/>
                <w:sz w:val="24"/>
              </w:rPr>
              <w:t>将外购的ABS塑料（粒径约3mm）颗粒进行人工拆包后，利用注塑机配套的自动投料装置通过密闭负压方式泵入成套注塑设备内。由于ABS塑料颗粒较大，配料过程中基本无粉尘产生。</w:t>
            </w:r>
          </w:p>
          <w:p w14:paraId="5B1BB971">
            <w:pPr>
              <w:spacing w:line="360" w:lineRule="auto"/>
              <w:ind w:firstLine="482" w:firstLineChars="200"/>
              <w:rPr>
                <w:b/>
                <w:sz w:val="24"/>
              </w:rPr>
            </w:pPr>
            <w:r>
              <w:rPr>
                <w:rFonts w:hint="eastAsia"/>
                <w:b/>
                <w:sz w:val="24"/>
              </w:rPr>
              <w:t>②干燥</w:t>
            </w:r>
          </w:p>
          <w:p w14:paraId="7A34DDA2">
            <w:pPr>
              <w:spacing w:line="360" w:lineRule="auto"/>
              <w:ind w:firstLine="480" w:firstLineChars="200"/>
              <w:rPr>
                <w:sz w:val="24"/>
              </w:rPr>
            </w:pPr>
            <w:r>
              <w:rPr>
                <w:rFonts w:hint="eastAsia"/>
                <w:sz w:val="24"/>
              </w:rPr>
              <w:t>由于塑料颗粒物具有吸水性，为避免注塑成型过程中出现纹路、破裂等现象，在进行注塑前需将塑料颗粒加入成套注塑设备干燥箱内进行干燥，干燥箱采用电加热至70~85℃左右，干燥时间约2h，以除去原料吸附的水分，使塑料颗粒充分干燥。由于干燥温度未达到ABS塑料熔点温度，基本无挥发性有机废气产生。</w:t>
            </w:r>
          </w:p>
          <w:p w14:paraId="6B991C80">
            <w:pPr>
              <w:spacing w:line="360" w:lineRule="auto"/>
              <w:ind w:firstLine="482" w:firstLineChars="200"/>
              <w:rPr>
                <w:b/>
                <w:sz w:val="24"/>
              </w:rPr>
            </w:pPr>
            <w:r>
              <w:rPr>
                <w:rFonts w:hint="eastAsia"/>
                <w:b/>
                <w:sz w:val="24"/>
              </w:rPr>
              <w:t>③注塑成型</w:t>
            </w:r>
          </w:p>
          <w:p w14:paraId="283400FD">
            <w:pPr>
              <w:spacing w:line="360" w:lineRule="auto"/>
              <w:ind w:firstLine="480" w:firstLineChars="200"/>
              <w:rPr>
                <w:sz w:val="24"/>
              </w:rPr>
            </w:pPr>
            <w:r>
              <w:rPr>
                <w:rFonts w:hint="eastAsia"/>
                <w:sz w:val="24"/>
              </w:rPr>
              <w:t>干燥后塑料颗粒通过供料系统送入成套注塑设备注塑区，启动螺杆加热器，加热器利用电加热至220℃左右将塑料熔化成粘流液体状态，并利用螺杆对塑料进行输送、压实、搅拌。注塑机利用高压将完全熔融的原料注入模腔，直至填充满模具为止，然后经过一段时间的保压，形成所需的毛坯件产品。</w:t>
            </w:r>
          </w:p>
          <w:p w14:paraId="2530A17B">
            <w:pPr>
              <w:spacing w:line="360" w:lineRule="auto"/>
              <w:ind w:firstLine="482" w:firstLineChars="200"/>
              <w:rPr>
                <w:b/>
                <w:bCs/>
                <w:sz w:val="24"/>
              </w:rPr>
            </w:pPr>
            <w:r>
              <w:rPr>
                <w:rFonts w:hint="eastAsia"/>
                <w:b/>
                <w:bCs/>
                <w:sz w:val="24"/>
              </w:rPr>
              <w:t>④冷却脱模</w:t>
            </w:r>
          </w:p>
          <w:p w14:paraId="77469119">
            <w:pPr>
              <w:spacing w:line="360" w:lineRule="auto"/>
              <w:ind w:firstLine="480" w:firstLineChars="200"/>
              <w:rPr>
                <w:sz w:val="24"/>
              </w:rPr>
            </w:pPr>
            <w:r>
              <w:rPr>
                <w:rFonts w:hint="eastAsia"/>
                <w:sz w:val="24"/>
              </w:rPr>
              <w:t>注塑后利用循环冷却水对模具、产品进行间接冷却降温，使毛坯件从模具的形腔内脱离。冷却水由循环水塔供应，冷却塔降温。冷却方式为间接冷却，冷却水采用自来水（不添加任何阻垢剂等物质），冷却水循环使用，</w:t>
            </w:r>
            <w:r>
              <w:rPr>
                <w:rFonts w:hint="eastAsia"/>
                <w:kern w:val="24"/>
                <w:sz w:val="24"/>
                <w:szCs w:val="24"/>
              </w:rPr>
              <w:t>由于循环冷却水通过冷却塔时水分不断蒸发，循环冷却水中的溶解盐类不断被浓缩，含盐量不断增加，可能会引起结垢和腐蚀，因此必须排掉一部分循环水</w:t>
            </w:r>
            <w:r>
              <w:rPr>
                <w:rFonts w:hint="eastAsia"/>
                <w:sz w:val="24"/>
              </w:rPr>
              <w:t>，补充新鲜水。</w:t>
            </w:r>
          </w:p>
          <w:p w14:paraId="52A3FE13">
            <w:pPr>
              <w:spacing w:line="360" w:lineRule="auto"/>
              <w:ind w:firstLine="482" w:firstLineChars="200"/>
              <w:rPr>
                <w:b/>
                <w:bCs/>
                <w:sz w:val="24"/>
              </w:rPr>
            </w:pPr>
            <w:r>
              <w:rPr>
                <w:rFonts w:hint="eastAsia"/>
                <w:b/>
                <w:bCs/>
                <w:sz w:val="24"/>
              </w:rPr>
              <w:t>⑤压泡</w:t>
            </w:r>
          </w:p>
          <w:p w14:paraId="1C5EA628">
            <w:pPr>
              <w:spacing w:line="360" w:lineRule="auto"/>
              <w:ind w:firstLine="480" w:firstLineChars="200"/>
              <w:rPr>
                <w:sz w:val="24"/>
              </w:rPr>
            </w:pPr>
            <w:r>
              <w:rPr>
                <w:rFonts w:hint="eastAsia"/>
                <w:sz w:val="24"/>
              </w:rPr>
              <w:t>利用压泡机将毛坯件进行压泡操作，去除毛坯件内部的气泡。</w:t>
            </w:r>
          </w:p>
          <w:p w14:paraId="3EDE7CAD">
            <w:pPr>
              <w:spacing w:line="360" w:lineRule="auto"/>
              <w:ind w:firstLine="482" w:firstLineChars="200"/>
              <w:rPr>
                <w:b/>
                <w:bCs/>
                <w:sz w:val="24"/>
              </w:rPr>
            </w:pPr>
            <w:r>
              <w:rPr>
                <w:rFonts w:hint="eastAsia"/>
                <w:b/>
                <w:bCs/>
                <w:sz w:val="24"/>
              </w:rPr>
              <w:t>⑥裁边</w:t>
            </w:r>
          </w:p>
          <w:p w14:paraId="7481334F">
            <w:pPr>
              <w:spacing w:line="360" w:lineRule="auto"/>
              <w:ind w:firstLine="480" w:firstLineChars="200"/>
              <w:rPr>
                <w:sz w:val="24"/>
              </w:rPr>
            </w:pPr>
            <w:r>
              <w:rPr>
                <w:rFonts w:hint="eastAsia"/>
                <w:sz w:val="24"/>
              </w:rPr>
              <w:t>人工使用小刀对压泡之后的毛坯件进行裁边，去除工件毛刺及多余边角。</w:t>
            </w:r>
          </w:p>
          <w:p w14:paraId="5872A2EC">
            <w:pPr>
              <w:spacing w:line="360" w:lineRule="auto"/>
              <w:ind w:firstLine="482" w:firstLineChars="200"/>
              <w:rPr>
                <w:b/>
                <w:bCs/>
                <w:sz w:val="24"/>
              </w:rPr>
            </w:pPr>
            <w:r>
              <w:rPr>
                <w:rFonts w:hint="eastAsia"/>
                <w:b/>
                <w:bCs/>
                <w:sz w:val="24"/>
              </w:rPr>
              <w:t>⑦丝印/热转印</w:t>
            </w:r>
          </w:p>
          <w:p w14:paraId="5C992292">
            <w:pPr>
              <w:spacing w:line="360" w:lineRule="auto"/>
              <w:ind w:firstLine="480" w:firstLineChars="200"/>
              <w:rPr>
                <w:sz w:val="24"/>
              </w:rPr>
            </w:pPr>
            <w:r>
              <w:rPr>
                <w:rFonts w:hint="eastAsia"/>
                <w:sz w:val="24"/>
              </w:rPr>
              <w:t>根据客户需求，部分产品需采用丝印或热转印工艺将客户需要的图案效果印刷在产品表面。根据业主提供的经验资料，约10%的产品需采用丝印工艺印刷图案，约20%的产品需采用热转印工序印刷图案。</w:t>
            </w:r>
            <w:r>
              <w:rPr>
                <w:rFonts w:hint="eastAsia"/>
                <w:b/>
                <w:bCs/>
                <w:sz w:val="24"/>
              </w:rPr>
              <w:t>本项目丝印需要的网版全部外购，车间内不进行制版、晒版、洗版等工序；</w:t>
            </w:r>
            <w:r>
              <w:rPr>
                <w:rFonts w:hint="eastAsia"/>
                <w:sz w:val="24"/>
              </w:rPr>
              <w:t>丝印和热转印均使用符合环保要求的UV油墨；丝印温度为常温，热转印温度约为120℃，无需另外进行晾晒固化。</w:t>
            </w:r>
          </w:p>
          <w:p w14:paraId="19265B24">
            <w:pPr>
              <w:spacing w:line="360" w:lineRule="auto"/>
              <w:ind w:firstLine="482" w:firstLineChars="200"/>
              <w:rPr>
                <w:b/>
                <w:bCs/>
                <w:sz w:val="24"/>
              </w:rPr>
            </w:pPr>
            <w:r>
              <w:rPr>
                <w:rFonts w:hint="eastAsia"/>
                <w:b/>
                <w:bCs/>
                <w:sz w:val="24"/>
              </w:rPr>
              <w:t>⑧烫金</w:t>
            </w:r>
          </w:p>
          <w:p w14:paraId="6F8333FD">
            <w:pPr>
              <w:spacing w:line="360" w:lineRule="auto"/>
              <w:ind w:firstLine="480" w:firstLineChars="200"/>
              <w:rPr>
                <w:rFonts w:cs="Times New Roman"/>
                <w:sz w:val="24"/>
                <w:szCs w:val="24"/>
              </w:rPr>
            </w:pPr>
            <w:r>
              <w:rPr>
                <w:rFonts w:hint="eastAsia" w:cs="Times New Roman"/>
                <w:sz w:val="24"/>
                <w:szCs w:val="24"/>
              </w:rPr>
              <w:t>使用全自动烫印机和电化铝箔在塑料件上进行印制图文。烫金工艺是一种不用油墨的特种印刷工艺，它是借助一定的压力</w:t>
            </w:r>
            <w:r>
              <w:rPr>
                <w:rFonts w:hint="eastAsia" w:cs="Times New Roman"/>
                <w:sz w:val="24"/>
                <w:szCs w:val="24"/>
                <w:lang w:eastAsia="zh-CN"/>
              </w:rPr>
              <w:t>与</w:t>
            </w:r>
            <w:r>
              <w:rPr>
                <w:rFonts w:hint="eastAsia" w:cs="Times New Roman"/>
                <w:sz w:val="24"/>
                <w:szCs w:val="24"/>
              </w:rPr>
              <w:t>温度，运用装在烫印机上的模版，使印刷品和烫印箔在短时间内互相受压，将金属箔或颜料箔按烫印模版的图文转印到被烫印刷品的表面。烫金工序温度为80℃。</w:t>
            </w:r>
          </w:p>
          <w:p w14:paraId="4922B2AB">
            <w:pPr>
              <w:spacing w:line="360" w:lineRule="auto"/>
              <w:ind w:firstLine="482" w:firstLineChars="200"/>
              <w:rPr>
                <w:b/>
                <w:bCs/>
                <w:sz w:val="24"/>
              </w:rPr>
            </w:pPr>
            <w:r>
              <w:rPr>
                <w:rFonts w:hint="eastAsia"/>
                <w:b/>
                <w:bCs/>
                <w:sz w:val="24"/>
              </w:rPr>
              <w:t>⑨检验</w:t>
            </w:r>
          </w:p>
          <w:p w14:paraId="21EA6417">
            <w:pPr>
              <w:spacing w:line="360" w:lineRule="auto"/>
              <w:ind w:firstLine="480" w:firstLineChars="200"/>
              <w:rPr>
                <w:rFonts w:cs="Times New Roman"/>
                <w:sz w:val="24"/>
                <w:szCs w:val="24"/>
              </w:rPr>
            </w:pPr>
            <w:r>
              <w:rPr>
                <w:rFonts w:hint="eastAsia" w:cs="Times New Roman"/>
                <w:sz w:val="24"/>
                <w:szCs w:val="24"/>
              </w:rPr>
              <w:t>将加工后的产品进行检验，主要检验产品的外观瑕疵、尺寸规格等，检验合格的产品进入包装工序，不合格的残次品统一收集后外售废旧资源回收站。</w:t>
            </w:r>
          </w:p>
          <w:p w14:paraId="176E6ECB">
            <w:pPr>
              <w:spacing w:line="360" w:lineRule="auto"/>
              <w:ind w:firstLine="482" w:firstLineChars="200"/>
              <w:rPr>
                <w:b/>
                <w:bCs/>
                <w:sz w:val="24"/>
              </w:rPr>
            </w:pPr>
            <w:r>
              <w:rPr>
                <w:rFonts w:hint="eastAsia"/>
                <w:b/>
                <w:bCs/>
                <w:sz w:val="24"/>
              </w:rPr>
              <w:t>⑩包装入库</w:t>
            </w:r>
          </w:p>
          <w:p w14:paraId="029D1B38">
            <w:pPr>
              <w:spacing w:line="360" w:lineRule="auto"/>
              <w:ind w:firstLine="480" w:firstLineChars="200"/>
              <w:rPr>
                <w:rFonts w:cs="Times New Roman"/>
                <w:sz w:val="24"/>
                <w:szCs w:val="24"/>
              </w:rPr>
            </w:pPr>
            <w:r>
              <w:rPr>
                <w:rFonts w:hint="eastAsia" w:cs="Times New Roman"/>
                <w:sz w:val="24"/>
                <w:szCs w:val="24"/>
              </w:rPr>
              <w:t>使用包装纸盒将产品进行包装后送入库房。</w:t>
            </w:r>
          </w:p>
          <w:p w14:paraId="4B52A653">
            <w:pPr>
              <w:spacing w:line="360" w:lineRule="auto"/>
              <w:ind w:firstLine="480" w:firstLineChars="200"/>
              <w:rPr>
                <w:rFonts w:cs="Times New Roman"/>
                <w:sz w:val="24"/>
                <w:szCs w:val="24"/>
              </w:rPr>
            </w:pPr>
            <w:r>
              <w:rPr>
                <w:rFonts w:cs="Times New Roman"/>
                <w:sz w:val="24"/>
                <w:szCs w:val="24"/>
              </w:rPr>
              <w:t>综上所述</w:t>
            </w:r>
            <w:r>
              <w:rPr>
                <w:rFonts w:hint="eastAsia" w:cs="Times New Roman"/>
                <w:sz w:val="24"/>
                <w:szCs w:val="24"/>
              </w:rPr>
              <w:t>，根据工艺流程和原辅材料分析，运营期主要产排污环节、污染物种类见下表：</w:t>
            </w:r>
          </w:p>
          <w:p w14:paraId="14B3C129">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运营期主要产排污环节、污染物种类</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843"/>
              <w:gridCol w:w="2245"/>
              <w:gridCol w:w="3169"/>
            </w:tblGrid>
            <w:tr w14:paraId="4117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87" w:type="pct"/>
                  <w:vAlign w:val="center"/>
                </w:tcPr>
                <w:p w14:paraId="36BBFC2C">
                  <w:pPr>
                    <w:jc w:val="center"/>
                    <w:rPr>
                      <w:szCs w:val="21"/>
                    </w:rPr>
                  </w:pPr>
                  <w:r>
                    <w:rPr>
                      <w:szCs w:val="21"/>
                    </w:rPr>
                    <w:t>类型</w:t>
                  </w:r>
                </w:p>
              </w:tc>
              <w:tc>
                <w:tcPr>
                  <w:tcW w:w="1554" w:type="pct"/>
                </w:tcPr>
                <w:p w14:paraId="64C5E4A5">
                  <w:pPr>
                    <w:jc w:val="center"/>
                    <w:rPr>
                      <w:szCs w:val="21"/>
                    </w:rPr>
                  </w:pPr>
                  <w:r>
                    <w:rPr>
                      <w:szCs w:val="21"/>
                    </w:rPr>
                    <w:t>产排污环节</w:t>
                  </w:r>
                </w:p>
              </w:tc>
              <w:tc>
                <w:tcPr>
                  <w:tcW w:w="1227" w:type="pct"/>
                  <w:vAlign w:val="center"/>
                </w:tcPr>
                <w:p w14:paraId="16E184C8">
                  <w:pPr>
                    <w:jc w:val="center"/>
                    <w:rPr>
                      <w:szCs w:val="21"/>
                    </w:rPr>
                  </w:pPr>
                  <w:r>
                    <w:rPr>
                      <w:szCs w:val="21"/>
                    </w:rPr>
                    <w:t>污染物类型</w:t>
                  </w:r>
                </w:p>
              </w:tc>
              <w:tc>
                <w:tcPr>
                  <w:tcW w:w="1732" w:type="pct"/>
                  <w:vAlign w:val="center"/>
                </w:tcPr>
                <w:p w14:paraId="64AFA347">
                  <w:pPr>
                    <w:jc w:val="center"/>
                    <w:rPr>
                      <w:szCs w:val="21"/>
                    </w:rPr>
                  </w:pPr>
                  <w:r>
                    <w:rPr>
                      <w:rFonts w:hint="eastAsia"/>
                      <w:szCs w:val="21"/>
                    </w:rPr>
                    <w:t>污染物种类/废物类别</w:t>
                  </w:r>
                </w:p>
              </w:tc>
            </w:tr>
            <w:tr w14:paraId="2E26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87" w:type="pct"/>
                  <w:vMerge w:val="restart"/>
                  <w:vAlign w:val="center"/>
                </w:tcPr>
                <w:p w14:paraId="47DDC0FA">
                  <w:pPr>
                    <w:jc w:val="center"/>
                    <w:rPr>
                      <w:szCs w:val="21"/>
                    </w:rPr>
                  </w:pPr>
                  <w:r>
                    <w:rPr>
                      <w:rFonts w:hint="eastAsia"/>
                      <w:szCs w:val="21"/>
                    </w:rPr>
                    <w:t>废气</w:t>
                  </w:r>
                </w:p>
              </w:tc>
              <w:tc>
                <w:tcPr>
                  <w:tcW w:w="1554" w:type="pct"/>
                  <w:vAlign w:val="center"/>
                </w:tcPr>
                <w:p w14:paraId="214114C8">
                  <w:pPr>
                    <w:jc w:val="center"/>
                    <w:rPr>
                      <w:szCs w:val="21"/>
                    </w:rPr>
                  </w:pPr>
                  <w:r>
                    <w:rPr>
                      <w:rFonts w:hint="eastAsia"/>
                      <w:szCs w:val="21"/>
                    </w:rPr>
                    <w:t>注塑成型、丝印/热转印</w:t>
                  </w:r>
                </w:p>
              </w:tc>
              <w:tc>
                <w:tcPr>
                  <w:tcW w:w="1227" w:type="pct"/>
                  <w:vAlign w:val="center"/>
                </w:tcPr>
                <w:p w14:paraId="58C70DF4">
                  <w:pPr>
                    <w:jc w:val="center"/>
                    <w:rPr>
                      <w:szCs w:val="21"/>
                    </w:rPr>
                  </w:pPr>
                  <w:r>
                    <w:rPr>
                      <w:rFonts w:hint="eastAsia"/>
                      <w:szCs w:val="21"/>
                    </w:rPr>
                    <w:t>有机废气</w:t>
                  </w:r>
                </w:p>
              </w:tc>
              <w:tc>
                <w:tcPr>
                  <w:tcW w:w="1732" w:type="pct"/>
                  <w:vAlign w:val="center"/>
                </w:tcPr>
                <w:p w14:paraId="676F268D">
                  <w:pPr>
                    <w:jc w:val="center"/>
                    <w:rPr>
                      <w:szCs w:val="21"/>
                    </w:rPr>
                  </w:pPr>
                  <w:r>
                    <w:rPr>
                      <w:rFonts w:hint="eastAsia"/>
                      <w:szCs w:val="21"/>
                    </w:rPr>
                    <w:t>VOCs、苯乙烯、丙烯腈、1,3-丁二烯、甲苯、乙苯</w:t>
                  </w:r>
                </w:p>
              </w:tc>
            </w:tr>
            <w:tr w14:paraId="6F215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87" w:type="pct"/>
                  <w:vMerge w:val="continue"/>
                  <w:vAlign w:val="center"/>
                </w:tcPr>
                <w:p w14:paraId="7567A771">
                  <w:pPr>
                    <w:jc w:val="center"/>
                    <w:rPr>
                      <w:szCs w:val="21"/>
                    </w:rPr>
                  </w:pPr>
                </w:p>
              </w:tc>
              <w:tc>
                <w:tcPr>
                  <w:tcW w:w="1554" w:type="pct"/>
                  <w:vAlign w:val="center"/>
                </w:tcPr>
                <w:p w14:paraId="248F9AB4">
                  <w:pPr>
                    <w:jc w:val="center"/>
                    <w:rPr>
                      <w:szCs w:val="21"/>
                    </w:rPr>
                  </w:pPr>
                  <w:r>
                    <w:rPr>
                      <w:rFonts w:hint="eastAsia"/>
                      <w:szCs w:val="21"/>
                    </w:rPr>
                    <w:t>食堂</w:t>
                  </w:r>
                </w:p>
              </w:tc>
              <w:tc>
                <w:tcPr>
                  <w:tcW w:w="1227" w:type="pct"/>
                  <w:vAlign w:val="center"/>
                </w:tcPr>
                <w:p w14:paraId="342EC096">
                  <w:pPr>
                    <w:jc w:val="center"/>
                    <w:rPr>
                      <w:szCs w:val="21"/>
                    </w:rPr>
                  </w:pPr>
                  <w:r>
                    <w:rPr>
                      <w:rFonts w:hint="eastAsia"/>
                      <w:szCs w:val="21"/>
                    </w:rPr>
                    <w:t>食堂油烟</w:t>
                  </w:r>
                </w:p>
              </w:tc>
              <w:tc>
                <w:tcPr>
                  <w:tcW w:w="1732" w:type="pct"/>
                  <w:vAlign w:val="center"/>
                </w:tcPr>
                <w:p w14:paraId="009F0221">
                  <w:pPr>
                    <w:jc w:val="center"/>
                    <w:rPr>
                      <w:szCs w:val="21"/>
                    </w:rPr>
                  </w:pPr>
                  <w:r>
                    <w:rPr>
                      <w:rFonts w:hint="eastAsia"/>
                      <w:szCs w:val="21"/>
                    </w:rPr>
                    <w:t>油烟</w:t>
                  </w:r>
                </w:p>
              </w:tc>
            </w:tr>
            <w:tr w14:paraId="5D865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87" w:type="pct"/>
                  <w:vMerge w:val="restart"/>
                  <w:vAlign w:val="center"/>
                </w:tcPr>
                <w:p w14:paraId="6C52C12E">
                  <w:pPr>
                    <w:jc w:val="center"/>
                    <w:rPr>
                      <w:szCs w:val="21"/>
                    </w:rPr>
                  </w:pPr>
                  <w:r>
                    <w:rPr>
                      <w:szCs w:val="21"/>
                    </w:rPr>
                    <w:t>废水</w:t>
                  </w:r>
                </w:p>
              </w:tc>
              <w:tc>
                <w:tcPr>
                  <w:tcW w:w="1554" w:type="pct"/>
                  <w:vAlign w:val="center"/>
                </w:tcPr>
                <w:p w14:paraId="3DC9F387">
                  <w:pPr>
                    <w:jc w:val="center"/>
                    <w:rPr>
                      <w:szCs w:val="21"/>
                    </w:rPr>
                  </w:pPr>
                  <w:r>
                    <w:rPr>
                      <w:rFonts w:hint="eastAsia"/>
                      <w:szCs w:val="21"/>
                    </w:rPr>
                    <w:t>生产人员</w:t>
                  </w:r>
                </w:p>
              </w:tc>
              <w:tc>
                <w:tcPr>
                  <w:tcW w:w="1227" w:type="pct"/>
                  <w:vAlign w:val="center"/>
                </w:tcPr>
                <w:p w14:paraId="07905897">
                  <w:pPr>
                    <w:jc w:val="center"/>
                    <w:rPr>
                      <w:szCs w:val="21"/>
                    </w:rPr>
                  </w:pPr>
                  <w:r>
                    <w:rPr>
                      <w:rFonts w:hint="eastAsia"/>
                      <w:szCs w:val="21"/>
                    </w:rPr>
                    <w:t>生活污水、食堂废水</w:t>
                  </w:r>
                </w:p>
              </w:tc>
              <w:tc>
                <w:tcPr>
                  <w:tcW w:w="1732" w:type="pct"/>
                  <w:vAlign w:val="center"/>
                </w:tcPr>
                <w:p w14:paraId="47A34477">
                  <w:pPr>
                    <w:jc w:val="center"/>
                    <w:rPr>
                      <w:szCs w:val="21"/>
                    </w:rPr>
                  </w:pPr>
                  <w:r>
                    <w:rPr>
                      <w:rFonts w:hint="eastAsia"/>
                      <w:szCs w:val="21"/>
                    </w:rPr>
                    <w:t>COD、BOD</w:t>
                  </w:r>
                  <w:r>
                    <w:rPr>
                      <w:rFonts w:hint="eastAsia"/>
                      <w:szCs w:val="21"/>
                      <w:vertAlign w:val="subscript"/>
                    </w:rPr>
                    <w:t>5</w:t>
                  </w:r>
                  <w:r>
                    <w:rPr>
                      <w:rFonts w:hint="eastAsia"/>
                      <w:szCs w:val="21"/>
                    </w:rPr>
                    <w:t>、SS、</w:t>
                  </w:r>
                  <w:r>
                    <w:rPr>
                      <w:rFonts w:cs="Times New Roman"/>
                      <w:szCs w:val="21"/>
                    </w:rPr>
                    <w:t>NH</w:t>
                  </w:r>
                  <w:r>
                    <w:rPr>
                      <w:rFonts w:cs="Times New Roman"/>
                      <w:szCs w:val="21"/>
                      <w:vertAlign w:val="subscript"/>
                    </w:rPr>
                    <w:t>3</w:t>
                  </w:r>
                  <w:r>
                    <w:rPr>
                      <w:rFonts w:cs="Times New Roman"/>
                      <w:szCs w:val="21"/>
                    </w:rPr>
                    <w:t>-N</w:t>
                  </w:r>
                  <w:r>
                    <w:rPr>
                      <w:rFonts w:hint="eastAsia" w:cs="Times New Roman"/>
                      <w:szCs w:val="21"/>
                    </w:rPr>
                    <w:t>、</w:t>
                  </w:r>
                  <w:r>
                    <w:rPr>
                      <w:rFonts w:cs="Times New Roman"/>
                      <w:szCs w:val="21"/>
                    </w:rPr>
                    <w:t>TP</w:t>
                  </w:r>
                  <w:r>
                    <w:rPr>
                      <w:rFonts w:hint="eastAsia" w:cs="Times New Roman"/>
                      <w:szCs w:val="21"/>
                    </w:rPr>
                    <w:t>、动植物油等</w:t>
                  </w:r>
                </w:p>
              </w:tc>
            </w:tr>
            <w:tr w14:paraId="22FCA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487" w:type="pct"/>
                  <w:vMerge w:val="continue"/>
                  <w:vAlign w:val="center"/>
                </w:tcPr>
                <w:p w14:paraId="024C1662">
                  <w:pPr>
                    <w:jc w:val="center"/>
                    <w:rPr>
                      <w:szCs w:val="21"/>
                    </w:rPr>
                  </w:pPr>
                </w:p>
              </w:tc>
              <w:tc>
                <w:tcPr>
                  <w:tcW w:w="1554" w:type="pct"/>
                  <w:vAlign w:val="center"/>
                </w:tcPr>
                <w:p w14:paraId="3C035E4E">
                  <w:pPr>
                    <w:jc w:val="center"/>
                    <w:rPr>
                      <w:szCs w:val="21"/>
                    </w:rPr>
                  </w:pPr>
                  <w:r>
                    <w:rPr>
                      <w:rFonts w:hint="eastAsia"/>
                      <w:szCs w:val="21"/>
                    </w:rPr>
                    <w:t>冷却塔</w:t>
                  </w:r>
                </w:p>
              </w:tc>
              <w:tc>
                <w:tcPr>
                  <w:tcW w:w="1227" w:type="pct"/>
                  <w:vAlign w:val="center"/>
                </w:tcPr>
                <w:p w14:paraId="6845B2B9">
                  <w:pPr>
                    <w:jc w:val="center"/>
                    <w:rPr>
                      <w:szCs w:val="21"/>
                    </w:rPr>
                  </w:pPr>
                  <w:r>
                    <w:rPr>
                      <w:rFonts w:hint="eastAsia"/>
                      <w:szCs w:val="21"/>
                    </w:rPr>
                    <w:t>循环冷却排污水</w:t>
                  </w:r>
                </w:p>
              </w:tc>
              <w:tc>
                <w:tcPr>
                  <w:tcW w:w="1732" w:type="pct"/>
                  <w:vAlign w:val="center"/>
                </w:tcPr>
                <w:p w14:paraId="54E652A0">
                  <w:pPr>
                    <w:jc w:val="center"/>
                    <w:rPr>
                      <w:szCs w:val="21"/>
                    </w:rPr>
                  </w:pPr>
                  <w:r>
                    <w:rPr>
                      <w:rFonts w:hint="eastAsia"/>
                      <w:szCs w:val="21"/>
                    </w:rPr>
                    <w:t>COD</w:t>
                  </w:r>
                </w:p>
              </w:tc>
            </w:tr>
            <w:tr w14:paraId="4170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487" w:type="pct"/>
                  <w:vAlign w:val="center"/>
                </w:tcPr>
                <w:p w14:paraId="05EFCE19">
                  <w:pPr>
                    <w:jc w:val="center"/>
                    <w:rPr>
                      <w:szCs w:val="21"/>
                    </w:rPr>
                  </w:pPr>
                  <w:r>
                    <w:rPr>
                      <w:szCs w:val="21"/>
                    </w:rPr>
                    <w:t>噪声</w:t>
                  </w:r>
                </w:p>
              </w:tc>
              <w:tc>
                <w:tcPr>
                  <w:tcW w:w="1554" w:type="pct"/>
                  <w:vAlign w:val="center"/>
                </w:tcPr>
                <w:p w14:paraId="5BC23BF8">
                  <w:pPr>
                    <w:jc w:val="center"/>
                    <w:rPr>
                      <w:szCs w:val="21"/>
                    </w:rPr>
                  </w:pPr>
                  <w:r>
                    <w:rPr>
                      <w:rFonts w:hint="eastAsia"/>
                      <w:szCs w:val="21"/>
                    </w:rPr>
                    <w:t>工艺</w:t>
                  </w:r>
                  <w:r>
                    <w:rPr>
                      <w:szCs w:val="21"/>
                    </w:rPr>
                    <w:t>设备</w:t>
                  </w:r>
                </w:p>
              </w:tc>
              <w:tc>
                <w:tcPr>
                  <w:tcW w:w="1227" w:type="pct"/>
                  <w:vAlign w:val="center"/>
                </w:tcPr>
                <w:p w14:paraId="45837D59">
                  <w:pPr>
                    <w:jc w:val="center"/>
                    <w:rPr>
                      <w:szCs w:val="21"/>
                    </w:rPr>
                  </w:pPr>
                  <w:r>
                    <w:rPr>
                      <w:szCs w:val="21"/>
                    </w:rPr>
                    <w:t>设备噪声</w:t>
                  </w:r>
                </w:p>
              </w:tc>
              <w:tc>
                <w:tcPr>
                  <w:tcW w:w="1732" w:type="pct"/>
                  <w:vAlign w:val="center"/>
                </w:tcPr>
                <w:p w14:paraId="606C9A85">
                  <w:pPr>
                    <w:jc w:val="center"/>
                    <w:rPr>
                      <w:szCs w:val="21"/>
                    </w:rPr>
                  </w:pPr>
                  <w:r>
                    <w:rPr>
                      <w:rFonts w:hint="eastAsia"/>
                      <w:szCs w:val="21"/>
                    </w:rPr>
                    <w:t>/</w:t>
                  </w:r>
                </w:p>
              </w:tc>
            </w:tr>
            <w:tr w14:paraId="1E33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restart"/>
                  <w:vAlign w:val="center"/>
                </w:tcPr>
                <w:p w14:paraId="1CF5BE75">
                  <w:pPr>
                    <w:jc w:val="center"/>
                    <w:rPr>
                      <w:szCs w:val="21"/>
                    </w:rPr>
                  </w:pPr>
                  <w:r>
                    <w:rPr>
                      <w:szCs w:val="21"/>
                    </w:rPr>
                    <w:t>固体废物</w:t>
                  </w:r>
                </w:p>
              </w:tc>
              <w:tc>
                <w:tcPr>
                  <w:tcW w:w="1554" w:type="pct"/>
                </w:tcPr>
                <w:p w14:paraId="1A983D1D">
                  <w:pPr>
                    <w:jc w:val="center"/>
                    <w:rPr>
                      <w:szCs w:val="21"/>
                    </w:rPr>
                  </w:pPr>
                  <w:r>
                    <w:rPr>
                      <w:rFonts w:hint="eastAsia"/>
                      <w:szCs w:val="21"/>
                    </w:rPr>
                    <w:t>注塑成型</w:t>
                  </w:r>
                </w:p>
              </w:tc>
              <w:tc>
                <w:tcPr>
                  <w:tcW w:w="1227" w:type="pct"/>
                  <w:vAlign w:val="center"/>
                </w:tcPr>
                <w:p w14:paraId="5D6D3443">
                  <w:pPr>
                    <w:jc w:val="center"/>
                    <w:rPr>
                      <w:szCs w:val="21"/>
                    </w:rPr>
                  </w:pPr>
                  <w:r>
                    <w:rPr>
                      <w:rFonts w:hint="eastAsia"/>
                      <w:szCs w:val="21"/>
                    </w:rPr>
                    <w:t>废旧模具</w:t>
                  </w:r>
                </w:p>
              </w:tc>
              <w:tc>
                <w:tcPr>
                  <w:tcW w:w="1732" w:type="pct"/>
                  <w:vAlign w:val="center"/>
                </w:tcPr>
                <w:p w14:paraId="417AC70E">
                  <w:pPr>
                    <w:jc w:val="center"/>
                    <w:rPr>
                      <w:szCs w:val="21"/>
                    </w:rPr>
                  </w:pPr>
                  <w:r>
                    <w:rPr>
                      <w:szCs w:val="21"/>
                    </w:rPr>
                    <w:t>一般废物</w:t>
                  </w:r>
                </w:p>
              </w:tc>
            </w:tr>
            <w:tr w14:paraId="4524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2F377AA2">
                  <w:pPr>
                    <w:jc w:val="center"/>
                    <w:rPr>
                      <w:szCs w:val="21"/>
                    </w:rPr>
                  </w:pPr>
                </w:p>
              </w:tc>
              <w:tc>
                <w:tcPr>
                  <w:tcW w:w="1554" w:type="pct"/>
                </w:tcPr>
                <w:p w14:paraId="7E686174">
                  <w:pPr>
                    <w:jc w:val="center"/>
                    <w:rPr>
                      <w:szCs w:val="21"/>
                    </w:rPr>
                  </w:pPr>
                  <w:r>
                    <w:rPr>
                      <w:rFonts w:hint="eastAsia"/>
                      <w:szCs w:val="21"/>
                    </w:rPr>
                    <w:t>裁边、检验</w:t>
                  </w:r>
                </w:p>
              </w:tc>
              <w:tc>
                <w:tcPr>
                  <w:tcW w:w="1227" w:type="pct"/>
                  <w:vAlign w:val="center"/>
                </w:tcPr>
                <w:p w14:paraId="056F9FB9">
                  <w:pPr>
                    <w:jc w:val="center"/>
                    <w:rPr>
                      <w:szCs w:val="21"/>
                    </w:rPr>
                  </w:pPr>
                  <w:r>
                    <w:rPr>
                      <w:rFonts w:hint="eastAsia"/>
                      <w:szCs w:val="21"/>
                    </w:rPr>
                    <w:t>废边角料、残次品</w:t>
                  </w:r>
                </w:p>
              </w:tc>
              <w:tc>
                <w:tcPr>
                  <w:tcW w:w="1732" w:type="pct"/>
                  <w:vAlign w:val="center"/>
                </w:tcPr>
                <w:p w14:paraId="264F23FF">
                  <w:pPr>
                    <w:jc w:val="center"/>
                    <w:rPr>
                      <w:szCs w:val="21"/>
                    </w:rPr>
                  </w:pPr>
                  <w:r>
                    <w:rPr>
                      <w:szCs w:val="21"/>
                    </w:rPr>
                    <w:t>一般废物</w:t>
                  </w:r>
                </w:p>
              </w:tc>
            </w:tr>
            <w:tr w14:paraId="4155C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6595A17E">
                  <w:pPr>
                    <w:jc w:val="center"/>
                    <w:rPr>
                      <w:szCs w:val="21"/>
                    </w:rPr>
                  </w:pPr>
                </w:p>
              </w:tc>
              <w:tc>
                <w:tcPr>
                  <w:tcW w:w="1554" w:type="pct"/>
                </w:tcPr>
                <w:p w14:paraId="38614354">
                  <w:pPr>
                    <w:jc w:val="center"/>
                    <w:rPr>
                      <w:szCs w:val="21"/>
                    </w:rPr>
                  </w:pPr>
                  <w:r>
                    <w:rPr>
                      <w:rFonts w:hint="eastAsia"/>
                      <w:szCs w:val="21"/>
                    </w:rPr>
                    <w:t>烫金</w:t>
                  </w:r>
                </w:p>
              </w:tc>
              <w:tc>
                <w:tcPr>
                  <w:tcW w:w="1227" w:type="pct"/>
                  <w:vAlign w:val="center"/>
                </w:tcPr>
                <w:p w14:paraId="0660BE38">
                  <w:pPr>
                    <w:jc w:val="center"/>
                    <w:rPr>
                      <w:szCs w:val="21"/>
                    </w:rPr>
                  </w:pPr>
                  <w:r>
                    <w:rPr>
                      <w:rFonts w:hint="eastAsia"/>
                      <w:szCs w:val="21"/>
                    </w:rPr>
                    <w:t>废旧铝箔</w:t>
                  </w:r>
                </w:p>
              </w:tc>
              <w:tc>
                <w:tcPr>
                  <w:tcW w:w="1732" w:type="pct"/>
                  <w:vAlign w:val="center"/>
                </w:tcPr>
                <w:p w14:paraId="486E0F82">
                  <w:pPr>
                    <w:jc w:val="center"/>
                    <w:rPr>
                      <w:szCs w:val="21"/>
                    </w:rPr>
                  </w:pPr>
                  <w:r>
                    <w:rPr>
                      <w:szCs w:val="21"/>
                    </w:rPr>
                    <w:t>一般废物</w:t>
                  </w:r>
                </w:p>
              </w:tc>
            </w:tr>
            <w:tr w14:paraId="797F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7D620184">
                  <w:pPr>
                    <w:jc w:val="center"/>
                    <w:rPr>
                      <w:szCs w:val="21"/>
                    </w:rPr>
                  </w:pPr>
                </w:p>
              </w:tc>
              <w:tc>
                <w:tcPr>
                  <w:tcW w:w="1554" w:type="pct"/>
                </w:tcPr>
                <w:p w14:paraId="33E11B44">
                  <w:pPr>
                    <w:jc w:val="center"/>
                    <w:rPr>
                      <w:szCs w:val="21"/>
                    </w:rPr>
                  </w:pPr>
                  <w:r>
                    <w:rPr>
                      <w:rFonts w:hint="eastAsia"/>
                      <w:szCs w:val="21"/>
                    </w:rPr>
                    <w:t>包装</w:t>
                  </w:r>
                </w:p>
              </w:tc>
              <w:tc>
                <w:tcPr>
                  <w:tcW w:w="1227" w:type="pct"/>
                  <w:vAlign w:val="center"/>
                </w:tcPr>
                <w:p w14:paraId="5DDFD259">
                  <w:pPr>
                    <w:jc w:val="center"/>
                    <w:rPr>
                      <w:szCs w:val="21"/>
                    </w:rPr>
                  </w:pPr>
                  <w:r>
                    <w:rPr>
                      <w:rFonts w:hint="eastAsia"/>
                      <w:szCs w:val="21"/>
                    </w:rPr>
                    <w:t>废包装材料</w:t>
                  </w:r>
                </w:p>
              </w:tc>
              <w:tc>
                <w:tcPr>
                  <w:tcW w:w="1732" w:type="pct"/>
                </w:tcPr>
                <w:p w14:paraId="6E958795">
                  <w:pPr>
                    <w:jc w:val="center"/>
                    <w:rPr>
                      <w:szCs w:val="21"/>
                    </w:rPr>
                  </w:pPr>
                  <w:r>
                    <w:rPr>
                      <w:rFonts w:hint="eastAsia"/>
                      <w:szCs w:val="21"/>
                    </w:rPr>
                    <w:t>一般废物</w:t>
                  </w:r>
                </w:p>
              </w:tc>
            </w:tr>
            <w:tr w14:paraId="694D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21574747">
                  <w:pPr>
                    <w:jc w:val="center"/>
                    <w:rPr>
                      <w:szCs w:val="21"/>
                    </w:rPr>
                  </w:pPr>
                </w:p>
              </w:tc>
              <w:tc>
                <w:tcPr>
                  <w:tcW w:w="1554" w:type="pct"/>
                  <w:vAlign w:val="center"/>
                </w:tcPr>
                <w:p w14:paraId="2C5641E4">
                  <w:pPr>
                    <w:jc w:val="center"/>
                    <w:rPr>
                      <w:szCs w:val="21"/>
                    </w:rPr>
                  </w:pPr>
                  <w:r>
                    <w:rPr>
                      <w:rFonts w:hint="eastAsia"/>
                      <w:szCs w:val="21"/>
                    </w:rPr>
                    <w:t>生产人员</w:t>
                  </w:r>
                </w:p>
              </w:tc>
              <w:tc>
                <w:tcPr>
                  <w:tcW w:w="1227" w:type="pct"/>
                  <w:vAlign w:val="center"/>
                </w:tcPr>
                <w:p w14:paraId="042A8C2B">
                  <w:pPr>
                    <w:jc w:val="center"/>
                    <w:rPr>
                      <w:szCs w:val="21"/>
                    </w:rPr>
                  </w:pPr>
                  <w:r>
                    <w:rPr>
                      <w:rFonts w:hint="eastAsia"/>
                      <w:szCs w:val="21"/>
                    </w:rPr>
                    <w:t>生活垃圾</w:t>
                  </w:r>
                </w:p>
              </w:tc>
              <w:tc>
                <w:tcPr>
                  <w:tcW w:w="1732" w:type="pct"/>
                  <w:vAlign w:val="center"/>
                </w:tcPr>
                <w:p w14:paraId="6F4FF3E8">
                  <w:pPr>
                    <w:jc w:val="center"/>
                    <w:rPr>
                      <w:szCs w:val="21"/>
                    </w:rPr>
                  </w:pPr>
                  <w:r>
                    <w:rPr>
                      <w:szCs w:val="21"/>
                    </w:rPr>
                    <w:t>一般废物</w:t>
                  </w:r>
                </w:p>
              </w:tc>
            </w:tr>
            <w:tr w14:paraId="2F5C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4AB311E5">
                  <w:pPr>
                    <w:jc w:val="center"/>
                    <w:rPr>
                      <w:szCs w:val="21"/>
                    </w:rPr>
                  </w:pPr>
                </w:p>
              </w:tc>
              <w:tc>
                <w:tcPr>
                  <w:tcW w:w="1554" w:type="pct"/>
                  <w:vAlign w:val="center"/>
                </w:tcPr>
                <w:p w14:paraId="52C26524">
                  <w:pPr>
                    <w:jc w:val="center"/>
                    <w:rPr>
                      <w:szCs w:val="21"/>
                    </w:rPr>
                  </w:pPr>
                  <w:r>
                    <w:rPr>
                      <w:rFonts w:hint="eastAsia"/>
                      <w:szCs w:val="21"/>
                    </w:rPr>
                    <w:t>食堂、隔油池</w:t>
                  </w:r>
                </w:p>
              </w:tc>
              <w:tc>
                <w:tcPr>
                  <w:tcW w:w="1227" w:type="pct"/>
                  <w:vAlign w:val="center"/>
                </w:tcPr>
                <w:p w14:paraId="06AF05F3">
                  <w:pPr>
                    <w:jc w:val="center"/>
                    <w:rPr>
                      <w:szCs w:val="21"/>
                    </w:rPr>
                  </w:pPr>
                  <w:r>
                    <w:rPr>
                      <w:rFonts w:hint="eastAsia"/>
                      <w:szCs w:val="21"/>
                    </w:rPr>
                    <w:t>餐厨垃圾</w:t>
                  </w:r>
                </w:p>
                <w:p w14:paraId="0383F606">
                  <w:pPr>
                    <w:jc w:val="center"/>
                    <w:rPr>
                      <w:szCs w:val="21"/>
                    </w:rPr>
                  </w:pPr>
                  <w:r>
                    <w:rPr>
                      <w:rFonts w:hint="eastAsia"/>
                      <w:szCs w:val="21"/>
                    </w:rPr>
                    <w:t>（含隔油池浮油）</w:t>
                  </w:r>
                </w:p>
              </w:tc>
              <w:tc>
                <w:tcPr>
                  <w:tcW w:w="1732" w:type="pct"/>
                  <w:vAlign w:val="center"/>
                </w:tcPr>
                <w:p w14:paraId="7882073D">
                  <w:pPr>
                    <w:jc w:val="center"/>
                    <w:rPr>
                      <w:szCs w:val="21"/>
                    </w:rPr>
                  </w:pPr>
                  <w:r>
                    <w:rPr>
                      <w:rFonts w:hint="eastAsia"/>
                      <w:szCs w:val="21"/>
                    </w:rPr>
                    <w:t>一般废物</w:t>
                  </w:r>
                </w:p>
              </w:tc>
            </w:tr>
            <w:tr w14:paraId="2222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0F451131">
                  <w:pPr>
                    <w:jc w:val="center"/>
                    <w:rPr>
                      <w:szCs w:val="21"/>
                    </w:rPr>
                  </w:pPr>
                </w:p>
              </w:tc>
              <w:tc>
                <w:tcPr>
                  <w:tcW w:w="1554" w:type="pct"/>
                </w:tcPr>
                <w:p w14:paraId="67B13BCC">
                  <w:pPr>
                    <w:jc w:val="center"/>
                    <w:rPr>
                      <w:szCs w:val="21"/>
                    </w:rPr>
                  </w:pPr>
                  <w:r>
                    <w:rPr>
                      <w:rFonts w:hint="eastAsia"/>
                      <w:szCs w:val="21"/>
                    </w:rPr>
                    <w:t>预处理池</w:t>
                  </w:r>
                </w:p>
              </w:tc>
              <w:tc>
                <w:tcPr>
                  <w:tcW w:w="1227" w:type="pct"/>
                  <w:vAlign w:val="center"/>
                </w:tcPr>
                <w:p w14:paraId="154FE764">
                  <w:pPr>
                    <w:jc w:val="center"/>
                    <w:rPr>
                      <w:szCs w:val="21"/>
                    </w:rPr>
                  </w:pPr>
                  <w:r>
                    <w:rPr>
                      <w:rFonts w:hint="eastAsia"/>
                      <w:szCs w:val="21"/>
                    </w:rPr>
                    <w:t>污泥</w:t>
                  </w:r>
                </w:p>
              </w:tc>
              <w:tc>
                <w:tcPr>
                  <w:tcW w:w="1732" w:type="pct"/>
                  <w:vAlign w:val="center"/>
                </w:tcPr>
                <w:p w14:paraId="356C987B">
                  <w:pPr>
                    <w:jc w:val="center"/>
                    <w:rPr>
                      <w:szCs w:val="21"/>
                    </w:rPr>
                  </w:pPr>
                  <w:r>
                    <w:rPr>
                      <w:rFonts w:hint="eastAsia"/>
                      <w:szCs w:val="21"/>
                    </w:rPr>
                    <w:t>一般废物</w:t>
                  </w:r>
                </w:p>
              </w:tc>
            </w:tr>
            <w:tr w14:paraId="5358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3791C23D">
                  <w:pPr>
                    <w:jc w:val="center"/>
                    <w:rPr>
                      <w:szCs w:val="21"/>
                    </w:rPr>
                  </w:pPr>
                </w:p>
              </w:tc>
              <w:tc>
                <w:tcPr>
                  <w:tcW w:w="1554" w:type="pct"/>
                </w:tcPr>
                <w:p w14:paraId="6DD5760C">
                  <w:pPr>
                    <w:jc w:val="center"/>
                    <w:rPr>
                      <w:szCs w:val="21"/>
                    </w:rPr>
                  </w:pPr>
                  <w:r>
                    <w:rPr>
                      <w:rFonts w:hint="eastAsia"/>
                      <w:szCs w:val="21"/>
                    </w:rPr>
                    <w:t>丝印/热转印</w:t>
                  </w:r>
                </w:p>
              </w:tc>
              <w:tc>
                <w:tcPr>
                  <w:tcW w:w="1227" w:type="pct"/>
                  <w:vAlign w:val="center"/>
                </w:tcPr>
                <w:p w14:paraId="311EAD09">
                  <w:pPr>
                    <w:jc w:val="center"/>
                    <w:rPr>
                      <w:szCs w:val="21"/>
                    </w:rPr>
                  </w:pPr>
                  <w:r>
                    <w:rPr>
                      <w:rFonts w:hint="eastAsia"/>
                      <w:szCs w:val="21"/>
                    </w:rPr>
                    <w:t>废网版</w:t>
                  </w:r>
                </w:p>
              </w:tc>
              <w:tc>
                <w:tcPr>
                  <w:tcW w:w="1732" w:type="pct"/>
                  <w:vAlign w:val="center"/>
                </w:tcPr>
                <w:p w14:paraId="00E103B9">
                  <w:pPr>
                    <w:jc w:val="center"/>
                    <w:rPr>
                      <w:szCs w:val="21"/>
                    </w:rPr>
                  </w:pPr>
                  <w:r>
                    <w:rPr>
                      <w:rFonts w:hint="eastAsia"/>
                      <w:szCs w:val="21"/>
                    </w:rPr>
                    <w:t>危险废物（HW12）</w:t>
                  </w:r>
                </w:p>
              </w:tc>
            </w:tr>
            <w:tr w14:paraId="0648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1592D805">
                  <w:pPr>
                    <w:jc w:val="center"/>
                    <w:rPr>
                      <w:szCs w:val="21"/>
                    </w:rPr>
                  </w:pPr>
                </w:p>
              </w:tc>
              <w:tc>
                <w:tcPr>
                  <w:tcW w:w="1554" w:type="pct"/>
                </w:tcPr>
                <w:p w14:paraId="3D75F09D">
                  <w:pPr>
                    <w:jc w:val="center"/>
                    <w:rPr>
                      <w:szCs w:val="21"/>
                    </w:rPr>
                  </w:pPr>
                  <w:r>
                    <w:rPr>
                      <w:rFonts w:hint="eastAsia"/>
                      <w:szCs w:val="21"/>
                    </w:rPr>
                    <w:t>UV油墨</w:t>
                  </w:r>
                </w:p>
              </w:tc>
              <w:tc>
                <w:tcPr>
                  <w:tcW w:w="1227" w:type="pct"/>
                  <w:vAlign w:val="center"/>
                </w:tcPr>
                <w:p w14:paraId="709C84BC">
                  <w:pPr>
                    <w:jc w:val="center"/>
                    <w:rPr>
                      <w:szCs w:val="21"/>
                    </w:rPr>
                  </w:pPr>
                  <w:r>
                    <w:rPr>
                      <w:rFonts w:hint="eastAsia"/>
                      <w:szCs w:val="21"/>
                    </w:rPr>
                    <w:t>废油墨桶</w:t>
                  </w:r>
                </w:p>
              </w:tc>
              <w:tc>
                <w:tcPr>
                  <w:tcW w:w="1732" w:type="pct"/>
                  <w:vAlign w:val="center"/>
                </w:tcPr>
                <w:p w14:paraId="3F9D07FF">
                  <w:pPr>
                    <w:jc w:val="center"/>
                    <w:rPr>
                      <w:szCs w:val="21"/>
                    </w:rPr>
                  </w:pPr>
                  <w:r>
                    <w:rPr>
                      <w:rFonts w:hint="eastAsia"/>
                      <w:szCs w:val="21"/>
                    </w:rPr>
                    <w:t>危险废物（HW</w:t>
                  </w:r>
                  <w:r>
                    <w:rPr>
                      <w:szCs w:val="21"/>
                    </w:rPr>
                    <w:t>49</w:t>
                  </w:r>
                  <w:r>
                    <w:rPr>
                      <w:rFonts w:hint="eastAsia"/>
                      <w:szCs w:val="21"/>
                    </w:rPr>
                    <w:t>）</w:t>
                  </w:r>
                </w:p>
              </w:tc>
            </w:tr>
            <w:tr w14:paraId="4EB8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218F5C02">
                  <w:pPr>
                    <w:jc w:val="center"/>
                    <w:rPr>
                      <w:szCs w:val="21"/>
                    </w:rPr>
                  </w:pPr>
                </w:p>
              </w:tc>
              <w:tc>
                <w:tcPr>
                  <w:tcW w:w="1554" w:type="pct"/>
                </w:tcPr>
                <w:p w14:paraId="13C97B57">
                  <w:pPr>
                    <w:jc w:val="center"/>
                    <w:rPr>
                      <w:szCs w:val="21"/>
                    </w:rPr>
                  </w:pPr>
                  <w:r>
                    <w:rPr>
                      <w:rFonts w:hint="eastAsia"/>
                      <w:szCs w:val="21"/>
                    </w:rPr>
                    <w:t>设备保养</w:t>
                  </w:r>
                </w:p>
              </w:tc>
              <w:tc>
                <w:tcPr>
                  <w:tcW w:w="1227" w:type="pct"/>
                  <w:vAlign w:val="center"/>
                </w:tcPr>
                <w:p w14:paraId="338D7E71">
                  <w:pPr>
                    <w:jc w:val="center"/>
                    <w:rPr>
                      <w:szCs w:val="21"/>
                    </w:rPr>
                  </w:pPr>
                  <w:r>
                    <w:rPr>
                      <w:rFonts w:hint="eastAsia"/>
                      <w:szCs w:val="21"/>
                    </w:rPr>
                    <w:t>废机油及包装桶</w:t>
                  </w:r>
                </w:p>
              </w:tc>
              <w:tc>
                <w:tcPr>
                  <w:tcW w:w="1732" w:type="pct"/>
                  <w:vAlign w:val="center"/>
                </w:tcPr>
                <w:p w14:paraId="5638739D">
                  <w:pPr>
                    <w:jc w:val="center"/>
                    <w:rPr>
                      <w:szCs w:val="21"/>
                    </w:rPr>
                  </w:pPr>
                  <w:r>
                    <w:rPr>
                      <w:rFonts w:hint="eastAsia"/>
                      <w:szCs w:val="21"/>
                    </w:rPr>
                    <w:t>危险废物（HW</w:t>
                  </w:r>
                  <w:r>
                    <w:rPr>
                      <w:szCs w:val="21"/>
                    </w:rPr>
                    <w:t>08</w:t>
                  </w:r>
                  <w:r>
                    <w:rPr>
                      <w:rFonts w:hint="eastAsia"/>
                      <w:szCs w:val="21"/>
                    </w:rPr>
                    <w:t>）</w:t>
                  </w:r>
                </w:p>
              </w:tc>
            </w:tr>
            <w:tr w14:paraId="45329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0AA8CBFE">
                  <w:pPr>
                    <w:jc w:val="center"/>
                    <w:rPr>
                      <w:szCs w:val="21"/>
                    </w:rPr>
                  </w:pPr>
                </w:p>
              </w:tc>
              <w:tc>
                <w:tcPr>
                  <w:tcW w:w="1554" w:type="pct"/>
                </w:tcPr>
                <w:p w14:paraId="08A693B0">
                  <w:pPr>
                    <w:jc w:val="center"/>
                    <w:rPr>
                      <w:szCs w:val="21"/>
                    </w:rPr>
                  </w:pPr>
                  <w:r>
                    <w:rPr>
                      <w:rFonts w:hint="eastAsia"/>
                      <w:szCs w:val="21"/>
                    </w:rPr>
                    <w:t>废气处理</w:t>
                  </w:r>
                </w:p>
              </w:tc>
              <w:tc>
                <w:tcPr>
                  <w:tcW w:w="1227" w:type="pct"/>
                  <w:vAlign w:val="center"/>
                </w:tcPr>
                <w:p w14:paraId="797C7431">
                  <w:pPr>
                    <w:jc w:val="center"/>
                    <w:rPr>
                      <w:szCs w:val="21"/>
                    </w:rPr>
                  </w:pPr>
                  <w:r>
                    <w:rPr>
                      <w:rFonts w:hint="eastAsia"/>
                      <w:szCs w:val="21"/>
                    </w:rPr>
                    <w:t>废活性炭</w:t>
                  </w:r>
                </w:p>
              </w:tc>
              <w:tc>
                <w:tcPr>
                  <w:tcW w:w="1732" w:type="pct"/>
                  <w:vAlign w:val="center"/>
                </w:tcPr>
                <w:p w14:paraId="368270EA">
                  <w:pPr>
                    <w:jc w:val="center"/>
                    <w:rPr>
                      <w:szCs w:val="21"/>
                    </w:rPr>
                  </w:pPr>
                  <w:r>
                    <w:rPr>
                      <w:rFonts w:hint="eastAsia"/>
                      <w:szCs w:val="21"/>
                    </w:rPr>
                    <w:t>危险废物（HW</w:t>
                  </w:r>
                  <w:r>
                    <w:rPr>
                      <w:szCs w:val="21"/>
                    </w:rPr>
                    <w:t>49</w:t>
                  </w:r>
                  <w:r>
                    <w:rPr>
                      <w:rFonts w:hint="eastAsia"/>
                      <w:szCs w:val="21"/>
                    </w:rPr>
                    <w:t>）</w:t>
                  </w:r>
                </w:p>
              </w:tc>
            </w:tr>
            <w:tr w14:paraId="5C3E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Merge w:val="continue"/>
                  <w:vAlign w:val="center"/>
                </w:tcPr>
                <w:p w14:paraId="40E14EB6">
                  <w:pPr>
                    <w:jc w:val="center"/>
                    <w:rPr>
                      <w:szCs w:val="21"/>
                    </w:rPr>
                  </w:pPr>
                </w:p>
              </w:tc>
              <w:tc>
                <w:tcPr>
                  <w:tcW w:w="1554" w:type="pct"/>
                </w:tcPr>
                <w:p w14:paraId="1E957B81">
                  <w:pPr>
                    <w:jc w:val="center"/>
                    <w:rPr>
                      <w:szCs w:val="21"/>
                    </w:rPr>
                  </w:pPr>
                  <w:r>
                    <w:rPr>
                      <w:rFonts w:hint="eastAsia"/>
                      <w:szCs w:val="21"/>
                    </w:rPr>
                    <w:t>丝印/热转印、设备保养</w:t>
                  </w:r>
                </w:p>
              </w:tc>
              <w:tc>
                <w:tcPr>
                  <w:tcW w:w="1227" w:type="pct"/>
                  <w:vAlign w:val="center"/>
                </w:tcPr>
                <w:p w14:paraId="67AFC01B">
                  <w:pPr>
                    <w:jc w:val="center"/>
                    <w:rPr>
                      <w:szCs w:val="21"/>
                    </w:rPr>
                  </w:pPr>
                  <w:r>
                    <w:rPr>
                      <w:rFonts w:hint="eastAsia"/>
                      <w:szCs w:val="21"/>
                    </w:rPr>
                    <w:t>废弃劳保用品</w:t>
                  </w:r>
                </w:p>
              </w:tc>
              <w:tc>
                <w:tcPr>
                  <w:tcW w:w="1732" w:type="pct"/>
                  <w:vAlign w:val="center"/>
                </w:tcPr>
                <w:p w14:paraId="5C69A725">
                  <w:pPr>
                    <w:jc w:val="center"/>
                    <w:rPr>
                      <w:szCs w:val="21"/>
                    </w:rPr>
                  </w:pPr>
                  <w:r>
                    <w:rPr>
                      <w:rFonts w:hint="eastAsia"/>
                      <w:szCs w:val="21"/>
                    </w:rPr>
                    <w:t>危险废物（HW</w:t>
                  </w:r>
                  <w:r>
                    <w:rPr>
                      <w:szCs w:val="21"/>
                    </w:rPr>
                    <w:t>49</w:t>
                  </w:r>
                  <w:r>
                    <w:rPr>
                      <w:rFonts w:hint="eastAsia"/>
                      <w:szCs w:val="21"/>
                    </w:rPr>
                    <w:t>）</w:t>
                  </w:r>
                </w:p>
              </w:tc>
            </w:tr>
          </w:tbl>
          <w:p w14:paraId="566D7006">
            <w:pPr>
              <w:spacing w:line="360" w:lineRule="auto"/>
              <w:rPr>
                <w:rFonts w:cs="Times New Roman"/>
                <w:sz w:val="24"/>
                <w:szCs w:val="24"/>
              </w:rPr>
            </w:pPr>
          </w:p>
        </w:tc>
      </w:tr>
      <w:tr w14:paraId="2B4D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 w:type="pct"/>
            <w:vAlign w:val="center"/>
          </w:tcPr>
          <w:p w14:paraId="308B289A">
            <w:pPr>
              <w:spacing w:line="360" w:lineRule="auto"/>
              <w:jc w:val="center"/>
              <w:rPr>
                <w:rFonts w:cs="Times New Roman"/>
                <w:sz w:val="24"/>
                <w:szCs w:val="24"/>
              </w:rPr>
            </w:pPr>
            <w:r>
              <w:rPr>
                <w:rFonts w:hint="eastAsia" w:cs="Times New Roman"/>
                <w:sz w:val="24"/>
                <w:szCs w:val="24"/>
              </w:rPr>
              <w:t>与项目有关的原有环境污染问题</w:t>
            </w:r>
          </w:p>
        </w:tc>
        <w:tc>
          <w:tcPr>
            <w:tcW w:w="4756" w:type="pct"/>
            <w:vAlign w:val="center"/>
          </w:tcPr>
          <w:p w14:paraId="3676F5C2">
            <w:pPr>
              <w:spacing w:line="360" w:lineRule="auto"/>
              <w:ind w:firstLine="482" w:firstLineChars="200"/>
              <w:rPr>
                <w:b/>
                <w:sz w:val="24"/>
                <w:szCs w:val="24"/>
              </w:rPr>
            </w:pPr>
            <w:r>
              <w:rPr>
                <w:rFonts w:hint="eastAsia"/>
                <w:b/>
                <w:sz w:val="24"/>
                <w:szCs w:val="24"/>
              </w:rPr>
              <w:t>一、老厂区基本情况</w:t>
            </w:r>
          </w:p>
          <w:p w14:paraId="565FE5ED">
            <w:pPr>
              <w:spacing w:line="360" w:lineRule="auto"/>
              <w:ind w:firstLine="480" w:firstLineChars="200"/>
              <w:rPr>
                <w:bCs/>
                <w:sz w:val="24"/>
                <w:szCs w:val="24"/>
              </w:rPr>
            </w:pPr>
            <w:r>
              <w:rPr>
                <w:rFonts w:hint="eastAsia"/>
                <w:sz w:val="24"/>
              </w:rPr>
              <w:t>四川圣拉斯包装制品有限公司老厂区位于四川大英经济开发区马家坝，系租用四川省圣海包装科技有限公司已建厂房进行生产。2017年，公司投资1000万元建设年产1000万套酒类、礼品包装表处理新建项目，占地面积2924m</w:t>
            </w:r>
            <w:r>
              <w:rPr>
                <w:rFonts w:hint="eastAsia"/>
                <w:sz w:val="24"/>
                <w:vertAlign w:val="superscript"/>
              </w:rPr>
              <w:t>2</w:t>
            </w:r>
            <w:r>
              <w:rPr>
                <w:rFonts w:hint="eastAsia"/>
                <w:sz w:val="24"/>
              </w:rPr>
              <w:t>，新建UV涂装生产线，设计表处理酒类包装700万套/年、礼品包装300万套/年</w:t>
            </w:r>
            <w:r>
              <w:rPr>
                <w:rFonts w:hint="eastAsia"/>
                <w:bCs/>
                <w:sz w:val="24"/>
                <w:szCs w:val="24"/>
              </w:rPr>
              <w:t>。该项目于2017年7月取得原大英县环境保护局《关于年产1000万套酒类、礼品包装表处理新建项目环境影响报告表的批复》（大环函〔2017〕110号），于2017年11月开展了竣工环境保护验收。</w:t>
            </w:r>
          </w:p>
          <w:p w14:paraId="1DA51EAF">
            <w:pPr>
              <w:spacing w:line="360" w:lineRule="auto"/>
              <w:ind w:firstLine="480" w:firstLineChars="200"/>
              <w:rPr>
                <w:sz w:val="24"/>
              </w:rPr>
            </w:pPr>
            <w:r>
              <w:rPr>
                <w:rFonts w:hint="eastAsia"/>
                <w:sz w:val="24"/>
              </w:rPr>
              <w:t>2020年，四川圣拉斯包装制品有限公司投资700万元建设扩建一条年产800万只酒瓶及瓶盖表面处理生产线建设项目，利用原厂区内闲置用地进行扩建，主要新增一条全新自动化UV喷涂线，形成年生产800万只酒瓶及瓶盖表面处理生产能力。</w:t>
            </w:r>
            <w:r>
              <w:rPr>
                <w:rFonts w:hint="eastAsia"/>
                <w:bCs/>
                <w:sz w:val="24"/>
                <w:szCs w:val="24"/>
              </w:rPr>
              <w:t>该项目于2020年11月取得遂宁市大英生态环境局《关于</w:t>
            </w:r>
            <w:r>
              <w:rPr>
                <w:rFonts w:hint="eastAsia"/>
                <w:sz w:val="24"/>
              </w:rPr>
              <w:t>扩建一条年产800万只酒瓶及瓶盖表面处理生产线建设项目</w:t>
            </w:r>
            <w:r>
              <w:rPr>
                <w:rFonts w:hint="eastAsia"/>
                <w:bCs/>
                <w:sz w:val="24"/>
                <w:szCs w:val="24"/>
              </w:rPr>
              <w:t>环境影响报告表的批复》（遂大环函〔2020〕146号），于2021年1月开展了竣工环境保护验收。</w:t>
            </w:r>
          </w:p>
          <w:p w14:paraId="3DAEE9DF">
            <w:pPr>
              <w:spacing w:line="360" w:lineRule="auto"/>
              <w:ind w:firstLine="482" w:firstLineChars="200"/>
              <w:rPr>
                <w:b/>
                <w:sz w:val="24"/>
                <w:szCs w:val="24"/>
                <w:u w:val="single"/>
              </w:rPr>
            </w:pPr>
            <w:r>
              <w:rPr>
                <w:rFonts w:hint="eastAsia"/>
                <w:b/>
                <w:sz w:val="24"/>
                <w:szCs w:val="24"/>
                <w:u w:val="single"/>
              </w:rPr>
              <w:t>自2022年起，</w:t>
            </w:r>
            <w:r>
              <w:rPr>
                <w:rFonts w:hint="eastAsia"/>
                <w:b/>
                <w:sz w:val="24"/>
                <w:u w:val="single"/>
              </w:rPr>
              <w:t>四川圣拉斯包装制品有限公司先后两次实施了迁建，截</w:t>
            </w:r>
            <w:r>
              <w:rPr>
                <w:rFonts w:hint="eastAsia"/>
                <w:b/>
                <w:sz w:val="24"/>
                <w:u w:val="single"/>
                <w:lang w:val="en-US" w:eastAsia="zh-CN"/>
              </w:rPr>
              <w:t>至</w:t>
            </w:r>
            <w:r>
              <w:rPr>
                <w:rFonts w:hint="eastAsia"/>
                <w:b/>
                <w:sz w:val="24"/>
                <w:u w:val="single"/>
              </w:rPr>
              <w:t>目前老厂区已停产，原有生产线已全部</w:t>
            </w:r>
            <w:r>
              <w:rPr>
                <w:rFonts w:hint="eastAsia"/>
                <w:b/>
                <w:sz w:val="24"/>
                <w:szCs w:val="24"/>
                <w:u w:val="single"/>
              </w:rPr>
              <w:t>搬迁完成，拆除过程中产生的污染物均得到了妥善处置，不存在遗留环境问题。</w:t>
            </w:r>
          </w:p>
          <w:p w14:paraId="218C2555">
            <w:pPr>
              <w:spacing w:line="360" w:lineRule="auto"/>
              <w:ind w:firstLine="482" w:firstLineChars="200"/>
              <w:rPr>
                <w:b/>
                <w:sz w:val="24"/>
                <w:szCs w:val="24"/>
              </w:rPr>
            </w:pPr>
            <w:r>
              <w:rPr>
                <w:rFonts w:hint="eastAsia"/>
                <w:b/>
                <w:sz w:val="24"/>
                <w:szCs w:val="24"/>
              </w:rPr>
              <w:t>二、现有工程分析</w:t>
            </w:r>
          </w:p>
          <w:p w14:paraId="25DCC03E">
            <w:pPr>
              <w:spacing w:line="360" w:lineRule="auto"/>
              <w:ind w:firstLine="482" w:firstLineChars="200"/>
              <w:rPr>
                <w:b/>
                <w:sz w:val="24"/>
                <w:szCs w:val="24"/>
              </w:rPr>
            </w:pPr>
            <w:r>
              <w:rPr>
                <w:rFonts w:hint="eastAsia"/>
                <w:b/>
                <w:sz w:val="24"/>
                <w:szCs w:val="24"/>
              </w:rPr>
              <w:t>1、环保手续履行情况</w:t>
            </w:r>
          </w:p>
          <w:p w14:paraId="20C7C20C">
            <w:pPr>
              <w:spacing w:line="360" w:lineRule="auto"/>
              <w:ind w:firstLine="482" w:firstLineChars="200"/>
              <w:rPr>
                <w:b/>
                <w:sz w:val="24"/>
              </w:rPr>
            </w:pPr>
            <w:r>
              <w:rPr>
                <w:rFonts w:hint="eastAsia"/>
                <w:b/>
                <w:sz w:val="24"/>
              </w:rPr>
              <w:t>（1）环评及验收情况</w:t>
            </w:r>
          </w:p>
          <w:p w14:paraId="38821B0D">
            <w:pPr>
              <w:spacing w:line="360" w:lineRule="auto"/>
              <w:ind w:firstLine="480" w:firstLineChars="200"/>
              <w:rPr>
                <w:sz w:val="24"/>
              </w:rPr>
            </w:pPr>
            <w:r>
              <w:rPr>
                <w:rFonts w:hint="eastAsia"/>
                <w:sz w:val="24"/>
              </w:rPr>
              <w:t>四川圣拉斯包装制品有限公司于2022年购买了位于遂宁市大英县蓬莱镇采和大道261号的工业用地和生产厂房，开始将老厂区迁建至此，先后共实施了2个建设项目，各项目基本情况如下：</w:t>
            </w:r>
          </w:p>
          <w:p w14:paraId="302CF5C2">
            <w:pPr>
              <w:spacing w:line="360" w:lineRule="auto"/>
              <w:ind w:firstLine="482" w:firstLineChars="200"/>
              <w:rPr>
                <w:sz w:val="24"/>
              </w:rPr>
            </w:pPr>
            <w:r>
              <w:rPr>
                <w:rFonts w:hint="eastAsia"/>
                <w:b/>
                <w:bCs/>
                <w:sz w:val="24"/>
              </w:rPr>
              <w:t>①年产2000万套酒类及家电制品表处理自动化生产线</w:t>
            </w:r>
            <w:r>
              <w:rPr>
                <w:rFonts w:hint="eastAsia"/>
                <w:sz w:val="24"/>
              </w:rPr>
              <w:t>：总投资2000万元，在新购厂区内新建全自动UV喷涂线1条、家电制品喷涂线1条以及全自动喷砂、全自动镭雕装置，配套建设公辅、环保工程，通过对半成品玻璃酒瓶进行喷涂或喷砂或镭雕加工，对半成品塑料家电制品进行喷涂加工，形成加工喷涂玻璃酒瓶1200万个/年、喷砂玻璃酒瓶100万个/年、镭雕玻璃酒瓶100万个/年、塑料家电制品喷涂件600万件/年的生产能力。该项目于2023年5月取得遂宁市大英生态环境局《关于四川圣拉斯包装制品有限公司2000万套酒类及家电制品表处理自动化生产线环境影响报告表的批复》（遂大环函〔2023〕48号），2023年6月完成全自动UV喷涂线1条、家电制品喷涂线1条、全自动镭雕装置及配套设施建设，2023年8月完成竣工环境保护验收。截</w:t>
            </w:r>
            <w:r>
              <w:rPr>
                <w:rFonts w:hint="eastAsia"/>
                <w:sz w:val="24"/>
                <w:lang w:val="en-US" w:eastAsia="zh-CN"/>
              </w:rPr>
              <w:t>至</w:t>
            </w:r>
            <w:r>
              <w:rPr>
                <w:rFonts w:hint="eastAsia"/>
                <w:sz w:val="24"/>
              </w:rPr>
              <w:t>目前，该项目已批复的全自动喷砂生产线、食堂、一般固废暂存间和危废暂存间于2024年2月建成，暂未开展竣工环保验收。</w:t>
            </w:r>
          </w:p>
          <w:p w14:paraId="5D0D0FD6">
            <w:pPr>
              <w:spacing w:line="360" w:lineRule="auto"/>
              <w:ind w:firstLine="482" w:firstLineChars="200"/>
              <w:rPr>
                <w:sz w:val="24"/>
              </w:rPr>
            </w:pPr>
            <w:r>
              <w:rPr>
                <w:rFonts w:hint="eastAsia"/>
                <w:b/>
                <w:bCs/>
                <w:sz w:val="24"/>
              </w:rPr>
              <w:t>②大英县年产800万只酒瓶及瓶盖表面处理建设项目</w:t>
            </w:r>
            <w:r>
              <w:rPr>
                <w:rFonts w:hint="eastAsia"/>
                <w:sz w:val="24"/>
              </w:rPr>
              <w:t>：总投资700万元，主要将老厂区“年产800万只酒瓶及瓶盖表面处理的生产线”迁建到新厂区建设一条UV涂装生产线，同时拆除老厂区“年产1000万套酒类、礼品包装表</w:t>
            </w:r>
            <w:r>
              <w:rPr>
                <w:rFonts w:hint="eastAsia"/>
                <w:sz w:val="24"/>
                <w:lang w:val="en-US" w:eastAsia="zh-CN"/>
              </w:rPr>
              <w:t>面</w:t>
            </w:r>
            <w:r>
              <w:rPr>
                <w:rFonts w:hint="eastAsia"/>
                <w:sz w:val="24"/>
              </w:rPr>
              <w:t>处理项目”，建成后形成年产800万只酒瓶及瓶盖表面处理能力，其中成品玻璃瓶400万只，塑料瓶盖400万只。该项目于2024年5月取得遂宁市大英生态环境局《关于大英县年产800万只酒瓶及瓶盖表面处理建设项目环境影响报告表的批复》（遂大环函〔2024〕43号），已于2024年6月建成投运，正在开展竣工环保验收。</w:t>
            </w:r>
          </w:p>
          <w:p w14:paraId="317C7ABE">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现有工程环评及验收情况表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3754"/>
              <w:gridCol w:w="3754"/>
            </w:tblGrid>
            <w:tr w14:paraId="4F60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529CDC8C">
                  <w:pPr>
                    <w:pStyle w:val="3"/>
                    <w:spacing w:line="240" w:lineRule="auto"/>
                    <w:ind w:firstLine="0" w:firstLineChars="0"/>
                    <w:jc w:val="center"/>
                    <w:rPr>
                      <w:sz w:val="21"/>
                      <w:szCs w:val="21"/>
                    </w:rPr>
                  </w:pPr>
                  <w:r>
                    <w:rPr>
                      <w:sz w:val="21"/>
                      <w:szCs w:val="21"/>
                    </w:rPr>
                    <w:t>项目名称</w:t>
                  </w:r>
                </w:p>
              </w:tc>
              <w:tc>
                <w:tcPr>
                  <w:tcW w:w="2052" w:type="pct"/>
                  <w:vAlign w:val="center"/>
                </w:tcPr>
                <w:p w14:paraId="66C5DA9F">
                  <w:pPr>
                    <w:pStyle w:val="3"/>
                    <w:spacing w:line="240" w:lineRule="auto"/>
                    <w:ind w:firstLine="0" w:firstLineChars="0"/>
                    <w:jc w:val="center"/>
                    <w:rPr>
                      <w:sz w:val="21"/>
                      <w:szCs w:val="21"/>
                    </w:rPr>
                  </w:pPr>
                  <w:r>
                    <w:rPr>
                      <w:rFonts w:hint="eastAsia"/>
                      <w:sz w:val="21"/>
                      <w:szCs w:val="21"/>
                    </w:rPr>
                    <w:t>年产2000万套酒类及家电制品表处理自动化生产线</w:t>
                  </w:r>
                </w:p>
              </w:tc>
              <w:tc>
                <w:tcPr>
                  <w:tcW w:w="2052" w:type="pct"/>
                  <w:vAlign w:val="center"/>
                </w:tcPr>
                <w:p w14:paraId="30FD8589">
                  <w:pPr>
                    <w:pStyle w:val="3"/>
                    <w:spacing w:line="240" w:lineRule="auto"/>
                    <w:ind w:firstLine="0" w:firstLineChars="0"/>
                    <w:jc w:val="center"/>
                    <w:rPr>
                      <w:sz w:val="21"/>
                      <w:szCs w:val="21"/>
                    </w:rPr>
                  </w:pPr>
                  <w:r>
                    <w:rPr>
                      <w:rFonts w:hint="eastAsia"/>
                      <w:sz w:val="21"/>
                      <w:szCs w:val="21"/>
                    </w:rPr>
                    <w:t>大英县年产800万只酒瓶及瓶盖表面处理建设项目</w:t>
                  </w:r>
                </w:p>
              </w:tc>
            </w:tr>
            <w:tr w14:paraId="4591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56151E96">
                  <w:pPr>
                    <w:pStyle w:val="3"/>
                    <w:spacing w:line="240" w:lineRule="auto"/>
                    <w:ind w:firstLine="0" w:firstLineChars="0"/>
                    <w:jc w:val="center"/>
                    <w:rPr>
                      <w:sz w:val="21"/>
                      <w:szCs w:val="21"/>
                    </w:rPr>
                  </w:pPr>
                  <w:r>
                    <w:rPr>
                      <w:sz w:val="21"/>
                      <w:szCs w:val="21"/>
                    </w:rPr>
                    <w:t>总投资</w:t>
                  </w:r>
                </w:p>
              </w:tc>
              <w:tc>
                <w:tcPr>
                  <w:tcW w:w="2052" w:type="pct"/>
                  <w:vAlign w:val="center"/>
                </w:tcPr>
                <w:p w14:paraId="03433D42">
                  <w:pPr>
                    <w:pStyle w:val="3"/>
                    <w:spacing w:line="240" w:lineRule="auto"/>
                    <w:ind w:firstLine="0" w:firstLineChars="0"/>
                    <w:jc w:val="center"/>
                    <w:rPr>
                      <w:sz w:val="21"/>
                      <w:szCs w:val="21"/>
                    </w:rPr>
                  </w:pPr>
                  <w:r>
                    <w:rPr>
                      <w:rFonts w:hint="eastAsia"/>
                      <w:sz w:val="21"/>
                      <w:szCs w:val="21"/>
                    </w:rPr>
                    <w:t>2000万元</w:t>
                  </w:r>
                </w:p>
              </w:tc>
              <w:tc>
                <w:tcPr>
                  <w:tcW w:w="2052" w:type="pct"/>
                  <w:vAlign w:val="center"/>
                </w:tcPr>
                <w:p w14:paraId="436B1013">
                  <w:pPr>
                    <w:pStyle w:val="3"/>
                    <w:spacing w:line="240" w:lineRule="auto"/>
                    <w:ind w:firstLine="0" w:firstLineChars="0"/>
                    <w:jc w:val="center"/>
                    <w:rPr>
                      <w:sz w:val="21"/>
                      <w:szCs w:val="21"/>
                    </w:rPr>
                  </w:pPr>
                  <w:r>
                    <w:rPr>
                      <w:rFonts w:hint="eastAsia"/>
                      <w:sz w:val="21"/>
                      <w:szCs w:val="21"/>
                    </w:rPr>
                    <w:t>700万元</w:t>
                  </w:r>
                </w:p>
              </w:tc>
            </w:tr>
            <w:tr w14:paraId="49C2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02D33C5B">
                  <w:pPr>
                    <w:pStyle w:val="3"/>
                    <w:spacing w:line="240" w:lineRule="auto"/>
                    <w:ind w:firstLine="0" w:firstLineChars="0"/>
                    <w:jc w:val="center"/>
                    <w:rPr>
                      <w:sz w:val="21"/>
                      <w:szCs w:val="21"/>
                    </w:rPr>
                  </w:pPr>
                  <w:r>
                    <w:rPr>
                      <w:sz w:val="21"/>
                      <w:szCs w:val="21"/>
                    </w:rPr>
                    <w:t>建设内容</w:t>
                  </w:r>
                </w:p>
              </w:tc>
              <w:tc>
                <w:tcPr>
                  <w:tcW w:w="2052" w:type="pct"/>
                  <w:vAlign w:val="center"/>
                </w:tcPr>
                <w:p w14:paraId="7CBF162B">
                  <w:pPr>
                    <w:pStyle w:val="3"/>
                    <w:spacing w:line="240" w:lineRule="auto"/>
                    <w:ind w:firstLine="0" w:firstLineChars="0"/>
                    <w:jc w:val="center"/>
                    <w:rPr>
                      <w:sz w:val="21"/>
                      <w:szCs w:val="21"/>
                    </w:rPr>
                  </w:pPr>
                  <w:r>
                    <w:rPr>
                      <w:rFonts w:hint="eastAsia"/>
                      <w:sz w:val="21"/>
                      <w:szCs w:val="21"/>
                    </w:rPr>
                    <w:t>新建全自动UV喷涂线1条、家电制品喷涂线1条以及全自动喷砂、全自动镭雕装置，配套建设公辅、环保工程，通过对半成品玻璃酒瓶进行喷涂或喷砂或镭雕加工，对半成品塑料家电制品进行喷涂加工</w:t>
                  </w:r>
                </w:p>
              </w:tc>
              <w:tc>
                <w:tcPr>
                  <w:tcW w:w="2052" w:type="pct"/>
                  <w:vAlign w:val="center"/>
                </w:tcPr>
                <w:p w14:paraId="2DE9478B">
                  <w:pPr>
                    <w:pStyle w:val="3"/>
                    <w:spacing w:line="240" w:lineRule="auto"/>
                    <w:ind w:firstLine="0" w:firstLineChars="0"/>
                    <w:jc w:val="center"/>
                    <w:rPr>
                      <w:sz w:val="21"/>
                      <w:szCs w:val="21"/>
                    </w:rPr>
                  </w:pPr>
                  <w:r>
                    <w:rPr>
                      <w:rFonts w:hint="eastAsia"/>
                      <w:sz w:val="21"/>
                      <w:szCs w:val="21"/>
                    </w:rPr>
                    <w:t>将老厂区“年产800万只酒瓶及瓶盖表面处理的生产线”迁建到新厂区建设一条UV涂装生产线，同时拆除老厂区“年产1000万套酒类、礼品包装表</w:t>
                  </w:r>
                  <w:r>
                    <w:rPr>
                      <w:rFonts w:hint="eastAsia"/>
                      <w:sz w:val="21"/>
                      <w:szCs w:val="21"/>
                      <w:lang w:val="en-US" w:eastAsia="zh-CN"/>
                    </w:rPr>
                    <w:t>面</w:t>
                  </w:r>
                  <w:r>
                    <w:rPr>
                      <w:rFonts w:hint="eastAsia"/>
                      <w:sz w:val="21"/>
                      <w:szCs w:val="21"/>
                    </w:rPr>
                    <w:t>处理项目”</w:t>
                  </w:r>
                </w:p>
              </w:tc>
            </w:tr>
            <w:tr w14:paraId="45AA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423AA67C">
                  <w:pPr>
                    <w:pStyle w:val="3"/>
                    <w:spacing w:line="240" w:lineRule="auto"/>
                    <w:ind w:firstLine="0" w:firstLineChars="0"/>
                    <w:jc w:val="center"/>
                    <w:rPr>
                      <w:sz w:val="21"/>
                      <w:szCs w:val="21"/>
                    </w:rPr>
                  </w:pPr>
                  <w:r>
                    <w:rPr>
                      <w:sz w:val="21"/>
                      <w:szCs w:val="21"/>
                    </w:rPr>
                    <w:t>生产规模</w:t>
                  </w:r>
                </w:p>
              </w:tc>
              <w:tc>
                <w:tcPr>
                  <w:tcW w:w="2052" w:type="pct"/>
                  <w:vAlign w:val="center"/>
                </w:tcPr>
                <w:p w14:paraId="5F11B71D">
                  <w:pPr>
                    <w:pStyle w:val="3"/>
                    <w:spacing w:line="240" w:lineRule="auto"/>
                    <w:ind w:firstLine="0" w:firstLineChars="0"/>
                    <w:jc w:val="center"/>
                    <w:rPr>
                      <w:sz w:val="21"/>
                      <w:szCs w:val="21"/>
                    </w:rPr>
                  </w:pPr>
                  <w:r>
                    <w:rPr>
                      <w:rFonts w:hint="eastAsia"/>
                      <w:sz w:val="21"/>
                      <w:szCs w:val="21"/>
                    </w:rPr>
                    <w:t>加工喷涂玻璃酒瓶1200万个/年、喷砂玻璃酒瓶100万个/年、镭雕玻璃酒瓶100万个/年、塑料家电制品喷涂件600万件/年</w:t>
                  </w:r>
                </w:p>
              </w:tc>
              <w:tc>
                <w:tcPr>
                  <w:tcW w:w="2052" w:type="pct"/>
                  <w:vAlign w:val="center"/>
                </w:tcPr>
                <w:p w14:paraId="310354DA">
                  <w:pPr>
                    <w:pStyle w:val="3"/>
                    <w:spacing w:line="240" w:lineRule="auto"/>
                    <w:ind w:firstLine="0" w:firstLineChars="0"/>
                    <w:jc w:val="center"/>
                    <w:rPr>
                      <w:sz w:val="21"/>
                      <w:szCs w:val="21"/>
                    </w:rPr>
                  </w:pPr>
                  <w:r>
                    <w:rPr>
                      <w:rFonts w:hint="eastAsia"/>
                      <w:sz w:val="21"/>
                      <w:szCs w:val="21"/>
                    </w:rPr>
                    <w:t>年产800万只酒瓶及瓶盖表面处理能力，其中成品玻璃瓶400万只，塑料瓶盖400万只</w:t>
                  </w:r>
                </w:p>
              </w:tc>
            </w:tr>
            <w:tr w14:paraId="384E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44649886">
                  <w:pPr>
                    <w:pStyle w:val="3"/>
                    <w:spacing w:line="240" w:lineRule="auto"/>
                    <w:ind w:firstLine="0" w:firstLineChars="0"/>
                    <w:jc w:val="center"/>
                    <w:rPr>
                      <w:sz w:val="21"/>
                      <w:szCs w:val="21"/>
                    </w:rPr>
                  </w:pPr>
                  <w:r>
                    <w:rPr>
                      <w:sz w:val="21"/>
                      <w:szCs w:val="21"/>
                    </w:rPr>
                    <w:t>环评审批部门</w:t>
                  </w:r>
                </w:p>
              </w:tc>
              <w:tc>
                <w:tcPr>
                  <w:tcW w:w="2052" w:type="pct"/>
                  <w:vAlign w:val="center"/>
                </w:tcPr>
                <w:p w14:paraId="623C246B">
                  <w:pPr>
                    <w:pStyle w:val="3"/>
                    <w:spacing w:line="240" w:lineRule="auto"/>
                    <w:ind w:firstLine="0" w:firstLineChars="0"/>
                    <w:jc w:val="center"/>
                    <w:rPr>
                      <w:sz w:val="21"/>
                      <w:szCs w:val="21"/>
                    </w:rPr>
                  </w:pPr>
                  <w:r>
                    <w:rPr>
                      <w:rFonts w:hint="eastAsia"/>
                      <w:sz w:val="21"/>
                      <w:szCs w:val="21"/>
                    </w:rPr>
                    <w:t>遂宁市大英生态环境局</w:t>
                  </w:r>
                </w:p>
              </w:tc>
              <w:tc>
                <w:tcPr>
                  <w:tcW w:w="2052" w:type="pct"/>
                  <w:vAlign w:val="center"/>
                </w:tcPr>
                <w:p w14:paraId="56F6C6F6">
                  <w:pPr>
                    <w:pStyle w:val="3"/>
                    <w:spacing w:line="240" w:lineRule="auto"/>
                    <w:ind w:firstLine="0" w:firstLineChars="0"/>
                    <w:jc w:val="center"/>
                    <w:rPr>
                      <w:sz w:val="21"/>
                      <w:szCs w:val="21"/>
                    </w:rPr>
                  </w:pPr>
                  <w:r>
                    <w:rPr>
                      <w:rFonts w:hint="eastAsia"/>
                      <w:sz w:val="21"/>
                      <w:szCs w:val="21"/>
                    </w:rPr>
                    <w:t>遂宁市大英生态环境局</w:t>
                  </w:r>
                </w:p>
              </w:tc>
            </w:tr>
            <w:tr w14:paraId="5877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2606675D">
                  <w:pPr>
                    <w:pStyle w:val="3"/>
                    <w:spacing w:line="240" w:lineRule="auto"/>
                    <w:ind w:firstLine="0" w:firstLineChars="0"/>
                    <w:jc w:val="center"/>
                    <w:rPr>
                      <w:sz w:val="21"/>
                      <w:szCs w:val="21"/>
                    </w:rPr>
                  </w:pPr>
                  <w:r>
                    <w:rPr>
                      <w:sz w:val="21"/>
                      <w:szCs w:val="21"/>
                    </w:rPr>
                    <w:t>环评批复文号</w:t>
                  </w:r>
                </w:p>
              </w:tc>
              <w:tc>
                <w:tcPr>
                  <w:tcW w:w="2052" w:type="pct"/>
                  <w:vAlign w:val="center"/>
                </w:tcPr>
                <w:p w14:paraId="5EB81E85">
                  <w:pPr>
                    <w:pStyle w:val="3"/>
                    <w:spacing w:line="240" w:lineRule="auto"/>
                    <w:ind w:firstLine="0" w:firstLineChars="0"/>
                    <w:jc w:val="center"/>
                    <w:rPr>
                      <w:sz w:val="21"/>
                      <w:szCs w:val="21"/>
                    </w:rPr>
                  </w:pPr>
                  <w:r>
                    <w:rPr>
                      <w:rFonts w:hint="eastAsia"/>
                      <w:sz w:val="21"/>
                      <w:szCs w:val="21"/>
                    </w:rPr>
                    <w:t>遂大环函〔2023〕48号</w:t>
                  </w:r>
                </w:p>
              </w:tc>
              <w:tc>
                <w:tcPr>
                  <w:tcW w:w="2052" w:type="pct"/>
                  <w:vAlign w:val="center"/>
                </w:tcPr>
                <w:p w14:paraId="0FDEACB0">
                  <w:pPr>
                    <w:pStyle w:val="3"/>
                    <w:spacing w:line="240" w:lineRule="auto"/>
                    <w:ind w:firstLine="0" w:firstLineChars="0"/>
                    <w:jc w:val="center"/>
                    <w:rPr>
                      <w:sz w:val="21"/>
                      <w:szCs w:val="21"/>
                    </w:rPr>
                  </w:pPr>
                  <w:r>
                    <w:rPr>
                      <w:rFonts w:hint="eastAsia"/>
                      <w:sz w:val="21"/>
                      <w:szCs w:val="21"/>
                    </w:rPr>
                    <w:t>遂大环函〔2024〕43号</w:t>
                  </w:r>
                </w:p>
              </w:tc>
            </w:tr>
            <w:tr w14:paraId="528B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038BF8C2">
                  <w:pPr>
                    <w:pStyle w:val="3"/>
                    <w:spacing w:line="240" w:lineRule="auto"/>
                    <w:ind w:firstLine="0" w:firstLineChars="0"/>
                    <w:jc w:val="center"/>
                    <w:rPr>
                      <w:sz w:val="21"/>
                      <w:szCs w:val="21"/>
                    </w:rPr>
                  </w:pPr>
                  <w:r>
                    <w:rPr>
                      <w:sz w:val="21"/>
                      <w:szCs w:val="21"/>
                    </w:rPr>
                    <w:t>环评批复时间</w:t>
                  </w:r>
                </w:p>
              </w:tc>
              <w:tc>
                <w:tcPr>
                  <w:tcW w:w="2052" w:type="pct"/>
                  <w:vAlign w:val="center"/>
                </w:tcPr>
                <w:p w14:paraId="2BD2D6E9">
                  <w:pPr>
                    <w:pStyle w:val="3"/>
                    <w:spacing w:line="240" w:lineRule="auto"/>
                    <w:ind w:firstLine="0" w:firstLineChars="0"/>
                    <w:jc w:val="center"/>
                    <w:rPr>
                      <w:sz w:val="21"/>
                      <w:szCs w:val="21"/>
                    </w:rPr>
                  </w:pPr>
                  <w:r>
                    <w:rPr>
                      <w:rFonts w:hint="eastAsia"/>
                      <w:sz w:val="21"/>
                      <w:szCs w:val="21"/>
                    </w:rPr>
                    <w:t>2023年5月</w:t>
                  </w:r>
                </w:p>
              </w:tc>
              <w:tc>
                <w:tcPr>
                  <w:tcW w:w="2052" w:type="pct"/>
                  <w:vAlign w:val="center"/>
                </w:tcPr>
                <w:p w14:paraId="73C968FD">
                  <w:pPr>
                    <w:pStyle w:val="3"/>
                    <w:spacing w:line="240" w:lineRule="auto"/>
                    <w:ind w:firstLine="0" w:firstLineChars="0"/>
                    <w:jc w:val="center"/>
                    <w:rPr>
                      <w:sz w:val="21"/>
                      <w:szCs w:val="21"/>
                    </w:rPr>
                  </w:pPr>
                  <w:r>
                    <w:rPr>
                      <w:rFonts w:hint="eastAsia"/>
                      <w:sz w:val="21"/>
                      <w:szCs w:val="21"/>
                    </w:rPr>
                    <w:t>2024年5月</w:t>
                  </w:r>
                </w:p>
              </w:tc>
            </w:tr>
            <w:tr w14:paraId="6839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4B7313BB">
                  <w:pPr>
                    <w:pStyle w:val="3"/>
                    <w:spacing w:line="240" w:lineRule="auto"/>
                    <w:ind w:firstLine="0" w:firstLineChars="0"/>
                    <w:jc w:val="center"/>
                    <w:rPr>
                      <w:sz w:val="21"/>
                      <w:szCs w:val="21"/>
                    </w:rPr>
                  </w:pPr>
                  <w:r>
                    <w:rPr>
                      <w:rFonts w:hint="eastAsia"/>
                      <w:sz w:val="21"/>
                      <w:szCs w:val="21"/>
                    </w:rPr>
                    <w:t>建成时间</w:t>
                  </w:r>
                </w:p>
              </w:tc>
              <w:tc>
                <w:tcPr>
                  <w:tcW w:w="2052" w:type="pct"/>
                  <w:vAlign w:val="center"/>
                </w:tcPr>
                <w:p w14:paraId="18C8BE4F">
                  <w:pPr>
                    <w:pStyle w:val="3"/>
                    <w:spacing w:line="240" w:lineRule="auto"/>
                    <w:ind w:firstLine="0" w:firstLineChars="0"/>
                    <w:jc w:val="center"/>
                    <w:rPr>
                      <w:sz w:val="21"/>
                      <w:szCs w:val="21"/>
                    </w:rPr>
                  </w:pPr>
                  <w:r>
                    <w:rPr>
                      <w:rFonts w:hint="eastAsia"/>
                      <w:sz w:val="21"/>
                      <w:szCs w:val="21"/>
                    </w:rPr>
                    <w:t>2</w:t>
                  </w:r>
                  <w:r>
                    <w:rPr>
                      <w:sz w:val="21"/>
                      <w:szCs w:val="21"/>
                    </w:rPr>
                    <w:t>0</w:t>
                  </w:r>
                  <w:r>
                    <w:rPr>
                      <w:rFonts w:hint="eastAsia"/>
                      <w:sz w:val="21"/>
                      <w:szCs w:val="21"/>
                    </w:rPr>
                    <w:t>23年6月</w:t>
                  </w:r>
                </w:p>
              </w:tc>
              <w:tc>
                <w:tcPr>
                  <w:tcW w:w="2052" w:type="pct"/>
                  <w:vAlign w:val="center"/>
                </w:tcPr>
                <w:p w14:paraId="3B4B75E8">
                  <w:pPr>
                    <w:pStyle w:val="3"/>
                    <w:spacing w:line="240" w:lineRule="auto"/>
                    <w:ind w:firstLine="0" w:firstLineChars="0"/>
                    <w:jc w:val="center"/>
                    <w:rPr>
                      <w:sz w:val="21"/>
                      <w:szCs w:val="21"/>
                    </w:rPr>
                  </w:pPr>
                  <w:r>
                    <w:rPr>
                      <w:rFonts w:hint="eastAsia"/>
                      <w:sz w:val="21"/>
                      <w:szCs w:val="21"/>
                    </w:rPr>
                    <w:t>2024年6月</w:t>
                  </w:r>
                </w:p>
              </w:tc>
            </w:tr>
            <w:tr w14:paraId="02F9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vAlign w:val="center"/>
                </w:tcPr>
                <w:p w14:paraId="04DE0EB2">
                  <w:pPr>
                    <w:pStyle w:val="3"/>
                    <w:spacing w:line="240" w:lineRule="auto"/>
                    <w:ind w:firstLine="0" w:firstLineChars="0"/>
                    <w:jc w:val="center"/>
                    <w:rPr>
                      <w:sz w:val="21"/>
                      <w:szCs w:val="21"/>
                    </w:rPr>
                  </w:pPr>
                  <w:r>
                    <w:rPr>
                      <w:sz w:val="21"/>
                      <w:szCs w:val="21"/>
                    </w:rPr>
                    <w:t>验收时间</w:t>
                  </w:r>
                </w:p>
              </w:tc>
              <w:tc>
                <w:tcPr>
                  <w:tcW w:w="2052" w:type="pct"/>
                  <w:vAlign w:val="center"/>
                </w:tcPr>
                <w:p w14:paraId="55E6668E">
                  <w:pPr>
                    <w:pStyle w:val="3"/>
                    <w:spacing w:line="240" w:lineRule="auto"/>
                    <w:ind w:firstLine="0" w:firstLineChars="0"/>
                    <w:jc w:val="center"/>
                    <w:rPr>
                      <w:sz w:val="21"/>
                      <w:szCs w:val="21"/>
                    </w:rPr>
                  </w:pPr>
                  <w:r>
                    <w:rPr>
                      <w:sz w:val="21"/>
                      <w:szCs w:val="21"/>
                    </w:rPr>
                    <w:t>20</w:t>
                  </w:r>
                  <w:r>
                    <w:rPr>
                      <w:rFonts w:hint="eastAsia"/>
                      <w:sz w:val="21"/>
                      <w:szCs w:val="21"/>
                    </w:rPr>
                    <w:t>23年8月完成全自动UV喷涂线1条、家电制品喷涂线1条、全自动镭雕装置及配套设施；全自动喷砂生产线、食堂、一般固废暂存间和危废暂存间暂未开展竣工环保验收</w:t>
                  </w:r>
                </w:p>
              </w:tc>
              <w:tc>
                <w:tcPr>
                  <w:tcW w:w="2052" w:type="pct"/>
                  <w:vAlign w:val="center"/>
                </w:tcPr>
                <w:p w14:paraId="1C045357">
                  <w:pPr>
                    <w:pStyle w:val="3"/>
                    <w:spacing w:line="240" w:lineRule="auto"/>
                    <w:ind w:firstLine="0" w:firstLineChars="0"/>
                    <w:jc w:val="center"/>
                    <w:rPr>
                      <w:sz w:val="21"/>
                      <w:szCs w:val="21"/>
                    </w:rPr>
                  </w:pPr>
                  <w:r>
                    <w:rPr>
                      <w:rFonts w:hint="eastAsia"/>
                      <w:sz w:val="21"/>
                      <w:szCs w:val="21"/>
                    </w:rPr>
                    <w:t>2024年9月</w:t>
                  </w:r>
                </w:p>
              </w:tc>
            </w:tr>
          </w:tbl>
          <w:p w14:paraId="2CA5D9E2">
            <w:pPr>
              <w:spacing w:line="360" w:lineRule="auto"/>
              <w:ind w:firstLine="482" w:firstLineChars="200"/>
              <w:rPr>
                <w:b/>
                <w:sz w:val="24"/>
              </w:rPr>
            </w:pPr>
            <w:r>
              <w:rPr>
                <w:rFonts w:hint="eastAsia"/>
                <w:b/>
                <w:sz w:val="24"/>
              </w:rPr>
              <w:t>（</w:t>
            </w:r>
            <w:r>
              <w:rPr>
                <w:b/>
                <w:sz w:val="24"/>
              </w:rPr>
              <w:t>2</w:t>
            </w:r>
            <w:r>
              <w:rPr>
                <w:rFonts w:hint="eastAsia"/>
                <w:b/>
                <w:sz w:val="24"/>
              </w:rPr>
              <w:t>）排污许可证执行情况</w:t>
            </w:r>
          </w:p>
          <w:p w14:paraId="71A48021">
            <w:pPr>
              <w:tabs>
                <w:tab w:val="left" w:pos="7290"/>
              </w:tabs>
              <w:spacing w:line="360" w:lineRule="auto"/>
              <w:ind w:firstLine="480" w:firstLineChars="200"/>
              <w:rPr>
                <w:sz w:val="24"/>
                <w:szCs w:val="24"/>
              </w:rPr>
            </w:pPr>
            <w:r>
              <w:rPr>
                <w:rFonts w:hint="eastAsia"/>
                <w:sz w:val="24"/>
              </w:rPr>
              <w:t>四川圣拉斯包装制品有限公司</w:t>
            </w:r>
            <w:r>
              <w:rPr>
                <w:rFonts w:hint="eastAsia"/>
                <w:sz w:val="24"/>
                <w:szCs w:val="24"/>
              </w:rPr>
              <w:t>于</w:t>
            </w:r>
            <w:r>
              <w:rPr>
                <w:sz w:val="24"/>
                <w:szCs w:val="24"/>
              </w:rPr>
              <w:t>202</w:t>
            </w:r>
            <w:r>
              <w:rPr>
                <w:rFonts w:hint="eastAsia"/>
                <w:sz w:val="24"/>
                <w:szCs w:val="24"/>
              </w:rPr>
              <w:t>4年9月取得遂宁市生态环境局颁发的《排污许可证》（编号：</w:t>
            </w:r>
            <w:r>
              <w:rPr>
                <w:sz w:val="24"/>
                <w:szCs w:val="24"/>
              </w:rPr>
              <w:t>91510923MA6263UX1X001</w:t>
            </w:r>
            <w:r>
              <w:rPr>
                <w:rFonts w:hint="eastAsia"/>
                <w:sz w:val="24"/>
                <w:szCs w:val="24"/>
              </w:rPr>
              <w:t>Z），有效期至20</w:t>
            </w:r>
            <w:r>
              <w:rPr>
                <w:sz w:val="24"/>
                <w:szCs w:val="24"/>
              </w:rPr>
              <w:t>2</w:t>
            </w:r>
            <w:r>
              <w:rPr>
                <w:rFonts w:hint="eastAsia"/>
                <w:sz w:val="24"/>
                <w:szCs w:val="24"/>
              </w:rPr>
              <w:t>9年9月。</w:t>
            </w:r>
          </w:p>
          <w:p w14:paraId="4ED45857">
            <w:pPr>
              <w:spacing w:line="360" w:lineRule="auto"/>
              <w:ind w:firstLine="482" w:firstLineChars="200"/>
              <w:rPr>
                <w:b/>
                <w:sz w:val="24"/>
              </w:rPr>
            </w:pPr>
            <w:r>
              <w:rPr>
                <w:rFonts w:hint="eastAsia"/>
                <w:b/>
                <w:sz w:val="24"/>
              </w:rPr>
              <w:t>2、现有工程概况</w:t>
            </w:r>
          </w:p>
          <w:p w14:paraId="434DE03D">
            <w:pPr>
              <w:spacing w:line="360" w:lineRule="auto"/>
              <w:ind w:firstLine="482" w:firstLineChars="200"/>
              <w:rPr>
                <w:b/>
                <w:sz w:val="24"/>
              </w:rPr>
            </w:pPr>
            <w:r>
              <w:rPr>
                <w:rFonts w:hint="eastAsia"/>
                <w:b/>
                <w:sz w:val="24"/>
              </w:rPr>
              <w:t>（1）产品方案</w:t>
            </w:r>
          </w:p>
          <w:p w14:paraId="1DA06DD0">
            <w:pPr>
              <w:spacing w:line="360" w:lineRule="auto"/>
              <w:ind w:firstLine="480" w:firstLineChars="200"/>
              <w:rPr>
                <w:rFonts w:cs="Times New Roman"/>
                <w:sz w:val="24"/>
                <w:szCs w:val="24"/>
              </w:rPr>
            </w:pPr>
            <w:r>
              <w:rPr>
                <w:rFonts w:hint="eastAsia" w:cs="Times New Roman"/>
                <w:sz w:val="24"/>
                <w:szCs w:val="24"/>
              </w:rPr>
              <w:t>现有工程产品方案见下表。</w:t>
            </w:r>
          </w:p>
          <w:p w14:paraId="05EDD6FC">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现有工程产品方案表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2387"/>
              <w:gridCol w:w="2208"/>
              <w:gridCol w:w="1196"/>
              <w:gridCol w:w="1531"/>
              <w:gridCol w:w="1223"/>
            </w:tblGrid>
            <w:tr w14:paraId="03C8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29" w:type="pct"/>
                  <w:vAlign w:val="center"/>
                </w:tcPr>
                <w:p w14:paraId="2F64C789">
                  <w:pPr>
                    <w:pStyle w:val="3"/>
                    <w:spacing w:line="240" w:lineRule="auto"/>
                    <w:ind w:firstLine="0" w:firstLineChars="0"/>
                    <w:jc w:val="center"/>
                    <w:rPr>
                      <w:sz w:val="21"/>
                      <w:szCs w:val="21"/>
                    </w:rPr>
                  </w:pPr>
                  <w:r>
                    <w:rPr>
                      <w:sz w:val="21"/>
                      <w:szCs w:val="21"/>
                    </w:rPr>
                    <w:t>序号</w:t>
                  </w:r>
                </w:p>
              </w:tc>
              <w:tc>
                <w:tcPr>
                  <w:tcW w:w="2512" w:type="pct"/>
                  <w:gridSpan w:val="2"/>
                  <w:vAlign w:val="center"/>
                </w:tcPr>
                <w:p w14:paraId="48479874">
                  <w:pPr>
                    <w:pStyle w:val="3"/>
                    <w:spacing w:line="240" w:lineRule="auto"/>
                    <w:ind w:firstLine="0" w:firstLineChars="0"/>
                    <w:jc w:val="center"/>
                    <w:rPr>
                      <w:sz w:val="21"/>
                      <w:szCs w:val="21"/>
                    </w:rPr>
                  </w:pPr>
                  <w:r>
                    <w:rPr>
                      <w:sz w:val="21"/>
                      <w:szCs w:val="21"/>
                    </w:rPr>
                    <w:t>产品名称</w:t>
                  </w:r>
                </w:p>
              </w:tc>
              <w:tc>
                <w:tcPr>
                  <w:tcW w:w="654" w:type="pct"/>
                  <w:vAlign w:val="center"/>
                </w:tcPr>
                <w:p w14:paraId="7DB07121">
                  <w:pPr>
                    <w:pStyle w:val="3"/>
                    <w:spacing w:line="240" w:lineRule="auto"/>
                    <w:ind w:firstLine="0" w:firstLineChars="0"/>
                    <w:jc w:val="center"/>
                    <w:rPr>
                      <w:sz w:val="21"/>
                      <w:szCs w:val="21"/>
                    </w:rPr>
                  </w:pPr>
                  <w:r>
                    <w:rPr>
                      <w:rFonts w:hint="eastAsia"/>
                      <w:sz w:val="21"/>
                      <w:szCs w:val="21"/>
                    </w:rPr>
                    <w:t>单位</w:t>
                  </w:r>
                </w:p>
              </w:tc>
              <w:tc>
                <w:tcPr>
                  <w:tcW w:w="837" w:type="pct"/>
                  <w:vAlign w:val="center"/>
                </w:tcPr>
                <w:p w14:paraId="04AC30A4">
                  <w:pPr>
                    <w:pStyle w:val="3"/>
                    <w:spacing w:line="240" w:lineRule="auto"/>
                    <w:ind w:firstLine="0" w:firstLineChars="0"/>
                    <w:jc w:val="center"/>
                    <w:rPr>
                      <w:sz w:val="21"/>
                      <w:szCs w:val="21"/>
                    </w:rPr>
                  </w:pPr>
                  <w:r>
                    <w:rPr>
                      <w:rFonts w:hint="eastAsia"/>
                      <w:sz w:val="21"/>
                      <w:szCs w:val="21"/>
                    </w:rPr>
                    <w:t>年产能</w:t>
                  </w:r>
                </w:p>
              </w:tc>
              <w:tc>
                <w:tcPr>
                  <w:tcW w:w="669" w:type="pct"/>
                  <w:vAlign w:val="center"/>
                </w:tcPr>
                <w:p w14:paraId="5BD1341A">
                  <w:pPr>
                    <w:pStyle w:val="3"/>
                    <w:spacing w:line="240" w:lineRule="auto"/>
                    <w:ind w:firstLine="0" w:firstLineChars="0"/>
                    <w:jc w:val="center"/>
                    <w:rPr>
                      <w:sz w:val="21"/>
                      <w:szCs w:val="21"/>
                    </w:rPr>
                  </w:pPr>
                  <w:r>
                    <w:rPr>
                      <w:rFonts w:hint="eastAsia"/>
                      <w:sz w:val="21"/>
                      <w:szCs w:val="21"/>
                    </w:rPr>
                    <w:t>备注</w:t>
                  </w:r>
                </w:p>
              </w:tc>
            </w:tr>
            <w:tr w14:paraId="5129C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6C2A9730">
                  <w:pPr>
                    <w:pStyle w:val="3"/>
                    <w:spacing w:line="240" w:lineRule="auto"/>
                    <w:ind w:firstLine="0" w:firstLineChars="0"/>
                    <w:jc w:val="center"/>
                    <w:rPr>
                      <w:sz w:val="21"/>
                      <w:szCs w:val="21"/>
                    </w:rPr>
                  </w:pPr>
                  <w:r>
                    <w:rPr>
                      <w:sz w:val="21"/>
                      <w:szCs w:val="21"/>
                    </w:rPr>
                    <w:t>1</w:t>
                  </w:r>
                </w:p>
              </w:tc>
              <w:tc>
                <w:tcPr>
                  <w:tcW w:w="1305" w:type="pct"/>
                  <w:vMerge w:val="restart"/>
                  <w:vAlign w:val="center"/>
                </w:tcPr>
                <w:p w14:paraId="38F6F7CF">
                  <w:pPr>
                    <w:pStyle w:val="3"/>
                    <w:spacing w:line="240" w:lineRule="auto"/>
                    <w:ind w:firstLine="0" w:firstLineChars="0"/>
                    <w:jc w:val="center"/>
                    <w:rPr>
                      <w:sz w:val="21"/>
                      <w:szCs w:val="21"/>
                    </w:rPr>
                  </w:pPr>
                  <w:r>
                    <w:rPr>
                      <w:rFonts w:hint="eastAsia"/>
                      <w:sz w:val="21"/>
                      <w:szCs w:val="21"/>
                    </w:rPr>
                    <w:t>年产2000万套酒类及家电制品表处理自动化生产线项目</w:t>
                  </w:r>
                </w:p>
              </w:tc>
              <w:tc>
                <w:tcPr>
                  <w:tcW w:w="1206" w:type="pct"/>
                  <w:vAlign w:val="center"/>
                </w:tcPr>
                <w:p w14:paraId="758DA546">
                  <w:pPr>
                    <w:pStyle w:val="3"/>
                    <w:spacing w:line="240" w:lineRule="auto"/>
                    <w:ind w:firstLine="0" w:firstLineChars="0"/>
                    <w:jc w:val="center"/>
                    <w:rPr>
                      <w:sz w:val="21"/>
                      <w:szCs w:val="21"/>
                    </w:rPr>
                  </w:pPr>
                  <w:r>
                    <w:rPr>
                      <w:rFonts w:hint="eastAsia"/>
                      <w:sz w:val="21"/>
                      <w:szCs w:val="21"/>
                    </w:rPr>
                    <w:t>喷油性漆酒瓶</w:t>
                  </w:r>
                </w:p>
              </w:tc>
              <w:tc>
                <w:tcPr>
                  <w:tcW w:w="654" w:type="pct"/>
                  <w:vAlign w:val="center"/>
                </w:tcPr>
                <w:p w14:paraId="560A6FE8">
                  <w:pPr>
                    <w:pStyle w:val="3"/>
                    <w:spacing w:line="240" w:lineRule="auto"/>
                    <w:ind w:firstLine="0" w:firstLineChars="0"/>
                    <w:jc w:val="center"/>
                    <w:rPr>
                      <w:sz w:val="21"/>
                      <w:szCs w:val="21"/>
                    </w:rPr>
                  </w:pPr>
                  <w:r>
                    <w:rPr>
                      <w:rFonts w:hint="eastAsia"/>
                      <w:sz w:val="21"/>
                      <w:szCs w:val="21"/>
                    </w:rPr>
                    <w:t>万个</w:t>
                  </w:r>
                </w:p>
              </w:tc>
              <w:tc>
                <w:tcPr>
                  <w:tcW w:w="837" w:type="pct"/>
                  <w:vAlign w:val="center"/>
                </w:tcPr>
                <w:p w14:paraId="6973EC53">
                  <w:pPr>
                    <w:pStyle w:val="3"/>
                    <w:spacing w:line="240" w:lineRule="auto"/>
                    <w:ind w:firstLine="0" w:firstLineChars="0"/>
                    <w:jc w:val="center"/>
                    <w:rPr>
                      <w:sz w:val="21"/>
                      <w:szCs w:val="21"/>
                    </w:rPr>
                  </w:pPr>
                  <w:r>
                    <w:rPr>
                      <w:rFonts w:hint="eastAsia"/>
                      <w:sz w:val="21"/>
                      <w:szCs w:val="21"/>
                    </w:rPr>
                    <w:t>300</w:t>
                  </w:r>
                </w:p>
              </w:tc>
              <w:tc>
                <w:tcPr>
                  <w:tcW w:w="669" w:type="pct"/>
                  <w:vMerge w:val="restart"/>
                  <w:vAlign w:val="center"/>
                </w:tcPr>
                <w:p w14:paraId="574A1C3A">
                  <w:pPr>
                    <w:pStyle w:val="3"/>
                    <w:spacing w:line="240" w:lineRule="auto"/>
                    <w:ind w:firstLine="0" w:firstLineChars="0"/>
                    <w:jc w:val="center"/>
                    <w:rPr>
                      <w:sz w:val="21"/>
                      <w:szCs w:val="21"/>
                    </w:rPr>
                  </w:pPr>
                  <w:r>
                    <w:rPr>
                      <w:rFonts w:hint="eastAsia"/>
                      <w:sz w:val="21"/>
                      <w:szCs w:val="21"/>
                    </w:rPr>
                    <w:t>已投产</w:t>
                  </w:r>
                </w:p>
              </w:tc>
            </w:tr>
            <w:tr w14:paraId="6B15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4B4638B1">
                  <w:pPr>
                    <w:pStyle w:val="3"/>
                    <w:spacing w:line="240" w:lineRule="auto"/>
                    <w:ind w:firstLine="0" w:firstLineChars="0"/>
                    <w:jc w:val="center"/>
                    <w:rPr>
                      <w:sz w:val="21"/>
                      <w:szCs w:val="21"/>
                    </w:rPr>
                  </w:pPr>
                </w:p>
              </w:tc>
              <w:tc>
                <w:tcPr>
                  <w:tcW w:w="1305" w:type="pct"/>
                  <w:vMerge w:val="continue"/>
                  <w:vAlign w:val="center"/>
                </w:tcPr>
                <w:p w14:paraId="5FF9BA63">
                  <w:pPr>
                    <w:pStyle w:val="3"/>
                    <w:spacing w:line="240" w:lineRule="auto"/>
                    <w:ind w:firstLine="0" w:firstLineChars="0"/>
                    <w:jc w:val="center"/>
                    <w:rPr>
                      <w:sz w:val="21"/>
                      <w:szCs w:val="21"/>
                    </w:rPr>
                  </w:pPr>
                </w:p>
              </w:tc>
              <w:tc>
                <w:tcPr>
                  <w:tcW w:w="1206" w:type="pct"/>
                  <w:vAlign w:val="center"/>
                </w:tcPr>
                <w:p w14:paraId="0A704AE0">
                  <w:pPr>
                    <w:pStyle w:val="3"/>
                    <w:spacing w:line="240" w:lineRule="auto"/>
                    <w:ind w:firstLine="0" w:firstLineChars="0"/>
                    <w:jc w:val="center"/>
                    <w:rPr>
                      <w:sz w:val="21"/>
                      <w:szCs w:val="21"/>
                    </w:rPr>
                  </w:pPr>
                  <w:r>
                    <w:rPr>
                      <w:rFonts w:hint="eastAsia"/>
                      <w:sz w:val="21"/>
                      <w:szCs w:val="21"/>
                    </w:rPr>
                    <w:t>喷水性漆酒瓶</w:t>
                  </w:r>
                </w:p>
              </w:tc>
              <w:tc>
                <w:tcPr>
                  <w:tcW w:w="654" w:type="pct"/>
                  <w:vAlign w:val="center"/>
                </w:tcPr>
                <w:p w14:paraId="10F51DDD">
                  <w:pPr>
                    <w:pStyle w:val="3"/>
                    <w:spacing w:line="240" w:lineRule="auto"/>
                    <w:ind w:firstLine="0" w:firstLineChars="0"/>
                    <w:jc w:val="center"/>
                    <w:rPr>
                      <w:sz w:val="21"/>
                      <w:szCs w:val="21"/>
                    </w:rPr>
                  </w:pPr>
                  <w:r>
                    <w:rPr>
                      <w:rFonts w:hint="eastAsia"/>
                      <w:sz w:val="21"/>
                      <w:szCs w:val="21"/>
                    </w:rPr>
                    <w:t>万个</w:t>
                  </w:r>
                </w:p>
              </w:tc>
              <w:tc>
                <w:tcPr>
                  <w:tcW w:w="837" w:type="pct"/>
                  <w:vAlign w:val="center"/>
                </w:tcPr>
                <w:p w14:paraId="26875A63">
                  <w:pPr>
                    <w:pStyle w:val="3"/>
                    <w:spacing w:line="240" w:lineRule="auto"/>
                    <w:ind w:firstLine="0" w:firstLineChars="0"/>
                    <w:jc w:val="center"/>
                    <w:rPr>
                      <w:sz w:val="21"/>
                      <w:szCs w:val="21"/>
                    </w:rPr>
                  </w:pPr>
                  <w:r>
                    <w:rPr>
                      <w:rFonts w:hint="eastAsia"/>
                      <w:sz w:val="21"/>
                      <w:szCs w:val="21"/>
                    </w:rPr>
                    <w:t>900</w:t>
                  </w:r>
                </w:p>
              </w:tc>
              <w:tc>
                <w:tcPr>
                  <w:tcW w:w="669" w:type="pct"/>
                  <w:vMerge w:val="continue"/>
                  <w:vAlign w:val="center"/>
                </w:tcPr>
                <w:p w14:paraId="37F5C865">
                  <w:pPr>
                    <w:pStyle w:val="3"/>
                    <w:spacing w:line="240" w:lineRule="auto"/>
                    <w:ind w:firstLine="0" w:firstLineChars="0"/>
                    <w:jc w:val="center"/>
                    <w:rPr>
                      <w:sz w:val="21"/>
                      <w:szCs w:val="21"/>
                    </w:rPr>
                  </w:pPr>
                </w:p>
              </w:tc>
            </w:tr>
            <w:tr w14:paraId="7B8FC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38DCE100">
                  <w:pPr>
                    <w:pStyle w:val="3"/>
                    <w:spacing w:line="240" w:lineRule="auto"/>
                    <w:ind w:firstLine="0" w:firstLineChars="0"/>
                    <w:jc w:val="center"/>
                    <w:rPr>
                      <w:sz w:val="21"/>
                      <w:szCs w:val="21"/>
                    </w:rPr>
                  </w:pPr>
                </w:p>
              </w:tc>
              <w:tc>
                <w:tcPr>
                  <w:tcW w:w="1305" w:type="pct"/>
                  <w:vMerge w:val="continue"/>
                  <w:vAlign w:val="center"/>
                </w:tcPr>
                <w:p w14:paraId="0CB09498">
                  <w:pPr>
                    <w:pStyle w:val="3"/>
                    <w:spacing w:line="240" w:lineRule="auto"/>
                    <w:ind w:firstLine="0" w:firstLineChars="0"/>
                    <w:jc w:val="center"/>
                    <w:rPr>
                      <w:sz w:val="21"/>
                      <w:szCs w:val="21"/>
                    </w:rPr>
                  </w:pPr>
                </w:p>
              </w:tc>
              <w:tc>
                <w:tcPr>
                  <w:tcW w:w="1206" w:type="pct"/>
                  <w:vAlign w:val="center"/>
                </w:tcPr>
                <w:p w14:paraId="6D414BA8">
                  <w:pPr>
                    <w:pStyle w:val="3"/>
                    <w:spacing w:line="240" w:lineRule="auto"/>
                    <w:ind w:firstLine="0" w:firstLineChars="0"/>
                    <w:jc w:val="center"/>
                    <w:rPr>
                      <w:sz w:val="21"/>
                      <w:szCs w:val="21"/>
                    </w:rPr>
                  </w:pPr>
                  <w:r>
                    <w:rPr>
                      <w:rFonts w:hint="eastAsia"/>
                      <w:sz w:val="21"/>
                      <w:szCs w:val="21"/>
                    </w:rPr>
                    <w:t>镭雕酒瓶</w:t>
                  </w:r>
                </w:p>
              </w:tc>
              <w:tc>
                <w:tcPr>
                  <w:tcW w:w="654" w:type="pct"/>
                  <w:vAlign w:val="center"/>
                </w:tcPr>
                <w:p w14:paraId="7D004DF6">
                  <w:pPr>
                    <w:pStyle w:val="3"/>
                    <w:spacing w:line="240" w:lineRule="auto"/>
                    <w:ind w:firstLine="0" w:firstLineChars="0"/>
                    <w:jc w:val="center"/>
                    <w:rPr>
                      <w:sz w:val="21"/>
                      <w:szCs w:val="21"/>
                    </w:rPr>
                  </w:pPr>
                  <w:r>
                    <w:rPr>
                      <w:rFonts w:hint="eastAsia"/>
                      <w:sz w:val="21"/>
                      <w:szCs w:val="21"/>
                    </w:rPr>
                    <w:t>万个</w:t>
                  </w:r>
                </w:p>
              </w:tc>
              <w:tc>
                <w:tcPr>
                  <w:tcW w:w="837" w:type="pct"/>
                  <w:vAlign w:val="center"/>
                </w:tcPr>
                <w:p w14:paraId="0FBBBFCB">
                  <w:pPr>
                    <w:pStyle w:val="3"/>
                    <w:spacing w:line="240" w:lineRule="auto"/>
                    <w:ind w:firstLine="0" w:firstLineChars="0"/>
                    <w:jc w:val="center"/>
                    <w:rPr>
                      <w:sz w:val="21"/>
                      <w:szCs w:val="21"/>
                    </w:rPr>
                  </w:pPr>
                  <w:r>
                    <w:rPr>
                      <w:rFonts w:hint="eastAsia"/>
                      <w:sz w:val="21"/>
                      <w:szCs w:val="21"/>
                    </w:rPr>
                    <w:t>100</w:t>
                  </w:r>
                </w:p>
              </w:tc>
              <w:tc>
                <w:tcPr>
                  <w:tcW w:w="669" w:type="pct"/>
                  <w:vMerge w:val="continue"/>
                  <w:vAlign w:val="center"/>
                </w:tcPr>
                <w:p w14:paraId="1A77A8B4">
                  <w:pPr>
                    <w:pStyle w:val="3"/>
                    <w:spacing w:line="240" w:lineRule="auto"/>
                    <w:ind w:firstLine="0" w:firstLineChars="0"/>
                    <w:jc w:val="center"/>
                    <w:rPr>
                      <w:sz w:val="21"/>
                      <w:szCs w:val="21"/>
                    </w:rPr>
                  </w:pPr>
                </w:p>
              </w:tc>
            </w:tr>
            <w:tr w14:paraId="5810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564235FB">
                  <w:pPr>
                    <w:pStyle w:val="3"/>
                    <w:spacing w:line="240" w:lineRule="auto"/>
                    <w:ind w:firstLine="0" w:firstLineChars="0"/>
                    <w:jc w:val="center"/>
                    <w:rPr>
                      <w:sz w:val="21"/>
                      <w:szCs w:val="21"/>
                    </w:rPr>
                  </w:pPr>
                </w:p>
              </w:tc>
              <w:tc>
                <w:tcPr>
                  <w:tcW w:w="1305" w:type="pct"/>
                  <w:vMerge w:val="continue"/>
                  <w:vAlign w:val="center"/>
                </w:tcPr>
                <w:p w14:paraId="451DB088">
                  <w:pPr>
                    <w:pStyle w:val="3"/>
                    <w:spacing w:line="240" w:lineRule="auto"/>
                    <w:ind w:firstLine="0" w:firstLineChars="0"/>
                    <w:jc w:val="center"/>
                    <w:rPr>
                      <w:sz w:val="21"/>
                      <w:szCs w:val="21"/>
                    </w:rPr>
                  </w:pPr>
                </w:p>
              </w:tc>
              <w:tc>
                <w:tcPr>
                  <w:tcW w:w="1206" w:type="pct"/>
                  <w:vAlign w:val="center"/>
                </w:tcPr>
                <w:p w14:paraId="1F0A1CC9">
                  <w:pPr>
                    <w:pStyle w:val="3"/>
                    <w:spacing w:line="240" w:lineRule="auto"/>
                    <w:ind w:firstLine="0" w:firstLineChars="0"/>
                    <w:jc w:val="center"/>
                    <w:rPr>
                      <w:sz w:val="21"/>
                      <w:szCs w:val="21"/>
                    </w:rPr>
                  </w:pPr>
                  <w:r>
                    <w:rPr>
                      <w:rFonts w:hint="eastAsia"/>
                      <w:sz w:val="21"/>
                      <w:szCs w:val="21"/>
                    </w:rPr>
                    <w:t>喷水性漆家电制品</w:t>
                  </w:r>
                </w:p>
              </w:tc>
              <w:tc>
                <w:tcPr>
                  <w:tcW w:w="654" w:type="pct"/>
                  <w:vAlign w:val="center"/>
                </w:tcPr>
                <w:p w14:paraId="61FF1A84">
                  <w:pPr>
                    <w:pStyle w:val="3"/>
                    <w:spacing w:line="240" w:lineRule="auto"/>
                    <w:ind w:firstLine="0" w:firstLineChars="0"/>
                    <w:jc w:val="center"/>
                    <w:rPr>
                      <w:sz w:val="21"/>
                      <w:szCs w:val="21"/>
                    </w:rPr>
                  </w:pPr>
                  <w:r>
                    <w:rPr>
                      <w:rFonts w:hint="eastAsia"/>
                      <w:sz w:val="21"/>
                      <w:szCs w:val="21"/>
                    </w:rPr>
                    <w:t>万件</w:t>
                  </w:r>
                </w:p>
              </w:tc>
              <w:tc>
                <w:tcPr>
                  <w:tcW w:w="837" w:type="pct"/>
                  <w:vAlign w:val="center"/>
                </w:tcPr>
                <w:p w14:paraId="12A92F72">
                  <w:pPr>
                    <w:pStyle w:val="3"/>
                    <w:spacing w:line="240" w:lineRule="auto"/>
                    <w:ind w:firstLine="0" w:firstLineChars="0"/>
                    <w:jc w:val="center"/>
                    <w:rPr>
                      <w:sz w:val="21"/>
                      <w:szCs w:val="21"/>
                    </w:rPr>
                  </w:pPr>
                  <w:r>
                    <w:rPr>
                      <w:rFonts w:hint="eastAsia"/>
                      <w:sz w:val="21"/>
                      <w:szCs w:val="21"/>
                    </w:rPr>
                    <w:t>600</w:t>
                  </w:r>
                </w:p>
              </w:tc>
              <w:tc>
                <w:tcPr>
                  <w:tcW w:w="669" w:type="pct"/>
                  <w:vMerge w:val="continue"/>
                  <w:vAlign w:val="center"/>
                </w:tcPr>
                <w:p w14:paraId="6041D189">
                  <w:pPr>
                    <w:pStyle w:val="3"/>
                    <w:spacing w:line="240" w:lineRule="auto"/>
                    <w:ind w:firstLine="0" w:firstLineChars="0"/>
                    <w:jc w:val="center"/>
                    <w:rPr>
                      <w:sz w:val="21"/>
                      <w:szCs w:val="21"/>
                    </w:rPr>
                  </w:pPr>
                </w:p>
              </w:tc>
            </w:tr>
            <w:tr w14:paraId="6F76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055C8012">
                  <w:pPr>
                    <w:pStyle w:val="3"/>
                    <w:spacing w:line="240" w:lineRule="auto"/>
                    <w:ind w:firstLine="0" w:firstLineChars="0"/>
                    <w:jc w:val="center"/>
                    <w:rPr>
                      <w:sz w:val="21"/>
                      <w:szCs w:val="21"/>
                    </w:rPr>
                  </w:pPr>
                </w:p>
              </w:tc>
              <w:tc>
                <w:tcPr>
                  <w:tcW w:w="1305" w:type="pct"/>
                  <w:vMerge w:val="continue"/>
                  <w:vAlign w:val="center"/>
                </w:tcPr>
                <w:p w14:paraId="48A9EA5C">
                  <w:pPr>
                    <w:pStyle w:val="3"/>
                    <w:spacing w:line="240" w:lineRule="auto"/>
                    <w:ind w:firstLine="0" w:firstLineChars="0"/>
                    <w:jc w:val="center"/>
                    <w:rPr>
                      <w:sz w:val="21"/>
                      <w:szCs w:val="21"/>
                    </w:rPr>
                  </w:pPr>
                </w:p>
              </w:tc>
              <w:tc>
                <w:tcPr>
                  <w:tcW w:w="1206" w:type="pct"/>
                  <w:vAlign w:val="center"/>
                </w:tcPr>
                <w:p w14:paraId="3990B1A0">
                  <w:pPr>
                    <w:pStyle w:val="3"/>
                    <w:spacing w:line="240" w:lineRule="auto"/>
                    <w:ind w:firstLine="0" w:firstLineChars="0"/>
                    <w:jc w:val="center"/>
                    <w:rPr>
                      <w:sz w:val="21"/>
                      <w:szCs w:val="21"/>
                    </w:rPr>
                  </w:pPr>
                  <w:r>
                    <w:rPr>
                      <w:rFonts w:hint="eastAsia"/>
                      <w:sz w:val="21"/>
                      <w:szCs w:val="21"/>
                    </w:rPr>
                    <w:t>喷砂酒瓶</w:t>
                  </w:r>
                </w:p>
              </w:tc>
              <w:tc>
                <w:tcPr>
                  <w:tcW w:w="654" w:type="pct"/>
                  <w:vAlign w:val="center"/>
                </w:tcPr>
                <w:p w14:paraId="7EFB17AB">
                  <w:pPr>
                    <w:pStyle w:val="3"/>
                    <w:spacing w:line="240" w:lineRule="auto"/>
                    <w:ind w:firstLine="0" w:firstLineChars="0"/>
                    <w:jc w:val="center"/>
                    <w:rPr>
                      <w:sz w:val="21"/>
                      <w:szCs w:val="21"/>
                    </w:rPr>
                  </w:pPr>
                  <w:r>
                    <w:rPr>
                      <w:rFonts w:hint="eastAsia"/>
                      <w:sz w:val="21"/>
                      <w:szCs w:val="21"/>
                    </w:rPr>
                    <w:t>万个</w:t>
                  </w:r>
                </w:p>
              </w:tc>
              <w:tc>
                <w:tcPr>
                  <w:tcW w:w="837" w:type="pct"/>
                  <w:vAlign w:val="center"/>
                </w:tcPr>
                <w:p w14:paraId="01C80571">
                  <w:pPr>
                    <w:pStyle w:val="3"/>
                    <w:spacing w:line="240" w:lineRule="auto"/>
                    <w:ind w:firstLine="0" w:firstLineChars="0"/>
                    <w:jc w:val="center"/>
                    <w:rPr>
                      <w:sz w:val="21"/>
                      <w:szCs w:val="21"/>
                    </w:rPr>
                  </w:pPr>
                  <w:r>
                    <w:rPr>
                      <w:rFonts w:hint="eastAsia"/>
                      <w:sz w:val="21"/>
                      <w:szCs w:val="21"/>
                    </w:rPr>
                    <w:t>100</w:t>
                  </w:r>
                </w:p>
              </w:tc>
              <w:tc>
                <w:tcPr>
                  <w:tcW w:w="669" w:type="pct"/>
                  <w:vMerge w:val="restart"/>
                  <w:vAlign w:val="center"/>
                </w:tcPr>
                <w:p w14:paraId="3EA23274">
                  <w:pPr>
                    <w:pStyle w:val="3"/>
                    <w:spacing w:line="240" w:lineRule="auto"/>
                    <w:ind w:firstLine="0" w:firstLineChars="0"/>
                    <w:jc w:val="center"/>
                    <w:rPr>
                      <w:sz w:val="21"/>
                      <w:szCs w:val="21"/>
                    </w:rPr>
                  </w:pPr>
                  <w:r>
                    <w:rPr>
                      <w:rFonts w:hint="eastAsia"/>
                      <w:sz w:val="21"/>
                      <w:szCs w:val="21"/>
                    </w:rPr>
                    <w:t>已投产</w:t>
                  </w:r>
                </w:p>
              </w:tc>
            </w:tr>
            <w:tr w14:paraId="3987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restart"/>
                  <w:vAlign w:val="center"/>
                </w:tcPr>
                <w:p w14:paraId="2D60F247">
                  <w:pPr>
                    <w:pStyle w:val="3"/>
                    <w:spacing w:line="240" w:lineRule="auto"/>
                    <w:ind w:firstLine="0" w:firstLineChars="0"/>
                    <w:jc w:val="center"/>
                    <w:rPr>
                      <w:sz w:val="21"/>
                      <w:szCs w:val="21"/>
                    </w:rPr>
                  </w:pPr>
                  <w:r>
                    <w:rPr>
                      <w:rFonts w:hint="eastAsia"/>
                      <w:sz w:val="21"/>
                      <w:szCs w:val="21"/>
                    </w:rPr>
                    <w:t>2</w:t>
                  </w:r>
                </w:p>
              </w:tc>
              <w:tc>
                <w:tcPr>
                  <w:tcW w:w="1305" w:type="pct"/>
                  <w:vMerge w:val="restart"/>
                  <w:vAlign w:val="center"/>
                </w:tcPr>
                <w:p w14:paraId="7B3B5C8A">
                  <w:pPr>
                    <w:pStyle w:val="3"/>
                    <w:spacing w:line="240" w:lineRule="auto"/>
                    <w:ind w:firstLine="0" w:firstLineChars="0"/>
                    <w:jc w:val="center"/>
                    <w:rPr>
                      <w:sz w:val="21"/>
                      <w:szCs w:val="21"/>
                    </w:rPr>
                  </w:pPr>
                  <w:r>
                    <w:rPr>
                      <w:rFonts w:hint="eastAsia"/>
                      <w:sz w:val="21"/>
                      <w:szCs w:val="21"/>
                    </w:rPr>
                    <w:t>年产800万只酒瓶及瓶盖表面处理建设项目</w:t>
                  </w:r>
                </w:p>
              </w:tc>
              <w:tc>
                <w:tcPr>
                  <w:tcW w:w="1206" w:type="pct"/>
                  <w:vAlign w:val="center"/>
                </w:tcPr>
                <w:p w14:paraId="2F5A16AA">
                  <w:pPr>
                    <w:pStyle w:val="3"/>
                    <w:spacing w:line="240" w:lineRule="auto"/>
                    <w:ind w:firstLine="0" w:firstLineChars="0"/>
                    <w:jc w:val="center"/>
                    <w:rPr>
                      <w:sz w:val="21"/>
                      <w:szCs w:val="21"/>
                    </w:rPr>
                  </w:pPr>
                  <w:r>
                    <w:rPr>
                      <w:rFonts w:hint="eastAsia"/>
                      <w:sz w:val="21"/>
                      <w:szCs w:val="21"/>
                    </w:rPr>
                    <w:t>玻璃瓶</w:t>
                  </w:r>
                </w:p>
              </w:tc>
              <w:tc>
                <w:tcPr>
                  <w:tcW w:w="654" w:type="pct"/>
                  <w:vAlign w:val="center"/>
                </w:tcPr>
                <w:p w14:paraId="2E244D67">
                  <w:pPr>
                    <w:pStyle w:val="3"/>
                    <w:spacing w:line="240" w:lineRule="auto"/>
                    <w:ind w:firstLine="0" w:firstLineChars="0"/>
                    <w:jc w:val="center"/>
                    <w:rPr>
                      <w:sz w:val="21"/>
                      <w:szCs w:val="21"/>
                    </w:rPr>
                  </w:pPr>
                  <w:r>
                    <w:rPr>
                      <w:rFonts w:hint="eastAsia"/>
                      <w:sz w:val="21"/>
                      <w:szCs w:val="21"/>
                    </w:rPr>
                    <w:t>万只</w:t>
                  </w:r>
                </w:p>
              </w:tc>
              <w:tc>
                <w:tcPr>
                  <w:tcW w:w="837" w:type="pct"/>
                  <w:vAlign w:val="center"/>
                </w:tcPr>
                <w:p w14:paraId="41BA337F">
                  <w:pPr>
                    <w:pStyle w:val="3"/>
                    <w:spacing w:line="240" w:lineRule="auto"/>
                    <w:ind w:firstLine="0" w:firstLineChars="0"/>
                    <w:jc w:val="center"/>
                    <w:rPr>
                      <w:sz w:val="21"/>
                      <w:szCs w:val="21"/>
                    </w:rPr>
                  </w:pPr>
                  <w:r>
                    <w:rPr>
                      <w:rFonts w:hint="eastAsia"/>
                      <w:sz w:val="21"/>
                      <w:szCs w:val="21"/>
                    </w:rPr>
                    <w:t>400</w:t>
                  </w:r>
                </w:p>
              </w:tc>
              <w:tc>
                <w:tcPr>
                  <w:tcW w:w="669" w:type="pct"/>
                  <w:vMerge w:val="continue"/>
                  <w:vAlign w:val="center"/>
                </w:tcPr>
                <w:p w14:paraId="4D405EF2">
                  <w:pPr>
                    <w:pStyle w:val="3"/>
                    <w:spacing w:line="240" w:lineRule="auto"/>
                    <w:ind w:firstLine="0" w:firstLineChars="0"/>
                    <w:jc w:val="center"/>
                    <w:rPr>
                      <w:sz w:val="21"/>
                      <w:szCs w:val="21"/>
                    </w:rPr>
                  </w:pPr>
                </w:p>
              </w:tc>
            </w:tr>
            <w:tr w14:paraId="7AAE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vMerge w:val="continue"/>
                  <w:vAlign w:val="center"/>
                </w:tcPr>
                <w:p w14:paraId="139E478A">
                  <w:pPr>
                    <w:pStyle w:val="3"/>
                    <w:spacing w:line="240" w:lineRule="auto"/>
                    <w:ind w:firstLine="0" w:firstLineChars="0"/>
                    <w:jc w:val="center"/>
                    <w:rPr>
                      <w:sz w:val="21"/>
                      <w:szCs w:val="21"/>
                    </w:rPr>
                  </w:pPr>
                </w:p>
              </w:tc>
              <w:tc>
                <w:tcPr>
                  <w:tcW w:w="1305" w:type="pct"/>
                  <w:vMerge w:val="continue"/>
                  <w:vAlign w:val="center"/>
                </w:tcPr>
                <w:p w14:paraId="3A2B4243">
                  <w:pPr>
                    <w:pStyle w:val="3"/>
                    <w:spacing w:line="240" w:lineRule="auto"/>
                    <w:ind w:firstLine="0" w:firstLineChars="0"/>
                    <w:jc w:val="center"/>
                    <w:rPr>
                      <w:sz w:val="21"/>
                      <w:szCs w:val="21"/>
                    </w:rPr>
                  </w:pPr>
                </w:p>
              </w:tc>
              <w:tc>
                <w:tcPr>
                  <w:tcW w:w="1206" w:type="pct"/>
                  <w:vAlign w:val="center"/>
                </w:tcPr>
                <w:p w14:paraId="2899E8F8">
                  <w:pPr>
                    <w:pStyle w:val="3"/>
                    <w:spacing w:line="240" w:lineRule="auto"/>
                    <w:ind w:firstLine="0" w:firstLineChars="0"/>
                    <w:jc w:val="center"/>
                    <w:rPr>
                      <w:sz w:val="21"/>
                      <w:szCs w:val="21"/>
                    </w:rPr>
                  </w:pPr>
                  <w:r>
                    <w:rPr>
                      <w:rFonts w:hint="eastAsia"/>
                      <w:sz w:val="21"/>
                      <w:szCs w:val="21"/>
                    </w:rPr>
                    <w:t>塑料瓶盖</w:t>
                  </w:r>
                </w:p>
              </w:tc>
              <w:tc>
                <w:tcPr>
                  <w:tcW w:w="654" w:type="pct"/>
                  <w:vAlign w:val="center"/>
                </w:tcPr>
                <w:p w14:paraId="338B49C3">
                  <w:pPr>
                    <w:pStyle w:val="3"/>
                    <w:spacing w:line="240" w:lineRule="auto"/>
                    <w:ind w:firstLine="0" w:firstLineChars="0"/>
                    <w:jc w:val="center"/>
                    <w:rPr>
                      <w:sz w:val="21"/>
                      <w:szCs w:val="21"/>
                    </w:rPr>
                  </w:pPr>
                  <w:r>
                    <w:rPr>
                      <w:rFonts w:hint="eastAsia"/>
                      <w:sz w:val="21"/>
                      <w:szCs w:val="21"/>
                    </w:rPr>
                    <w:t>万只</w:t>
                  </w:r>
                </w:p>
              </w:tc>
              <w:tc>
                <w:tcPr>
                  <w:tcW w:w="837" w:type="pct"/>
                  <w:vAlign w:val="center"/>
                </w:tcPr>
                <w:p w14:paraId="01998540">
                  <w:pPr>
                    <w:pStyle w:val="3"/>
                    <w:spacing w:line="240" w:lineRule="auto"/>
                    <w:ind w:firstLine="0" w:firstLineChars="0"/>
                    <w:jc w:val="center"/>
                    <w:rPr>
                      <w:sz w:val="21"/>
                      <w:szCs w:val="21"/>
                    </w:rPr>
                  </w:pPr>
                  <w:r>
                    <w:rPr>
                      <w:rFonts w:hint="eastAsia"/>
                      <w:sz w:val="21"/>
                      <w:szCs w:val="21"/>
                    </w:rPr>
                    <w:t>400</w:t>
                  </w:r>
                </w:p>
              </w:tc>
              <w:tc>
                <w:tcPr>
                  <w:tcW w:w="669" w:type="pct"/>
                  <w:vMerge w:val="continue"/>
                  <w:vAlign w:val="center"/>
                </w:tcPr>
                <w:p w14:paraId="5DC21BBB">
                  <w:pPr>
                    <w:pStyle w:val="3"/>
                    <w:spacing w:line="240" w:lineRule="auto"/>
                    <w:ind w:firstLine="0" w:firstLineChars="0"/>
                    <w:jc w:val="center"/>
                    <w:rPr>
                      <w:sz w:val="21"/>
                      <w:szCs w:val="21"/>
                    </w:rPr>
                  </w:pPr>
                </w:p>
              </w:tc>
            </w:tr>
          </w:tbl>
          <w:p w14:paraId="11732E2C">
            <w:pPr>
              <w:spacing w:line="360" w:lineRule="auto"/>
              <w:ind w:firstLine="361" w:firstLineChars="150"/>
              <w:rPr>
                <w:b/>
                <w:sz w:val="24"/>
              </w:rPr>
            </w:pPr>
            <w:r>
              <w:rPr>
                <w:rFonts w:hint="eastAsia"/>
                <w:b/>
                <w:sz w:val="24"/>
              </w:rPr>
              <w:t>（</w:t>
            </w:r>
            <w:r>
              <w:rPr>
                <w:b/>
                <w:sz w:val="24"/>
              </w:rPr>
              <w:t>2</w:t>
            </w:r>
            <w:r>
              <w:rPr>
                <w:rFonts w:hint="eastAsia"/>
                <w:b/>
                <w:sz w:val="24"/>
              </w:rPr>
              <w:t>）项目组成及主要环境问题</w:t>
            </w:r>
          </w:p>
          <w:p w14:paraId="0ABF0BF4">
            <w:pPr>
              <w:spacing w:line="360" w:lineRule="auto"/>
              <w:ind w:firstLine="480" w:firstLineChars="200"/>
              <w:rPr>
                <w:rFonts w:cs="Times New Roman"/>
                <w:sz w:val="24"/>
                <w:szCs w:val="24"/>
              </w:rPr>
            </w:pPr>
            <w:r>
              <w:rPr>
                <w:rFonts w:hint="eastAsia" w:cs="Times New Roman"/>
                <w:sz w:val="24"/>
                <w:szCs w:val="24"/>
              </w:rPr>
              <w:t>现有工程项目组成及主要环境问题见下表。</w:t>
            </w:r>
          </w:p>
          <w:p w14:paraId="5E3A4B6F">
            <w:pPr>
              <w:spacing w:line="360" w:lineRule="auto"/>
              <w:jc w:val="center"/>
              <w:rPr>
                <w:rFonts w:eastAsia="黑体" w:cstheme="minorHAnsi"/>
                <w:szCs w:val="21"/>
              </w:rPr>
            </w:pPr>
            <w:r>
              <w:rPr>
                <w:rFonts w:hint="eastAsia" w:ascii="黑体" w:hAnsi="黑体" w:eastAsia="黑体"/>
                <w:szCs w:val="21"/>
              </w:rPr>
              <w:t>表</w:t>
            </w:r>
            <w:r>
              <w:rPr>
                <w:rFonts w:eastAsia="黑体" w:cstheme="minorHAnsi"/>
                <w:szCs w:val="21"/>
              </w:rPr>
              <w:t>2</w:t>
            </w:r>
            <w:r>
              <w:rPr>
                <w:rFonts w:hint="eastAsia" w:eastAsia="黑体" w:cstheme="minorHAnsi"/>
                <w:szCs w:val="21"/>
              </w:rPr>
              <w:t>-</w:t>
            </w:r>
            <w:r>
              <w:rPr>
                <w:rFonts w:eastAsia="黑体" w:cstheme="minorHAnsi"/>
                <w:szCs w:val="21"/>
              </w:rPr>
              <w:t xml:space="preserve">14  </w:t>
            </w:r>
            <w:r>
              <w:rPr>
                <w:rFonts w:hint="eastAsia" w:eastAsia="黑体" w:cstheme="minorHAnsi"/>
                <w:szCs w:val="21"/>
              </w:rPr>
              <w:t>现有工程项目组成及主要环境问题</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450"/>
              <w:gridCol w:w="900"/>
              <w:gridCol w:w="5872"/>
              <w:gridCol w:w="1186"/>
            </w:tblGrid>
            <w:tr w14:paraId="0351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04" w:type="pct"/>
                  <w:shd w:val="clear" w:color="auto" w:fill="auto"/>
                  <w:vAlign w:val="center"/>
                </w:tcPr>
                <w:p w14:paraId="7D6CB936">
                  <w:pPr>
                    <w:jc w:val="center"/>
                    <w:rPr>
                      <w:szCs w:val="21"/>
                    </w:rPr>
                  </w:pPr>
                  <w:r>
                    <w:rPr>
                      <w:rFonts w:hint="eastAsia"/>
                      <w:szCs w:val="21"/>
                    </w:rPr>
                    <w:t>工程分类</w:t>
                  </w:r>
                </w:p>
              </w:tc>
              <w:tc>
                <w:tcPr>
                  <w:tcW w:w="738" w:type="pct"/>
                  <w:gridSpan w:val="2"/>
                  <w:shd w:val="clear" w:color="auto" w:fill="auto"/>
                  <w:vAlign w:val="center"/>
                </w:tcPr>
                <w:p w14:paraId="4F0A4F4B">
                  <w:pPr>
                    <w:jc w:val="center"/>
                    <w:rPr>
                      <w:szCs w:val="21"/>
                    </w:rPr>
                  </w:pPr>
                  <w:r>
                    <w:rPr>
                      <w:rFonts w:hint="eastAsia"/>
                      <w:szCs w:val="21"/>
                    </w:rPr>
                    <w:t>项目名称</w:t>
                  </w:r>
                </w:p>
              </w:tc>
              <w:tc>
                <w:tcPr>
                  <w:tcW w:w="3210" w:type="pct"/>
                  <w:shd w:val="clear" w:color="auto" w:fill="auto"/>
                  <w:vAlign w:val="center"/>
                </w:tcPr>
                <w:p w14:paraId="5990C1B1">
                  <w:pPr>
                    <w:jc w:val="center"/>
                    <w:rPr>
                      <w:szCs w:val="21"/>
                    </w:rPr>
                  </w:pPr>
                  <w:r>
                    <w:rPr>
                      <w:rFonts w:hint="eastAsia"/>
                      <w:szCs w:val="21"/>
                    </w:rPr>
                    <w:t>建设</w:t>
                  </w:r>
                  <w:r>
                    <w:rPr>
                      <w:szCs w:val="21"/>
                    </w:rPr>
                    <w:t>内容及规模</w:t>
                  </w:r>
                </w:p>
              </w:tc>
              <w:tc>
                <w:tcPr>
                  <w:tcW w:w="648" w:type="pct"/>
                  <w:shd w:val="clear" w:color="auto" w:fill="auto"/>
                  <w:vAlign w:val="center"/>
                </w:tcPr>
                <w:p w14:paraId="21638E27">
                  <w:pPr>
                    <w:jc w:val="center"/>
                    <w:rPr>
                      <w:szCs w:val="21"/>
                    </w:rPr>
                  </w:pPr>
                  <w:r>
                    <w:rPr>
                      <w:rFonts w:hint="eastAsia"/>
                      <w:szCs w:val="21"/>
                    </w:rPr>
                    <w:t>主要</w:t>
                  </w:r>
                  <w:r>
                    <w:rPr>
                      <w:szCs w:val="21"/>
                    </w:rPr>
                    <w:t>环境问题</w:t>
                  </w:r>
                </w:p>
              </w:tc>
            </w:tr>
            <w:tr w14:paraId="59C5C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404" w:type="pct"/>
                  <w:shd w:val="clear" w:color="auto" w:fill="auto"/>
                  <w:vAlign w:val="center"/>
                </w:tcPr>
                <w:p w14:paraId="5AA14752">
                  <w:pPr>
                    <w:jc w:val="center"/>
                    <w:rPr>
                      <w:szCs w:val="21"/>
                    </w:rPr>
                  </w:pPr>
                  <w:r>
                    <w:rPr>
                      <w:rFonts w:hint="eastAsia"/>
                      <w:szCs w:val="21"/>
                    </w:rPr>
                    <w:t>主体工程</w:t>
                  </w:r>
                </w:p>
              </w:tc>
              <w:tc>
                <w:tcPr>
                  <w:tcW w:w="738" w:type="pct"/>
                  <w:gridSpan w:val="2"/>
                  <w:shd w:val="clear" w:color="auto" w:fill="auto"/>
                  <w:vAlign w:val="center"/>
                </w:tcPr>
                <w:p w14:paraId="7839EB55">
                  <w:pPr>
                    <w:jc w:val="center"/>
                    <w:rPr>
                      <w:rFonts w:cs="Times New Roman"/>
                      <w:bCs/>
                      <w:szCs w:val="21"/>
                    </w:rPr>
                  </w:pPr>
                  <w:r>
                    <w:rPr>
                      <w:rFonts w:cs="Times New Roman"/>
                      <w:bCs/>
                    </w:rPr>
                    <w:t>生产车间</w:t>
                  </w:r>
                </w:p>
              </w:tc>
              <w:tc>
                <w:tcPr>
                  <w:tcW w:w="3210" w:type="pct"/>
                  <w:shd w:val="clear" w:color="auto" w:fill="auto"/>
                  <w:vAlign w:val="center"/>
                </w:tcPr>
                <w:p w14:paraId="04715478">
                  <w:pPr>
                    <w:rPr>
                      <w:rFonts w:cs="Times New Roman"/>
                      <w:bCs/>
                      <w:szCs w:val="21"/>
                    </w:rPr>
                  </w:pPr>
                  <w:r>
                    <w:rPr>
                      <w:rFonts w:hint="eastAsia" w:cs="Times New Roman"/>
                      <w:bCs/>
                      <w:szCs w:val="21"/>
                    </w:rPr>
                    <w:t>1F，H=8.15m，建筑面积约3200m</w:t>
                  </w:r>
                  <w:r>
                    <w:rPr>
                      <w:rFonts w:hint="eastAsia" w:cs="Times New Roman"/>
                      <w:bCs/>
                      <w:szCs w:val="21"/>
                      <w:vertAlign w:val="superscript"/>
                    </w:rPr>
                    <w:t>2</w:t>
                  </w:r>
                  <w:r>
                    <w:rPr>
                      <w:rFonts w:hint="eastAsia" w:cs="Times New Roman"/>
                      <w:bCs/>
                      <w:szCs w:val="21"/>
                    </w:rPr>
                    <w:t>，包括UV喷涂车间、家电喷涂车间、酒瓶及瓶盖表面处理车间、喷砂镭雕车间，其中：</w:t>
                  </w:r>
                </w:p>
                <w:p w14:paraId="03A4ACF0">
                  <w:pPr>
                    <w:rPr>
                      <w:rFonts w:cs="Times New Roman"/>
                      <w:bCs/>
                      <w:szCs w:val="21"/>
                    </w:rPr>
                  </w:pPr>
                  <w:r>
                    <w:rPr>
                      <w:rFonts w:hint="eastAsia" w:cs="Times New Roman"/>
                      <w:bCs/>
                      <w:szCs w:val="21"/>
                    </w:rPr>
                    <w:t>①UV喷涂车间：面积约722.35m</w:t>
                  </w:r>
                  <w:r>
                    <w:rPr>
                      <w:rFonts w:hint="eastAsia" w:cs="Times New Roman"/>
                      <w:bCs/>
                      <w:szCs w:val="21"/>
                      <w:vertAlign w:val="superscript"/>
                    </w:rPr>
                    <w:t>2</w:t>
                  </w:r>
                  <w:r>
                    <w:rPr>
                      <w:rFonts w:hint="eastAsia" w:cs="Times New Roman"/>
                      <w:bCs/>
                      <w:szCs w:val="21"/>
                    </w:rPr>
                    <w:t>，设1条UV喷涂生产线，主要从事酒类包装瓶喷涂加工。</w:t>
                  </w:r>
                </w:p>
                <w:p w14:paraId="758879C2">
                  <w:pPr>
                    <w:rPr>
                      <w:rFonts w:cs="Times New Roman"/>
                      <w:bCs/>
                      <w:szCs w:val="21"/>
                    </w:rPr>
                  </w:pPr>
                  <w:r>
                    <w:rPr>
                      <w:rFonts w:hint="eastAsia" w:cs="Times New Roman"/>
                      <w:bCs/>
                      <w:szCs w:val="21"/>
                    </w:rPr>
                    <w:t>②家电喷涂车间：面积约722.35m</w:t>
                  </w:r>
                  <w:r>
                    <w:rPr>
                      <w:rFonts w:hint="eastAsia" w:cs="Times New Roman"/>
                      <w:bCs/>
                      <w:szCs w:val="21"/>
                      <w:vertAlign w:val="superscript"/>
                    </w:rPr>
                    <w:t>2</w:t>
                  </w:r>
                  <w:r>
                    <w:rPr>
                      <w:rFonts w:hint="eastAsia" w:cs="Times New Roman"/>
                      <w:bCs/>
                      <w:szCs w:val="21"/>
                    </w:rPr>
                    <w:t>，设1条家电喷涂生产线，主要从事家电制品塑料件喷涂加工。</w:t>
                  </w:r>
                </w:p>
                <w:p w14:paraId="07B17A4F">
                  <w:pPr>
                    <w:rPr>
                      <w:rFonts w:cs="Times New Roman"/>
                      <w:bCs/>
                      <w:szCs w:val="21"/>
                    </w:rPr>
                  </w:pPr>
                  <w:r>
                    <w:rPr>
                      <w:rFonts w:hint="eastAsia" w:cs="Times New Roman"/>
                      <w:bCs/>
                      <w:szCs w:val="21"/>
                    </w:rPr>
                    <w:t>③酒瓶及瓶盖表面处理车间：面积约800m</w:t>
                  </w:r>
                  <w:r>
                    <w:rPr>
                      <w:rFonts w:hint="eastAsia" w:cs="Times New Roman"/>
                      <w:bCs/>
                      <w:szCs w:val="21"/>
                      <w:vertAlign w:val="superscript"/>
                    </w:rPr>
                    <w:t>2</w:t>
                  </w:r>
                  <w:r>
                    <w:rPr>
                      <w:rFonts w:hint="eastAsia" w:cs="Times New Roman"/>
                      <w:bCs/>
                      <w:szCs w:val="21"/>
                    </w:rPr>
                    <w:t>，设1条UV喷涂生产线，主要从事酒瓶及瓶盖喷涂加工。</w:t>
                  </w:r>
                </w:p>
                <w:p w14:paraId="610604DA">
                  <w:pPr>
                    <w:rPr>
                      <w:rFonts w:cs="Times New Roman"/>
                      <w:bCs/>
                      <w:szCs w:val="21"/>
                    </w:rPr>
                  </w:pPr>
                  <w:r>
                    <w:rPr>
                      <w:rFonts w:hint="eastAsia" w:cs="Times New Roman"/>
                      <w:bCs/>
                      <w:szCs w:val="21"/>
                    </w:rPr>
                    <w:t>④喷砂镭雕车间：面积约400m</w:t>
                  </w:r>
                  <w:r>
                    <w:rPr>
                      <w:rFonts w:hint="eastAsia" w:cs="Times New Roman"/>
                      <w:bCs/>
                      <w:szCs w:val="21"/>
                      <w:vertAlign w:val="superscript"/>
                    </w:rPr>
                    <w:t>2</w:t>
                  </w:r>
                  <w:r>
                    <w:rPr>
                      <w:rFonts w:hint="eastAsia" w:cs="Times New Roman"/>
                      <w:bCs/>
                      <w:szCs w:val="21"/>
                    </w:rPr>
                    <w:t>，设喷砂机、镭雕机对半成品玻璃酒瓶进行喷砂、镭雕加工。</w:t>
                  </w:r>
                </w:p>
              </w:tc>
              <w:tc>
                <w:tcPr>
                  <w:tcW w:w="648" w:type="pct"/>
                  <w:shd w:val="clear" w:color="auto" w:fill="auto"/>
                  <w:vAlign w:val="center"/>
                </w:tcPr>
                <w:p w14:paraId="3EF50B78">
                  <w:pPr>
                    <w:jc w:val="center"/>
                    <w:rPr>
                      <w:szCs w:val="21"/>
                    </w:rPr>
                  </w:pPr>
                  <w:r>
                    <w:rPr>
                      <w:rFonts w:hint="eastAsia"/>
                      <w:szCs w:val="21"/>
                    </w:rPr>
                    <w:t>废气、废水、噪声、固废</w:t>
                  </w:r>
                </w:p>
              </w:tc>
            </w:tr>
            <w:tr w14:paraId="2FB4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restart"/>
                  <w:shd w:val="clear" w:color="auto" w:fill="auto"/>
                  <w:vAlign w:val="center"/>
                </w:tcPr>
                <w:p w14:paraId="12687B0C">
                  <w:pPr>
                    <w:jc w:val="center"/>
                    <w:rPr>
                      <w:szCs w:val="21"/>
                    </w:rPr>
                  </w:pPr>
                  <w:r>
                    <w:rPr>
                      <w:rFonts w:hint="eastAsia"/>
                      <w:szCs w:val="21"/>
                    </w:rPr>
                    <w:t>办公生活设施</w:t>
                  </w:r>
                </w:p>
              </w:tc>
              <w:tc>
                <w:tcPr>
                  <w:tcW w:w="738" w:type="pct"/>
                  <w:gridSpan w:val="2"/>
                  <w:shd w:val="clear" w:color="auto" w:fill="auto"/>
                  <w:vAlign w:val="center"/>
                </w:tcPr>
                <w:p w14:paraId="4D4532A8">
                  <w:pPr>
                    <w:jc w:val="center"/>
                    <w:rPr>
                      <w:bCs/>
                      <w:szCs w:val="21"/>
                    </w:rPr>
                  </w:pPr>
                  <w:r>
                    <w:rPr>
                      <w:rFonts w:hint="eastAsia"/>
                      <w:szCs w:val="21"/>
                    </w:rPr>
                    <w:t>办公科研楼</w:t>
                  </w:r>
                </w:p>
              </w:tc>
              <w:tc>
                <w:tcPr>
                  <w:tcW w:w="3210" w:type="pct"/>
                  <w:shd w:val="clear" w:color="auto" w:fill="auto"/>
                  <w:vAlign w:val="center"/>
                </w:tcPr>
                <w:p w14:paraId="72B532D1">
                  <w:pPr>
                    <w:rPr>
                      <w:bCs/>
                      <w:szCs w:val="21"/>
                    </w:rPr>
                  </w:pPr>
                  <w:r>
                    <w:rPr>
                      <w:rFonts w:hint="eastAsia"/>
                      <w:szCs w:val="21"/>
                    </w:rPr>
                    <w:t>5F，</w:t>
                  </w:r>
                  <w:r>
                    <w:rPr>
                      <w:rFonts w:hint="eastAsia"/>
                      <w:bCs/>
                      <w:szCs w:val="21"/>
                    </w:rPr>
                    <w:t>H</w:t>
                  </w:r>
                  <w:r>
                    <w:rPr>
                      <w:bCs/>
                      <w:szCs w:val="21"/>
                    </w:rPr>
                    <w:t>=</w:t>
                  </w:r>
                  <w:r>
                    <w:rPr>
                      <w:rFonts w:hint="eastAsia"/>
                      <w:bCs/>
                      <w:szCs w:val="21"/>
                    </w:rPr>
                    <w:t>18.75</w:t>
                  </w:r>
                  <w:r>
                    <w:rPr>
                      <w:bCs/>
                      <w:szCs w:val="21"/>
                    </w:rPr>
                    <w:t>m，</w:t>
                  </w:r>
                  <w:r>
                    <w:rPr>
                      <w:rFonts w:hint="eastAsia"/>
                      <w:bCs/>
                      <w:szCs w:val="21"/>
                    </w:rPr>
                    <w:t>建筑面积约3467.37m</w:t>
                  </w:r>
                  <w:r>
                    <w:rPr>
                      <w:bCs/>
                      <w:szCs w:val="21"/>
                      <w:vertAlign w:val="superscript"/>
                    </w:rPr>
                    <w:t>2</w:t>
                  </w:r>
                  <w:r>
                    <w:rPr>
                      <w:bCs/>
                      <w:szCs w:val="21"/>
                    </w:rPr>
                    <w:t>，</w:t>
                  </w:r>
                  <w:r>
                    <w:rPr>
                      <w:rFonts w:hint="eastAsia"/>
                      <w:bCs/>
                      <w:szCs w:val="21"/>
                    </w:rPr>
                    <w:t>用于厂区员工办公，预留后期科研用房。</w:t>
                  </w:r>
                </w:p>
              </w:tc>
              <w:tc>
                <w:tcPr>
                  <w:tcW w:w="648" w:type="pct"/>
                  <w:vMerge w:val="restart"/>
                  <w:shd w:val="clear" w:color="auto" w:fill="auto"/>
                  <w:vAlign w:val="center"/>
                </w:tcPr>
                <w:p w14:paraId="2C6B6953">
                  <w:pPr>
                    <w:jc w:val="center"/>
                    <w:rPr>
                      <w:szCs w:val="21"/>
                    </w:rPr>
                  </w:pPr>
                  <w:r>
                    <w:rPr>
                      <w:rFonts w:hint="eastAsia"/>
                      <w:szCs w:val="21"/>
                    </w:rPr>
                    <w:t>废气、废水、固废</w:t>
                  </w:r>
                </w:p>
              </w:tc>
            </w:tr>
            <w:tr w14:paraId="72F99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33728D3B">
                  <w:pPr>
                    <w:jc w:val="center"/>
                    <w:rPr>
                      <w:szCs w:val="21"/>
                    </w:rPr>
                  </w:pPr>
                </w:p>
              </w:tc>
              <w:tc>
                <w:tcPr>
                  <w:tcW w:w="738" w:type="pct"/>
                  <w:gridSpan w:val="2"/>
                  <w:shd w:val="clear" w:color="auto" w:fill="auto"/>
                  <w:vAlign w:val="center"/>
                </w:tcPr>
                <w:p w14:paraId="4CA0CD5A">
                  <w:pPr>
                    <w:jc w:val="center"/>
                    <w:rPr>
                      <w:bCs/>
                      <w:szCs w:val="21"/>
                    </w:rPr>
                  </w:pPr>
                  <w:r>
                    <w:rPr>
                      <w:rFonts w:hint="eastAsia"/>
                      <w:szCs w:val="21"/>
                    </w:rPr>
                    <w:t>倒班房</w:t>
                  </w:r>
                </w:p>
              </w:tc>
              <w:tc>
                <w:tcPr>
                  <w:tcW w:w="3210" w:type="pct"/>
                  <w:shd w:val="clear" w:color="auto" w:fill="auto"/>
                  <w:vAlign w:val="center"/>
                </w:tcPr>
                <w:p w14:paraId="4FF2C305">
                  <w:pPr>
                    <w:rPr>
                      <w:bCs/>
                      <w:szCs w:val="21"/>
                    </w:rPr>
                  </w:pPr>
                  <w:r>
                    <w:rPr>
                      <w:rFonts w:hint="eastAsia"/>
                      <w:szCs w:val="21"/>
                    </w:rPr>
                    <w:t>2F，</w:t>
                  </w:r>
                  <w:r>
                    <w:rPr>
                      <w:rFonts w:hint="eastAsia"/>
                      <w:bCs/>
                      <w:szCs w:val="21"/>
                    </w:rPr>
                    <w:t>H</w:t>
                  </w:r>
                  <w:r>
                    <w:rPr>
                      <w:bCs/>
                      <w:szCs w:val="21"/>
                    </w:rPr>
                    <w:t>=</w:t>
                  </w:r>
                  <w:r>
                    <w:rPr>
                      <w:rFonts w:hint="eastAsia"/>
                      <w:bCs/>
                      <w:szCs w:val="21"/>
                    </w:rPr>
                    <w:t>7.50</w:t>
                  </w:r>
                  <w:r>
                    <w:rPr>
                      <w:bCs/>
                      <w:szCs w:val="21"/>
                    </w:rPr>
                    <w:t>m，</w:t>
                  </w:r>
                  <w:r>
                    <w:rPr>
                      <w:rFonts w:hint="eastAsia"/>
                      <w:bCs/>
                      <w:szCs w:val="21"/>
                    </w:rPr>
                    <w:t>建筑面积约412.64m</w:t>
                  </w:r>
                  <w:r>
                    <w:rPr>
                      <w:bCs/>
                      <w:szCs w:val="21"/>
                      <w:vertAlign w:val="superscript"/>
                    </w:rPr>
                    <w:t>2</w:t>
                  </w:r>
                  <w:r>
                    <w:rPr>
                      <w:rFonts w:hint="eastAsia"/>
                      <w:bCs/>
                      <w:szCs w:val="21"/>
                    </w:rPr>
                    <w:t>。</w:t>
                  </w:r>
                </w:p>
              </w:tc>
              <w:tc>
                <w:tcPr>
                  <w:tcW w:w="648" w:type="pct"/>
                  <w:vMerge w:val="continue"/>
                  <w:shd w:val="clear" w:color="auto" w:fill="auto"/>
                  <w:vAlign w:val="center"/>
                </w:tcPr>
                <w:p w14:paraId="2F30820A">
                  <w:pPr>
                    <w:jc w:val="center"/>
                    <w:rPr>
                      <w:szCs w:val="21"/>
                    </w:rPr>
                  </w:pPr>
                </w:p>
              </w:tc>
            </w:tr>
            <w:tr w14:paraId="06BF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6B30FF69">
                  <w:pPr>
                    <w:jc w:val="center"/>
                    <w:rPr>
                      <w:szCs w:val="21"/>
                    </w:rPr>
                  </w:pPr>
                </w:p>
              </w:tc>
              <w:tc>
                <w:tcPr>
                  <w:tcW w:w="738" w:type="pct"/>
                  <w:gridSpan w:val="2"/>
                  <w:shd w:val="clear" w:color="auto" w:fill="auto"/>
                  <w:vAlign w:val="center"/>
                </w:tcPr>
                <w:p w14:paraId="51C35DFF">
                  <w:pPr>
                    <w:jc w:val="center"/>
                    <w:rPr>
                      <w:bCs/>
                      <w:szCs w:val="21"/>
                    </w:rPr>
                  </w:pPr>
                  <w:r>
                    <w:rPr>
                      <w:rFonts w:hint="eastAsia"/>
                      <w:szCs w:val="21"/>
                    </w:rPr>
                    <w:t>活动室</w:t>
                  </w:r>
                </w:p>
              </w:tc>
              <w:tc>
                <w:tcPr>
                  <w:tcW w:w="3210" w:type="pct"/>
                  <w:shd w:val="clear" w:color="auto" w:fill="auto"/>
                  <w:vAlign w:val="center"/>
                </w:tcPr>
                <w:p w14:paraId="4EF9ED68">
                  <w:pPr>
                    <w:rPr>
                      <w:bCs/>
                      <w:szCs w:val="21"/>
                    </w:rPr>
                  </w:pPr>
                  <w:r>
                    <w:rPr>
                      <w:rFonts w:hint="eastAsia"/>
                      <w:szCs w:val="21"/>
                    </w:rPr>
                    <w:t>1F，</w:t>
                  </w:r>
                  <w:r>
                    <w:rPr>
                      <w:rFonts w:hint="eastAsia"/>
                      <w:bCs/>
                      <w:szCs w:val="21"/>
                    </w:rPr>
                    <w:t>H</w:t>
                  </w:r>
                  <w:r>
                    <w:rPr>
                      <w:bCs/>
                      <w:szCs w:val="21"/>
                    </w:rPr>
                    <w:t>=</w:t>
                  </w:r>
                  <w:r>
                    <w:rPr>
                      <w:rFonts w:hint="eastAsia"/>
                      <w:bCs/>
                      <w:szCs w:val="21"/>
                    </w:rPr>
                    <w:t>3.75</w:t>
                  </w:r>
                  <w:r>
                    <w:rPr>
                      <w:bCs/>
                      <w:szCs w:val="21"/>
                    </w:rPr>
                    <w:t>m，</w:t>
                  </w:r>
                  <w:r>
                    <w:rPr>
                      <w:rFonts w:hint="eastAsia"/>
                      <w:bCs/>
                      <w:szCs w:val="21"/>
                    </w:rPr>
                    <w:t>建筑面积约270.43m</w:t>
                  </w:r>
                  <w:r>
                    <w:rPr>
                      <w:bCs/>
                      <w:szCs w:val="21"/>
                      <w:vertAlign w:val="superscript"/>
                    </w:rPr>
                    <w:t>2</w:t>
                  </w:r>
                  <w:r>
                    <w:rPr>
                      <w:rFonts w:hint="eastAsia"/>
                      <w:bCs/>
                      <w:szCs w:val="21"/>
                    </w:rPr>
                    <w:t>。</w:t>
                  </w:r>
                </w:p>
              </w:tc>
              <w:tc>
                <w:tcPr>
                  <w:tcW w:w="648" w:type="pct"/>
                  <w:vMerge w:val="continue"/>
                  <w:shd w:val="clear" w:color="auto" w:fill="auto"/>
                  <w:vAlign w:val="center"/>
                </w:tcPr>
                <w:p w14:paraId="65158C97">
                  <w:pPr>
                    <w:jc w:val="center"/>
                    <w:rPr>
                      <w:szCs w:val="21"/>
                    </w:rPr>
                  </w:pPr>
                </w:p>
              </w:tc>
            </w:tr>
            <w:tr w14:paraId="221B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77CF20EA">
                  <w:pPr>
                    <w:jc w:val="center"/>
                    <w:rPr>
                      <w:szCs w:val="21"/>
                    </w:rPr>
                  </w:pPr>
                </w:p>
              </w:tc>
              <w:tc>
                <w:tcPr>
                  <w:tcW w:w="738" w:type="pct"/>
                  <w:gridSpan w:val="2"/>
                  <w:shd w:val="clear" w:color="auto" w:fill="auto"/>
                  <w:vAlign w:val="center"/>
                </w:tcPr>
                <w:p w14:paraId="602EB973">
                  <w:pPr>
                    <w:jc w:val="center"/>
                    <w:rPr>
                      <w:bCs/>
                      <w:szCs w:val="21"/>
                    </w:rPr>
                  </w:pPr>
                  <w:r>
                    <w:rPr>
                      <w:rFonts w:hint="eastAsia"/>
                      <w:szCs w:val="21"/>
                    </w:rPr>
                    <w:t>食堂</w:t>
                  </w:r>
                </w:p>
              </w:tc>
              <w:tc>
                <w:tcPr>
                  <w:tcW w:w="3210" w:type="pct"/>
                  <w:shd w:val="clear" w:color="auto" w:fill="auto"/>
                  <w:vAlign w:val="center"/>
                </w:tcPr>
                <w:p w14:paraId="7B8D6823">
                  <w:pPr>
                    <w:rPr>
                      <w:bCs/>
                      <w:szCs w:val="21"/>
                    </w:rPr>
                  </w:pPr>
                  <w:r>
                    <w:rPr>
                      <w:rFonts w:hint="eastAsia"/>
                      <w:szCs w:val="21"/>
                    </w:rPr>
                    <w:t>1F，</w:t>
                  </w:r>
                  <w:r>
                    <w:rPr>
                      <w:rFonts w:hint="eastAsia"/>
                      <w:bCs/>
                      <w:szCs w:val="21"/>
                    </w:rPr>
                    <w:t>H</w:t>
                  </w:r>
                  <w:r>
                    <w:rPr>
                      <w:bCs/>
                      <w:szCs w:val="21"/>
                    </w:rPr>
                    <w:t>=</w:t>
                  </w:r>
                  <w:r>
                    <w:rPr>
                      <w:rFonts w:hint="eastAsia"/>
                      <w:bCs/>
                      <w:szCs w:val="21"/>
                    </w:rPr>
                    <w:t>3.60</w:t>
                  </w:r>
                  <w:r>
                    <w:rPr>
                      <w:bCs/>
                      <w:szCs w:val="21"/>
                    </w:rPr>
                    <w:t>m，</w:t>
                  </w:r>
                  <w:r>
                    <w:rPr>
                      <w:rFonts w:hint="eastAsia"/>
                      <w:bCs/>
                      <w:szCs w:val="21"/>
                    </w:rPr>
                    <w:t>建筑面积约196m</w:t>
                  </w:r>
                  <w:r>
                    <w:rPr>
                      <w:bCs/>
                      <w:szCs w:val="21"/>
                      <w:vertAlign w:val="superscript"/>
                    </w:rPr>
                    <w:t>2</w:t>
                  </w:r>
                  <w:r>
                    <w:rPr>
                      <w:rFonts w:hint="eastAsia"/>
                      <w:bCs/>
                      <w:szCs w:val="21"/>
                    </w:rPr>
                    <w:t>，供全厂员工就餐。</w:t>
                  </w:r>
                </w:p>
              </w:tc>
              <w:tc>
                <w:tcPr>
                  <w:tcW w:w="648" w:type="pct"/>
                  <w:vMerge w:val="continue"/>
                  <w:shd w:val="clear" w:color="auto" w:fill="auto"/>
                  <w:vAlign w:val="center"/>
                </w:tcPr>
                <w:p w14:paraId="7AE0EE1D">
                  <w:pPr>
                    <w:jc w:val="center"/>
                    <w:rPr>
                      <w:szCs w:val="21"/>
                    </w:rPr>
                  </w:pPr>
                </w:p>
              </w:tc>
            </w:tr>
            <w:tr w14:paraId="4051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1DE890A7">
                  <w:pPr>
                    <w:jc w:val="center"/>
                    <w:rPr>
                      <w:szCs w:val="21"/>
                    </w:rPr>
                  </w:pPr>
                </w:p>
              </w:tc>
              <w:tc>
                <w:tcPr>
                  <w:tcW w:w="738" w:type="pct"/>
                  <w:gridSpan w:val="2"/>
                  <w:shd w:val="clear" w:color="auto" w:fill="auto"/>
                  <w:vAlign w:val="center"/>
                </w:tcPr>
                <w:p w14:paraId="7E0222F1">
                  <w:pPr>
                    <w:jc w:val="center"/>
                    <w:rPr>
                      <w:bCs/>
                      <w:szCs w:val="21"/>
                    </w:rPr>
                  </w:pPr>
                  <w:r>
                    <w:rPr>
                      <w:rFonts w:hint="eastAsia"/>
                      <w:szCs w:val="21"/>
                    </w:rPr>
                    <w:t>公厕</w:t>
                  </w:r>
                </w:p>
              </w:tc>
              <w:tc>
                <w:tcPr>
                  <w:tcW w:w="3210" w:type="pct"/>
                  <w:shd w:val="clear" w:color="auto" w:fill="auto"/>
                  <w:vAlign w:val="center"/>
                </w:tcPr>
                <w:p w14:paraId="3303744F">
                  <w:pPr>
                    <w:rPr>
                      <w:bCs/>
                      <w:szCs w:val="21"/>
                    </w:rPr>
                  </w:pPr>
                  <w:r>
                    <w:rPr>
                      <w:rFonts w:hint="eastAsia"/>
                      <w:szCs w:val="21"/>
                    </w:rPr>
                    <w:t>2间，建筑面积约122.07m</w:t>
                  </w:r>
                  <w:r>
                    <w:rPr>
                      <w:rFonts w:hint="eastAsia"/>
                      <w:szCs w:val="21"/>
                      <w:vertAlign w:val="superscript"/>
                    </w:rPr>
                    <w:t>2</w:t>
                  </w:r>
                  <w:r>
                    <w:rPr>
                      <w:rFonts w:hint="eastAsia"/>
                      <w:szCs w:val="21"/>
                    </w:rPr>
                    <w:t>。</w:t>
                  </w:r>
                </w:p>
              </w:tc>
              <w:tc>
                <w:tcPr>
                  <w:tcW w:w="648" w:type="pct"/>
                  <w:vMerge w:val="continue"/>
                  <w:shd w:val="clear" w:color="auto" w:fill="auto"/>
                  <w:vAlign w:val="center"/>
                </w:tcPr>
                <w:p w14:paraId="2691BED0">
                  <w:pPr>
                    <w:jc w:val="center"/>
                    <w:rPr>
                      <w:szCs w:val="21"/>
                    </w:rPr>
                  </w:pPr>
                </w:p>
              </w:tc>
            </w:tr>
            <w:tr w14:paraId="62F4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21705AEF">
                  <w:pPr>
                    <w:jc w:val="center"/>
                    <w:rPr>
                      <w:szCs w:val="21"/>
                    </w:rPr>
                  </w:pPr>
                </w:p>
              </w:tc>
              <w:tc>
                <w:tcPr>
                  <w:tcW w:w="738" w:type="pct"/>
                  <w:gridSpan w:val="2"/>
                  <w:shd w:val="clear" w:color="auto" w:fill="auto"/>
                  <w:vAlign w:val="center"/>
                </w:tcPr>
                <w:p w14:paraId="6E5D577E">
                  <w:pPr>
                    <w:jc w:val="center"/>
                    <w:rPr>
                      <w:bCs/>
                      <w:szCs w:val="21"/>
                    </w:rPr>
                  </w:pPr>
                  <w:r>
                    <w:rPr>
                      <w:szCs w:val="21"/>
                    </w:rPr>
                    <w:t>门卫室</w:t>
                  </w:r>
                </w:p>
              </w:tc>
              <w:tc>
                <w:tcPr>
                  <w:tcW w:w="3210" w:type="pct"/>
                  <w:shd w:val="clear" w:color="auto" w:fill="auto"/>
                  <w:vAlign w:val="center"/>
                </w:tcPr>
                <w:p w14:paraId="0DF2605B">
                  <w:pPr>
                    <w:rPr>
                      <w:bCs/>
                      <w:szCs w:val="21"/>
                    </w:rPr>
                  </w:pPr>
                  <w:r>
                    <w:rPr>
                      <w:szCs w:val="21"/>
                    </w:rPr>
                    <w:t>1间</w:t>
                  </w:r>
                  <w:r>
                    <w:rPr>
                      <w:rFonts w:hint="eastAsia"/>
                      <w:szCs w:val="21"/>
                    </w:rPr>
                    <w:t>，建筑面积约</w:t>
                  </w:r>
                  <w:r>
                    <w:rPr>
                      <w:szCs w:val="21"/>
                    </w:rPr>
                    <w:t>3</w:t>
                  </w:r>
                  <w:r>
                    <w:rPr>
                      <w:rFonts w:hint="eastAsia"/>
                      <w:szCs w:val="21"/>
                    </w:rPr>
                    <w:t>1.50m</w:t>
                  </w:r>
                  <w:r>
                    <w:rPr>
                      <w:szCs w:val="21"/>
                      <w:vertAlign w:val="superscript"/>
                    </w:rPr>
                    <w:t>2</w:t>
                  </w:r>
                  <w:r>
                    <w:rPr>
                      <w:rFonts w:hint="eastAsia"/>
                      <w:szCs w:val="21"/>
                    </w:rPr>
                    <w:t>。</w:t>
                  </w:r>
                </w:p>
              </w:tc>
              <w:tc>
                <w:tcPr>
                  <w:tcW w:w="648" w:type="pct"/>
                  <w:vMerge w:val="continue"/>
                  <w:shd w:val="clear" w:color="auto" w:fill="auto"/>
                  <w:vAlign w:val="center"/>
                </w:tcPr>
                <w:p w14:paraId="266745F9">
                  <w:pPr>
                    <w:jc w:val="center"/>
                    <w:rPr>
                      <w:szCs w:val="21"/>
                    </w:rPr>
                  </w:pPr>
                </w:p>
              </w:tc>
            </w:tr>
            <w:tr w14:paraId="508C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restart"/>
                  <w:shd w:val="clear" w:color="auto" w:fill="auto"/>
                  <w:vAlign w:val="center"/>
                </w:tcPr>
                <w:p w14:paraId="05DECDFD">
                  <w:pPr>
                    <w:jc w:val="center"/>
                    <w:rPr>
                      <w:szCs w:val="21"/>
                    </w:rPr>
                  </w:pPr>
                  <w:r>
                    <w:rPr>
                      <w:rFonts w:hint="eastAsia"/>
                      <w:szCs w:val="21"/>
                    </w:rPr>
                    <w:t>辅助工程</w:t>
                  </w:r>
                </w:p>
              </w:tc>
              <w:tc>
                <w:tcPr>
                  <w:tcW w:w="738" w:type="pct"/>
                  <w:gridSpan w:val="2"/>
                  <w:shd w:val="clear" w:color="auto" w:fill="auto"/>
                  <w:vAlign w:val="center"/>
                </w:tcPr>
                <w:p w14:paraId="4F911077">
                  <w:pPr>
                    <w:jc w:val="center"/>
                    <w:rPr>
                      <w:szCs w:val="21"/>
                    </w:rPr>
                  </w:pPr>
                  <w:r>
                    <w:rPr>
                      <w:rFonts w:hint="eastAsia"/>
                      <w:szCs w:val="21"/>
                    </w:rPr>
                    <w:t>配电室</w:t>
                  </w:r>
                </w:p>
              </w:tc>
              <w:tc>
                <w:tcPr>
                  <w:tcW w:w="3210" w:type="pct"/>
                  <w:shd w:val="clear" w:color="auto" w:fill="auto"/>
                  <w:vAlign w:val="center"/>
                </w:tcPr>
                <w:p w14:paraId="0B318FDB">
                  <w:pPr>
                    <w:rPr>
                      <w:szCs w:val="21"/>
                    </w:rPr>
                  </w:pPr>
                  <w:r>
                    <w:rPr>
                      <w:rFonts w:hint="eastAsia"/>
                      <w:szCs w:val="21"/>
                    </w:rPr>
                    <w:t>2</w:t>
                  </w:r>
                  <w:r>
                    <w:rPr>
                      <w:szCs w:val="21"/>
                    </w:rPr>
                    <w:t>间</w:t>
                  </w:r>
                  <w:r>
                    <w:rPr>
                      <w:rFonts w:hint="eastAsia"/>
                      <w:szCs w:val="21"/>
                    </w:rPr>
                    <w:t>，建筑面积约90.41m</w:t>
                  </w:r>
                  <w:r>
                    <w:rPr>
                      <w:szCs w:val="21"/>
                      <w:vertAlign w:val="superscript"/>
                    </w:rPr>
                    <w:t>2</w:t>
                  </w:r>
                  <w:r>
                    <w:rPr>
                      <w:rFonts w:hint="eastAsia"/>
                      <w:szCs w:val="21"/>
                    </w:rPr>
                    <w:t>。</w:t>
                  </w:r>
                </w:p>
              </w:tc>
              <w:tc>
                <w:tcPr>
                  <w:tcW w:w="648" w:type="pct"/>
                  <w:shd w:val="clear" w:color="auto" w:fill="auto"/>
                  <w:vAlign w:val="center"/>
                </w:tcPr>
                <w:p w14:paraId="07688A3F">
                  <w:pPr>
                    <w:jc w:val="center"/>
                    <w:rPr>
                      <w:szCs w:val="21"/>
                    </w:rPr>
                  </w:pPr>
                  <w:r>
                    <w:rPr>
                      <w:rFonts w:hint="eastAsia"/>
                      <w:szCs w:val="21"/>
                    </w:rPr>
                    <w:t>/</w:t>
                  </w:r>
                </w:p>
              </w:tc>
            </w:tr>
            <w:tr w14:paraId="5606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3660FAE8">
                  <w:pPr>
                    <w:jc w:val="center"/>
                    <w:rPr>
                      <w:szCs w:val="21"/>
                    </w:rPr>
                  </w:pPr>
                </w:p>
              </w:tc>
              <w:tc>
                <w:tcPr>
                  <w:tcW w:w="738" w:type="pct"/>
                  <w:gridSpan w:val="2"/>
                  <w:shd w:val="clear" w:color="auto" w:fill="auto"/>
                  <w:vAlign w:val="center"/>
                </w:tcPr>
                <w:p w14:paraId="418674EA">
                  <w:pPr>
                    <w:jc w:val="center"/>
                    <w:rPr>
                      <w:szCs w:val="21"/>
                    </w:rPr>
                  </w:pPr>
                  <w:r>
                    <w:rPr>
                      <w:rFonts w:hint="eastAsia"/>
                      <w:szCs w:val="21"/>
                    </w:rPr>
                    <w:t>成品库房</w:t>
                  </w:r>
                </w:p>
              </w:tc>
              <w:tc>
                <w:tcPr>
                  <w:tcW w:w="3210" w:type="pct"/>
                  <w:shd w:val="clear" w:color="auto" w:fill="auto"/>
                  <w:vAlign w:val="center"/>
                </w:tcPr>
                <w:p w14:paraId="5E401EA8">
                  <w:pPr>
                    <w:rPr>
                      <w:szCs w:val="21"/>
                    </w:rPr>
                  </w:pPr>
                  <w:r>
                    <w:rPr>
                      <w:rFonts w:hint="eastAsia"/>
                      <w:bCs/>
                      <w:szCs w:val="21"/>
                    </w:rPr>
                    <w:t>设于成品库房内，面积约1172.96m</w:t>
                  </w:r>
                  <w:r>
                    <w:rPr>
                      <w:bCs/>
                      <w:szCs w:val="21"/>
                      <w:vertAlign w:val="superscript"/>
                    </w:rPr>
                    <w:t>2</w:t>
                  </w:r>
                  <w:r>
                    <w:rPr>
                      <w:bCs/>
                      <w:szCs w:val="21"/>
                    </w:rPr>
                    <w:t>，</w:t>
                  </w:r>
                  <w:r>
                    <w:rPr>
                      <w:rFonts w:hint="eastAsia"/>
                      <w:bCs/>
                      <w:szCs w:val="21"/>
                    </w:rPr>
                    <w:t>用于厂区成品贮存。</w:t>
                  </w:r>
                </w:p>
              </w:tc>
              <w:tc>
                <w:tcPr>
                  <w:tcW w:w="648" w:type="pct"/>
                  <w:shd w:val="clear" w:color="auto" w:fill="auto"/>
                  <w:vAlign w:val="center"/>
                </w:tcPr>
                <w:p w14:paraId="5CE4F137">
                  <w:pPr>
                    <w:jc w:val="center"/>
                    <w:rPr>
                      <w:szCs w:val="21"/>
                    </w:rPr>
                  </w:pPr>
                  <w:r>
                    <w:rPr>
                      <w:rFonts w:hint="eastAsia"/>
                      <w:szCs w:val="21"/>
                    </w:rPr>
                    <w:t>/</w:t>
                  </w:r>
                </w:p>
              </w:tc>
            </w:tr>
            <w:tr w14:paraId="1FF8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1CA3EAAB">
                  <w:pPr>
                    <w:jc w:val="center"/>
                    <w:rPr>
                      <w:szCs w:val="21"/>
                    </w:rPr>
                  </w:pPr>
                </w:p>
              </w:tc>
              <w:tc>
                <w:tcPr>
                  <w:tcW w:w="738" w:type="pct"/>
                  <w:gridSpan w:val="2"/>
                  <w:shd w:val="clear" w:color="auto" w:fill="auto"/>
                  <w:vAlign w:val="center"/>
                </w:tcPr>
                <w:p w14:paraId="576E6AE0">
                  <w:pPr>
                    <w:jc w:val="center"/>
                    <w:rPr>
                      <w:szCs w:val="21"/>
                    </w:rPr>
                  </w:pPr>
                  <w:r>
                    <w:rPr>
                      <w:rFonts w:hint="eastAsia"/>
                      <w:bCs/>
                      <w:szCs w:val="21"/>
                    </w:rPr>
                    <w:t>油漆存储</w:t>
                  </w:r>
                </w:p>
              </w:tc>
              <w:tc>
                <w:tcPr>
                  <w:tcW w:w="3210" w:type="pct"/>
                  <w:shd w:val="clear" w:color="auto" w:fill="auto"/>
                  <w:vAlign w:val="center"/>
                </w:tcPr>
                <w:p w14:paraId="4206FB87">
                  <w:pPr>
                    <w:rPr>
                      <w:szCs w:val="21"/>
                    </w:rPr>
                  </w:pPr>
                  <w:r>
                    <w:rPr>
                      <w:rFonts w:hint="eastAsia"/>
                      <w:bCs/>
                      <w:szCs w:val="21"/>
                    </w:rPr>
                    <w:t>设于成品库房内，面积约413.41m</w:t>
                  </w:r>
                  <w:r>
                    <w:rPr>
                      <w:bCs/>
                      <w:szCs w:val="21"/>
                      <w:vertAlign w:val="superscript"/>
                    </w:rPr>
                    <w:t>2</w:t>
                  </w:r>
                  <w:r>
                    <w:rPr>
                      <w:bCs/>
                      <w:szCs w:val="21"/>
                    </w:rPr>
                    <w:t>，</w:t>
                  </w:r>
                  <w:r>
                    <w:rPr>
                      <w:rFonts w:hint="eastAsia"/>
                      <w:bCs/>
                      <w:szCs w:val="21"/>
                    </w:rPr>
                    <w:t>用于油漆贮存。</w:t>
                  </w:r>
                </w:p>
              </w:tc>
              <w:tc>
                <w:tcPr>
                  <w:tcW w:w="648" w:type="pct"/>
                  <w:shd w:val="clear" w:color="auto" w:fill="auto"/>
                  <w:vAlign w:val="center"/>
                </w:tcPr>
                <w:p w14:paraId="20EC2FF4">
                  <w:pPr>
                    <w:jc w:val="center"/>
                    <w:rPr>
                      <w:szCs w:val="21"/>
                    </w:rPr>
                  </w:pPr>
                  <w:r>
                    <w:rPr>
                      <w:rFonts w:hint="eastAsia"/>
                      <w:szCs w:val="21"/>
                    </w:rPr>
                    <w:t>环境风险</w:t>
                  </w:r>
                </w:p>
              </w:tc>
            </w:tr>
            <w:tr w14:paraId="445F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restart"/>
                  <w:shd w:val="clear" w:color="auto" w:fill="auto"/>
                  <w:vAlign w:val="center"/>
                </w:tcPr>
                <w:p w14:paraId="70985E9A">
                  <w:pPr>
                    <w:jc w:val="center"/>
                    <w:rPr>
                      <w:szCs w:val="21"/>
                    </w:rPr>
                  </w:pPr>
                  <w:r>
                    <w:rPr>
                      <w:rFonts w:hint="eastAsia"/>
                      <w:szCs w:val="21"/>
                    </w:rPr>
                    <w:t>公用工程</w:t>
                  </w:r>
                </w:p>
              </w:tc>
              <w:tc>
                <w:tcPr>
                  <w:tcW w:w="738" w:type="pct"/>
                  <w:gridSpan w:val="2"/>
                  <w:shd w:val="clear" w:color="auto" w:fill="auto"/>
                  <w:vAlign w:val="center"/>
                </w:tcPr>
                <w:p w14:paraId="20722DA3">
                  <w:pPr>
                    <w:jc w:val="center"/>
                    <w:rPr>
                      <w:bCs/>
                      <w:szCs w:val="21"/>
                    </w:rPr>
                  </w:pPr>
                  <w:r>
                    <w:rPr>
                      <w:rFonts w:hint="eastAsia"/>
                      <w:szCs w:val="21"/>
                    </w:rPr>
                    <w:t>供电</w:t>
                  </w:r>
                </w:p>
              </w:tc>
              <w:tc>
                <w:tcPr>
                  <w:tcW w:w="3210" w:type="pct"/>
                  <w:shd w:val="clear" w:color="auto" w:fill="auto"/>
                  <w:vAlign w:val="center"/>
                </w:tcPr>
                <w:p w14:paraId="574D8B13">
                  <w:pPr>
                    <w:rPr>
                      <w:bCs/>
                      <w:szCs w:val="21"/>
                    </w:rPr>
                  </w:pPr>
                  <w:r>
                    <w:rPr>
                      <w:rFonts w:hint="eastAsia"/>
                      <w:szCs w:val="21"/>
                    </w:rPr>
                    <w:t>园区电网</w:t>
                  </w:r>
                  <w:r>
                    <w:rPr>
                      <w:szCs w:val="21"/>
                    </w:rPr>
                    <w:t>供电</w:t>
                  </w:r>
                  <w:r>
                    <w:rPr>
                      <w:rFonts w:hint="eastAsia"/>
                      <w:szCs w:val="21"/>
                    </w:rPr>
                    <w:t>。</w:t>
                  </w:r>
                </w:p>
              </w:tc>
              <w:tc>
                <w:tcPr>
                  <w:tcW w:w="648" w:type="pct"/>
                  <w:shd w:val="clear" w:color="auto" w:fill="auto"/>
                  <w:vAlign w:val="center"/>
                </w:tcPr>
                <w:p w14:paraId="54DD2EF8">
                  <w:pPr>
                    <w:jc w:val="center"/>
                    <w:rPr>
                      <w:szCs w:val="21"/>
                    </w:rPr>
                  </w:pPr>
                  <w:r>
                    <w:rPr>
                      <w:rFonts w:hint="eastAsia"/>
                      <w:szCs w:val="21"/>
                    </w:rPr>
                    <w:t>/</w:t>
                  </w:r>
                </w:p>
              </w:tc>
            </w:tr>
            <w:tr w14:paraId="2FEB9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7316CDA9">
                  <w:pPr>
                    <w:jc w:val="center"/>
                    <w:rPr>
                      <w:szCs w:val="21"/>
                    </w:rPr>
                  </w:pPr>
                </w:p>
              </w:tc>
              <w:tc>
                <w:tcPr>
                  <w:tcW w:w="738" w:type="pct"/>
                  <w:gridSpan w:val="2"/>
                  <w:shd w:val="clear" w:color="auto" w:fill="auto"/>
                  <w:vAlign w:val="center"/>
                </w:tcPr>
                <w:p w14:paraId="4CDCB598">
                  <w:pPr>
                    <w:jc w:val="center"/>
                    <w:rPr>
                      <w:bCs/>
                      <w:szCs w:val="21"/>
                    </w:rPr>
                  </w:pPr>
                  <w:r>
                    <w:rPr>
                      <w:rFonts w:hint="eastAsia"/>
                      <w:szCs w:val="21"/>
                    </w:rPr>
                    <w:t>供水</w:t>
                  </w:r>
                </w:p>
              </w:tc>
              <w:tc>
                <w:tcPr>
                  <w:tcW w:w="3210" w:type="pct"/>
                  <w:shd w:val="clear" w:color="auto" w:fill="auto"/>
                  <w:vAlign w:val="center"/>
                </w:tcPr>
                <w:p w14:paraId="4A2F62F5">
                  <w:pPr>
                    <w:rPr>
                      <w:bCs/>
                      <w:szCs w:val="21"/>
                    </w:rPr>
                  </w:pPr>
                  <w:r>
                    <w:rPr>
                      <w:rFonts w:hint="eastAsia"/>
                      <w:szCs w:val="21"/>
                    </w:rPr>
                    <w:t>园区给水</w:t>
                  </w:r>
                  <w:r>
                    <w:rPr>
                      <w:szCs w:val="21"/>
                    </w:rPr>
                    <w:t>管网供</w:t>
                  </w:r>
                  <w:r>
                    <w:rPr>
                      <w:rFonts w:hint="eastAsia"/>
                      <w:szCs w:val="21"/>
                    </w:rPr>
                    <w:t>水。</w:t>
                  </w:r>
                </w:p>
              </w:tc>
              <w:tc>
                <w:tcPr>
                  <w:tcW w:w="648" w:type="pct"/>
                  <w:shd w:val="clear" w:color="auto" w:fill="auto"/>
                  <w:vAlign w:val="center"/>
                </w:tcPr>
                <w:p w14:paraId="16F42992">
                  <w:pPr>
                    <w:jc w:val="center"/>
                    <w:rPr>
                      <w:szCs w:val="21"/>
                    </w:rPr>
                  </w:pPr>
                  <w:r>
                    <w:rPr>
                      <w:rFonts w:hint="eastAsia"/>
                      <w:szCs w:val="21"/>
                    </w:rPr>
                    <w:t>/</w:t>
                  </w:r>
                </w:p>
              </w:tc>
            </w:tr>
            <w:tr w14:paraId="0B70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04" w:type="pct"/>
                  <w:vMerge w:val="continue"/>
                  <w:shd w:val="clear" w:color="auto" w:fill="auto"/>
                  <w:vAlign w:val="center"/>
                </w:tcPr>
                <w:p w14:paraId="21C0012B">
                  <w:pPr>
                    <w:jc w:val="center"/>
                    <w:rPr>
                      <w:szCs w:val="21"/>
                    </w:rPr>
                  </w:pPr>
                </w:p>
              </w:tc>
              <w:tc>
                <w:tcPr>
                  <w:tcW w:w="738" w:type="pct"/>
                  <w:gridSpan w:val="2"/>
                  <w:shd w:val="clear" w:color="auto" w:fill="auto"/>
                  <w:vAlign w:val="center"/>
                </w:tcPr>
                <w:p w14:paraId="5DF9882A">
                  <w:pPr>
                    <w:jc w:val="center"/>
                    <w:rPr>
                      <w:bCs/>
                      <w:szCs w:val="21"/>
                    </w:rPr>
                  </w:pPr>
                  <w:r>
                    <w:rPr>
                      <w:rFonts w:hint="eastAsia"/>
                      <w:szCs w:val="21"/>
                    </w:rPr>
                    <w:t>供气</w:t>
                  </w:r>
                </w:p>
              </w:tc>
              <w:tc>
                <w:tcPr>
                  <w:tcW w:w="3210" w:type="pct"/>
                  <w:shd w:val="clear" w:color="auto" w:fill="auto"/>
                  <w:vAlign w:val="center"/>
                </w:tcPr>
                <w:p w14:paraId="48E9A047">
                  <w:pPr>
                    <w:rPr>
                      <w:bCs/>
                      <w:szCs w:val="21"/>
                    </w:rPr>
                  </w:pPr>
                  <w:r>
                    <w:rPr>
                      <w:rFonts w:hint="eastAsia"/>
                      <w:szCs w:val="21"/>
                    </w:rPr>
                    <w:t>园区天然气管网供气。</w:t>
                  </w:r>
                </w:p>
              </w:tc>
              <w:tc>
                <w:tcPr>
                  <w:tcW w:w="648" w:type="pct"/>
                  <w:shd w:val="clear" w:color="auto" w:fill="auto"/>
                  <w:vAlign w:val="center"/>
                </w:tcPr>
                <w:p w14:paraId="45B6A8A5">
                  <w:pPr>
                    <w:jc w:val="center"/>
                    <w:rPr>
                      <w:szCs w:val="21"/>
                    </w:rPr>
                  </w:pPr>
                  <w:r>
                    <w:rPr>
                      <w:rFonts w:hint="eastAsia"/>
                      <w:szCs w:val="21"/>
                    </w:rPr>
                    <w:t>/</w:t>
                  </w:r>
                </w:p>
              </w:tc>
            </w:tr>
            <w:tr w14:paraId="0B5B9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restart"/>
                  <w:shd w:val="clear" w:color="auto" w:fill="auto"/>
                  <w:vAlign w:val="center"/>
                </w:tcPr>
                <w:p w14:paraId="765913CD">
                  <w:pPr>
                    <w:jc w:val="center"/>
                    <w:rPr>
                      <w:szCs w:val="21"/>
                    </w:rPr>
                  </w:pPr>
                  <w:r>
                    <w:rPr>
                      <w:rFonts w:hint="eastAsia"/>
                      <w:szCs w:val="21"/>
                    </w:rPr>
                    <w:t>环保</w:t>
                  </w:r>
                  <w:r>
                    <w:rPr>
                      <w:szCs w:val="21"/>
                    </w:rPr>
                    <w:t>工程</w:t>
                  </w:r>
                </w:p>
              </w:tc>
              <w:tc>
                <w:tcPr>
                  <w:tcW w:w="246" w:type="pct"/>
                  <w:vMerge w:val="restart"/>
                  <w:shd w:val="clear" w:color="auto" w:fill="auto"/>
                  <w:vAlign w:val="center"/>
                </w:tcPr>
                <w:p w14:paraId="525992F0">
                  <w:pPr>
                    <w:jc w:val="center"/>
                    <w:rPr>
                      <w:szCs w:val="21"/>
                    </w:rPr>
                  </w:pPr>
                  <w:r>
                    <w:rPr>
                      <w:rFonts w:hint="eastAsia"/>
                      <w:szCs w:val="21"/>
                    </w:rPr>
                    <w:t>废气</w:t>
                  </w:r>
                </w:p>
              </w:tc>
              <w:tc>
                <w:tcPr>
                  <w:tcW w:w="492" w:type="pct"/>
                  <w:shd w:val="clear" w:color="auto" w:fill="auto"/>
                  <w:vAlign w:val="center"/>
                </w:tcPr>
                <w:p w14:paraId="5166D794">
                  <w:pPr>
                    <w:jc w:val="center"/>
                    <w:rPr>
                      <w:szCs w:val="21"/>
                    </w:rPr>
                  </w:pPr>
                  <w:r>
                    <w:rPr>
                      <w:rFonts w:hint="eastAsia"/>
                      <w:szCs w:val="21"/>
                    </w:rPr>
                    <w:t>UV喷涂和家电喷涂废气</w:t>
                  </w:r>
                </w:p>
              </w:tc>
              <w:tc>
                <w:tcPr>
                  <w:tcW w:w="3210" w:type="pct"/>
                  <w:shd w:val="clear" w:color="auto" w:fill="auto"/>
                  <w:vAlign w:val="center"/>
                </w:tcPr>
                <w:p w14:paraId="71693329">
                  <w:pPr>
                    <w:rPr>
                      <w:bCs/>
                      <w:szCs w:val="21"/>
                    </w:rPr>
                  </w:pPr>
                  <w:r>
                    <w:rPr>
                      <w:rFonts w:hint="eastAsia"/>
                      <w:bCs/>
                      <w:szCs w:val="21"/>
                    </w:rPr>
                    <w:t>UV喷涂线和家电喷涂线产生的漆雾、有机废气分别通过“收集装置+油漆离心拦截器（除漆雾）”处理后汇总，再经过“低温等离子体+光催化+干式过滤+二级活性炭吸附”处理后，经15m排气筒（DA001、DA003）达标排放。</w:t>
                  </w:r>
                </w:p>
              </w:tc>
              <w:tc>
                <w:tcPr>
                  <w:tcW w:w="648" w:type="pct"/>
                  <w:vMerge w:val="restart"/>
                  <w:shd w:val="clear" w:color="auto" w:fill="auto"/>
                  <w:vAlign w:val="center"/>
                </w:tcPr>
                <w:p w14:paraId="6BDCA966">
                  <w:pPr>
                    <w:jc w:val="center"/>
                    <w:rPr>
                      <w:szCs w:val="21"/>
                    </w:rPr>
                  </w:pPr>
                  <w:r>
                    <w:rPr>
                      <w:rFonts w:hint="eastAsia"/>
                      <w:szCs w:val="21"/>
                    </w:rPr>
                    <w:t>废漆渣、废UV光灯、废活性炭、噪声</w:t>
                  </w:r>
                </w:p>
              </w:tc>
            </w:tr>
            <w:tr w14:paraId="05EB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4DA7B7C9">
                  <w:pPr>
                    <w:jc w:val="center"/>
                    <w:rPr>
                      <w:szCs w:val="21"/>
                    </w:rPr>
                  </w:pPr>
                </w:p>
              </w:tc>
              <w:tc>
                <w:tcPr>
                  <w:tcW w:w="246" w:type="pct"/>
                  <w:vMerge w:val="continue"/>
                  <w:shd w:val="clear" w:color="auto" w:fill="auto"/>
                  <w:vAlign w:val="center"/>
                </w:tcPr>
                <w:p w14:paraId="36426D91">
                  <w:pPr>
                    <w:jc w:val="center"/>
                    <w:rPr>
                      <w:szCs w:val="21"/>
                    </w:rPr>
                  </w:pPr>
                </w:p>
              </w:tc>
              <w:tc>
                <w:tcPr>
                  <w:tcW w:w="492" w:type="pct"/>
                  <w:shd w:val="clear" w:color="auto" w:fill="auto"/>
                  <w:vAlign w:val="center"/>
                </w:tcPr>
                <w:p w14:paraId="2D721B75">
                  <w:pPr>
                    <w:jc w:val="center"/>
                    <w:rPr>
                      <w:szCs w:val="21"/>
                    </w:rPr>
                  </w:pPr>
                  <w:r>
                    <w:rPr>
                      <w:rFonts w:hint="eastAsia"/>
                      <w:szCs w:val="21"/>
                    </w:rPr>
                    <w:t>酒瓶及瓶盖喷涂废气</w:t>
                  </w:r>
                </w:p>
              </w:tc>
              <w:tc>
                <w:tcPr>
                  <w:tcW w:w="3210" w:type="pct"/>
                  <w:shd w:val="clear" w:color="auto" w:fill="auto"/>
                  <w:vAlign w:val="center"/>
                </w:tcPr>
                <w:p w14:paraId="0D9431CC">
                  <w:pPr>
                    <w:rPr>
                      <w:bCs/>
                      <w:szCs w:val="21"/>
                    </w:rPr>
                  </w:pPr>
                  <w:r>
                    <w:rPr>
                      <w:rFonts w:hint="eastAsia"/>
                      <w:bCs/>
                      <w:szCs w:val="21"/>
                    </w:rPr>
                    <w:t>通过“密闭喷漆生产线（工件进出口除外）+微负压收集+二级水帘+三级螺旋水洗+干燥过滤+二级活性炭吸附”处理，经15m排气筒（DA002）达标排放。</w:t>
                  </w:r>
                </w:p>
              </w:tc>
              <w:tc>
                <w:tcPr>
                  <w:tcW w:w="648" w:type="pct"/>
                  <w:vMerge w:val="continue"/>
                  <w:shd w:val="clear" w:color="auto" w:fill="auto"/>
                  <w:vAlign w:val="center"/>
                </w:tcPr>
                <w:p w14:paraId="09470DDE">
                  <w:pPr>
                    <w:jc w:val="center"/>
                    <w:rPr>
                      <w:szCs w:val="21"/>
                    </w:rPr>
                  </w:pPr>
                </w:p>
              </w:tc>
            </w:tr>
            <w:tr w14:paraId="19CB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06BAE50F">
                  <w:pPr>
                    <w:jc w:val="center"/>
                    <w:rPr>
                      <w:szCs w:val="21"/>
                    </w:rPr>
                  </w:pPr>
                </w:p>
              </w:tc>
              <w:tc>
                <w:tcPr>
                  <w:tcW w:w="246" w:type="pct"/>
                  <w:vMerge w:val="continue"/>
                  <w:shd w:val="clear" w:color="auto" w:fill="auto"/>
                  <w:vAlign w:val="center"/>
                </w:tcPr>
                <w:p w14:paraId="4AF21490">
                  <w:pPr>
                    <w:jc w:val="center"/>
                    <w:rPr>
                      <w:szCs w:val="21"/>
                    </w:rPr>
                  </w:pPr>
                </w:p>
              </w:tc>
              <w:tc>
                <w:tcPr>
                  <w:tcW w:w="492" w:type="pct"/>
                  <w:shd w:val="clear" w:color="auto" w:fill="auto"/>
                  <w:vAlign w:val="center"/>
                </w:tcPr>
                <w:p w14:paraId="440BC748">
                  <w:pPr>
                    <w:jc w:val="center"/>
                    <w:rPr>
                      <w:szCs w:val="21"/>
                    </w:rPr>
                  </w:pPr>
                  <w:r>
                    <w:rPr>
                      <w:rFonts w:hint="eastAsia"/>
                      <w:szCs w:val="21"/>
                    </w:rPr>
                    <w:t>喷砂、镭雕废气</w:t>
                  </w:r>
                </w:p>
              </w:tc>
              <w:tc>
                <w:tcPr>
                  <w:tcW w:w="3210" w:type="pct"/>
                  <w:shd w:val="clear" w:color="auto" w:fill="auto"/>
                  <w:vAlign w:val="center"/>
                </w:tcPr>
                <w:p w14:paraId="12E8EF5F">
                  <w:pPr>
                    <w:rPr>
                      <w:bCs/>
                      <w:szCs w:val="21"/>
                    </w:rPr>
                  </w:pPr>
                  <w:r>
                    <w:rPr>
                      <w:rFonts w:hint="eastAsia"/>
                      <w:bCs/>
                      <w:szCs w:val="21"/>
                    </w:rPr>
                    <w:t>喷砂生产机组、镭雕机自带布袋除尘系统，对半成品玻璃酒瓶进行喷砂、镭雕时产生的粉尘经设备自带除尘系统处理后排放。</w:t>
                  </w:r>
                </w:p>
              </w:tc>
              <w:tc>
                <w:tcPr>
                  <w:tcW w:w="648" w:type="pct"/>
                  <w:shd w:val="clear" w:color="auto" w:fill="auto"/>
                  <w:vAlign w:val="center"/>
                </w:tcPr>
                <w:p w14:paraId="0D33DDAA">
                  <w:pPr>
                    <w:jc w:val="center"/>
                    <w:rPr>
                      <w:szCs w:val="21"/>
                    </w:rPr>
                  </w:pPr>
                  <w:r>
                    <w:rPr>
                      <w:rFonts w:hint="eastAsia"/>
                      <w:szCs w:val="21"/>
                    </w:rPr>
                    <w:t>除尘器收灰、噪声</w:t>
                  </w:r>
                </w:p>
              </w:tc>
            </w:tr>
            <w:tr w14:paraId="0A48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1E069BEA">
                  <w:pPr>
                    <w:jc w:val="center"/>
                    <w:rPr>
                      <w:szCs w:val="21"/>
                    </w:rPr>
                  </w:pPr>
                </w:p>
              </w:tc>
              <w:tc>
                <w:tcPr>
                  <w:tcW w:w="246" w:type="pct"/>
                  <w:vMerge w:val="continue"/>
                  <w:shd w:val="clear" w:color="auto" w:fill="auto"/>
                  <w:vAlign w:val="center"/>
                </w:tcPr>
                <w:p w14:paraId="7E981CC5">
                  <w:pPr>
                    <w:jc w:val="center"/>
                    <w:rPr>
                      <w:szCs w:val="21"/>
                    </w:rPr>
                  </w:pPr>
                </w:p>
              </w:tc>
              <w:tc>
                <w:tcPr>
                  <w:tcW w:w="492" w:type="pct"/>
                  <w:shd w:val="clear" w:color="auto" w:fill="auto"/>
                  <w:vAlign w:val="center"/>
                </w:tcPr>
                <w:p w14:paraId="2C94BDAF">
                  <w:pPr>
                    <w:jc w:val="center"/>
                    <w:rPr>
                      <w:szCs w:val="21"/>
                    </w:rPr>
                  </w:pPr>
                  <w:r>
                    <w:rPr>
                      <w:rFonts w:hint="eastAsia"/>
                      <w:bCs/>
                      <w:szCs w:val="21"/>
                    </w:rPr>
                    <w:t>食堂油烟</w:t>
                  </w:r>
                </w:p>
              </w:tc>
              <w:tc>
                <w:tcPr>
                  <w:tcW w:w="3210" w:type="pct"/>
                  <w:shd w:val="clear" w:color="auto" w:fill="auto"/>
                  <w:vAlign w:val="center"/>
                </w:tcPr>
                <w:p w14:paraId="613DAFD3">
                  <w:pPr>
                    <w:rPr>
                      <w:bCs/>
                      <w:szCs w:val="21"/>
                    </w:rPr>
                  </w:pPr>
                  <w:r>
                    <w:rPr>
                      <w:rFonts w:hint="eastAsia"/>
                      <w:bCs/>
                      <w:szCs w:val="21"/>
                    </w:rPr>
                    <w:t>采用食堂油烟净化器处理后引至食堂屋顶排放（DA004</w:t>
                  </w:r>
                  <w:r>
                    <w:rPr>
                      <w:bCs/>
                      <w:szCs w:val="21"/>
                    </w:rPr>
                    <w:t>）</w:t>
                  </w:r>
                  <w:r>
                    <w:rPr>
                      <w:rFonts w:hint="eastAsia"/>
                      <w:bCs/>
                      <w:szCs w:val="21"/>
                    </w:rPr>
                    <w:t>。</w:t>
                  </w:r>
                </w:p>
              </w:tc>
              <w:tc>
                <w:tcPr>
                  <w:tcW w:w="648" w:type="pct"/>
                  <w:shd w:val="clear" w:color="auto" w:fill="auto"/>
                  <w:vAlign w:val="center"/>
                </w:tcPr>
                <w:p w14:paraId="168F15E9">
                  <w:pPr>
                    <w:jc w:val="center"/>
                    <w:rPr>
                      <w:szCs w:val="21"/>
                    </w:rPr>
                  </w:pPr>
                  <w:r>
                    <w:rPr>
                      <w:rFonts w:hint="eastAsia"/>
                      <w:bCs/>
                      <w:szCs w:val="21"/>
                    </w:rPr>
                    <w:t>噪声</w:t>
                  </w:r>
                </w:p>
              </w:tc>
            </w:tr>
            <w:tr w14:paraId="48B99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29D01460">
                  <w:pPr>
                    <w:jc w:val="center"/>
                    <w:rPr>
                      <w:szCs w:val="21"/>
                    </w:rPr>
                  </w:pPr>
                </w:p>
              </w:tc>
              <w:tc>
                <w:tcPr>
                  <w:tcW w:w="246" w:type="pct"/>
                  <w:vMerge w:val="restart"/>
                  <w:shd w:val="clear" w:color="auto" w:fill="auto"/>
                  <w:vAlign w:val="center"/>
                </w:tcPr>
                <w:p w14:paraId="2EAA7062">
                  <w:pPr>
                    <w:jc w:val="center"/>
                    <w:rPr>
                      <w:szCs w:val="21"/>
                    </w:rPr>
                  </w:pPr>
                  <w:r>
                    <w:rPr>
                      <w:rFonts w:hint="eastAsia"/>
                      <w:szCs w:val="21"/>
                    </w:rPr>
                    <w:t>废水</w:t>
                  </w:r>
                </w:p>
              </w:tc>
              <w:tc>
                <w:tcPr>
                  <w:tcW w:w="492" w:type="pct"/>
                  <w:shd w:val="clear" w:color="auto" w:fill="auto"/>
                  <w:vAlign w:val="center"/>
                </w:tcPr>
                <w:p w14:paraId="5BA61A58">
                  <w:pPr>
                    <w:jc w:val="center"/>
                    <w:rPr>
                      <w:bCs/>
                      <w:szCs w:val="21"/>
                    </w:rPr>
                  </w:pPr>
                  <w:r>
                    <w:rPr>
                      <w:szCs w:val="21"/>
                    </w:rPr>
                    <w:t>预处理池</w:t>
                  </w:r>
                </w:p>
              </w:tc>
              <w:tc>
                <w:tcPr>
                  <w:tcW w:w="3210" w:type="pct"/>
                  <w:shd w:val="clear" w:color="auto" w:fill="auto"/>
                  <w:vAlign w:val="center"/>
                </w:tcPr>
                <w:p w14:paraId="0E4D8B65">
                  <w:pPr>
                    <w:rPr>
                      <w:bCs/>
                      <w:szCs w:val="21"/>
                    </w:rPr>
                  </w:pPr>
                  <w:r>
                    <w:rPr>
                      <w:rFonts w:hint="eastAsia"/>
                      <w:szCs w:val="21"/>
                    </w:rPr>
                    <w:t>依托厂区已建的1个预处理池，容积</w:t>
                  </w:r>
                  <w:r>
                    <w:rPr>
                      <w:szCs w:val="21"/>
                    </w:rPr>
                    <w:t>40</w:t>
                  </w:r>
                  <w:r>
                    <w:rPr>
                      <w:rFonts w:hint="eastAsia"/>
                      <w:szCs w:val="21"/>
                    </w:rPr>
                    <w:t>m</w:t>
                  </w:r>
                  <w:r>
                    <w:rPr>
                      <w:rFonts w:hint="eastAsia"/>
                      <w:szCs w:val="21"/>
                      <w:vertAlign w:val="superscript"/>
                    </w:rPr>
                    <w:t>3</w:t>
                  </w:r>
                  <w:r>
                    <w:rPr>
                      <w:rFonts w:hint="eastAsia"/>
                      <w:szCs w:val="21"/>
                    </w:rPr>
                    <w:t>，用于生活污水预处理。</w:t>
                  </w:r>
                </w:p>
              </w:tc>
              <w:tc>
                <w:tcPr>
                  <w:tcW w:w="648" w:type="pct"/>
                  <w:shd w:val="clear" w:color="auto" w:fill="auto"/>
                  <w:vAlign w:val="center"/>
                </w:tcPr>
                <w:p w14:paraId="4FE96AF8">
                  <w:pPr>
                    <w:jc w:val="center"/>
                    <w:rPr>
                      <w:szCs w:val="21"/>
                    </w:rPr>
                  </w:pPr>
                  <w:r>
                    <w:rPr>
                      <w:rFonts w:hint="eastAsia"/>
                      <w:szCs w:val="21"/>
                    </w:rPr>
                    <w:t>污泥</w:t>
                  </w:r>
                </w:p>
              </w:tc>
            </w:tr>
            <w:tr w14:paraId="34AD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140888D2">
                  <w:pPr>
                    <w:jc w:val="center"/>
                    <w:rPr>
                      <w:szCs w:val="21"/>
                    </w:rPr>
                  </w:pPr>
                </w:p>
              </w:tc>
              <w:tc>
                <w:tcPr>
                  <w:tcW w:w="246" w:type="pct"/>
                  <w:vMerge w:val="continue"/>
                  <w:shd w:val="clear" w:color="auto" w:fill="auto"/>
                  <w:vAlign w:val="center"/>
                </w:tcPr>
                <w:p w14:paraId="2675A872">
                  <w:pPr>
                    <w:jc w:val="center"/>
                    <w:rPr>
                      <w:szCs w:val="21"/>
                    </w:rPr>
                  </w:pPr>
                </w:p>
              </w:tc>
              <w:tc>
                <w:tcPr>
                  <w:tcW w:w="492" w:type="pct"/>
                  <w:shd w:val="clear" w:color="auto" w:fill="auto"/>
                  <w:vAlign w:val="center"/>
                </w:tcPr>
                <w:p w14:paraId="0ACBF42F">
                  <w:pPr>
                    <w:jc w:val="center"/>
                    <w:rPr>
                      <w:bCs/>
                      <w:szCs w:val="21"/>
                    </w:rPr>
                  </w:pPr>
                  <w:r>
                    <w:rPr>
                      <w:rFonts w:hint="eastAsia"/>
                      <w:szCs w:val="21"/>
                    </w:rPr>
                    <w:t>隔油池</w:t>
                  </w:r>
                </w:p>
              </w:tc>
              <w:tc>
                <w:tcPr>
                  <w:tcW w:w="3210" w:type="pct"/>
                  <w:shd w:val="clear" w:color="auto" w:fill="auto"/>
                  <w:vAlign w:val="center"/>
                </w:tcPr>
                <w:p w14:paraId="4D636F96">
                  <w:pPr>
                    <w:rPr>
                      <w:bCs/>
                      <w:szCs w:val="21"/>
                    </w:rPr>
                  </w:pPr>
                  <w:r>
                    <w:rPr>
                      <w:rFonts w:hint="eastAsia"/>
                      <w:szCs w:val="21"/>
                    </w:rPr>
                    <w:t>依托厂区已建的1个隔油池，容积1m</w:t>
                  </w:r>
                  <w:r>
                    <w:rPr>
                      <w:rFonts w:hint="eastAsia"/>
                      <w:szCs w:val="21"/>
                      <w:vertAlign w:val="superscript"/>
                    </w:rPr>
                    <w:t>3</w:t>
                  </w:r>
                  <w:r>
                    <w:rPr>
                      <w:rFonts w:hint="eastAsia"/>
                      <w:szCs w:val="21"/>
                    </w:rPr>
                    <w:t>，用于食堂废水隔油处理。</w:t>
                  </w:r>
                </w:p>
              </w:tc>
              <w:tc>
                <w:tcPr>
                  <w:tcW w:w="648" w:type="pct"/>
                  <w:shd w:val="clear" w:color="auto" w:fill="auto"/>
                  <w:vAlign w:val="center"/>
                </w:tcPr>
                <w:p w14:paraId="7ABCB663">
                  <w:pPr>
                    <w:jc w:val="center"/>
                    <w:rPr>
                      <w:szCs w:val="21"/>
                    </w:rPr>
                  </w:pPr>
                  <w:r>
                    <w:rPr>
                      <w:rFonts w:hint="eastAsia"/>
                      <w:szCs w:val="21"/>
                    </w:rPr>
                    <w:t>浮油</w:t>
                  </w:r>
                </w:p>
              </w:tc>
            </w:tr>
            <w:tr w14:paraId="59233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5F71E666">
                  <w:pPr>
                    <w:jc w:val="center"/>
                    <w:rPr>
                      <w:szCs w:val="21"/>
                    </w:rPr>
                  </w:pPr>
                </w:p>
              </w:tc>
              <w:tc>
                <w:tcPr>
                  <w:tcW w:w="738" w:type="pct"/>
                  <w:gridSpan w:val="2"/>
                  <w:shd w:val="clear" w:color="auto" w:fill="auto"/>
                  <w:vAlign w:val="center"/>
                </w:tcPr>
                <w:p w14:paraId="2FA0B9A9">
                  <w:pPr>
                    <w:jc w:val="center"/>
                    <w:rPr>
                      <w:bCs/>
                      <w:szCs w:val="21"/>
                    </w:rPr>
                  </w:pPr>
                  <w:r>
                    <w:rPr>
                      <w:szCs w:val="21"/>
                    </w:rPr>
                    <w:t>固废暂存间</w:t>
                  </w:r>
                </w:p>
              </w:tc>
              <w:tc>
                <w:tcPr>
                  <w:tcW w:w="3210" w:type="pct"/>
                  <w:shd w:val="clear" w:color="auto" w:fill="auto"/>
                  <w:vAlign w:val="center"/>
                </w:tcPr>
                <w:p w14:paraId="43FF63BB">
                  <w:pPr>
                    <w:rPr>
                      <w:bCs/>
                      <w:szCs w:val="21"/>
                    </w:rPr>
                  </w:pPr>
                  <w:r>
                    <w:rPr>
                      <w:rFonts w:hint="eastAsia"/>
                      <w:szCs w:val="21"/>
                    </w:rPr>
                    <w:t>依托厂区已建的1间固废暂存间，面积约9</w:t>
                  </w:r>
                  <w:r>
                    <w:rPr>
                      <w:szCs w:val="21"/>
                    </w:rPr>
                    <w:t>0</w:t>
                  </w:r>
                  <w:r>
                    <w:rPr>
                      <w:rFonts w:hint="eastAsia"/>
                      <w:szCs w:val="21"/>
                    </w:rPr>
                    <w:t>m</w:t>
                  </w:r>
                  <w:r>
                    <w:rPr>
                      <w:szCs w:val="21"/>
                      <w:vertAlign w:val="superscript"/>
                    </w:rPr>
                    <w:t>2</w:t>
                  </w:r>
                  <w:r>
                    <w:rPr>
                      <w:rFonts w:hint="eastAsia"/>
                      <w:szCs w:val="21"/>
                    </w:rPr>
                    <w:t>，用于一般固体废物的暂存。</w:t>
                  </w:r>
                </w:p>
              </w:tc>
              <w:tc>
                <w:tcPr>
                  <w:tcW w:w="648" w:type="pct"/>
                  <w:shd w:val="clear" w:color="auto" w:fill="auto"/>
                  <w:vAlign w:val="center"/>
                </w:tcPr>
                <w:p w14:paraId="37A1E6E2">
                  <w:pPr>
                    <w:jc w:val="center"/>
                    <w:rPr>
                      <w:szCs w:val="21"/>
                    </w:rPr>
                  </w:pPr>
                  <w:r>
                    <w:rPr>
                      <w:rFonts w:hint="eastAsia"/>
                      <w:szCs w:val="21"/>
                    </w:rPr>
                    <w:t>固废</w:t>
                  </w:r>
                </w:p>
              </w:tc>
            </w:tr>
            <w:tr w14:paraId="5473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 w:type="pct"/>
                  <w:vMerge w:val="continue"/>
                  <w:shd w:val="clear" w:color="auto" w:fill="auto"/>
                  <w:vAlign w:val="center"/>
                </w:tcPr>
                <w:p w14:paraId="38534AD4">
                  <w:pPr>
                    <w:jc w:val="center"/>
                    <w:rPr>
                      <w:szCs w:val="21"/>
                    </w:rPr>
                  </w:pPr>
                </w:p>
              </w:tc>
              <w:tc>
                <w:tcPr>
                  <w:tcW w:w="738" w:type="pct"/>
                  <w:gridSpan w:val="2"/>
                  <w:shd w:val="clear" w:color="auto" w:fill="auto"/>
                  <w:vAlign w:val="center"/>
                </w:tcPr>
                <w:p w14:paraId="6E6A790F">
                  <w:pPr>
                    <w:jc w:val="center"/>
                    <w:rPr>
                      <w:bCs/>
                      <w:szCs w:val="21"/>
                    </w:rPr>
                  </w:pPr>
                  <w:r>
                    <w:rPr>
                      <w:szCs w:val="21"/>
                    </w:rPr>
                    <w:t>危废暂存间</w:t>
                  </w:r>
                </w:p>
              </w:tc>
              <w:tc>
                <w:tcPr>
                  <w:tcW w:w="3210" w:type="pct"/>
                  <w:shd w:val="clear" w:color="auto" w:fill="auto"/>
                  <w:vAlign w:val="center"/>
                </w:tcPr>
                <w:p w14:paraId="05B330AF">
                  <w:pPr>
                    <w:rPr>
                      <w:bCs/>
                      <w:szCs w:val="21"/>
                    </w:rPr>
                  </w:pPr>
                  <w:r>
                    <w:rPr>
                      <w:rFonts w:hint="eastAsia"/>
                      <w:szCs w:val="21"/>
                    </w:rPr>
                    <w:t>依托厂区已建的1间危废暂存间，面积约50m</w:t>
                  </w:r>
                  <w:r>
                    <w:rPr>
                      <w:szCs w:val="21"/>
                      <w:vertAlign w:val="superscript"/>
                    </w:rPr>
                    <w:t>2</w:t>
                  </w:r>
                  <w:r>
                    <w:rPr>
                      <w:rFonts w:hint="eastAsia"/>
                      <w:szCs w:val="21"/>
                    </w:rPr>
                    <w:t>，用于危险废物的暂存。</w:t>
                  </w:r>
                </w:p>
              </w:tc>
              <w:tc>
                <w:tcPr>
                  <w:tcW w:w="648" w:type="pct"/>
                  <w:shd w:val="clear" w:color="auto" w:fill="auto"/>
                  <w:vAlign w:val="center"/>
                </w:tcPr>
                <w:p w14:paraId="465F6358">
                  <w:pPr>
                    <w:jc w:val="center"/>
                    <w:rPr>
                      <w:szCs w:val="21"/>
                    </w:rPr>
                  </w:pPr>
                  <w:r>
                    <w:rPr>
                      <w:rFonts w:hint="eastAsia"/>
                      <w:szCs w:val="21"/>
                    </w:rPr>
                    <w:t>危险废物</w:t>
                  </w:r>
                </w:p>
              </w:tc>
            </w:tr>
          </w:tbl>
          <w:p w14:paraId="5B34F3E5">
            <w:pPr>
              <w:spacing w:line="360" w:lineRule="auto"/>
              <w:ind w:firstLine="482" w:firstLineChars="200"/>
              <w:rPr>
                <w:b/>
                <w:sz w:val="24"/>
              </w:rPr>
            </w:pPr>
            <w:r>
              <w:rPr>
                <w:rFonts w:hint="eastAsia"/>
                <w:b/>
                <w:sz w:val="24"/>
              </w:rPr>
              <w:t>（</w:t>
            </w:r>
            <w:r>
              <w:rPr>
                <w:b/>
                <w:sz w:val="24"/>
              </w:rPr>
              <w:t>3</w:t>
            </w:r>
            <w:r>
              <w:rPr>
                <w:rFonts w:hint="eastAsia"/>
                <w:b/>
                <w:sz w:val="24"/>
              </w:rPr>
              <w:t>）生产工艺及产污环节</w:t>
            </w:r>
          </w:p>
          <w:p w14:paraId="269BB1C4">
            <w:pPr>
              <w:spacing w:line="360" w:lineRule="auto"/>
              <w:ind w:firstLine="482" w:firstLineChars="200"/>
              <w:rPr>
                <w:rFonts w:cs="Times New Roman"/>
                <w:b/>
                <w:sz w:val="24"/>
                <w:szCs w:val="24"/>
              </w:rPr>
            </w:pPr>
            <w:r>
              <w:rPr>
                <w:rFonts w:hint="eastAsia" w:cs="Times New Roman"/>
                <w:b/>
                <w:sz w:val="24"/>
                <w:szCs w:val="24"/>
              </w:rPr>
              <w:t>①酒类包装瓶喷涂生产工艺</w:t>
            </w:r>
          </w:p>
          <w:p w14:paraId="270FDE5F">
            <w:pPr>
              <w:spacing w:line="360" w:lineRule="auto"/>
              <w:ind w:firstLine="480" w:firstLineChars="200"/>
              <w:rPr>
                <w:rFonts w:cs="Times New Roman"/>
                <w:bCs/>
                <w:sz w:val="24"/>
                <w:szCs w:val="24"/>
              </w:rPr>
            </w:pPr>
            <w:r>
              <w:rPr>
                <w:rFonts w:hint="eastAsia" w:cs="Times New Roman"/>
                <w:bCs/>
                <w:sz w:val="24"/>
                <w:szCs w:val="24"/>
              </w:rPr>
              <w:t>现有工程酒类包装瓶喷涂全年使用油性漆3个月，使用水性漆有9个月，喷涂工艺流程及产污环节如下。</w:t>
            </w:r>
          </w:p>
          <w:p w14:paraId="0D28384B">
            <w:pPr>
              <w:spacing w:line="360" w:lineRule="auto"/>
              <w:jc w:val="center"/>
              <w:rPr>
                <w:rFonts w:cs="Times New Roman"/>
                <w:bCs/>
                <w:sz w:val="24"/>
                <w:szCs w:val="24"/>
              </w:rPr>
            </w:pPr>
            <w:r>
              <w:drawing>
                <wp:inline distT="0" distB="0" distL="0" distR="0">
                  <wp:extent cx="3854450" cy="4714875"/>
                  <wp:effectExtent l="0" t="0" r="0" b="0"/>
                  <wp:docPr id="16459542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54231"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880706" cy="4746936"/>
                          </a:xfrm>
                          <a:prstGeom prst="rect">
                            <a:avLst/>
                          </a:prstGeom>
                          <a:noFill/>
                          <a:ln>
                            <a:noFill/>
                          </a:ln>
                        </pic:spPr>
                      </pic:pic>
                    </a:graphicData>
                  </a:graphic>
                </wp:inline>
              </w:drawing>
            </w:r>
            <w:bookmarkStart w:id="12" w:name="_GoBack"/>
            <w:bookmarkEnd w:id="12"/>
          </w:p>
          <w:p w14:paraId="1C135DE9">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酒类包装瓶喷涂工艺流程及产污环节图</w:t>
            </w:r>
          </w:p>
          <w:p w14:paraId="5107549E">
            <w:pPr>
              <w:spacing w:line="360" w:lineRule="auto"/>
              <w:ind w:firstLine="482" w:firstLineChars="200"/>
              <w:rPr>
                <w:rFonts w:cs="Times New Roman"/>
                <w:b/>
                <w:sz w:val="24"/>
                <w:szCs w:val="24"/>
              </w:rPr>
            </w:pPr>
            <w:r>
              <w:rPr>
                <w:rFonts w:hint="eastAsia" w:cs="Times New Roman"/>
                <w:b/>
                <w:sz w:val="24"/>
                <w:szCs w:val="24"/>
              </w:rPr>
              <w:t>②喷砂、镭雕生产工艺</w:t>
            </w:r>
          </w:p>
          <w:p w14:paraId="123549E5">
            <w:pPr>
              <w:spacing w:line="360" w:lineRule="auto"/>
              <w:ind w:firstLine="480" w:firstLineChars="200"/>
              <w:rPr>
                <w:rFonts w:cs="Times New Roman"/>
                <w:bCs/>
                <w:sz w:val="24"/>
                <w:szCs w:val="24"/>
              </w:rPr>
            </w:pPr>
            <w:r>
              <w:rPr>
                <w:rFonts w:hint="eastAsia" w:cs="Times New Roman"/>
                <w:bCs/>
                <w:sz w:val="24"/>
                <w:szCs w:val="24"/>
              </w:rPr>
              <w:t>现有工程喷砂、镭雕工艺流程及产污环节如下。</w:t>
            </w:r>
          </w:p>
          <w:p w14:paraId="29B1B0F7">
            <w:pPr>
              <w:spacing w:line="360" w:lineRule="auto"/>
              <w:jc w:val="center"/>
              <w:rPr>
                <w:rFonts w:cs="Times New Roman"/>
                <w:bCs/>
                <w:sz w:val="24"/>
                <w:szCs w:val="24"/>
              </w:rPr>
            </w:pPr>
            <w:r>
              <w:drawing>
                <wp:inline distT="0" distB="0" distL="0" distR="0">
                  <wp:extent cx="3228975" cy="1576070"/>
                  <wp:effectExtent l="0" t="0" r="0" b="5080"/>
                  <wp:docPr id="5336802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0250" name="图片 4"/>
                          <pic:cNvPicPr>
                            <a:picLocks noChangeAspect="1" noChangeArrowheads="1"/>
                          </pic:cNvPicPr>
                        </pic:nvPicPr>
                        <pic:blipFill>
                          <a:blip r:embed="rId31">
                            <a:extLst>
                              <a:ext uri="{28A0092B-C50C-407E-A947-70E740481C1C}">
                                <a14:useLocalDpi xmlns:a14="http://schemas.microsoft.com/office/drawing/2010/main" val="0"/>
                              </a:ext>
                            </a:extLst>
                          </a:blip>
                          <a:srcRect t="8781"/>
                          <a:stretch>
                            <a:fillRect/>
                          </a:stretch>
                        </pic:blipFill>
                        <pic:spPr>
                          <a:xfrm>
                            <a:off x="0" y="0"/>
                            <a:ext cx="3248129" cy="1585901"/>
                          </a:xfrm>
                          <a:prstGeom prst="rect">
                            <a:avLst/>
                          </a:prstGeom>
                          <a:noFill/>
                          <a:ln>
                            <a:noFill/>
                          </a:ln>
                        </pic:spPr>
                      </pic:pic>
                    </a:graphicData>
                  </a:graphic>
                </wp:inline>
              </w:drawing>
            </w:r>
          </w:p>
          <w:p w14:paraId="32420F6C">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喷砂、镭雕工艺流程及产污环节图</w:t>
            </w:r>
          </w:p>
          <w:p w14:paraId="1D4D998D">
            <w:pPr>
              <w:spacing w:line="360" w:lineRule="auto"/>
              <w:ind w:firstLine="482" w:firstLineChars="200"/>
              <w:rPr>
                <w:rFonts w:cs="Times New Roman"/>
                <w:b/>
                <w:sz w:val="24"/>
                <w:szCs w:val="24"/>
              </w:rPr>
            </w:pPr>
            <w:r>
              <w:rPr>
                <w:rFonts w:hint="eastAsia" w:cs="Times New Roman"/>
                <w:b/>
                <w:sz w:val="24"/>
                <w:szCs w:val="24"/>
              </w:rPr>
              <w:t>③家电制品喷涂生产工艺</w:t>
            </w:r>
          </w:p>
          <w:p w14:paraId="74939DFC">
            <w:pPr>
              <w:spacing w:line="360" w:lineRule="auto"/>
              <w:ind w:firstLine="480" w:firstLineChars="200"/>
              <w:rPr>
                <w:rFonts w:cs="Times New Roman"/>
                <w:bCs/>
                <w:sz w:val="24"/>
                <w:szCs w:val="24"/>
              </w:rPr>
            </w:pPr>
            <w:r>
              <w:rPr>
                <w:rFonts w:hint="eastAsia" w:cs="Times New Roman"/>
                <w:bCs/>
                <w:sz w:val="24"/>
                <w:szCs w:val="24"/>
              </w:rPr>
              <w:t>现有工程家电制品喷涂工艺流程及产污环节如下。</w:t>
            </w:r>
          </w:p>
          <w:p w14:paraId="7191C9C1">
            <w:pPr>
              <w:spacing w:line="360" w:lineRule="auto"/>
              <w:jc w:val="center"/>
              <w:rPr>
                <w:rFonts w:cs="Times New Roman"/>
                <w:bCs/>
                <w:sz w:val="24"/>
                <w:szCs w:val="24"/>
              </w:rPr>
            </w:pPr>
            <w:r>
              <w:drawing>
                <wp:inline distT="0" distB="0" distL="0" distR="0">
                  <wp:extent cx="3810000" cy="3729355"/>
                  <wp:effectExtent l="0" t="0" r="0" b="4445"/>
                  <wp:docPr id="1392428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2872"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828588" cy="3747755"/>
                          </a:xfrm>
                          <a:prstGeom prst="rect">
                            <a:avLst/>
                          </a:prstGeom>
                          <a:noFill/>
                          <a:ln>
                            <a:noFill/>
                          </a:ln>
                          <a:effectLst/>
                        </pic:spPr>
                      </pic:pic>
                    </a:graphicData>
                  </a:graphic>
                </wp:inline>
              </w:drawing>
            </w:r>
          </w:p>
          <w:p w14:paraId="4D2709C5">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家电制品喷涂工艺流程及产污环节图</w:t>
            </w:r>
          </w:p>
          <w:p w14:paraId="164F7EAA">
            <w:pPr>
              <w:spacing w:line="360" w:lineRule="auto"/>
              <w:ind w:firstLine="482" w:firstLineChars="200"/>
              <w:rPr>
                <w:rFonts w:cs="Times New Roman"/>
                <w:b/>
                <w:sz w:val="24"/>
                <w:szCs w:val="24"/>
              </w:rPr>
            </w:pPr>
            <w:r>
              <w:rPr>
                <w:rFonts w:hint="eastAsia" w:cs="Times New Roman"/>
                <w:b/>
                <w:sz w:val="24"/>
                <w:szCs w:val="24"/>
              </w:rPr>
              <w:t>④酒瓶及瓶盖表面处理工艺</w:t>
            </w:r>
          </w:p>
          <w:p w14:paraId="59F24C61">
            <w:pPr>
              <w:spacing w:line="360" w:lineRule="auto"/>
              <w:ind w:firstLine="480" w:firstLineChars="200"/>
              <w:rPr>
                <w:rFonts w:cs="Times New Roman"/>
                <w:bCs/>
                <w:sz w:val="24"/>
                <w:szCs w:val="24"/>
              </w:rPr>
            </w:pPr>
            <w:r>
              <w:rPr>
                <w:rFonts w:hint="eastAsia" w:cs="Times New Roman"/>
                <w:bCs/>
                <w:sz w:val="24"/>
                <w:szCs w:val="24"/>
              </w:rPr>
              <w:t>现有工程酒瓶及瓶盖表面处理工艺流程及产污环节如下。</w:t>
            </w:r>
          </w:p>
          <w:p w14:paraId="40DE7103">
            <w:pPr>
              <w:spacing w:line="360" w:lineRule="auto"/>
              <w:ind w:firstLine="480" w:firstLineChars="200"/>
              <w:rPr>
                <w:rFonts w:cs="Times New Roman"/>
                <w:bCs/>
                <w:sz w:val="24"/>
                <w:szCs w:val="24"/>
              </w:rPr>
            </w:pPr>
          </w:p>
          <w:p w14:paraId="5F0D74E2">
            <w:pPr>
              <w:spacing w:line="360" w:lineRule="auto"/>
              <w:ind w:firstLine="480" w:firstLineChars="200"/>
              <w:rPr>
                <w:rFonts w:cs="Times New Roman"/>
                <w:bCs/>
                <w:sz w:val="24"/>
                <w:szCs w:val="24"/>
              </w:rPr>
            </w:pPr>
          </w:p>
          <w:p w14:paraId="071FD75F">
            <w:pPr>
              <w:spacing w:line="360" w:lineRule="auto"/>
              <w:ind w:firstLine="480" w:firstLineChars="200"/>
              <w:rPr>
                <w:rFonts w:cs="Times New Roman"/>
                <w:bCs/>
                <w:sz w:val="24"/>
                <w:szCs w:val="24"/>
              </w:rPr>
            </w:pPr>
          </w:p>
          <w:p w14:paraId="77E26A0D">
            <w:pPr>
              <w:spacing w:line="360" w:lineRule="auto"/>
              <w:ind w:firstLine="480" w:firstLineChars="200"/>
              <w:rPr>
                <w:rFonts w:cs="Times New Roman"/>
                <w:bCs/>
                <w:sz w:val="24"/>
                <w:szCs w:val="24"/>
              </w:rPr>
            </w:pPr>
          </w:p>
          <w:p w14:paraId="053E491C">
            <w:pPr>
              <w:spacing w:line="360" w:lineRule="auto"/>
              <w:ind w:firstLine="480" w:firstLineChars="200"/>
              <w:rPr>
                <w:rFonts w:cs="Times New Roman"/>
                <w:bCs/>
                <w:sz w:val="24"/>
                <w:szCs w:val="24"/>
              </w:rPr>
            </w:pPr>
          </w:p>
          <w:p w14:paraId="45901F76">
            <w:pPr>
              <w:spacing w:line="360" w:lineRule="auto"/>
              <w:jc w:val="center"/>
              <w:rPr>
                <w:rFonts w:cs="Times New Roman"/>
                <w:bCs/>
                <w:sz w:val="24"/>
                <w:szCs w:val="24"/>
              </w:rPr>
            </w:pPr>
            <w:r>
              <w:drawing>
                <wp:inline distT="0" distB="0" distL="0" distR="0">
                  <wp:extent cx="3743325" cy="3933825"/>
                  <wp:effectExtent l="0" t="0" r="9525" b="0"/>
                  <wp:docPr id="6222882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88255" name="图片 6"/>
                          <pic:cNvPicPr>
                            <a:picLocks noChangeAspect="1" noChangeArrowheads="1"/>
                          </pic:cNvPicPr>
                        </pic:nvPicPr>
                        <pic:blipFill>
                          <a:blip r:embed="rId33">
                            <a:extLst>
                              <a:ext uri="{28A0092B-C50C-407E-A947-70E740481C1C}">
                                <a14:useLocalDpi xmlns:a14="http://schemas.microsoft.com/office/drawing/2010/main" val="0"/>
                              </a:ext>
                            </a:extLst>
                          </a:blip>
                          <a:srcRect l="3219"/>
                          <a:stretch>
                            <a:fillRect/>
                          </a:stretch>
                        </pic:blipFill>
                        <pic:spPr>
                          <a:xfrm>
                            <a:off x="0" y="0"/>
                            <a:ext cx="3759823" cy="3951126"/>
                          </a:xfrm>
                          <a:prstGeom prst="rect">
                            <a:avLst/>
                          </a:prstGeom>
                          <a:noFill/>
                          <a:ln>
                            <a:noFill/>
                          </a:ln>
                          <a:effectLst/>
                        </pic:spPr>
                      </pic:pic>
                    </a:graphicData>
                  </a:graphic>
                </wp:inline>
              </w:drawing>
            </w:r>
          </w:p>
          <w:p w14:paraId="08EA001B">
            <w:pPr>
              <w:pStyle w:val="51"/>
              <w:numPr>
                <w:ilvl w:val="0"/>
                <w:numId w:val="4"/>
              </w:numPr>
              <w:spacing w:line="360" w:lineRule="auto"/>
              <w:ind w:firstLineChars="0"/>
              <w:jc w:val="center"/>
              <w:rPr>
                <w:rFonts w:eastAsia="黑体" w:cs="Times New Roman"/>
                <w:szCs w:val="21"/>
              </w:rPr>
            </w:pPr>
            <w:r>
              <w:rPr>
                <w:rFonts w:hint="eastAsia" w:eastAsia="黑体" w:cs="Times New Roman"/>
                <w:szCs w:val="21"/>
              </w:rPr>
              <w:t>酒瓶及瓶盖表面处理工艺流程及产污环节图</w:t>
            </w:r>
          </w:p>
          <w:p w14:paraId="7F862C4E">
            <w:pPr>
              <w:spacing w:line="360" w:lineRule="auto"/>
              <w:ind w:firstLine="482" w:firstLineChars="200"/>
              <w:rPr>
                <w:b/>
                <w:sz w:val="24"/>
              </w:rPr>
            </w:pPr>
            <w:r>
              <w:rPr>
                <w:b/>
                <w:sz w:val="24"/>
              </w:rPr>
              <w:t>3</w:t>
            </w:r>
            <w:r>
              <w:rPr>
                <w:rFonts w:hint="eastAsia"/>
                <w:b/>
                <w:sz w:val="24"/>
              </w:rPr>
              <w:t>、主要环境保护措施及排放情况</w:t>
            </w:r>
          </w:p>
          <w:p w14:paraId="595E9A2E">
            <w:pPr>
              <w:spacing w:line="360" w:lineRule="auto"/>
              <w:ind w:firstLine="482" w:firstLineChars="200"/>
              <w:rPr>
                <w:b/>
                <w:sz w:val="24"/>
              </w:rPr>
            </w:pPr>
            <w:r>
              <w:rPr>
                <w:rFonts w:hint="eastAsia"/>
                <w:b/>
                <w:sz w:val="24"/>
              </w:rPr>
              <w:t>（</w:t>
            </w:r>
            <w:r>
              <w:rPr>
                <w:b/>
                <w:sz w:val="24"/>
              </w:rPr>
              <w:t>1</w:t>
            </w:r>
            <w:r>
              <w:rPr>
                <w:rFonts w:hint="eastAsia"/>
                <w:b/>
                <w:sz w:val="24"/>
              </w:rPr>
              <w:t>）废气</w:t>
            </w:r>
          </w:p>
          <w:p w14:paraId="1D4DBBA4">
            <w:pPr>
              <w:spacing w:line="360" w:lineRule="auto"/>
              <w:ind w:firstLine="482" w:firstLineChars="200"/>
              <w:rPr>
                <w:b/>
                <w:sz w:val="24"/>
              </w:rPr>
            </w:pPr>
            <w:r>
              <w:rPr>
                <w:rFonts w:hint="eastAsia"/>
                <w:b/>
                <w:sz w:val="24"/>
              </w:rPr>
              <w:t>1）治理措施</w:t>
            </w:r>
          </w:p>
          <w:p w14:paraId="4A244FC1">
            <w:pPr>
              <w:spacing w:line="360" w:lineRule="auto"/>
              <w:ind w:firstLine="482" w:firstLineChars="200"/>
              <w:rPr>
                <w:b/>
                <w:sz w:val="24"/>
              </w:rPr>
            </w:pPr>
            <w:r>
              <w:rPr>
                <w:rFonts w:hint="eastAsia"/>
                <w:b/>
                <w:sz w:val="24"/>
              </w:rPr>
              <w:t>①UV喷涂和家电喷涂废气</w:t>
            </w:r>
          </w:p>
          <w:p w14:paraId="14151AD2">
            <w:pPr>
              <w:spacing w:line="360" w:lineRule="auto"/>
              <w:ind w:firstLine="480" w:firstLineChars="200"/>
              <w:rPr>
                <w:rFonts w:cs="Times New Roman"/>
                <w:sz w:val="24"/>
                <w:szCs w:val="24"/>
              </w:rPr>
            </w:pPr>
            <w:r>
              <w:rPr>
                <w:rFonts w:hint="eastAsia" w:cs="Times New Roman"/>
                <w:sz w:val="24"/>
                <w:szCs w:val="24"/>
              </w:rPr>
              <w:t>现有工程UV喷涂、家电喷涂生产线均由“烘道+静电室+喷漆室+烘道+喷漆室+烘道+UV固化室”依次紧密连接构成，通道全封闭式（工件进出口除外），每个喷漆室均装有油漆离心拦截器装置，去除喷漆过程中产生的漆雾，去除漆雾后的喷漆废气与烘道、固化室废气汇总后接入“低温等离子体+光催化+干式过滤+二级活性炭吸附”（共2套）处理，通过2根15m高排气筒（DA001、DA003）排放。</w:t>
            </w:r>
          </w:p>
          <w:p w14:paraId="1C4EFCE7">
            <w:pPr>
              <w:spacing w:line="360" w:lineRule="auto"/>
              <w:ind w:firstLine="482" w:firstLineChars="200"/>
              <w:rPr>
                <w:rFonts w:cs="Times New Roman"/>
                <w:b/>
                <w:sz w:val="24"/>
                <w:szCs w:val="24"/>
              </w:rPr>
            </w:pPr>
            <w:r>
              <w:rPr>
                <w:rFonts w:hint="eastAsia" w:cs="Times New Roman"/>
                <w:b/>
                <w:sz w:val="24"/>
                <w:szCs w:val="24"/>
              </w:rPr>
              <w:t>②酒瓶及瓶盖喷涂废气</w:t>
            </w:r>
          </w:p>
          <w:p w14:paraId="603045CC">
            <w:pPr>
              <w:spacing w:line="360" w:lineRule="auto"/>
              <w:ind w:firstLine="480" w:firstLineChars="200"/>
              <w:rPr>
                <w:rFonts w:cs="Times New Roman"/>
                <w:sz w:val="24"/>
                <w:szCs w:val="24"/>
              </w:rPr>
            </w:pPr>
            <w:r>
              <w:rPr>
                <w:rFonts w:hint="eastAsia" w:cs="Times New Roman"/>
                <w:sz w:val="24"/>
                <w:szCs w:val="24"/>
              </w:rPr>
              <w:t>现有工程酒瓶及瓶盖喷涂生产线由“烘道+静电室+喷漆室+烘道+喷漆室+烘道+UV室”依次紧密连接构成，通道全封闭式（工件进出口除外），静电除尘室、烘道、固化室分别装有废气收集管道，同时2个喷漆室装有侧式二级水帘装置，吸附喷漆过程中产生的漆雾采用负压引风系统，管道废气通过“密闭喷漆生产线（工件进出口除外）+微负压收集+二级水帘+三级螺旋水洗+干燥过滤+二级活性炭吸附”处理，经15m排气筒（DA002）。</w:t>
            </w:r>
          </w:p>
          <w:p w14:paraId="09075C70">
            <w:pPr>
              <w:spacing w:line="360" w:lineRule="auto"/>
              <w:ind w:firstLine="482" w:firstLineChars="200"/>
              <w:rPr>
                <w:rFonts w:cs="Times New Roman"/>
                <w:b/>
                <w:sz w:val="24"/>
                <w:szCs w:val="24"/>
              </w:rPr>
            </w:pPr>
            <w:r>
              <w:rPr>
                <w:rFonts w:hint="eastAsia" w:cs="Times New Roman"/>
                <w:b/>
                <w:sz w:val="24"/>
                <w:szCs w:val="24"/>
              </w:rPr>
              <w:t>③喷砂、镭雕废气</w:t>
            </w:r>
          </w:p>
          <w:p w14:paraId="368E52ED">
            <w:pPr>
              <w:spacing w:line="360" w:lineRule="auto"/>
              <w:ind w:firstLine="480" w:firstLineChars="200"/>
              <w:rPr>
                <w:rFonts w:cs="Times New Roman"/>
                <w:sz w:val="24"/>
                <w:szCs w:val="24"/>
              </w:rPr>
            </w:pPr>
            <w:r>
              <w:rPr>
                <w:rFonts w:hint="eastAsia" w:cs="Times New Roman"/>
                <w:sz w:val="24"/>
                <w:szCs w:val="24"/>
              </w:rPr>
              <w:t>现有工程喷砂、镭雕生产时，玻璃瓶均在机器内部加工室进行，喷砂生产机组、镭雕机自带布袋除尘系统，对半成品玻璃酒瓶进行喷砂、镭雕时产生的粉尘经设备自带除尘系统处理后排放。</w:t>
            </w:r>
          </w:p>
          <w:p w14:paraId="1E710931">
            <w:pPr>
              <w:spacing w:line="360" w:lineRule="auto"/>
              <w:ind w:firstLine="482" w:firstLineChars="200"/>
              <w:rPr>
                <w:rFonts w:cs="Times New Roman"/>
                <w:b/>
                <w:sz w:val="24"/>
                <w:szCs w:val="24"/>
              </w:rPr>
            </w:pPr>
            <w:r>
              <w:rPr>
                <w:rFonts w:hint="eastAsia" w:cs="Times New Roman"/>
                <w:b/>
                <w:sz w:val="24"/>
                <w:szCs w:val="24"/>
              </w:rPr>
              <w:t>④食堂油烟</w:t>
            </w:r>
          </w:p>
          <w:p w14:paraId="717A687A">
            <w:pPr>
              <w:spacing w:line="360" w:lineRule="auto"/>
              <w:ind w:firstLine="480" w:firstLineChars="200"/>
              <w:rPr>
                <w:sz w:val="24"/>
              </w:rPr>
            </w:pPr>
            <w:r>
              <w:rPr>
                <w:rFonts w:hint="eastAsia" w:cs="Times New Roman"/>
                <w:sz w:val="24"/>
                <w:szCs w:val="24"/>
              </w:rPr>
              <w:t>现有工程</w:t>
            </w:r>
            <w:r>
              <w:rPr>
                <w:rFonts w:hint="eastAsia"/>
                <w:sz w:val="24"/>
              </w:rPr>
              <w:t>食堂油烟设1套油烟净化器处理后经油烟管道引至屋顶排放。</w:t>
            </w:r>
          </w:p>
          <w:p w14:paraId="2FE4EACC">
            <w:pPr>
              <w:spacing w:line="360" w:lineRule="auto"/>
              <w:ind w:firstLine="482" w:firstLineChars="200"/>
              <w:rPr>
                <w:b/>
                <w:bCs/>
                <w:sz w:val="24"/>
              </w:rPr>
            </w:pPr>
            <w:r>
              <w:rPr>
                <w:rFonts w:hint="eastAsia"/>
                <w:b/>
                <w:bCs/>
                <w:sz w:val="24"/>
              </w:rPr>
              <w:t>2）达标情况</w:t>
            </w:r>
          </w:p>
          <w:p w14:paraId="7C106BD9">
            <w:pPr>
              <w:spacing w:line="360" w:lineRule="auto"/>
              <w:ind w:firstLine="480" w:firstLineChars="200"/>
              <w:rPr>
                <w:sz w:val="24"/>
              </w:rPr>
            </w:pPr>
            <w:r>
              <w:rPr>
                <w:sz w:val="24"/>
              </w:rPr>
              <w:t>根据</w:t>
            </w:r>
            <w:r>
              <w:rPr>
                <w:rFonts w:hint="eastAsia"/>
                <w:sz w:val="24"/>
                <w:szCs w:val="24"/>
              </w:rPr>
              <w:t>四川圣拉斯包装制品有限公司验收监测报告</w:t>
            </w:r>
            <w:r>
              <w:rPr>
                <w:rFonts w:hint="eastAsia"/>
                <w:sz w:val="24"/>
              </w:rPr>
              <w:t>（HH23071706、铁环检字（2024）第07123号），现有工程废气监测结果见下表。</w:t>
            </w:r>
          </w:p>
          <w:p w14:paraId="55A94606">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有组织废气监测结果（1）</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839"/>
              <w:gridCol w:w="993"/>
              <w:gridCol w:w="1275"/>
              <w:gridCol w:w="1070"/>
              <w:gridCol w:w="1071"/>
              <w:gridCol w:w="1071"/>
              <w:gridCol w:w="1071"/>
              <w:gridCol w:w="703"/>
            </w:tblGrid>
            <w:tr w14:paraId="3E46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vMerge w:val="restart"/>
                  <w:vAlign w:val="center"/>
                </w:tcPr>
                <w:p w14:paraId="6C5EA018">
                  <w:pPr>
                    <w:jc w:val="center"/>
                    <w:rPr>
                      <w:szCs w:val="21"/>
                    </w:rPr>
                  </w:pPr>
                  <w:r>
                    <w:rPr>
                      <w:rFonts w:hint="eastAsia"/>
                      <w:szCs w:val="21"/>
                    </w:rPr>
                    <w:t>监测点位</w:t>
                  </w:r>
                </w:p>
              </w:tc>
              <w:tc>
                <w:tcPr>
                  <w:tcW w:w="839" w:type="dxa"/>
                  <w:vMerge w:val="restart"/>
                  <w:vAlign w:val="center"/>
                </w:tcPr>
                <w:p w14:paraId="302A48E0">
                  <w:pPr>
                    <w:jc w:val="center"/>
                    <w:rPr>
                      <w:szCs w:val="21"/>
                    </w:rPr>
                  </w:pPr>
                  <w:r>
                    <w:rPr>
                      <w:rFonts w:hint="eastAsia"/>
                      <w:szCs w:val="21"/>
                    </w:rPr>
                    <w:t>监测</w:t>
                  </w:r>
                </w:p>
                <w:p w14:paraId="0530A6A4">
                  <w:pPr>
                    <w:jc w:val="center"/>
                    <w:rPr>
                      <w:szCs w:val="21"/>
                    </w:rPr>
                  </w:pPr>
                  <w:r>
                    <w:rPr>
                      <w:rFonts w:hint="eastAsia"/>
                      <w:szCs w:val="21"/>
                    </w:rPr>
                    <w:t>日期</w:t>
                  </w:r>
                </w:p>
              </w:tc>
              <w:tc>
                <w:tcPr>
                  <w:tcW w:w="2268" w:type="dxa"/>
                  <w:gridSpan w:val="2"/>
                  <w:vMerge w:val="restart"/>
                  <w:vAlign w:val="center"/>
                </w:tcPr>
                <w:p w14:paraId="5A95ECB8">
                  <w:pPr>
                    <w:jc w:val="center"/>
                    <w:rPr>
                      <w:szCs w:val="21"/>
                    </w:rPr>
                  </w:pPr>
                  <w:r>
                    <w:rPr>
                      <w:rFonts w:hint="eastAsia"/>
                      <w:szCs w:val="21"/>
                    </w:rPr>
                    <w:t>监测项目</w:t>
                  </w:r>
                </w:p>
              </w:tc>
              <w:tc>
                <w:tcPr>
                  <w:tcW w:w="4283" w:type="dxa"/>
                  <w:gridSpan w:val="4"/>
                  <w:vAlign w:val="center"/>
                </w:tcPr>
                <w:p w14:paraId="5F0FF483">
                  <w:pPr>
                    <w:jc w:val="center"/>
                    <w:rPr>
                      <w:szCs w:val="21"/>
                    </w:rPr>
                  </w:pPr>
                  <w:r>
                    <w:rPr>
                      <w:rFonts w:hint="eastAsia"/>
                      <w:szCs w:val="21"/>
                    </w:rPr>
                    <w:t>监测结果</w:t>
                  </w:r>
                </w:p>
              </w:tc>
              <w:tc>
                <w:tcPr>
                  <w:tcW w:w="703" w:type="dxa"/>
                  <w:vMerge w:val="restart"/>
                  <w:vAlign w:val="center"/>
                </w:tcPr>
                <w:p w14:paraId="58F8FA42">
                  <w:pPr>
                    <w:jc w:val="center"/>
                    <w:rPr>
                      <w:szCs w:val="21"/>
                    </w:rPr>
                  </w:pPr>
                  <w:r>
                    <w:rPr>
                      <w:rFonts w:hint="eastAsia"/>
                      <w:szCs w:val="21"/>
                    </w:rPr>
                    <w:t>标准</w:t>
                  </w:r>
                </w:p>
                <w:p w14:paraId="02241BB0">
                  <w:pPr>
                    <w:jc w:val="center"/>
                    <w:rPr>
                      <w:szCs w:val="21"/>
                    </w:rPr>
                  </w:pPr>
                  <w:r>
                    <w:rPr>
                      <w:rFonts w:hint="eastAsia"/>
                      <w:szCs w:val="21"/>
                    </w:rPr>
                    <w:t>限值</w:t>
                  </w:r>
                </w:p>
              </w:tc>
            </w:tr>
            <w:tr w14:paraId="7DAE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3EB6C1B6">
                  <w:pPr>
                    <w:jc w:val="center"/>
                    <w:rPr>
                      <w:szCs w:val="21"/>
                    </w:rPr>
                  </w:pPr>
                </w:p>
              </w:tc>
              <w:tc>
                <w:tcPr>
                  <w:tcW w:w="839" w:type="dxa"/>
                  <w:vMerge w:val="continue"/>
                  <w:vAlign w:val="center"/>
                </w:tcPr>
                <w:p w14:paraId="0432359E">
                  <w:pPr>
                    <w:jc w:val="center"/>
                    <w:rPr>
                      <w:szCs w:val="21"/>
                    </w:rPr>
                  </w:pPr>
                </w:p>
              </w:tc>
              <w:tc>
                <w:tcPr>
                  <w:tcW w:w="2268" w:type="dxa"/>
                  <w:gridSpan w:val="2"/>
                  <w:vMerge w:val="continue"/>
                  <w:vAlign w:val="center"/>
                </w:tcPr>
                <w:p w14:paraId="451DC0F4">
                  <w:pPr>
                    <w:jc w:val="center"/>
                    <w:rPr>
                      <w:szCs w:val="21"/>
                    </w:rPr>
                  </w:pPr>
                </w:p>
              </w:tc>
              <w:tc>
                <w:tcPr>
                  <w:tcW w:w="1070" w:type="dxa"/>
                  <w:vAlign w:val="center"/>
                </w:tcPr>
                <w:p w14:paraId="21802084">
                  <w:pPr>
                    <w:jc w:val="center"/>
                    <w:rPr>
                      <w:szCs w:val="21"/>
                    </w:rPr>
                  </w:pPr>
                  <w:r>
                    <w:rPr>
                      <w:rFonts w:hint="eastAsia"/>
                      <w:szCs w:val="21"/>
                    </w:rPr>
                    <w:t>第一次</w:t>
                  </w:r>
                </w:p>
              </w:tc>
              <w:tc>
                <w:tcPr>
                  <w:tcW w:w="1071" w:type="dxa"/>
                  <w:vAlign w:val="center"/>
                </w:tcPr>
                <w:p w14:paraId="4B6C338E">
                  <w:pPr>
                    <w:jc w:val="center"/>
                    <w:rPr>
                      <w:szCs w:val="21"/>
                    </w:rPr>
                  </w:pPr>
                  <w:r>
                    <w:rPr>
                      <w:rFonts w:hint="eastAsia"/>
                      <w:szCs w:val="21"/>
                    </w:rPr>
                    <w:t>第二次</w:t>
                  </w:r>
                </w:p>
              </w:tc>
              <w:tc>
                <w:tcPr>
                  <w:tcW w:w="1071" w:type="dxa"/>
                  <w:vAlign w:val="center"/>
                </w:tcPr>
                <w:p w14:paraId="1102B2FE">
                  <w:pPr>
                    <w:jc w:val="center"/>
                    <w:rPr>
                      <w:szCs w:val="21"/>
                    </w:rPr>
                  </w:pPr>
                  <w:r>
                    <w:rPr>
                      <w:rFonts w:hint="eastAsia"/>
                      <w:szCs w:val="21"/>
                    </w:rPr>
                    <w:t>第三次</w:t>
                  </w:r>
                </w:p>
              </w:tc>
              <w:tc>
                <w:tcPr>
                  <w:tcW w:w="1071" w:type="dxa"/>
                  <w:vAlign w:val="center"/>
                </w:tcPr>
                <w:p w14:paraId="2F997D09">
                  <w:pPr>
                    <w:jc w:val="center"/>
                    <w:rPr>
                      <w:szCs w:val="21"/>
                    </w:rPr>
                  </w:pPr>
                  <w:r>
                    <w:rPr>
                      <w:rFonts w:hint="eastAsia"/>
                      <w:szCs w:val="21"/>
                    </w:rPr>
                    <w:t>平均值</w:t>
                  </w:r>
                </w:p>
              </w:tc>
              <w:tc>
                <w:tcPr>
                  <w:tcW w:w="703" w:type="dxa"/>
                  <w:vMerge w:val="continue"/>
                  <w:vAlign w:val="center"/>
                </w:tcPr>
                <w:p w14:paraId="2E5E960A">
                  <w:pPr>
                    <w:jc w:val="center"/>
                    <w:rPr>
                      <w:szCs w:val="21"/>
                    </w:rPr>
                  </w:pPr>
                </w:p>
              </w:tc>
            </w:tr>
            <w:tr w14:paraId="347D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14:paraId="0426C221">
                  <w:pPr>
                    <w:jc w:val="center"/>
                    <w:rPr>
                      <w:szCs w:val="21"/>
                    </w:rPr>
                  </w:pPr>
                  <w:r>
                    <w:rPr>
                      <w:rFonts w:hint="eastAsia"/>
                      <w:szCs w:val="21"/>
                    </w:rPr>
                    <w:t>DA001</w:t>
                  </w:r>
                </w:p>
              </w:tc>
              <w:tc>
                <w:tcPr>
                  <w:tcW w:w="839" w:type="dxa"/>
                  <w:vMerge w:val="restart"/>
                  <w:vAlign w:val="center"/>
                </w:tcPr>
                <w:p w14:paraId="5193A9E9">
                  <w:pPr>
                    <w:jc w:val="center"/>
                    <w:rPr>
                      <w:szCs w:val="21"/>
                    </w:rPr>
                  </w:pPr>
                  <w:r>
                    <w:rPr>
                      <w:rFonts w:hint="eastAsia"/>
                      <w:szCs w:val="21"/>
                    </w:rPr>
                    <w:t>2023</w:t>
                  </w:r>
                </w:p>
                <w:p w14:paraId="5DF22C46">
                  <w:pPr>
                    <w:jc w:val="center"/>
                    <w:rPr>
                      <w:szCs w:val="21"/>
                    </w:rPr>
                  </w:pPr>
                  <w:r>
                    <w:rPr>
                      <w:rFonts w:hint="eastAsia"/>
                      <w:szCs w:val="21"/>
                    </w:rPr>
                    <w:t>0724</w:t>
                  </w:r>
                </w:p>
              </w:tc>
              <w:tc>
                <w:tcPr>
                  <w:tcW w:w="2268" w:type="dxa"/>
                  <w:gridSpan w:val="2"/>
                  <w:vAlign w:val="center"/>
                </w:tcPr>
                <w:p w14:paraId="2E9973CA">
                  <w:pPr>
                    <w:jc w:val="center"/>
                  </w:pPr>
                  <w:r>
                    <w:rPr>
                      <w:rFonts w:hint="eastAsia"/>
                    </w:rPr>
                    <w:t>排气筒高度（m）</w:t>
                  </w:r>
                </w:p>
              </w:tc>
              <w:tc>
                <w:tcPr>
                  <w:tcW w:w="4283" w:type="dxa"/>
                  <w:gridSpan w:val="4"/>
                  <w:vAlign w:val="center"/>
                </w:tcPr>
                <w:p w14:paraId="1BCF2B2D">
                  <w:pPr>
                    <w:jc w:val="center"/>
                    <w:rPr>
                      <w:szCs w:val="21"/>
                    </w:rPr>
                  </w:pPr>
                  <w:r>
                    <w:rPr>
                      <w:rFonts w:hint="eastAsia"/>
                      <w:szCs w:val="21"/>
                    </w:rPr>
                    <w:t>15</w:t>
                  </w:r>
                </w:p>
              </w:tc>
              <w:tc>
                <w:tcPr>
                  <w:tcW w:w="703" w:type="dxa"/>
                  <w:vAlign w:val="center"/>
                </w:tcPr>
                <w:p w14:paraId="75B8255A">
                  <w:pPr>
                    <w:jc w:val="center"/>
                    <w:rPr>
                      <w:szCs w:val="21"/>
                    </w:rPr>
                  </w:pPr>
                  <w:r>
                    <w:rPr>
                      <w:rFonts w:hint="eastAsia"/>
                      <w:szCs w:val="21"/>
                    </w:rPr>
                    <w:t>/</w:t>
                  </w:r>
                </w:p>
              </w:tc>
            </w:tr>
            <w:tr w14:paraId="4C23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232AB6A">
                  <w:pPr>
                    <w:jc w:val="center"/>
                    <w:rPr>
                      <w:szCs w:val="21"/>
                    </w:rPr>
                  </w:pPr>
                </w:p>
              </w:tc>
              <w:tc>
                <w:tcPr>
                  <w:tcW w:w="839" w:type="dxa"/>
                  <w:vMerge w:val="continue"/>
                  <w:vAlign w:val="center"/>
                </w:tcPr>
                <w:p w14:paraId="2CE6DCC6">
                  <w:pPr>
                    <w:jc w:val="center"/>
                    <w:rPr>
                      <w:szCs w:val="21"/>
                    </w:rPr>
                  </w:pPr>
                </w:p>
              </w:tc>
              <w:tc>
                <w:tcPr>
                  <w:tcW w:w="2268" w:type="dxa"/>
                  <w:gridSpan w:val="2"/>
                  <w:vAlign w:val="center"/>
                </w:tcPr>
                <w:p w14:paraId="1AA856AE">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47120031">
                  <w:pPr>
                    <w:jc w:val="center"/>
                    <w:rPr>
                      <w:szCs w:val="21"/>
                    </w:rPr>
                  </w:pPr>
                  <w:r>
                    <w:rPr>
                      <w:rFonts w:hint="eastAsia"/>
                      <w:szCs w:val="21"/>
                    </w:rPr>
                    <w:t>23493</w:t>
                  </w:r>
                </w:p>
              </w:tc>
              <w:tc>
                <w:tcPr>
                  <w:tcW w:w="1071" w:type="dxa"/>
                  <w:vAlign w:val="center"/>
                </w:tcPr>
                <w:p w14:paraId="189E2D5F">
                  <w:pPr>
                    <w:jc w:val="center"/>
                    <w:rPr>
                      <w:szCs w:val="21"/>
                    </w:rPr>
                  </w:pPr>
                  <w:r>
                    <w:rPr>
                      <w:rFonts w:hint="eastAsia"/>
                      <w:szCs w:val="21"/>
                    </w:rPr>
                    <w:t>24109</w:t>
                  </w:r>
                </w:p>
              </w:tc>
              <w:tc>
                <w:tcPr>
                  <w:tcW w:w="1071" w:type="dxa"/>
                  <w:vAlign w:val="center"/>
                </w:tcPr>
                <w:p w14:paraId="073F59A0">
                  <w:pPr>
                    <w:jc w:val="center"/>
                    <w:rPr>
                      <w:szCs w:val="21"/>
                    </w:rPr>
                  </w:pPr>
                  <w:r>
                    <w:rPr>
                      <w:rFonts w:hint="eastAsia"/>
                      <w:szCs w:val="21"/>
                    </w:rPr>
                    <w:t>23866</w:t>
                  </w:r>
                </w:p>
              </w:tc>
              <w:tc>
                <w:tcPr>
                  <w:tcW w:w="1071" w:type="dxa"/>
                  <w:vAlign w:val="center"/>
                </w:tcPr>
                <w:p w14:paraId="245E06E0">
                  <w:pPr>
                    <w:jc w:val="center"/>
                    <w:rPr>
                      <w:szCs w:val="21"/>
                    </w:rPr>
                  </w:pPr>
                  <w:r>
                    <w:rPr>
                      <w:rFonts w:hint="eastAsia"/>
                      <w:szCs w:val="21"/>
                    </w:rPr>
                    <w:t>/</w:t>
                  </w:r>
                </w:p>
              </w:tc>
              <w:tc>
                <w:tcPr>
                  <w:tcW w:w="703" w:type="dxa"/>
                  <w:vAlign w:val="center"/>
                </w:tcPr>
                <w:p w14:paraId="463A783F">
                  <w:pPr>
                    <w:jc w:val="center"/>
                    <w:rPr>
                      <w:szCs w:val="21"/>
                    </w:rPr>
                  </w:pPr>
                  <w:r>
                    <w:rPr>
                      <w:rFonts w:hint="eastAsia"/>
                      <w:szCs w:val="21"/>
                    </w:rPr>
                    <w:t>/</w:t>
                  </w:r>
                </w:p>
              </w:tc>
            </w:tr>
            <w:tr w14:paraId="4C04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624E5D74">
                  <w:pPr>
                    <w:jc w:val="center"/>
                    <w:rPr>
                      <w:szCs w:val="21"/>
                    </w:rPr>
                  </w:pPr>
                </w:p>
              </w:tc>
              <w:tc>
                <w:tcPr>
                  <w:tcW w:w="839" w:type="dxa"/>
                  <w:vMerge w:val="continue"/>
                  <w:vAlign w:val="center"/>
                </w:tcPr>
                <w:p w14:paraId="736414A4">
                  <w:pPr>
                    <w:jc w:val="center"/>
                    <w:rPr>
                      <w:szCs w:val="21"/>
                    </w:rPr>
                  </w:pPr>
                </w:p>
              </w:tc>
              <w:tc>
                <w:tcPr>
                  <w:tcW w:w="993" w:type="dxa"/>
                  <w:vMerge w:val="restart"/>
                  <w:vAlign w:val="center"/>
                </w:tcPr>
                <w:p w14:paraId="6178BED4">
                  <w:pPr>
                    <w:jc w:val="center"/>
                    <w:rPr>
                      <w:szCs w:val="21"/>
                    </w:rPr>
                  </w:pPr>
                  <w:r>
                    <w:rPr>
                      <w:rFonts w:hint="eastAsia"/>
                      <w:szCs w:val="21"/>
                    </w:rPr>
                    <w:t>非甲烷总烃</w:t>
                  </w:r>
                </w:p>
              </w:tc>
              <w:tc>
                <w:tcPr>
                  <w:tcW w:w="1275" w:type="dxa"/>
                  <w:vAlign w:val="center"/>
                </w:tcPr>
                <w:p w14:paraId="703DB08A">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09AAA30F">
                  <w:pPr>
                    <w:jc w:val="center"/>
                    <w:rPr>
                      <w:szCs w:val="21"/>
                    </w:rPr>
                  </w:pPr>
                  <w:r>
                    <w:rPr>
                      <w:rFonts w:hint="eastAsia"/>
                      <w:szCs w:val="21"/>
                    </w:rPr>
                    <w:t>2.12</w:t>
                  </w:r>
                </w:p>
              </w:tc>
              <w:tc>
                <w:tcPr>
                  <w:tcW w:w="1071" w:type="dxa"/>
                  <w:vAlign w:val="center"/>
                </w:tcPr>
                <w:p w14:paraId="723E32EA">
                  <w:pPr>
                    <w:jc w:val="center"/>
                    <w:rPr>
                      <w:szCs w:val="21"/>
                    </w:rPr>
                  </w:pPr>
                  <w:r>
                    <w:rPr>
                      <w:rFonts w:hint="eastAsia"/>
                      <w:szCs w:val="21"/>
                    </w:rPr>
                    <w:t>2.60</w:t>
                  </w:r>
                </w:p>
              </w:tc>
              <w:tc>
                <w:tcPr>
                  <w:tcW w:w="1071" w:type="dxa"/>
                  <w:vAlign w:val="center"/>
                </w:tcPr>
                <w:p w14:paraId="57342B40">
                  <w:pPr>
                    <w:jc w:val="center"/>
                    <w:rPr>
                      <w:szCs w:val="21"/>
                    </w:rPr>
                  </w:pPr>
                  <w:r>
                    <w:rPr>
                      <w:rFonts w:hint="eastAsia"/>
                      <w:szCs w:val="21"/>
                    </w:rPr>
                    <w:t>2.48</w:t>
                  </w:r>
                </w:p>
              </w:tc>
              <w:tc>
                <w:tcPr>
                  <w:tcW w:w="1071" w:type="dxa"/>
                  <w:vAlign w:val="center"/>
                </w:tcPr>
                <w:p w14:paraId="076C13FD">
                  <w:pPr>
                    <w:jc w:val="center"/>
                    <w:rPr>
                      <w:szCs w:val="21"/>
                    </w:rPr>
                  </w:pPr>
                  <w:r>
                    <w:rPr>
                      <w:rFonts w:hint="eastAsia"/>
                      <w:szCs w:val="21"/>
                    </w:rPr>
                    <w:t>/</w:t>
                  </w:r>
                </w:p>
              </w:tc>
              <w:tc>
                <w:tcPr>
                  <w:tcW w:w="703" w:type="dxa"/>
                  <w:vAlign w:val="center"/>
                </w:tcPr>
                <w:p w14:paraId="58478D4D">
                  <w:pPr>
                    <w:jc w:val="center"/>
                    <w:rPr>
                      <w:szCs w:val="21"/>
                    </w:rPr>
                  </w:pPr>
                  <w:r>
                    <w:rPr>
                      <w:rFonts w:hint="eastAsia"/>
                      <w:szCs w:val="21"/>
                    </w:rPr>
                    <w:t>60</w:t>
                  </w:r>
                </w:p>
              </w:tc>
            </w:tr>
            <w:tr w14:paraId="16B9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3EC5ABC">
                  <w:pPr>
                    <w:jc w:val="center"/>
                    <w:rPr>
                      <w:szCs w:val="21"/>
                    </w:rPr>
                  </w:pPr>
                </w:p>
              </w:tc>
              <w:tc>
                <w:tcPr>
                  <w:tcW w:w="839" w:type="dxa"/>
                  <w:vMerge w:val="continue"/>
                  <w:vAlign w:val="center"/>
                </w:tcPr>
                <w:p w14:paraId="6D618E8C">
                  <w:pPr>
                    <w:jc w:val="center"/>
                    <w:rPr>
                      <w:szCs w:val="21"/>
                    </w:rPr>
                  </w:pPr>
                </w:p>
              </w:tc>
              <w:tc>
                <w:tcPr>
                  <w:tcW w:w="993" w:type="dxa"/>
                  <w:vMerge w:val="continue"/>
                  <w:vAlign w:val="center"/>
                </w:tcPr>
                <w:p w14:paraId="52A69029">
                  <w:pPr>
                    <w:jc w:val="center"/>
                    <w:rPr>
                      <w:szCs w:val="21"/>
                    </w:rPr>
                  </w:pPr>
                </w:p>
              </w:tc>
              <w:tc>
                <w:tcPr>
                  <w:tcW w:w="1275" w:type="dxa"/>
                  <w:vAlign w:val="center"/>
                </w:tcPr>
                <w:p w14:paraId="5AF5661C">
                  <w:pPr>
                    <w:jc w:val="center"/>
                    <w:rPr>
                      <w:szCs w:val="21"/>
                    </w:rPr>
                  </w:pPr>
                  <w:r>
                    <w:rPr>
                      <w:rFonts w:hint="eastAsia"/>
                      <w:szCs w:val="21"/>
                    </w:rPr>
                    <w:t>排放速率（kg/h）</w:t>
                  </w:r>
                </w:p>
              </w:tc>
              <w:tc>
                <w:tcPr>
                  <w:tcW w:w="1070" w:type="dxa"/>
                  <w:vAlign w:val="center"/>
                </w:tcPr>
                <w:p w14:paraId="135B2B9F">
                  <w:pPr>
                    <w:jc w:val="center"/>
                    <w:rPr>
                      <w:szCs w:val="21"/>
                    </w:rPr>
                  </w:pPr>
                  <w:r>
                    <w:rPr>
                      <w:rFonts w:hint="eastAsia"/>
                      <w:szCs w:val="21"/>
                    </w:rPr>
                    <w:t>4.98E-02</w:t>
                  </w:r>
                </w:p>
              </w:tc>
              <w:tc>
                <w:tcPr>
                  <w:tcW w:w="1071" w:type="dxa"/>
                  <w:vAlign w:val="center"/>
                </w:tcPr>
                <w:p w14:paraId="2BA5385F">
                  <w:pPr>
                    <w:jc w:val="center"/>
                    <w:rPr>
                      <w:szCs w:val="21"/>
                    </w:rPr>
                  </w:pPr>
                  <w:r>
                    <w:rPr>
                      <w:rFonts w:hint="eastAsia"/>
                      <w:szCs w:val="21"/>
                    </w:rPr>
                    <w:t>6.27E-02</w:t>
                  </w:r>
                </w:p>
              </w:tc>
              <w:tc>
                <w:tcPr>
                  <w:tcW w:w="1071" w:type="dxa"/>
                  <w:vAlign w:val="center"/>
                </w:tcPr>
                <w:p w14:paraId="7C706488">
                  <w:pPr>
                    <w:jc w:val="center"/>
                    <w:rPr>
                      <w:szCs w:val="21"/>
                    </w:rPr>
                  </w:pPr>
                  <w:r>
                    <w:rPr>
                      <w:rFonts w:hint="eastAsia"/>
                      <w:szCs w:val="21"/>
                    </w:rPr>
                    <w:t>5.92E-02</w:t>
                  </w:r>
                </w:p>
              </w:tc>
              <w:tc>
                <w:tcPr>
                  <w:tcW w:w="1071" w:type="dxa"/>
                  <w:vAlign w:val="center"/>
                </w:tcPr>
                <w:p w14:paraId="7ECDB54E">
                  <w:pPr>
                    <w:jc w:val="center"/>
                    <w:rPr>
                      <w:szCs w:val="21"/>
                    </w:rPr>
                  </w:pPr>
                  <w:r>
                    <w:rPr>
                      <w:rFonts w:hint="eastAsia"/>
                      <w:szCs w:val="21"/>
                    </w:rPr>
                    <w:t>/</w:t>
                  </w:r>
                </w:p>
              </w:tc>
              <w:tc>
                <w:tcPr>
                  <w:tcW w:w="703" w:type="dxa"/>
                  <w:vAlign w:val="center"/>
                </w:tcPr>
                <w:p w14:paraId="34B173F0">
                  <w:pPr>
                    <w:jc w:val="center"/>
                    <w:rPr>
                      <w:szCs w:val="21"/>
                    </w:rPr>
                  </w:pPr>
                  <w:r>
                    <w:rPr>
                      <w:rFonts w:hint="eastAsia"/>
                      <w:szCs w:val="21"/>
                    </w:rPr>
                    <w:t>3.4</w:t>
                  </w:r>
                </w:p>
              </w:tc>
            </w:tr>
            <w:tr w14:paraId="60D5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BC94134">
                  <w:pPr>
                    <w:jc w:val="center"/>
                    <w:rPr>
                      <w:szCs w:val="21"/>
                    </w:rPr>
                  </w:pPr>
                </w:p>
              </w:tc>
              <w:tc>
                <w:tcPr>
                  <w:tcW w:w="839" w:type="dxa"/>
                  <w:vMerge w:val="continue"/>
                  <w:vAlign w:val="center"/>
                </w:tcPr>
                <w:p w14:paraId="62D72122">
                  <w:pPr>
                    <w:jc w:val="center"/>
                    <w:rPr>
                      <w:szCs w:val="21"/>
                    </w:rPr>
                  </w:pPr>
                </w:p>
              </w:tc>
              <w:tc>
                <w:tcPr>
                  <w:tcW w:w="993" w:type="dxa"/>
                  <w:vMerge w:val="restart"/>
                  <w:vAlign w:val="center"/>
                </w:tcPr>
                <w:p w14:paraId="4DE9C366">
                  <w:pPr>
                    <w:jc w:val="center"/>
                    <w:rPr>
                      <w:szCs w:val="21"/>
                    </w:rPr>
                  </w:pPr>
                  <w:r>
                    <w:rPr>
                      <w:rFonts w:hint="eastAsia"/>
                      <w:szCs w:val="21"/>
                    </w:rPr>
                    <w:t>乙酸</w:t>
                  </w:r>
                </w:p>
                <w:p w14:paraId="721F0CDC">
                  <w:pPr>
                    <w:jc w:val="center"/>
                    <w:rPr>
                      <w:szCs w:val="21"/>
                    </w:rPr>
                  </w:pPr>
                  <w:r>
                    <w:rPr>
                      <w:rFonts w:hint="eastAsia"/>
                      <w:szCs w:val="21"/>
                    </w:rPr>
                    <w:t>丁酯</w:t>
                  </w:r>
                </w:p>
              </w:tc>
              <w:tc>
                <w:tcPr>
                  <w:tcW w:w="1275" w:type="dxa"/>
                  <w:vAlign w:val="center"/>
                </w:tcPr>
                <w:p w14:paraId="2C3D4943">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46305433">
                  <w:pPr>
                    <w:jc w:val="center"/>
                    <w:rPr>
                      <w:szCs w:val="21"/>
                    </w:rPr>
                  </w:pPr>
                  <w:r>
                    <w:rPr>
                      <w:rFonts w:hint="eastAsia"/>
                      <w:szCs w:val="21"/>
                    </w:rPr>
                    <w:t>0.006</w:t>
                  </w:r>
                </w:p>
              </w:tc>
              <w:tc>
                <w:tcPr>
                  <w:tcW w:w="1071" w:type="dxa"/>
                  <w:vAlign w:val="center"/>
                </w:tcPr>
                <w:p w14:paraId="471AFF98">
                  <w:pPr>
                    <w:jc w:val="center"/>
                    <w:rPr>
                      <w:szCs w:val="21"/>
                    </w:rPr>
                  </w:pPr>
                  <w:r>
                    <w:rPr>
                      <w:rFonts w:hint="eastAsia"/>
                      <w:szCs w:val="21"/>
                    </w:rPr>
                    <w:t>0.008</w:t>
                  </w:r>
                </w:p>
              </w:tc>
              <w:tc>
                <w:tcPr>
                  <w:tcW w:w="1071" w:type="dxa"/>
                  <w:vAlign w:val="center"/>
                </w:tcPr>
                <w:p w14:paraId="71CC469A">
                  <w:pPr>
                    <w:jc w:val="center"/>
                    <w:rPr>
                      <w:szCs w:val="21"/>
                    </w:rPr>
                  </w:pPr>
                  <w:r>
                    <w:rPr>
                      <w:rFonts w:hint="eastAsia"/>
                      <w:szCs w:val="21"/>
                    </w:rPr>
                    <w:t>0.009</w:t>
                  </w:r>
                </w:p>
              </w:tc>
              <w:tc>
                <w:tcPr>
                  <w:tcW w:w="1071" w:type="dxa"/>
                  <w:vAlign w:val="center"/>
                </w:tcPr>
                <w:p w14:paraId="44BD80B9">
                  <w:pPr>
                    <w:jc w:val="center"/>
                    <w:rPr>
                      <w:szCs w:val="21"/>
                    </w:rPr>
                  </w:pPr>
                  <w:r>
                    <w:rPr>
                      <w:rFonts w:hint="eastAsia"/>
                      <w:szCs w:val="21"/>
                    </w:rPr>
                    <w:t>/</w:t>
                  </w:r>
                </w:p>
              </w:tc>
              <w:tc>
                <w:tcPr>
                  <w:tcW w:w="703" w:type="dxa"/>
                  <w:vAlign w:val="center"/>
                </w:tcPr>
                <w:p w14:paraId="35001FEF">
                  <w:pPr>
                    <w:jc w:val="center"/>
                    <w:rPr>
                      <w:szCs w:val="21"/>
                    </w:rPr>
                  </w:pPr>
                  <w:r>
                    <w:rPr>
                      <w:rFonts w:hint="eastAsia"/>
                      <w:szCs w:val="21"/>
                    </w:rPr>
                    <w:t>40</w:t>
                  </w:r>
                </w:p>
              </w:tc>
            </w:tr>
            <w:tr w14:paraId="3B6C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2B256A1">
                  <w:pPr>
                    <w:jc w:val="center"/>
                    <w:rPr>
                      <w:szCs w:val="21"/>
                    </w:rPr>
                  </w:pPr>
                </w:p>
              </w:tc>
              <w:tc>
                <w:tcPr>
                  <w:tcW w:w="839" w:type="dxa"/>
                  <w:vMerge w:val="continue"/>
                  <w:vAlign w:val="center"/>
                </w:tcPr>
                <w:p w14:paraId="5EB21DCD">
                  <w:pPr>
                    <w:jc w:val="center"/>
                    <w:rPr>
                      <w:szCs w:val="21"/>
                    </w:rPr>
                  </w:pPr>
                </w:p>
              </w:tc>
              <w:tc>
                <w:tcPr>
                  <w:tcW w:w="993" w:type="dxa"/>
                  <w:vMerge w:val="continue"/>
                  <w:vAlign w:val="center"/>
                </w:tcPr>
                <w:p w14:paraId="722E2DF7">
                  <w:pPr>
                    <w:jc w:val="center"/>
                    <w:rPr>
                      <w:szCs w:val="21"/>
                    </w:rPr>
                  </w:pPr>
                </w:p>
              </w:tc>
              <w:tc>
                <w:tcPr>
                  <w:tcW w:w="1275" w:type="dxa"/>
                  <w:vAlign w:val="center"/>
                </w:tcPr>
                <w:p w14:paraId="70A65D88">
                  <w:pPr>
                    <w:jc w:val="center"/>
                    <w:rPr>
                      <w:szCs w:val="21"/>
                    </w:rPr>
                  </w:pPr>
                  <w:r>
                    <w:rPr>
                      <w:rFonts w:hint="eastAsia"/>
                      <w:szCs w:val="21"/>
                    </w:rPr>
                    <w:t>排放速率（kg/h）</w:t>
                  </w:r>
                </w:p>
              </w:tc>
              <w:tc>
                <w:tcPr>
                  <w:tcW w:w="1070" w:type="dxa"/>
                  <w:vAlign w:val="center"/>
                </w:tcPr>
                <w:p w14:paraId="395F0D8A">
                  <w:pPr>
                    <w:jc w:val="center"/>
                    <w:rPr>
                      <w:szCs w:val="21"/>
                    </w:rPr>
                  </w:pPr>
                  <w:r>
                    <w:rPr>
                      <w:rFonts w:hint="eastAsia"/>
                      <w:szCs w:val="21"/>
                    </w:rPr>
                    <w:t>1.41E-04</w:t>
                  </w:r>
                </w:p>
              </w:tc>
              <w:tc>
                <w:tcPr>
                  <w:tcW w:w="1071" w:type="dxa"/>
                  <w:vAlign w:val="center"/>
                </w:tcPr>
                <w:p w14:paraId="0E97269A">
                  <w:pPr>
                    <w:jc w:val="center"/>
                    <w:rPr>
                      <w:szCs w:val="21"/>
                    </w:rPr>
                  </w:pPr>
                  <w:r>
                    <w:rPr>
                      <w:rFonts w:hint="eastAsia"/>
                      <w:szCs w:val="21"/>
                    </w:rPr>
                    <w:t>1.93E-04</w:t>
                  </w:r>
                </w:p>
              </w:tc>
              <w:tc>
                <w:tcPr>
                  <w:tcW w:w="1071" w:type="dxa"/>
                  <w:vAlign w:val="center"/>
                </w:tcPr>
                <w:p w14:paraId="57B08FA7">
                  <w:pPr>
                    <w:jc w:val="center"/>
                    <w:rPr>
                      <w:szCs w:val="21"/>
                    </w:rPr>
                  </w:pPr>
                  <w:r>
                    <w:rPr>
                      <w:rFonts w:hint="eastAsia"/>
                      <w:szCs w:val="21"/>
                    </w:rPr>
                    <w:t>2.15E-04</w:t>
                  </w:r>
                </w:p>
              </w:tc>
              <w:tc>
                <w:tcPr>
                  <w:tcW w:w="1071" w:type="dxa"/>
                  <w:vAlign w:val="center"/>
                </w:tcPr>
                <w:p w14:paraId="2B83CBDE">
                  <w:pPr>
                    <w:jc w:val="center"/>
                    <w:rPr>
                      <w:szCs w:val="21"/>
                    </w:rPr>
                  </w:pPr>
                  <w:r>
                    <w:rPr>
                      <w:rFonts w:hint="eastAsia"/>
                      <w:szCs w:val="21"/>
                    </w:rPr>
                    <w:t>/</w:t>
                  </w:r>
                </w:p>
              </w:tc>
              <w:tc>
                <w:tcPr>
                  <w:tcW w:w="703" w:type="dxa"/>
                  <w:vAlign w:val="center"/>
                </w:tcPr>
                <w:p w14:paraId="7A30C116">
                  <w:pPr>
                    <w:jc w:val="center"/>
                    <w:rPr>
                      <w:szCs w:val="21"/>
                    </w:rPr>
                  </w:pPr>
                  <w:r>
                    <w:rPr>
                      <w:rFonts w:hint="eastAsia"/>
                      <w:szCs w:val="21"/>
                    </w:rPr>
                    <w:t>1.7</w:t>
                  </w:r>
                </w:p>
              </w:tc>
            </w:tr>
            <w:tr w14:paraId="316D5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4D23F15">
                  <w:pPr>
                    <w:jc w:val="center"/>
                    <w:rPr>
                      <w:szCs w:val="21"/>
                    </w:rPr>
                  </w:pPr>
                </w:p>
              </w:tc>
              <w:tc>
                <w:tcPr>
                  <w:tcW w:w="839" w:type="dxa"/>
                  <w:vMerge w:val="continue"/>
                  <w:vAlign w:val="center"/>
                </w:tcPr>
                <w:p w14:paraId="20CAEF35">
                  <w:pPr>
                    <w:jc w:val="center"/>
                    <w:rPr>
                      <w:szCs w:val="21"/>
                    </w:rPr>
                  </w:pPr>
                </w:p>
              </w:tc>
              <w:tc>
                <w:tcPr>
                  <w:tcW w:w="993" w:type="dxa"/>
                  <w:vMerge w:val="restart"/>
                  <w:vAlign w:val="center"/>
                </w:tcPr>
                <w:p w14:paraId="5F8A3CA6">
                  <w:pPr>
                    <w:jc w:val="center"/>
                    <w:rPr>
                      <w:szCs w:val="21"/>
                    </w:rPr>
                  </w:pPr>
                  <w:r>
                    <w:rPr>
                      <w:rFonts w:hint="eastAsia"/>
                      <w:szCs w:val="21"/>
                    </w:rPr>
                    <w:t>乙酸</w:t>
                  </w:r>
                </w:p>
                <w:p w14:paraId="24479148">
                  <w:pPr>
                    <w:jc w:val="center"/>
                    <w:rPr>
                      <w:szCs w:val="21"/>
                    </w:rPr>
                  </w:pPr>
                  <w:r>
                    <w:rPr>
                      <w:rFonts w:hint="eastAsia"/>
                      <w:szCs w:val="21"/>
                    </w:rPr>
                    <w:t>乙酯</w:t>
                  </w:r>
                </w:p>
              </w:tc>
              <w:tc>
                <w:tcPr>
                  <w:tcW w:w="1275" w:type="dxa"/>
                  <w:vAlign w:val="center"/>
                </w:tcPr>
                <w:p w14:paraId="689D4681">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74A6AA69">
                  <w:pPr>
                    <w:jc w:val="center"/>
                    <w:rPr>
                      <w:szCs w:val="21"/>
                    </w:rPr>
                  </w:pPr>
                  <w:r>
                    <w:rPr>
                      <w:rFonts w:hint="eastAsia"/>
                      <w:szCs w:val="21"/>
                    </w:rPr>
                    <w:t>未检出</w:t>
                  </w:r>
                </w:p>
              </w:tc>
              <w:tc>
                <w:tcPr>
                  <w:tcW w:w="1071" w:type="dxa"/>
                  <w:vAlign w:val="center"/>
                </w:tcPr>
                <w:p w14:paraId="38E47F66">
                  <w:pPr>
                    <w:jc w:val="center"/>
                    <w:rPr>
                      <w:szCs w:val="21"/>
                    </w:rPr>
                  </w:pPr>
                  <w:r>
                    <w:rPr>
                      <w:rFonts w:hint="eastAsia"/>
                      <w:szCs w:val="21"/>
                    </w:rPr>
                    <w:t>未检出</w:t>
                  </w:r>
                </w:p>
              </w:tc>
              <w:tc>
                <w:tcPr>
                  <w:tcW w:w="1071" w:type="dxa"/>
                  <w:vAlign w:val="center"/>
                </w:tcPr>
                <w:p w14:paraId="30F82C45">
                  <w:pPr>
                    <w:jc w:val="center"/>
                    <w:rPr>
                      <w:szCs w:val="21"/>
                    </w:rPr>
                  </w:pPr>
                  <w:r>
                    <w:rPr>
                      <w:rFonts w:hint="eastAsia"/>
                      <w:szCs w:val="21"/>
                    </w:rPr>
                    <w:t>未检出</w:t>
                  </w:r>
                </w:p>
              </w:tc>
              <w:tc>
                <w:tcPr>
                  <w:tcW w:w="1071" w:type="dxa"/>
                  <w:vAlign w:val="center"/>
                </w:tcPr>
                <w:p w14:paraId="3BC72018">
                  <w:pPr>
                    <w:jc w:val="center"/>
                    <w:rPr>
                      <w:szCs w:val="21"/>
                    </w:rPr>
                  </w:pPr>
                  <w:r>
                    <w:rPr>
                      <w:rFonts w:hint="eastAsia"/>
                      <w:szCs w:val="21"/>
                    </w:rPr>
                    <w:t>/</w:t>
                  </w:r>
                </w:p>
              </w:tc>
              <w:tc>
                <w:tcPr>
                  <w:tcW w:w="703" w:type="dxa"/>
                  <w:vAlign w:val="center"/>
                </w:tcPr>
                <w:p w14:paraId="61270811">
                  <w:pPr>
                    <w:jc w:val="center"/>
                    <w:rPr>
                      <w:szCs w:val="21"/>
                    </w:rPr>
                  </w:pPr>
                  <w:r>
                    <w:rPr>
                      <w:rFonts w:hint="eastAsia"/>
                      <w:szCs w:val="21"/>
                    </w:rPr>
                    <w:t>40</w:t>
                  </w:r>
                </w:p>
              </w:tc>
            </w:tr>
            <w:tr w14:paraId="14CF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8C748FD">
                  <w:pPr>
                    <w:jc w:val="center"/>
                    <w:rPr>
                      <w:szCs w:val="21"/>
                    </w:rPr>
                  </w:pPr>
                </w:p>
              </w:tc>
              <w:tc>
                <w:tcPr>
                  <w:tcW w:w="839" w:type="dxa"/>
                  <w:vMerge w:val="continue"/>
                  <w:vAlign w:val="center"/>
                </w:tcPr>
                <w:p w14:paraId="7047EF6B">
                  <w:pPr>
                    <w:jc w:val="center"/>
                    <w:rPr>
                      <w:szCs w:val="21"/>
                    </w:rPr>
                  </w:pPr>
                </w:p>
              </w:tc>
              <w:tc>
                <w:tcPr>
                  <w:tcW w:w="993" w:type="dxa"/>
                  <w:vMerge w:val="continue"/>
                  <w:vAlign w:val="center"/>
                </w:tcPr>
                <w:p w14:paraId="12B8D017">
                  <w:pPr>
                    <w:jc w:val="center"/>
                    <w:rPr>
                      <w:szCs w:val="21"/>
                    </w:rPr>
                  </w:pPr>
                </w:p>
              </w:tc>
              <w:tc>
                <w:tcPr>
                  <w:tcW w:w="1275" w:type="dxa"/>
                  <w:vAlign w:val="center"/>
                </w:tcPr>
                <w:p w14:paraId="5713AB57">
                  <w:pPr>
                    <w:jc w:val="center"/>
                    <w:rPr>
                      <w:szCs w:val="21"/>
                    </w:rPr>
                  </w:pPr>
                  <w:r>
                    <w:rPr>
                      <w:rFonts w:hint="eastAsia"/>
                      <w:szCs w:val="21"/>
                    </w:rPr>
                    <w:t>排放速率（kg/h）</w:t>
                  </w:r>
                </w:p>
              </w:tc>
              <w:tc>
                <w:tcPr>
                  <w:tcW w:w="1070" w:type="dxa"/>
                  <w:vAlign w:val="center"/>
                </w:tcPr>
                <w:p w14:paraId="28A11028">
                  <w:pPr>
                    <w:jc w:val="center"/>
                    <w:rPr>
                      <w:szCs w:val="21"/>
                    </w:rPr>
                  </w:pPr>
                  <w:r>
                    <w:rPr>
                      <w:rFonts w:hint="eastAsia"/>
                      <w:szCs w:val="21"/>
                    </w:rPr>
                    <w:t>/</w:t>
                  </w:r>
                </w:p>
              </w:tc>
              <w:tc>
                <w:tcPr>
                  <w:tcW w:w="1071" w:type="dxa"/>
                  <w:vAlign w:val="center"/>
                </w:tcPr>
                <w:p w14:paraId="45F5A96B">
                  <w:pPr>
                    <w:jc w:val="center"/>
                    <w:rPr>
                      <w:szCs w:val="21"/>
                    </w:rPr>
                  </w:pPr>
                  <w:r>
                    <w:rPr>
                      <w:rFonts w:hint="eastAsia"/>
                      <w:szCs w:val="21"/>
                    </w:rPr>
                    <w:t>/</w:t>
                  </w:r>
                </w:p>
              </w:tc>
              <w:tc>
                <w:tcPr>
                  <w:tcW w:w="1071" w:type="dxa"/>
                  <w:vAlign w:val="center"/>
                </w:tcPr>
                <w:p w14:paraId="7C71545F">
                  <w:pPr>
                    <w:jc w:val="center"/>
                    <w:rPr>
                      <w:szCs w:val="21"/>
                    </w:rPr>
                  </w:pPr>
                  <w:r>
                    <w:rPr>
                      <w:rFonts w:hint="eastAsia"/>
                      <w:szCs w:val="21"/>
                    </w:rPr>
                    <w:t>/</w:t>
                  </w:r>
                </w:p>
              </w:tc>
              <w:tc>
                <w:tcPr>
                  <w:tcW w:w="1071" w:type="dxa"/>
                  <w:vAlign w:val="center"/>
                </w:tcPr>
                <w:p w14:paraId="22BEACEF">
                  <w:pPr>
                    <w:jc w:val="center"/>
                    <w:rPr>
                      <w:szCs w:val="21"/>
                    </w:rPr>
                  </w:pPr>
                  <w:r>
                    <w:rPr>
                      <w:rFonts w:hint="eastAsia"/>
                      <w:szCs w:val="21"/>
                    </w:rPr>
                    <w:t>/</w:t>
                  </w:r>
                </w:p>
              </w:tc>
              <w:tc>
                <w:tcPr>
                  <w:tcW w:w="703" w:type="dxa"/>
                  <w:vAlign w:val="center"/>
                </w:tcPr>
                <w:p w14:paraId="07FD205F">
                  <w:pPr>
                    <w:jc w:val="center"/>
                    <w:rPr>
                      <w:szCs w:val="21"/>
                    </w:rPr>
                  </w:pPr>
                  <w:r>
                    <w:rPr>
                      <w:rFonts w:hint="eastAsia"/>
                      <w:szCs w:val="21"/>
                    </w:rPr>
                    <w:t>1.7</w:t>
                  </w:r>
                </w:p>
              </w:tc>
            </w:tr>
            <w:tr w14:paraId="540D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88978E2">
                  <w:pPr>
                    <w:jc w:val="center"/>
                    <w:rPr>
                      <w:szCs w:val="21"/>
                    </w:rPr>
                  </w:pPr>
                </w:p>
              </w:tc>
              <w:tc>
                <w:tcPr>
                  <w:tcW w:w="839" w:type="dxa"/>
                  <w:vMerge w:val="continue"/>
                  <w:vAlign w:val="center"/>
                </w:tcPr>
                <w:p w14:paraId="5CEF4753">
                  <w:pPr>
                    <w:jc w:val="center"/>
                    <w:rPr>
                      <w:szCs w:val="21"/>
                    </w:rPr>
                  </w:pPr>
                </w:p>
              </w:tc>
              <w:tc>
                <w:tcPr>
                  <w:tcW w:w="993" w:type="dxa"/>
                  <w:vMerge w:val="restart"/>
                  <w:vAlign w:val="center"/>
                </w:tcPr>
                <w:p w14:paraId="62901118">
                  <w:pPr>
                    <w:jc w:val="center"/>
                    <w:rPr>
                      <w:szCs w:val="21"/>
                    </w:rPr>
                  </w:pPr>
                  <w:r>
                    <w:rPr>
                      <w:rFonts w:hint="eastAsia"/>
                      <w:szCs w:val="21"/>
                    </w:rPr>
                    <w:t>颗粒物</w:t>
                  </w:r>
                </w:p>
              </w:tc>
              <w:tc>
                <w:tcPr>
                  <w:tcW w:w="1275" w:type="dxa"/>
                  <w:vAlign w:val="center"/>
                </w:tcPr>
                <w:p w14:paraId="4BECACAB">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51A90BFD">
                  <w:pPr>
                    <w:jc w:val="center"/>
                    <w:rPr>
                      <w:szCs w:val="21"/>
                    </w:rPr>
                  </w:pPr>
                  <w:r>
                    <w:rPr>
                      <w:rFonts w:hint="eastAsia"/>
                      <w:szCs w:val="21"/>
                    </w:rPr>
                    <w:t>2.0</w:t>
                  </w:r>
                </w:p>
              </w:tc>
              <w:tc>
                <w:tcPr>
                  <w:tcW w:w="1071" w:type="dxa"/>
                  <w:vAlign w:val="center"/>
                </w:tcPr>
                <w:p w14:paraId="5D3DCA04">
                  <w:pPr>
                    <w:jc w:val="center"/>
                    <w:rPr>
                      <w:szCs w:val="21"/>
                    </w:rPr>
                  </w:pPr>
                  <w:r>
                    <w:rPr>
                      <w:rFonts w:hint="eastAsia"/>
                      <w:szCs w:val="21"/>
                    </w:rPr>
                    <w:t>1.7</w:t>
                  </w:r>
                </w:p>
              </w:tc>
              <w:tc>
                <w:tcPr>
                  <w:tcW w:w="1071" w:type="dxa"/>
                  <w:vAlign w:val="center"/>
                </w:tcPr>
                <w:p w14:paraId="267BE4E1">
                  <w:pPr>
                    <w:jc w:val="center"/>
                    <w:rPr>
                      <w:szCs w:val="21"/>
                    </w:rPr>
                  </w:pPr>
                  <w:r>
                    <w:rPr>
                      <w:rFonts w:hint="eastAsia"/>
                      <w:szCs w:val="21"/>
                    </w:rPr>
                    <w:t>1.6</w:t>
                  </w:r>
                </w:p>
              </w:tc>
              <w:tc>
                <w:tcPr>
                  <w:tcW w:w="1071" w:type="dxa"/>
                  <w:vAlign w:val="center"/>
                </w:tcPr>
                <w:p w14:paraId="7A085504">
                  <w:pPr>
                    <w:jc w:val="center"/>
                    <w:rPr>
                      <w:szCs w:val="21"/>
                    </w:rPr>
                  </w:pPr>
                  <w:r>
                    <w:rPr>
                      <w:rFonts w:hint="eastAsia"/>
                      <w:szCs w:val="21"/>
                    </w:rPr>
                    <w:t>/</w:t>
                  </w:r>
                </w:p>
              </w:tc>
              <w:tc>
                <w:tcPr>
                  <w:tcW w:w="703" w:type="dxa"/>
                  <w:vAlign w:val="center"/>
                </w:tcPr>
                <w:p w14:paraId="2CB26D05">
                  <w:pPr>
                    <w:jc w:val="center"/>
                    <w:rPr>
                      <w:szCs w:val="21"/>
                    </w:rPr>
                  </w:pPr>
                  <w:r>
                    <w:rPr>
                      <w:rFonts w:hint="eastAsia"/>
                      <w:szCs w:val="21"/>
                    </w:rPr>
                    <w:t>120</w:t>
                  </w:r>
                </w:p>
              </w:tc>
            </w:tr>
            <w:tr w14:paraId="5B9F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40AE504">
                  <w:pPr>
                    <w:jc w:val="center"/>
                    <w:rPr>
                      <w:szCs w:val="21"/>
                    </w:rPr>
                  </w:pPr>
                </w:p>
              </w:tc>
              <w:tc>
                <w:tcPr>
                  <w:tcW w:w="839" w:type="dxa"/>
                  <w:vMerge w:val="continue"/>
                  <w:vAlign w:val="center"/>
                </w:tcPr>
                <w:p w14:paraId="01007D09">
                  <w:pPr>
                    <w:jc w:val="center"/>
                    <w:rPr>
                      <w:szCs w:val="21"/>
                    </w:rPr>
                  </w:pPr>
                </w:p>
              </w:tc>
              <w:tc>
                <w:tcPr>
                  <w:tcW w:w="993" w:type="dxa"/>
                  <w:vMerge w:val="continue"/>
                  <w:vAlign w:val="center"/>
                </w:tcPr>
                <w:p w14:paraId="0AC966B0">
                  <w:pPr>
                    <w:jc w:val="center"/>
                    <w:rPr>
                      <w:szCs w:val="21"/>
                    </w:rPr>
                  </w:pPr>
                </w:p>
              </w:tc>
              <w:tc>
                <w:tcPr>
                  <w:tcW w:w="1275" w:type="dxa"/>
                  <w:vAlign w:val="center"/>
                </w:tcPr>
                <w:p w14:paraId="6B752C0D">
                  <w:pPr>
                    <w:jc w:val="center"/>
                    <w:rPr>
                      <w:szCs w:val="21"/>
                    </w:rPr>
                  </w:pPr>
                  <w:r>
                    <w:rPr>
                      <w:rFonts w:hint="eastAsia"/>
                      <w:szCs w:val="21"/>
                    </w:rPr>
                    <w:t>排放速率（kg/h）</w:t>
                  </w:r>
                </w:p>
              </w:tc>
              <w:tc>
                <w:tcPr>
                  <w:tcW w:w="1070" w:type="dxa"/>
                  <w:vAlign w:val="center"/>
                </w:tcPr>
                <w:p w14:paraId="0927EA52">
                  <w:pPr>
                    <w:jc w:val="center"/>
                    <w:rPr>
                      <w:szCs w:val="21"/>
                    </w:rPr>
                  </w:pPr>
                  <w:r>
                    <w:rPr>
                      <w:rFonts w:hint="eastAsia"/>
                      <w:szCs w:val="21"/>
                    </w:rPr>
                    <w:t>4.70E-02</w:t>
                  </w:r>
                </w:p>
              </w:tc>
              <w:tc>
                <w:tcPr>
                  <w:tcW w:w="1071" w:type="dxa"/>
                  <w:vAlign w:val="center"/>
                </w:tcPr>
                <w:p w14:paraId="5B5503C2">
                  <w:pPr>
                    <w:jc w:val="center"/>
                    <w:rPr>
                      <w:szCs w:val="21"/>
                    </w:rPr>
                  </w:pPr>
                  <w:r>
                    <w:rPr>
                      <w:rFonts w:hint="eastAsia"/>
                      <w:szCs w:val="21"/>
                    </w:rPr>
                    <w:t>4.10E-02</w:t>
                  </w:r>
                </w:p>
              </w:tc>
              <w:tc>
                <w:tcPr>
                  <w:tcW w:w="1071" w:type="dxa"/>
                  <w:vAlign w:val="center"/>
                </w:tcPr>
                <w:p w14:paraId="677E1D9D">
                  <w:pPr>
                    <w:jc w:val="center"/>
                    <w:rPr>
                      <w:szCs w:val="21"/>
                    </w:rPr>
                  </w:pPr>
                  <w:r>
                    <w:rPr>
                      <w:rFonts w:hint="eastAsia"/>
                      <w:szCs w:val="21"/>
                    </w:rPr>
                    <w:t>3.82E-02</w:t>
                  </w:r>
                </w:p>
              </w:tc>
              <w:tc>
                <w:tcPr>
                  <w:tcW w:w="1071" w:type="dxa"/>
                  <w:vAlign w:val="center"/>
                </w:tcPr>
                <w:p w14:paraId="6C42FEB4">
                  <w:pPr>
                    <w:jc w:val="center"/>
                    <w:rPr>
                      <w:szCs w:val="21"/>
                    </w:rPr>
                  </w:pPr>
                  <w:r>
                    <w:rPr>
                      <w:rFonts w:hint="eastAsia"/>
                      <w:szCs w:val="21"/>
                    </w:rPr>
                    <w:t>/</w:t>
                  </w:r>
                </w:p>
              </w:tc>
              <w:tc>
                <w:tcPr>
                  <w:tcW w:w="703" w:type="dxa"/>
                  <w:vAlign w:val="center"/>
                </w:tcPr>
                <w:p w14:paraId="61322418">
                  <w:pPr>
                    <w:jc w:val="center"/>
                    <w:rPr>
                      <w:szCs w:val="21"/>
                    </w:rPr>
                  </w:pPr>
                  <w:r>
                    <w:rPr>
                      <w:rFonts w:hint="eastAsia"/>
                      <w:szCs w:val="21"/>
                    </w:rPr>
                    <w:t>3.5</w:t>
                  </w:r>
                </w:p>
              </w:tc>
            </w:tr>
            <w:tr w14:paraId="7AD3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72B15D89">
                  <w:pPr>
                    <w:jc w:val="center"/>
                    <w:rPr>
                      <w:szCs w:val="21"/>
                    </w:rPr>
                  </w:pPr>
                </w:p>
              </w:tc>
              <w:tc>
                <w:tcPr>
                  <w:tcW w:w="839" w:type="dxa"/>
                  <w:vMerge w:val="restart"/>
                  <w:vAlign w:val="center"/>
                </w:tcPr>
                <w:p w14:paraId="195E4EE0">
                  <w:pPr>
                    <w:jc w:val="center"/>
                    <w:rPr>
                      <w:szCs w:val="21"/>
                    </w:rPr>
                  </w:pPr>
                  <w:r>
                    <w:rPr>
                      <w:rFonts w:hint="eastAsia"/>
                      <w:szCs w:val="21"/>
                    </w:rPr>
                    <w:t>2023</w:t>
                  </w:r>
                </w:p>
                <w:p w14:paraId="5204B5D3">
                  <w:pPr>
                    <w:jc w:val="center"/>
                    <w:rPr>
                      <w:szCs w:val="21"/>
                    </w:rPr>
                  </w:pPr>
                  <w:r>
                    <w:rPr>
                      <w:rFonts w:hint="eastAsia"/>
                      <w:szCs w:val="21"/>
                    </w:rPr>
                    <w:t>0725</w:t>
                  </w:r>
                </w:p>
              </w:tc>
              <w:tc>
                <w:tcPr>
                  <w:tcW w:w="2268" w:type="dxa"/>
                  <w:gridSpan w:val="2"/>
                  <w:vAlign w:val="center"/>
                </w:tcPr>
                <w:p w14:paraId="19C04050">
                  <w:pPr>
                    <w:jc w:val="center"/>
                  </w:pPr>
                  <w:r>
                    <w:rPr>
                      <w:rFonts w:hint="eastAsia"/>
                    </w:rPr>
                    <w:t>排气筒高度（m）</w:t>
                  </w:r>
                </w:p>
              </w:tc>
              <w:tc>
                <w:tcPr>
                  <w:tcW w:w="4283" w:type="dxa"/>
                  <w:gridSpan w:val="4"/>
                  <w:vAlign w:val="center"/>
                </w:tcPr>
                <w:p w14:paraId="7F6FFCAC">
                  <w:pPr>
                    <w:jc w:val="center"/>
                    <w:rPr>
                      <w:szCs w:val="21"/>
                    </w:rPr>
                  </w:pPr>
                  <w:r>
                    <w:rPr>
                      <w:rFonts w:hint="eastAsia"/>
                      <w:szCs w:val="21"/>
                    </w:rPr>
                    <w:t>15</w:t>
                  </w:r>
                </w:p>
              </w:tc>
              <w:tc>
                <w:tcPr>
                  <w:tcW w:w="703" w:type="dxa"/>
                  <w:vAlign w:val="center"/>
                </w:tcPr>
                <w:p w14:paraId="063D5ADC">
                  <w:pPr>
                    <w:jc w:val="center"/>
                    <w:rPr>
                      <w:szCs w:val="21"/>
                    </w:rPr>
                  </w:pPr>
                  <w:r>
                    <w:rPr>
                      <w:rFonts w:hint="eastAsia"/>
                      <w:szCs w:val="21"/>
                    </w:rPr>
                    <w:t>/</w:t>
                  </w:r>
                </w:p>
              </w:tc>
            </w:tr>
            <w:tr w14:paraId="50C38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7517F25">
                  <w:pPr>
                    <w:jc w:val="center"/>
                    <w:rPr>
                      <w:szCs w:val="21"/>
                    </w:rPr>
                  </w:pPr>
                </w:p>
              </w:tc>
              <w:tc>
                <w:tcPr>
                  <w:tcW w:w="839" w:type="dxa"/>
                  <w:vMerge w:val="continue"/>
                  <w:vAlign w:val="center"/>
                </w:tcPr>
                <w:p w14:paraId="2C877F4A">
                  <w:pPr>
                    <w:jc w:val="center"/>
                    <w:rPr>
                      <w:szCs w:val="21"/>
                    </w:rPr>
                  </w:pPr>
                </w:p>
              </w:tc>
              <w:tc>
                <w:tcPr>
                  <w:tcW w:w="2268" w:type="dxa"/>
                  <w:gridSpan w:val="2"/>
                  <w:vAlign w:val="center"/>
                </w:tcPr>
                <w:p w14:paraId="652B1358">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40921287">
                  <w:pPr>
                    <w:jc w:val="center"/>
                    <w:rPr>
                      <w:szCs w:val="21"/>
                    </w:rPr>
                  </w:pPr>
                  <w:r>
                    <w:rPr>
                      <w:rFonts w:hint="eastAsia"/>
                      <w:szCs w:val="21"/>
                    </w:rPr>
                    <w:t>24195</w:t>
                  </w:r>
                </w:p>
              </w:tc>
              <w:tc>
                <w:tcPr>
                  <w:tcW w:w="1071" w:type="dxa"/>
                  <w:vAlign w:val="center"/>
                </w:tcPr>
                <w:p w14:paraId="3EDD8CAD">
                  <w:pPr>
                    <w:jc w:val="center"/>
                    <w:rPr>
                      <w:szCs w:val="21"/>
                    </w:rPr>
                  </w:pPr>
                  <w:r>
                    <w:rPr>
                      <w:rFonts w:hint="eastAsia"/>
                      <w:szCs w:val="21"/>
                    </w:rPr>
                    <w:t>23757</w:t>
                  </w:r>
                </w:p>
              </w:tc>
              <w:tc>
                <w:tcPr>
                  <w:tcW w:w="1071" w:type="dxa"/>
                  <w:vAlign w:val="center"/>
                </w:tcPr>
                <w:p w14:paraId="546A9533">
                  <w:pPr>
                    <w:jc w:val="center"/>
                    <w:rPr>
                      <w:szCs w:val="21"/>
                    </w:rPr>
                  </w:pPr>
                  <w:r>
                    <w:rPr>
                      <w:rFonts w:hint="eastAsia"/>
                      <w:szCs w:val="21"/>
                    </w:rPr>
                    <w:t>23438</w:t>
                  </w:r>
                </w:p>
              </w:tc>
              <w:tc>
                <w:tcPr>
                  <w:tcW w:w="1071" w:type="dxa"/>
                  <w:vAlign w:val="center"/>
                </w:tcPr>
                <w:p w14:paraId="17EAA2E4">
                  <w:pPr>
                    <w:jc w:val="center"/>
                    <w:rPr>
                      <w:szCs w:val="21"/>
                    </w:rPr>
                  </w:pPr>
                  <w:r>
                    <w:rPr>
                      <w:rFonts w:hint="eastAsia"/>
                      <w:szCs w:val="21"/>
                    </w:rPr>
                    <w:t>/</w:t>
                  </w:r>
                </w:p>
              </w:tc>
              <w:tc>
                <w:tcPr>
                  <w:tcW w:w="703" w:type="dxa"/>
                  <w:vAlign w:val="center"/>
                </w:tcPr>
                <w:p w14:paraId="1F77C4BF">
                  <w:pPr>
                    <w:jc w:val="center"/>
                    <w:rPr>
                      <w:szCs w:val="21"/>
                    </w:rPr>
                  </w:pPr>
                  <w:r>
                    <w:rPr>
                      <w:rFonts w:hint="eastAsia"/>
                      <w:szCs w:val="21"/>
                    </w:rPr>
                    <w:t>/</w:t>
                  </w:r>
                </w:p>
              </w:tc>
            </w:tr>
            <w:tr w14:paraId="0199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77C081F7">
                  <w:pPr>
                    <w:jc w:val="center"/>
                    <w:rPr>
                      <w:szCs w:val="21"/>
                    </w:rPr>
                  </w:pPr>
                </w:p>
              </w:tc>
              <w:tc>
                <w:tcPr>
                  <w:tcW w:w="839" w:type="dxa"/>
                  <w:vMerge w:val="continue"/>
                  <w:vAlign w:val="center"/>
                </w:tcPr>
                <w:p w14:paraId="2F46C6C9">
                  <w:pPr>
                    <w:jc w:val="center"/>
                    <w:rPr>
                      <w:szCs w:val="21"/>
                    </w:rPr>
                  </w:pPr>
                </w:p>
              </w:tc>
              <w:tc>
                <w:tcPr>
                  <w:tcW w:w="993" w:type="dxa"/>
                  <w:vMerge w:val="restart"/>
                  <w:vAlign w:val="center"/>
                </w:tcPr>
                <w:p w14:paraId="4944CFC8">
                  <w:pPr>
                    <w:jc w:val="center"/>
                    <w:rPr>
                      <w:szCs w:val="21"/>
                    </w:rPr>
                  </w:pPr>
                  <w:r>
                    <w:rPr>
                      <w:rFonts w:hint="eastAsia"/>
                      <w:szCs w:val="21"/>
                    </w:rPr>
                    <w:t>非甲烷总烃</w:t>
                  </w:r>
                </w:p>
              </w:tc>
              <w:tc>
                <w:tcPr>
                  <w:tcW w:w="1275" w:type="dxa"/>
                  <w:vAlign w:val="center"/>
                </w:tcPr>
                <w:p w14:paraId="6FE3FF6C">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8CAD549">
                  <w:pPr>
                    <w:jc w:val="center"/>
                    <w:rPr>
                      <w:szCs w:val="21"/>
                    </w:rPr>
                  </w:pPr>
                  <w:r>
                    <w:rPr>
                      <w:rFonts w:hint="eastAsia"/>
                      <w:szCs w:val="21"/>
                    </w:rPr>
                    <w:t>2.13</w:t>
                  </w:r>
                </w:p>
              </w:tc>
              <w:tc>
                <w:tcPr>
                  <w:tcW w:w="1071" w:type="dxa"/>
                  <w:vAlign w:val="center"/>
                </w:tcPr>
                <w:p w14:paraId="38651F85">
                  <w:pPr>
                    <w:jc w:val="center"/>
                    <w:rPr>
                      <w:szCs w:val="21"/>
                    </w:rPr>
                  </w:pPr>
                  <w:r>
                    <w:rPr>
                      <w:rFonts w:hint="eastAsia"/>
                      <w:szCs w:val="21"/>
                    </w:rPr>
                    <w:t>2.61</w:t>
                  </w:r>
                </w:p>
              </w:tc>
              <w:tc>
                <w:tcPr>
                  <w:tcW w:w="1071" w:type="dxa"/>
                  <w:vAlign w:val="center"/>
                </w:tcPr>
                <w:p w14:paraId="1A770E88">
                  <w:pPr>
                    <w:jc w:val="center"/>
                    <w:rPr>
                      <w:szCs w:val="21"/>
                    </w:rPr>
                  </w:pPr>
                  <w:r>
                    <w:rPr>
                      <w:rFonts w:hint="eastAsia"/>
                      <w:szCs w:val="21"/>
                    </w:rPr>
                    <w:t>2.59</w:t>
                  </w:r>
                </w:p>
              </w:tc>
              <w:tc>
                <w:tcPr>
                  <w:tcW w:w="1071" w:type="dxa"/>
                  <w:vAlign w:val="center"/>
                </w:tcPr>
                <w:p w14:paraId="64752962">
                  <w:pPr>
                    <w:jc w:val="center"/>
                    <w:rPr>
                      <w:szCs w:val="21"/>
                    </w:rPr>
                  </w:pPr>
                  <w:r>
                    <w:rPr>
                      <w:rFonts w:hint="eastAsia"/>
                      <w:szCs w:val="21"/>
                    </w:rPr>
                    <w:t>/</w:t>
                  </w:r>
                </w:p>
              </w:tc>
              <w:tc>
                <w:tcPr>
                  <w:tcW w:w="703" w:type="dxa"/>
                  <w:vAlign w:val="center"/>
                </w:tcPr>
                <w:p w14:paraId="7DC1745B">
                  <w:pPr>
                    <w:jc w:val="center"/>
                    <w:rPr>
                      <w:szCs w:val="21"/>
                    </w:rPr>
                  </w:pPr>
                  <w:r>
                    <w:rPr>
                      <w:rFonts w:hint="eastAsia"/>
                      <w:szCs w:val="21"/>
                    </w:rPr>
                    <w:t>60</w:t>
                  </w:r>
                </w:p>
              </w:tc>
            </w:tr>
            <w:tr w14:paraId="5FD5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4475E0A">
                  <w:pPr>
                    <w:jc w:val="center"/>
                    <w:rPr>
                      <w:szCs w:val="21"/>
                    </w:rPr>
                  </w:pPr>
                </w:p>
              </w:tc>
              <w:tc>
                <w:tcPr>
                  <w:tcW w:w="839" w:type="dxa"/>
                  <w:vMerge w:val="continue"/>
                  <w:vAlign w:val="center"/>
                </w:tcPr>
                <w:p w14:paraId="40EF4BB3">
                  <w:pPr>
                    <w:jc w:val="center"/>
                    <w:rPr>
                      <w:szCs w:val="21"/>
                    </w:rPr>
                  </w:pPr>
                </w:p>
              </w:tc>
              <w:tc>
                <w:tcPr>
                  <w:tcW w:w="993" w:type="dxa"/>
                  <w:vMerge w:val="continue"/>
                  <w:vAlign w:val="center"/>
                </w:tcPr>
                <w:p w14:paraId="3737DB7E">
                  <w:pPr>
                    <w:jc w:val="center"/>
                    <w:rPr>
                      <w:szCs w:val="21"/>
                    </w:rPr>
                  </w:pPr>
                </w:p>
              </w:tc>
              <w:tc>
                <w:tcPr>
                  <w:tcW w:w="1275" w:type="dxa"/>
                  <w:vAlign w:val="center"/>
                </w:tcPr>
                <w:p w14:paraId="74EC339B">
                  <w:pPr>
                    <w:jc w:val="center"/>
                    <w:rPr>
                      <w:szCs w:val="21"/>
                    </w:rPr>
                  </w:pPr>
                  <w:r>
                    <w:rPr>
                      <w:rFonts w:hint="eastAsia"/>
                      <w:szCs w:val="21"/>
                    </w:rPr>
                    <w:t>排放速率（kg/h）</w:t>
                  </w:r>
                </w:p>
              </w:tc>
              <w:tc>
                <w:tcPr>
                  <w:tcW w:w="1070" w:type="dxa"/>
                  <w:vAlign w:val="center"/>
                </w:tcPr>
                <w:p w14:paraId="2484C269">
                  <w:pPr>
                    <w:jc w:val="center"/>
                    <w:rPr>
                      <w:szCs w:val="21"/>
                    </w:rPr>
                  </w:pPr>
                  <w:r>
                    <w:rPr>
                      <w:rFonts w:hint="eastAsia"/>
                      <w:szCs w:val="21"/>
                    </w:rPr>
                    <w:t>5.15E-02</w:t>
                  </w:r>
                </w:p>
              </w:tc>
              <w:tc>
                <w:tcPr>
                  <w:tcW w:w="1071" w:type="dxa"/>
                  <w:vAlign w:val="center"/>
                </w:tcPr>
                <w:p w14:paraId="14230ECA">
                  <w:pPr>
                    <w:jc w:val="center"/>
                    <w:rPr>
                      <w:szCs w:val="21"/>
                    </w:rPr>
                  </w:pPr>
                  <w:r>
                    <w:rPr>
                      <w:rFonts w:hint="eastAsia"/>
                      <w:szCs w:val="21"/>
                    </w:rPr>
                    <w:t>6.20E-02</w:t>
                  </w:r>
                </w:p>
              </w:tc>
              <w:tc>
                <w:tcPr>
                  <w:tcW w:w="1071" w:type="dxa"/>
                  <w:vAlign w:val="center"/>
                </w:tcPr>
                <w:p w14:paraId="1FFB0A4A">
                  <w:pPr>
                    <w:jc w:val="center"/>
                    <w:rPr>
                      <w:szCs w:val="21"/>
                    </w:rPr>
                  </w:pPr>
                  <w:r>
                    <w:rPr>
                      <w:rFonts w:hint="eastAsia"/>
                      <w:szCs w:val="21"/>
                    </w:rPr>
                    <w:t>6.07E-02</w:t>
                  </w:r>
                </w:p>
              </w:tc>
              <w:tc>
                <w:tcPr>
                  <w:tcW w:w="1071" w:type="dxa"/>
                  <w:vAlign w:val="center"/>
                </w:tcPr>
                <w:p w14:paraId="7CC6877B">
                  <w:pPr>
                    <w:jc w:val="center"/>
                    <w:rPr>
                      <w:szCs w:val="21"/>
                    </w:rPr>
                  </w:pPr>
                  <w:r>
                    <w:rPr>
                      <w:rFonts w:hint="eastAsia"/>
                      <w:szCs w:val="21"/>
                    </w:rPr>
                    <w:t>/</w:t>
                  </w:r>
                </w:p>
              </w:tc>
              <w:tc>
                <w:tcPr>
                  <w:tcW w:w="703" w:type="dxa"/>
                  <w:vAlign w:val="center"/>
                </w:tcPr>
                <w:p w14:paraId="67486847">
                  <w:pPr>
                    <w:jc w:val="center"/>
                    <w:rPr>
                      <w:szCs w:val="21"/>
                    </w:rPr>
                  </w:pPr>
                  <w:r>
                    <w:rPr>
                      <w:rFonts w:hint="eastAsia"/>
                      <w:szCs w:val="21"/>
                    </w:rPr>
                    <w:t>3.4</w:t>
                  </w:r>
                </w:p>
              </w:tc>
            </w:tr>
            <w:tr w14:paraId="27DBE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472A2CD">
                  <w:pPr>
                    <w:jc w:val="center"/>
                    <w:rPr>
                      <w:szCs w:val="21"/>
                    </w:rPr>
                  </w:pPr>
                </w:p>
              </w:tc>
              <w:tc>
                <w:tcPr>
                  <w:tcW w:w="839" w:type="dxa"/>
                  <w:vMerge w:val="continue"/>
                  <w:vAlign w:val="center"/>
                </w:tcPr>
                <w:p w14:paraId="0CDC5563">
                  <w:pPr>
                    <w:jc w:val="center"/>
                    <w:rPr>
                      <w:szCs w:val="21"/>
                    </w:rPr>
                  </w:pPr>
                </w:p>
              </w:tc>
              <w:tc>
                <w:tcPr>
                  <w:tcW w:w="993" w:type="dxa"/>
                  <w:vMerge w:val="restart"/>
                  <w:vAlign w:val="center"/>
                </w:tcPr>
                <w:p w14:paraId="7BC4724E">
                  <w:pPr>
                    <w:jc w:val="center"/>
                    <w:rPr>
                      <w:szCs w:val="21"/>
                    </w:rPr>
                  </w:pPr>
                  <w:r>
                    <w:rPr>
                      <w:rFonts w:hint="eastAsia"/>
                      <w:szCs w:val="21"/>
                    </w:rPr>
                    <w:t>乙酸</w:t>
                  </w:r>
                </w:p>
                <w:p w14:paraId="3A621525">
                  <w:pPr>
                    <w:jc w:val="center"/>
                    <w:rPr>
                      <w:szCs w:val="21"/>
                    </w:rPr>
                  </w:pPr>
                  <w:r>
                    <w:rPr>
                      <w:rFonts w:hint="eastAsia"/>
                      <w:szCs w:val="21"/>
                    </w:rPr>
                    <w:t>丁酯</w:t>
                  </w:r>
                </w:p>
              </w:tc>
              <w:tc>
                <w:tcPr>
                  <w:tcW w:w="1275" w:type="dxa"/>
                  <w:vAlign w:val="center"/>
                </w:tcPr>
                <w:p w14:paraId="5FD1FB30">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59E5CF9">
                  <w:pPr>
                    <w:jc w:val="center"/>
                    <w:rPr>
                      <w:szCs w:val="21"/>
                    </w:rPr>
                  </w:pPr>
                  <w:r>
                    <w:rPr>
                      <w:rFonts w:hint="eastAsia"/>
                      <w:szCs w:val="21"/>
                    </w:rPr>
                    <w:t>0.013</w:t>
                  </w:r>
                </w:p>
              </w:tc>
              <w:tc>
                <w:tcPr>
                  <w:tcW w:w="1071" w:type="dxa"/>
                  <w:vAlign w:val="center"/>
                </w:tcPr>
                <w:p w14:paraId="77616B95">
                  <w:pPr>
                    <w:jc w:val="center"/>
                    <w:rPr>
                      <w:szCs w:val="21"/>
                    </w:rPr>
                  </w:pPr>
                  <w:r>
                    <w:rPr>
                      <w:rFonts w:hint="eastAsia"/>
                      <w:szCs w:val="21"/>
                    </w:rPr>
                    <w:t>0.014</w:t>
                  </w:r>
                </w:p>
              </w:tc>
              <w:tc>
                <w:tcPr>
                  <w:tcW w:w="1071" w:type="dxa"/>
                  <w:vAlign w:val="center"/>
                </w:tcPr>
                <w:p w14:paraId="6F693CFF">
                  <w:pPr>
                    <w:jc w:val="center"/>
                    <w:rPr>
                      <w:szCs w:val="21"/>
                    </w:rPr>
                  </w:pPr>
                  <w:r>
                    <w:rPr>
                      <w:rFonts w:hint="eastAsia"/>
                      <w:szCs w:val="21"/>
                    </w:rPr>
                    <w:t>0.015</w:t>
                  </w:r>
                </w:p>
              </w:tc>
              <w:tc>
                <w:tcPr>
                  <w:tcW w:w="1071" w:type="dxa"/>
                  <w:vAlign w:val="center"/>
                </w:tcPr>
                <w:p w14:paraId="3355E4DE">
                  <w:pPr>
                    <w:jc w:val="center"/>
                    <w:rPr>
                      <w:szCs w:val="21"/>
                    </w:rPr>
                  </w:pPr>
                  <w:r>
                    <w:rPr>
                      <w:rFonts w:hint="eastAsia"/>
                      <w:szCs w:val="21"/>
                    </w:rPr>
                    <w:t>/</w:t>
                  </w:r>
                </w:p>
              </w:tc>
              <w:tc>
                <w:tcPr>
                  <w:tcW w:w="703" w:type="dxa"/>
                  <w:vAlign w:val="center"/>
                </w:tcPr>
                <w:p w14:paraId="0139F796">
                  <w:pPr>
                    <w:jc w:val="center"/>
                    <w:rPr>
                      <w:szCs w:val="21"/>
                    </w:rPr>
                  </w:pPr>
                  <w:r>
                    <w:rPr>
                      <w:rFonts w:hint="eastAsia"/>
                      <w:szCs w:val="21"/>
                    </w:rPr>
                    <w:t>40</w:t>
                  </w:r>
                </w:p>
              </w:tc>
            </w:tr>
            <w:tr w14:paraId="73A9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3B515A96">
                  <w:pPr>
                    <w:jc w:val="center"/>
                    <w:rPr>
                      <w:szCs w:val="21"/>
                    </w:rPr>
                  </w:pPr>
                </w:p>
              </w:tc>
              <w:tc>
                <w:tcPr>
                  <w:tcW w:w="839" w:type="dxa"/>
                  <w:vMerge w:val="continue"/>
                  <w:vAlign w:val="center"/>
                </w:tcPr>
                <w:p w14:paraId="3B0CF955">
                  <w:pPr>
                    <w:jc w:val="center"/>
                    <w:rPr>
                      <w:szCs w:val="21"/>
                    </w:rPr>
                  </w:pPr>
                </w:p>
              </w:tc>
              <w:tc>
                <w:tcPr>
                  <w:tcW w:w="993" w:type="dxa"/>
                  <w:vMerge w:val="continue"/>
                  <w:vAlign w:val="center"/>
                </w:tcPr>
                <w:p w14:paraId="7BC602F3">
                  <w:pPr>
                    <w:jc w:val="center"/>
                    <w:rPr>
                      <w:szCs w:val="21"/>
                    </w:rPr>
                  </w:pPr>
                </w:p>
              </w:tc>
              <w:tc>
                <w:tcPr>
                  <w:tcW w:w="1275" w:type="dxa"/>
                  <w:vAlign w:val="center"/>
                </w:tcPr>
                <w:p w14:paraId="766C12A5">
                  <w:pPr>
                    <w:jc w:val="center"/>
                    <w:rPr>
                      <w:szCs w:val="21"/>
                    </w:rPr>
                  </w:pPr>
                  <w:r>
                    <w:rPr>
                      <w:rFonts w:hint="eastAsia"/>
                      <w:szCs w:val="21"/>
                    </w:rPr>
                    <w:t>排放速率（kg/h）</w:t>
                  </w:r>
                </w:p>
              </w:tc>
              <w:tc>
                <w:tcPr>
                  <w:tcW w:w="1070" w:type="dxa"/>
                  <w:vAlign w:val="center"/>
                </w:tcPr>
                <w:p w14:paraId="2B143336">
                  <w:pPr>
                    <w:jc w:val="center"/>
                    <w:rPr>
                      <w:szCs w:val="21"/>
                    </w:rPr>
                  </w:pPr>
                  <w:r>
                    <w:rPr>
                      <w:rFonts w:hint="eastAsia"/>
                      <w:szCs w:val="21"/>
                    </w:rPr>
                    <w:t>3.15E-04</w:t>
                  </w:r>
                </w:p>
              </w:tc>
              <w:tc>
                <w:tcPr>
                  <w:tcW w:w="1071" w:type="dxa"/>
                  <w:vAlign w:val="center"/>
                </w:tcPr>
                <w:p w14:paraId="40FD6E6B">
                  <w:pPr>
                    <w:jc w:val="center"/>
                    <w:rPr>
                      <w:szCs w:val="21"/>
                    </w:rPr>
                  </w:pPr>
                  <w:r>
                    <w:rPr>
                      <w:rFonts w:hint="eastAsia"/>
                      <w:szCs w:val="21"/>
                    </w:rPr>
                    <w:t>3.33E-04</w:t>
                  </w:r>
                </w:p>
              </w:tc>
              <w:tc>
                <w:tcPr>
                  <w:tcW w:w="1071" w:type="dxa"/>
                  <w:vAlign w:val="center"/>
                </w:tcPr>
                <w:p w14:paraId="5581C381">
                  <w:pPr>
                    <w:jc w:val="center"/>
                    <w:rPr>
                      <w:szCs w:val="21"/>
                    </w:rPr>
                  </w:pPr>
                  <w:r>
                    <w:rPr>
                      <w:rFonts w:hint="eastAsia"/>
                      <w:szCs w:val="21"/>
                    </w:rPr>
                    <w:t>3.52E-04</w:t>
                  </w:r>
                </w:p>
              </w:tc>
              <w:tc>
                <w:tcPr>
                  <w:tcW w:w="1071" w:type="dxa"/>
                  <w:vAlign w:val="center"/>
                </w:tcPr>
                <w:p w14:paraId="6E361463">
                  <w:pPr>
                    <w:jc w:val="center"/>
                    <w:rPr>
                      <w:szCs w:val="21"/>
                    </w:rPr>
                  </w:pPr>
                  <w:r>
                    <w:rPr>
                      <w:rFonts w:hint="eastAsia"/>
                      <w:szCs w:val="21"/>
                    </w:rPr>
                    <w:t>/</w:t>
                  </w:r>
                </w:p>
              </w:tc>
              <w:tc>
                <w:tcPr>
                  <w:tcW w:w="703" w:type="dxa"/>
                  <w:vAlign w:val="center"/>
                </w:tcPr>
                <w:p w14:paraId="2BB902B7">
                  <w:pPr>
                    <w:jc w:val="center"/>
                    <w:rPr>
                      <w:szCs w:val="21"/>
                    </w:rPr>
                  </w:pPr>
                  <w:r>
                    <w:rPr>
                      <w:rFonts w:hint="eastAsia"/>
                      <w:szCs w:val="21"/>
                    </w:rPr>
                    <w:t>1.7</w:t>
                  </w:r>
                </w:p>
              </w:tc>
            </w:tr>
            <w:tr w14:paraId="4617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B7F1F99">
                  <w:pPr>
                    <w:jc w:val="center"/>
                    <w:rPr>
                      <w:szCs w:val="21"/>
                    </w:rPr>
                  </w:pPr>
                </w:p>
              </w:tc>
              <w:tc>
                <w:tcPr>
                  <w:tcW w:w="839" w:type="dxa"/>
                  <w:vMerge w:val="continue"/>
                  <w:vAlign w:val="center"/>
                </w:tcPr>
                <w:p w14:paraId="36EC1AE8">
                  <w:pPr>
                    <w:jc w:val="center"/>
                    <w:rPr>
                      <w:szCs w:val="21"/>
                    </w:rPr>
                  </w:pPr>
                </w:p>
              </w:tc>
              <w:tc>
                <w:tcPr>
                  <w:tcW w:w="993" w:type="dxa"/>
                  <w:vMerge w:val="restart"/>
                  <w:vAlign w:val="center"/>
                </w:tcPr>
                <w:p w14:paraId="1AD10675">
                  <w:pPr>
                    <w:jc w:val="center"/>
                    <w:rPr>
                      <w:szCs w:val="21"/>
                    </w:rPr>
                  </w:pPr>
                  <w:r>
                    <w:rPr>
                      <w:rFonts w:hint="eastAsia"/>
                      <w:szCs w:val="21"/>
                    </w:rPr>
                    <w:t>乙酸</w:t>
                  </w:r>
                </w:p>
                <w:p w14:paraId="5FF1779D">
                  <w:pPr>
                    <w:jc w:val="center"/>
                    <w:rPr>
                      <w:szCs w:val="21"/>
                    </w:rPr>
                  </w:pPr>
                  <w:r>
                    <w:rPr>
                      <w:rFonts w:hint="eastAsia"/>
                      <w:szCs w:val="21"/>
                    </w:rPr>
                    <w:t>乙酯</w:t>
                  </w:r>
                </w:p>
              </w:tc>
              <w:tc>
                <w:tcPr>
                  <w:tcW w:w="1275" w:type="dxa"/>
                  <w:vAlign w:val="center"/>
                </w:tcPr>
                <w:p w14:paraId="4D86BC51">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44F35A0C">
                  <w:pPr>
                    <w:jc w:val="center"/>
                    <w:rPr>
                      <w:szCs w:val="21"/>
                    </w:rPr>
                  </w:pPr>
                  <w:r>
                    <w:rPr>
                      <w:rFonts w:hint="eastAsia"/>
                      <w:szCs w:val="21"/>
                    </w:rPr>
                    <w:t>未检出</w:t>
                  </w:r>
                </w:p>
              </w:tc>
              <w:tc>
                <w:tcPr>
                  <w:tcW w:w="1071" w:type="dxa"/>
                  <w:vAlign w:val="center"/>
                </w:tcPr>
                <w:p w14:paraId="46D26A68">
                  <w:pPr>
                    <w:jc w:val="center"/>
                    <w:rPr>
                      <w:szCs w:val="21"/>
                    </w:rPr>
                  </w:pPr>
                  <w:r>
                    <w:rPr>
                      <w:rFonts w:hint="eastAsia"/>
                      <w:szCs w:val="21"/>
                    </w:rPr>
                    <w:t>未检出</w:t>
                  </w:r>
                </w:p>
              </w:tc>
              <w:tc>
                <w:tcPr>
                  <w:tcW w:w="1071" w:type="dxa"/>
                  <w:vAlign w:val="center"/>
                </w:tcPr>
                <w:p w14:paraId="1148EEC7">
                  <w:pPr>
                    <w:jc w:val="center"/>
                    <w:rPr>
                      <w:szCs w:val="21"/>
                    </w:rPr>
                  </w:pPr>
                  <w:r>
                    <w:rPr>
                      <w:rFonts w:hint="eastAsia"/>
                      <w:szCs w:val="21"/>
                    </w:rPr>
                    <w:t>未检出</w:t>
                  </w:r>
                </w:p>
              </w:tc>
              <w:tc>
                <w:tcPr>
                  <w:tcW w:w="1071" w:type="dxa"/>
                  <w:vAlign w:val="center"/>
                </w:tcPr>
                <w:p w14:paraId="35FCF759">
                  <w:pPr>
                    <w:jc w:val="center"/>
                    <w:rPr>
                      <w:szCs w:val="21"/>
                    </w:rPr>
                  </w:pPr>
                  <w:r>
                    <w:rPr>
                      <w:rFonts w:hint="eastAsia"/>
                      <w:szCs w:val="21"/>
                    </w:rPr>
                    <w:t>/</w:t>
                  </w:r>
                </w:p>
              </w:tc>
              <w:tc>
                <w:tcPr>
                  <w:tcW w:w="703" w:type="dxa"/>
                  <w:vAlign w:val="center"/>
                </w:tcPr>
                <w:p w14:paraId="44A9EDDE">
                  <w:pPr>
                    <w:jc w:val="center"/>
                    <w:rPr>
                      <w:szCs w:val="21"/>
                    </w:rPr>
                  </w:pPr>
                  <w:r>
                    <w:rPr>
                      <w:rFonts w:hint="eastAsia"/>
                      <w:szCs w:val="21"/>
                    </w:rPr>
                    <w:t>40</w:t>
                  </w:r>
                </w:p>
              </w:tc>
            </w:tr>
            <w:tr w14:paraId="0591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598927D">
                  <w:pPr>
                    <w:jc w:val="center"/>
                    <w:rPr>
                      <w:szCs w:val="21"/>
                    </w:rPr>
                  </w:pPr>
                </w:p>
              </w:tc>
              <w:tc>
                <w:tcPr>
                  <w:tcW w:w="839" w:type="dxa"/>
                  <w:vMerge w:val="continue"/>
                  <w:vAlign w:val="center"/>
                </w:tcPr>
                <w:p w14:paraId="49387AC2">
                  <w:pPr>
                    <w:jc w:val="center"/>
                    <w:rPr>
                      <w:szCs w:val="21"/>
                    </w:rPr>
                  </w:pPr>
                </w:p>
              </w:tc>
              <w:tc>
                <w:tcPr>
                  <w:tcW w:w="993" w:type="dxa"/>
                  <w:vMerge w:val="continue"/>
                  <w:vAlign w:val="center"/>
                </w:tcPr>
                <w:p w14:paraId="16CA4AE8">
                  <w:pPr>
                    <w:jc w:val="center"/>
                    <w:rPr>
                      <w:szCs w:val="21"/>
                    </w:rPr>
                  </w:pPr>
                </w:p>
              </w:tc>
              <w:tc>
                <w:tcPr>
                  <w:tcW w:w="1275" w:type="dxa"/>
                  <w:vAlign w:val="center"/>
                </w:tcPr>
                <w:p w14:paraId="69A8655E">
                  <w:pPr>
                    <w:jc w:val="center"/>
                    <w:rPr>
                      <w:szCs w:val="21"/>
                    </w:rPr>
                  </w:pPr>
                  <w:r>
                    <w:rPr>
                      <w:rFonts w:hint="eastAsia"/>
                      <w:szCs w:val="21"/>
                    </w:rPr>
                    <w:t>排放速率（kg/h）</w:t>
                  </w:r>
                </w:p>
              </w:tc>
              <w:tc>
                <w:tcPr>
                  <w:tcW w:w="1070" w:type="dxa"/>
                  <w:vAlign w:val="center"/>
                </w:tcPr>
                <w:p w14:paraId="7C45C519">
                  <w:pPr>
                    <w:jc w:val="center"/>
                    <w:rPr>
                      <w:szCs w:val="21"/>
                    </w:rPr>
                  </w:pPr>
                  <w:r>
                    <w:rPr>
                      <w:rFonts w:hint="eastAsia"/>
                      <w:szCs w:val="21"/>
                    </w:rPr>
                    <w:t>/</w:t>
                  </w:r>
                </w:p>
              </w:tc>
              <w:tc>
                <w:tcPr>
                  <w:tcW w:w="1071" w:type="dxa"/>
                  <w:vAlign w:val="center"/>
                </w:tcPr>
                <w:p w14:paraId="1BA75D40">
                  <w:pPr>
                    <w:jc w:val="center"/>
                    <w:rPr>
                      <w:szCs w:val="21"/>
                    </w:rPr>
                  </w:pPr>
                  <w:r>
                    <w:rPr>
                      <w:rFonts w:hint="eastAsia"/>
                      <w:szCs w:val="21"/>
                    </w:rPr>
                    <w:t>/</w:t>
                  </w:r>
                </w:p>
              </w:tc>
              <w:tc>
                <w:tcPr>
                  <w:tcW w:w="1071" w:type="dxa"/>
                  <w:vAlign w:val="center"/>
                </w:tcPr>
                <w:p w14:paraId="7EB11BD1">
                  <w:pPr>
                    <w:jc w:val="center"/>
                    <w:rPr>
                      <w:szCs w:val="21"/>
                    </w:rPr>
                  </w:pPr>
                  <w:r>
                    <w:rPr>
                      <w:rFonts w:hint="eastAsia"/>
                      <w:szCs w:val="21"/>
                    </w:rPr>
                    <w:t>/</w:t>
                  </w:r>
                </w:p>
              </w:tc>
              <w:tc>
                <w:tcPr>
                  <w:tcW w:w="1071" w:type="dxa"/>
                  <w:vAlign w:val="center"/>
                </w:tcPr>
                <w:p w14:paraId="6B850A46">
                  <w:pPr>
                    <w:jc w:val="center"/>
                    <w:rPr>
                      <w:szCs w:val="21"/>
                    </w:rPr>
                  </w:pPr>
                  <w:r>
                    <w:rPr>
                      <w:rFonts w:hint="eastAsia"/>
                      <w:szCs w:val="21"/>
                    </w:rPr>
                    <w:t>/</w:t>
                  </w:r>
                </w:p>
              </w:tc>
              <w:tc>
                <w:tcPr>
                  <w:tcW w:w="703" w:type="dxa"/>
                  <w:vAlign w:val="center"/>
                </w:tcPr>
                <w:p w14:paraId="69E80841">
                  <w:pPr>
                    <w:jc w:val="center"/>
                    <w:rPr>
                      <w:szCs w:val="21"/>
                    </w:rPr>
                  </w:pPr>
                  <w:r>
                    <w:rPr>
                      <w:rFonts w:hint="eastAsia"/>
                      <w:szCs w:val="21"/>
                    </w:rPr>
                    <w:t>1.7</w:t>
                  </w:r>
                </w:p>
              </w:tc>
            </w:tr>
            <w:tr w14:paraId="7BC7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3A7FCF0E">
                  <w:pPr>
                    <w:jc w:val="center"/>
                    <w:rPr>
                      <w:szCs w:val="21"/>
                    </w:rPr>
                  </w:pPr>
                </w:p>
              </w:tc>
              <w:tc>
                <w:tcPr>
                  <w:tcW w:w="839" w:type="dxa"/>
                  <w:vMerge w:val="continue"/>
                  <w:vAlign w:val="center"/>
                </w:tcPr>
                <w:p w14:paraId="54371464">
                  <w:pPr>
                    <w:jc w:val="center"/>
                    <w:rPr>
                      <w:szCs w:val="21"/>
                    </w:rPr>
                  </w:pPr>
                </w:p>
              </w:tc>
              <w:tc>
                <w:tcPr>
                  <w:tcW w:w="993" w:type="dxa"/>
                  <w:vMerge w:val="restart"/>
                  <w:vAlign w:val="center"/>
                </w:tcPr>
                <w:p w14:paraId="60162508">
                  <w:pPr>
                    <w:jc w:val="center"/>
                    <w:rPr>
                      <w:szCs w:val="21"/>
                    </w:rPr>
                  </w:pPr>
                  <w:r>
                    <w:rPr>
                      <w:rFonts w:hint="eastAsia"/>
                      <w:szCs w:val="21"/>
                    </w:rPr>
                    <w:t>颗粒物</w:t>
                  </w:r>
                </w:p>
              </w:tc>
              <w:tc>
                <w:tcPr>
                  <w:tcW w:w="1275" w:type="dxa"/>
                  <w:vAlign w:val="center"/>
                </w:tcPr>
                <w:p w14:paraId="4C97828A">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6B77D1C8">
                  <w:pPr>
                    <w:jc w:val="center"/>
                    <w:rPr>
                      <w:szCs w:val="21"/>
                    </w:rPr>
                  </w:pPr>
                  <w:r>
                    <w:rPr>
                      <w:rFonts w:hint="eastAsia"/>
                      <w:szCs w:val="21"/>
                    </w:rPr>
                    <w:t>1.4</w:t>
                  </w:r>
                </w:p>
              </w:tc>
              <w:tc>
                <w:tcPr>
                  <w:tcW w:w="1071" w:type="dxa"/>
                  <w:vAlign w:val="center"/>
                </w:tcPr>
                <w:p w14:paraId="6EB7C3D7">
                  <w:pPr>
                    <w:jc w:val="center"/>
                    <w:rPr>
                      <w:szCs w:val="21"/>
                    </w:rPr>
                  </w:pPr>
                  <w:r>
                    <w:rPr>
                      <w:rFonts w:hint="eastAsia"/>
                      <w:szCs w:val="21"/>
                    </w:rPr>
                    <w:t>1.8</w:t>
                  </w:r>
                </w:p>
              </w:tc>
              <w:tc>
                <w:tcPr>
                  <w:tcW w:w="1071" w:type="dxa"/>
                  <w:vAlign w:val="center"/>
                </w:tcPr>
                <w:p w14:paraId="1AE0F563">
                  <w:pPr>
                    <w:jc w:val="center"/>
                    <w:rPr>
                      <w:szCs w:val="21"/>
                    </w:rPr>
                  </w:pPr>
                  <w:r>
                    <w:rPr>
                      <w:rFonts w:hint="eastAsia"/>
                      <w:szCs w:val="21"/>
                    </w:rPr>
                    <w:t>1.3</w:t>
                  </w:r>
                </w:p>
              </w:tc>
              <w:tc>
                <w:tcPr>
                  <w:tcW w:w="1071" w:type="dxa"/>
                  <w:vAlign w:val="center"/>
                </w:tcPr>
                <w:p w14:paraId="43328831">
                  <w:pPr>
                    <w:jc w:val="center"/>
                    <w:rPr>
                      <w:szCs w:val="21"/>
                    </w:rPr>
                  </w:pPr>
                  <w:r>
                    <w:rPr>
                      <w:rFonts w:hint="eastAsia"/>
                      <w:szCs w:val="21"/>
                    </w:rPr>
                    <w:t>/</w:t>
                  </w:r>
                </w:p>
              </w:tc>
              <w:tc>
                <w:tcPr>
                  <w:tcW w:w="703" w:type="dxa"/>
                  <w:vAlign w:val="center"/>
                </w:tcPr>
                <w:p w14:paraId="049FA69B">
                  <w:pPr>
                    <w:jc w:val="center"/>
                    <w:rPr>
                      <w:szCs w:val="21"/>
                    </w:rPr>
                  </w:pPr>
                  <w:r>
                    <w:rPr>
                      <w:rFonts w:hint="eastAsia"/>
                      <w:szCs w:val="21"/>
                    </w:rPr>
                    <w:t>120</w:t>
                  </w:r>
                </w:p>
              </w:tc>
            </w:tr>
            <w:tr w14:paraId="2EAD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683D1BA">
                  <w:pPr>
                    <w:jc w:val="center"/>
                    <w:rPr>
                      <w:szCs w:val="21"/>
                    </w:rPr>
                  </w:pPr>
                </w:p>
              </w:tc>
              <w:tc>
                <w:tcPr>
                  <w:tcW w:w="839" w:type="dxa"/>
                  <w:vMerge w:val="continue"/>
                  <w:vAlign w:val="center"/>
                </w:tcPr>
                <w:p w14:paraId="2A118F09">
                  <w:pPr>
                    <w:jc w:val="center"/>
                    <w:rPr>
                      <w:szCs w:val="21"/>
                    </w:rPr>
                  </w:pPr>
                </w:p>
              </w:tc>
              <w:tc>
                <w:tcPr>
                  <w:tcW w:w="993" w:type="dxa"/>
                  <w:vMerge w:val="continue"/>
                  <w:vAlign w:val="center"/>
                </w:tcPr>
                <w:p w14:paraId="7EA9042A">
                  <w:pPr>
                    <w:jc w:val="center"/>
                    <w:rPr>
                      <w:szCs w:val="21"/>
                    </w:rPr>
                  </w:pPr>
                </w:p>
              </w:tc>
              <w:tc>
                <w:tcPr>
                  <w:tcW w:w="1275" w:type="dxa"/>
                  <w:vAlign w:val="center"/>
                </w:tcPr>
                <w:p w14:paraId="3511AC6E">
                  <w:pPr>
                    <w:jc w:val="center"/>
                    <w:rPr>
                      <w:szCs w:val="21"/>
                    </w:rPr>
                  </w:pPr>
                  <w:r>
                    <w:rPr>
                      <w:rFonts w:hint="eastAsia"/>
                      <w:szCs w:val="21"/>
                    </w:rPr>
                    <w:t>排放速率（kg/h）</w:t>
                  </w:r>
                </w:p>
              </w:tc>
              <w:tc>
                <w:tcPr>
                  <w:tcW w:w="1070" w:type="dxa"/>
                  <w:vAlign w:val="center"/>
                </w:tcPr>
                <w:p w14:paraId="0210C478">
                  <w:pPr>
                    <w:jc w:val="center"/>
                    <w:rPr>
                      <w:szCs w:val="21"/>
                    </w:rPr>
                  </w:pPr>
                  <w:r>
                    <w:rPr>
                      <w:rFonts w:hint="eastAsia"/>
                      <w:szCs w:val="21"/>
                    </w:rPr>
                    <w:t>3.39E-02</w:t>
                  </w:r>
                </w:p>
              </w:tc>
              <w:tc>
                <w:tcPr>
                  <w:tcW w:w="1071" w:type="dxa"/>
                  <w:vAlign w:val="center"/>
                </w:tcPr>
                <w:p w14:paraId="584DCE2A">
                  <w:pPr>
                    <w:jc w:val="center"/>
                    <w:rPr>
                      <w:szCs w:val="21"/>
                    </w:rPr>
                  </w:pPr>
                  <w:r>
                    <w:rPr>
                      <w:rFonts w:hint="eastAsia"/>
                      <w:szCs w:val="21"/>
                    </w:rPr>
                    <w:t>4.28E-02</w:t>
                  </w:r>
                </w:p>
              </w:tc>
              <w:tc>
                <w:tcPr>
                  <w:tcW w:w="1071" w:type="dxa"/>
                  <w:vAlign w:val="center"/>
                </w:tcPr>
                <w:p w14:paraId="3BEAFF4C">
                  <w:pPr>
                    <w:jc w:val="center"/>
                    <w:rPr>
                      <w:szCs w:val="21"/>
                    </w:rPr>
                  </w:pPr>
                  <w:r>
                    <w:rPr>
                      <w:rFonts w:hint="eastAsia"/>
                      <w:szCs w:val="21"/>
                    </w:rPr>
                    <w:t>3.05E-02</w:t>
                  </w:r>
                </w:p>
              </w:tc>
              <w:tc>
                <w:tcPr>
                  <w:tcW w:w="1071" w:type="dxa"/>
                  <w:vAlign w:val="center"/>
                </w:tcPr>
                <w:p w14:paraId="4150CF84">
                  <w:pPr>
                    <w:jc w:val="center"/>
                    <w:rPr>
                      <w:szCs w:val="21"/>
                    </w:rPr>
                  </w:pPr>
                  <w:r>
                    <w:rPr>
                      <w:rFonts w:hint="eastAsia"/>
                      <w:szCs w:val="21"/>
                    </w:rPr>
                    <w:t>/</w:t>
                  </w:r>
                </w:p>
              </w:tc>
              <w:tc>
                <w:tcPr>
                  <w:tcW w:w="703" w:type="dxa"/>
                  <w:vAlign w:val="center"/>
                </w:tcPr>
                <w:p w14:paraId="5435CAAD">
                  <w:pPr>
                    <w:jc w:val="center"/>
                    <w:rPr>
                      <w:szCs w:val="21"/>
                    </w:rPr>
                  </w:pPr>
                  <w:r>
                    <w:rPr>
                      <w:rFonts w:hint="eastAsia"/>
                      <w:szCs w:val="21"/>
                    </w:rPr>
                    <w:t>3.5</w:t>
                  </w:r>
                </w:p>
              </w:tc>
            </w:tr>
            <w:tr w14:paraId="3DEC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14:paraId="61C41112">
                  <w:pPr>
                    <w:jc w:val="center"/>
                    <w:rPr>
                      <w:szCs w:val="21"/>
                    </w:rPr>
                  </w:pPr>
                  <w:r>
                    <w:rPr>
                      <w:rFonts w:hint="eastAsia"/>
                      <w:szCs w:val="21"/>
                    </w:rPr>
                    <w:t>DA003</w:t>
                  </w:r>
                </w:p>
              </w:tc>
              <w:tc>
                <w:tcPr>
                  <w:tcW w:w="839" w:type="dxa"/>
                  <w:vMerge w:val="restart"/>
                  <w:vAlign w:val="center"/>
                </w:tcPr>
                <w:p w14:paraId="39CFC55E">
                  <w:pPr>
                    <w:jc w:val="center"/>
                    <w:rPr>
                      <w:szCs w:val="21"/>
                    </w:rPr>
                  </w:pPr>
                  <w:r>
                    <w:rPr>
                      <w:rFonts w:hint="eastAsia"/>
                      <w:szCs w:val="21"/>
                    </w:rPr>
                    <w:t>2023</w:t>
                  </w:r>
                </w:p>
                <w:p w14:paraId="72D37B37">
                  <w:pPr>
                    <w:jc w:val="center"/>
                    <w:rPr>
                      <w:szCs w:val="21"/>
                    </w:rPr>
                  </w:pPr>
                  <w:r>
                    <w:rPr>
                      <w:rFonts w:hint="eastAsia"/>
                      <w:szCs w:val="21"/>
                    </w:rPr>
                    <w:t>0724</w:t>
                  </w:r>
                </w:p>
              </w:tc>
              <w:tc>
                <w:tcPr>
                  <w:tcW w:w="2268" w:type="dxa"/>
                  <w:gridSpan w:val="2"/>
                  <w:vAlign w:val="center"/>
                </w:tcPr>
                <w:p w14:paraId="362AE58B">
                  <w:pPr>
                    <w:jc w:val="center"/>
                  </w:pPr>
                  <w:r>
                    <w:rPr>
                      <w:rFonts w:hint="eastAsia"/>
                    </w:rPr>
                    <w:t>排气筒高度（m）</w:t>
                  </w:r>
                </w:p>
              </w:tc>
              <w:tc>
                <w:tcPr>
                  <w:tcW w:w="4283" w:type="dxa"/>
                  <w:gridSpan w:val="4"/>
                  <w:vAlign w:val="center"/>
                </w:tcPr>
                <w:p w14:paraId="26B4C304">
                  <w:pPr>
                    <w:jc w:val="center"/>
                    <w:rPr>
                      <w:szCs w:val="21"/>
                    </w:rPr>
                  </w:pPr>
                  <w:r>
                    <w:rPr>
                      <w:rFonts w:hint="eastAsia"/>
                      <w:szCs w:val="21"/>
                    </w:rPr>
                    <w:t>15</w:t>
                  </w:r>
                </w:p>
              </w:tc>
              <w:tc>
                <w:tcPr>
                  <w:tcW w:w="703" w:type="dxa"/>
                  <w:vAlign w:val="center"/>
                </w:tcPr>
                <w:p w14:paraId="7FAA28CC">
                  <w:pPr>
                    <w:jc w:val="center"/>
                    <w:rPr>
                      <w:szCs w:val="21"/>
                    </w:rPr>
                  </w:pPr>
                  <w:r>
                    <w:rPr>
                      <w:rFonts w:hint="eastAsia"/>
                      <w:szCs w:val="21"/>
                    </w:rPr>
                    <w:t>/</w:t>
                  </w:r>
                </w:p>
              </w:tc>
            </w:tr>
            <w:tr w14:paraId="19CA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3645BB6">
                  <w:pPr>
                    <w:jc w:val="center"/>
                    <w:rPr>
                      <w:szCs w:val="21"/>
                    </w:rPr>
                  </w:pPr>
                </w:p>
              </w:tc>
              <w:tc>
                <w:tcPr>
                  <w:tcW w:w="839" w:type="dxa"/>
                  <w:vMerge w:val="continue"/>
                  <w:vAlign w:val="center"/>
                </w:tcPr>
                <w:p w14:paraId="5C1F1C4C">
                  <w:pPr>
                    <w:jc w:val="center"/>
                    <w:rPr>
                      <w:szCs w:val="21"/>
                    </w:rPr>
                  </w:pPr>
                </w:p>
              </w:tc>
              <w:tc>
                <w:tcPr>
                  <w:tcW w:w="2268" w:type="dxa"/>
                  <w:gridSpan w:val="2"/>
                  <w:vAlign w:val="center"/>
                </w:tcPr>
                <w:p w14:paraId="308D7EE1">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3F494D76">
                  <w:pPr>
                    <w:jc w:val="center"/>
                    <w:rPr>
                      <w:szCs w:val="21"/>
                    </w:rPr>
                  </w:pPr>
                  <w:r>
                    <w:rPr>
                      <w:rFonts w:hint="eastAsia"/>
                      <w:szCs w:val="21"/>
                    </w:rPr>
                    <w:t>8025</w:t>
                  </w:r>
                </w:p>
              </w:tc>
              <w:tc>
                <w:tcPr>
                  <w:tcW w:w="1071" w:type="dxa"/>
                  <w:vAlign w:val="center"/>
                </w:tcPr>
                <w:p w14:paraId="7A2D8BE5">
                  <w:pPr>
                    <w:jc w:val="center"/>
                    <w:rPr>
                      <w:szCs w:val="21"/>
                    </w:rPr>
                  </w:pPr>
                  <w:r>
                    <w:rPr>
                      <w:rFonts w:hint="eastAsia"/>
                      <w:szCs w:val="21"/>
                    </w:rPr>
                    <w:t>8151</w:t>
                  </w:r>
                </w:p>
              </w:tc>
              <w:tc>
                <w:tcPr>
                  <w:tcW w:w="1071" w:type="dxa"/>
                  <w:vAlign w:val="center"/>
                </w:tcPr>
                <w:p w14:paraId="405CBCD6">
                  <w:pPr>
                    <w:jc w:val="center"/>
                    <w:rPr>
                      <w:szCs w:val="21"/>
                    </w:rPr>
                  </w:pPr>
                  <w:r>
                    <w:rPr>
                      <w:rFonts w:hint="eastAsia"/>
                      <w:szCs w:val="21"/>
                    </w:rPr>
                    <w:t>8217</w:t>
                  </w:r>
                </w:p>
              </w:tc>
              <w:tc>
                <w:tcPr>
                  <w:tcW w:w="1071" w:type="dxa"/>
                  <w:vAlign w:val="center"/>
                </w:tcPr>
                <w:p w14:paraId="40C54644">
                  <w:pPr>
                    <w:jc w:val="center"/>
                    <w:rPr>
                      <w:szCs w:val="21"/>
                    </w:rPr>
                  </w:pPr>
                  <w:r>
                    <w:rPr>
                      <w:rFonts w:hint="eastAsia"/>
                      <w:szCs w:val="21"/>
                    </w:rPr>
                    <w:t>/</w:t>
                  </w:r>
                </w:p>
              </w:tc>
              <w:tc>
                <w:tcPr>
                  <w:tcW w:w="703" w:type="dxa"/>
                  <w:vAlign w:val="center"/>
                </w:tcPr>
                <w:p w14:paraId="6B258773">
                  <w:pPr>
                    <w:jc w:val="center"/>
                    <w:rPr>
                      <w:szCs w:val="21"/>
                    </w:rPr>
                  </w:pPr>
                  <w:r>
                    <w:rPr>
                      <w:rFonts w:hint="eastAsia"/>
                      <w:szCs w:val="21"/>
                    </w:rPr>
                    <w:t>/</w:t>
                  </w:r>
                </w:p>
              </w:tc>
            </w:tr>
            <w:tr w14:paraId="730CA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7FB02153">
                  <w:pPr>
                    <w:jc w:val="center"/>
                    <w:rPr>
                      <w:szCs w:val="21"/>
                    </w:rPr>
                  </w:pPr>
                </w:p>
              </w:tc>
              <w:tc>
                <w:tcPr>
                  <w:tcW w:w="839" w:type="dxa"/>
                  <w:vMerge w:val="continue"/>
                  <w:vAlign w:val="center"/>
                </w:tcPr>
                <w:p w14:paraId="22FB668A">
                  <w:pPr>
                    <w:jc w:val="center"/>
                    <w:rPr>
                      <w:szCs w:val="21"/>
                    </w:rPr>
                  </w:pPr>
                </w:p>
              </w:tc>
              <w:tc>
                <w:tcPr>
                  <w:tcW w:w="993" w:type="dxa"/>
                  <w:vMerge w:val="restart"/>
                  <w:vAlign w:val="center"/>
                </w:tcPr>
                <w:p w14:paraId="21997980">
                  <w:pPr>
                    <w:jc w:val="center"/>
                    <w:rPr>
                      <w:szCs w:val="21"/>
                    </w:rPr>
                  </w:pPr>
                  <w:r>
                    <w:rPr>
                      <w:rFonts w:hint="eastAsia"/>
                      <w:szCs w:val="21"/>
                    </w:rPr>
                    <w:t>颗粒物</w:t>
                  </w:r>
                </w:p>
              </w:tc>
              <w:tc>
                <w:tcPr>
                  <w:tcW w:w="1275" w:type="dxa"/>
                  <w:vAlign w:val="center"/>
                </w:tcPr>
                <w:p w14:paraId="17D6F447">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2C65F3ED">
                  <w:pPr>
                    <w:jc w:val="center"/>
                    <w:rPr>
                      <w:szCs w:val="21"/>
                    </w:rPr>
                  </w:pPr>
                  <w:r>
                    <w:rPr>
                      <w:rFonts w:hint="eastAsia"/>
                      <w:szCs w:val="21"/>
                    </w:rPr>
                    <w:t>2.4</w:t>
                  </w:r>
                </w:p>
              </w:tc>
              <w:tc>
                <w:tcPr>
                  <w:tcW w:w="1071" w:type="dxa"/>
                  <w:vAlign w:val="center"/>
                </w:tcPr>
                <w:p w14:paraId="5E4BA469">
                  <w:pPr>
                    <w:jc w:val="center"/>
                    <w:rPr>
                      <w:szCs w:val="21"/>
                    </w:rPr>
                  </w:pPr>
                  <w:r>
                    <w:rPr>
                      <w:rFonts w:hint="eastAsia"/>
                      <w:szCs w:val="21"/>
                    </w:rPr>
                    <w:t>1.9</w:t>
                  </w:r>
                </w:p>
              </w:tc>
              <w:tc>
                <w:tcPr>
                  <w:tcW w:w="1071" w:type="dxa"/>
                  <w:vAlign w:val="center"/>
                </w:tcPr>
                <w:p w14:paraId="16EF3DC4">
                  <w:pPr>
                    <w:jc w:val="center"/>
                    <w:rPr>
                      <w:szCs w:val="21"/>
                    </w:rPr>
                  </w:pPr>
                  <w:r>
                    <w:rPr>
                      <w:rFonts w:hint="eastAsia"/>
                      <w:szCs w:val="21"/>
                    </w:rPr>
                    <w:t>2.3</w:t>
                  </w:r>
                </w:p>
              </w:tc>
              <w:tc>
                <w:tcPr>
                  <w:tcW w:w="1071" w:type="dxa"/>
                  <w:vAlign w:val="center"/>
                </w:tcPr>
                <w:p w14:paraId="73215813">
                  <w:pPr>
                    <w:jc w:val="center"/>
                    <w:rPr>
                      <w:szCs w:val="21"/>
                    </w:rPr>
                  </w:pPr>
                  <w:r>
                    <w:rPr>
                      <w:rFonts w:hint="eastAsia"/>
                      <w:szCs w:val="21"/>
                    </w:rPr>
                    <w:t>/</w:t>
                  </w:r>
                </w:p>
              </w:tc>
              <w:tc>
                <w:tcPr>
                  <w:tcW w:w="703" w:type="dxa"/>
                  <w:vAlign w:val="center"/>
                </w:tcPr>
                <w:p w14:paraId="613CC2DE">
                  <w:pPr>
                    <w:jc w:val="center"/>
                    <w:rPr>
                      <w:szCs w:val="21"/>
                    </w:rPr>
                  </w:pPr>
                  <w:r>
                    <w:rPr>
                      <w:rFonts w:hint="eastAsia"/>
                      <w:szCs w:val="21"/>
                    </w:rPr>
                    <w:t>120</w:t>
                  </w:r>
                </w:p>
              </w:tc>
            </w:tr>
            <w:tr w14:paraId="253FD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6DAF2B8">
                  <w:pPr>
                    <w:jc w:val="center"/>
                    <w:rPr>
                      <w:szCs w:val="21"/>
                    </w:rPr>
                  </w:pPr>
                </w:p>
              </w:tc>
              <w:tc>
                <w:tcPr>
                  <w:tcW w:w="839" w:type="dxa"/>
                  <w:vMerge w:val="continue"/>
                  <w:vAlign w:val="center"/>
                </w:tcPr>
                <w:p w14:paraId="589E4C7E">
                  <w:pPr>
                    <w:jc w:val="center"/>
                    <w:rPr>
                      <w:szCs w:val="21"/>
                    </w:rPr>
                  </w:pPr>
                </w:p>
              </w:tc>
              <w:tc>
                <w:tcPr>
                  <w:tcW w:w="993" w:type="dxa"/>
                  <w:vMerge w:val="continue"/>
                  <w:vAlign w:val="center"/>
                </w:tcPr>
                <w:p w14:paraId="4BE95AD5">
                  <w:pPr>
                    <w:jc w:val="center"/>
                    <w:rPr>
                      <w:szCs w:val="21"/>
                    </w:rPr>
                  </w:pPr>
                </w:p>
              </w:tc>
              <w:tc>
                <w:tcPr>
                  <w:tcW w:w="1275" w:type="dxa"/>
                  <w:vAlign w:val="center"/>
                </w:tcPr>
                <w:p w14:paraId="524E8E25">
                  <w:pPr>
                    <w:jc w:val="center"/>
                    <w:rPr>
                      <w:szCs w:val="21"/>
                    </w:rPr>
                  </w:pPr>
                  <w:r>
                    <w:rPr>
                      <w:rFonts w:hint="eastAsia"/>
                      <w:szCs w:val="21"/>
                    </w:rPr>
                    <w:t>排放速率（kg/h）</w:t>
                  </w:r>
                </w:p>
              </w:tc>
              <w:tc>
                <w:tcPr>
                  <w:tcW w:w="1070" w:type="dxa"/>
                  <w:vAlign w:val="center"/>
                </w:tcPr>
                <w:p w14:paraId="2AB00972">
                  <w:pPr>
                    <w:jc w:val="center"/>
                    <w:rPr>
                      <w:szCs w:val="21"/>
                    </w:rPr>
                  </w:pPr>
                  <w:r>
                    <w:rPr>
                      <w:rFonts w:hint="eastAsia"/>
                      <w:szCs w:val="21"/>
                    </w:rPr>
                    <w:t>1.93E-02</w:t>
                  </w:r>
                </w:p>
              </w:tc>
              <w:tc>
                <w:tcPr>
                  <w:tcW w:w="1071" w:type="dxa"/>
                  <w:vAlign w:val="center"/>
                </w:tcPr>
                <w:p w14:paraId="3E671263">
                  <w:pPr>
                    <w:jc w:val="center"/>
                    <w:rPr>
                      <w:szCs w:val="21"/>
                    </w:rPr>
                  </w:pPr>
                  <w:r>
                    <w:rPr>
                      <w:rFonts w:hint="eastAsia"/>
                      <w:szCs w:val="21"/>
                    </w:rPr>
                    <w:t>1.55E-02</w:t>
                  </w:r>
                </w:p>
              </w:tc>
              <w:tc>
                <w:tcPr>
                  <w:tcW w:w="1071" w:type="dxa"/>
                  <w:vAlign w:val="center"/>
                </w:tcPr>
                <w:p w14:paraId="13392DBE">
                  <w:pPr>
                    <w:jc w:val="center"/>
                    <w:rPr>
                      <w:szCs w:val="21"/>
                    </w:rPr>
                  </w:pPr>
                  <w:r>
                    <w:rPr>
                      <w:rFonts w:hint="eastAsia"/>
                      <w:szCs w:val="21"/>
                    </w:rPr>
                    <w:t>1.89E-02</w:t>
                  </w:r>
                </w:p>
              </w:tc>
              <w:tc>
                <w:tcPr>
                  <w:tcW w:w="1071" w:type="dxa"/>
                  <w:vAlign w:val="center"/>
                </w:tcPr>
                <w:p w14:paraId="139C9A55">
                  <w:pPr>
                    <w:jc w:val="center"/>
                    <w:rPr>
                      <w:szCs w:val="21"/>
                    </w:rPr>
                  </w:pPr>
                  <w:r>
                    <w:rPr>
                      <w:rFonts w:hint="eastAsia"/>
                      <w:szCs w:val="21"/>
                    </w:rPr>
                    <w:t>/</w:t>
                  </w:r>
                </w:p>
              </w:tc>
              <w:tc>
                <w:tcPr>
                  <w:tcW w:w="703" w:type="dxa"/>
                  <w:vAlign w:val="center"/>
                </w:tcPr>
                <w:p w14:paraId="79D96D37">
                  <w:pPr>
                    <w:jc w:val="center"/>
                    <w:rPr>
                      <w:szCs w:val="21"/>
                    </w:rPr>
                  </w:pPr>
                  <w:r>
                    <w:rPr>
                      <w:rFonts w:hint="eastAsia"/>
                      <w:szCs w:val="21"/>
                    </w:rPr>
                    <w:t>3.5</w:t>
                  </w:r>
                </w:p>
              </w:tc>
            </w:tr>
            <w:tr w14:paraId="7670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8008867">
                  <w:pPr>
                    <w:jc w:val="center"/>
                    <w:rPr>
                      <w:szCs w:val="21"/>
                    </w:rPr>
                  </w:pPr>
                </w:p>
              </w:tc>
              <w:tc>
                <w:tcPr>
                  <w:tcW w:w="839" w:type="dxa"/>
                  <w:vMerge w:val="restart"/>
                  <w:vAlign w:val="center"/>
                </w:tcPr>
                <w:p w14:paraId="177D89FF">
                  <w:pPr>
                    <w:jc w:val="center"/>
                    <w:rPr>
                      <w:szCs w:val="21"/>
                    </w:rPr>
                  </w:pPr>
                  <w:r>
                    <w:rPr>
                      <w:rFonts w:hint="eastAsia"/>
                      <w:szCs w:val="21"/>
                    </w:rPr>
                    <w:t>2023</w:t>
                  </w:r>
                </w:p>
                <w:p w14:paraId="4623C66A">
                  <w:pPr>
                    <w:jc w:val="center"/>
                    <w:rPr>
                      <w:szCs w:val="21"/>
                    </w:rPr>
                  </w:pPr>
                  <w:r>
                    <w:rPr>
                      <w:rFonts w:hint="eastAsia"/>
                      <w:szCs w:val="21"/>
                    </w:rPr>
                    <w:t>0725</w:t>
                  </w:r>
                </w:p>
              </w:tc>
              <w:tc>
                <w:tcPr>
                  <w:tcW w:w="2268" w:type="dxa"/>
                  <w:gridSpan w:val="2"/>
                  <w:vAlign w:val="center"/>
                </w:tcPr>
                <w:p w14:paraId="657FB4FC">
                  <w:pPr>
                    <w:jc w:val="center"/>
                  </w:pPr>
                  <w:r>
                    <w:rPr>
                      <w:rFonts w:hint="eastAsia"/>
                    </w:rPr>
                    <w:t>排气筒高度（m）</w:t>
                  </w:r>
                </w:p>
              </w:tc>
              <w:tc>
                <w:tcPr>
                  <w:tcW w:w="4283" w:type="dxa"/>
                  <w:gridSpan w:val="4"/>
                  <w:vAlign w:val="center"/>
                </w:tcPr>
                <w:p w14:paraId="6F4F17A3">
                  <w:pPr>
                    <w:jc w:val="center"/>
                    <w:rPr>
                      <w:szCs w:val="21"/>
                    </w:rPr>
                  </w:pPr>
                  <w:r>
                    <w:rPr>
                      <w:rFonts w:hint="eastAsia"/>
                      <w:szCs w:val="21"/>
                    </w:rPr>
                    <w:t>15</w:t>
                  </w:r>
                </w:p>
              </w:tc>
              <w:tc>
                <w:tcPr>
                  <w:tcW w:w="703" w:type="dxa"/>
                  <w:vAlign w:val="center"/>
                </w:tcPr>
                <w:p w14:paraId="484ABE3A">
                  <w:pPr>
                    <w:jc w:val="center"/>
                    <w:rPr>
                      <w:szCs w:val="21"/>
                    </w:rPr>
                  </w:pPr>
                  <w:r>
                    <w:rPr>
                      <w:rFonts w:hint="eastAsia"/>
                      <w:szCs w:val="21"/>
                    </w:rPr>
                    <w:t>/</w:t>
                  </w:r>
                </w:p>
              </w:tc>
            </w:tr>
            <w:tr w14:paraId="62C8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7F286A0">
                  <w:pPr>
                    <w:jc w:val="center"/>
                    <w:rPr>
                      <w:szCs w:val="21"/>
                    </w:rPr>
                  </w:pPr>
                </w:p>
              </w:tc>
              <w:tc>
                <w:tcPr>
                  <w:tcW w:w="839" w:type="dxa"/>
                  <w:vMerge w:val="continue"/>
                  <w:vAlign w:val="center"/>
                </w:tcPr>
                <w:p w14:paraId="0E238C28">
                  <w:pPr>
                    <w:jc w:val="center"/>
                    <w:rPr>
                      <w:szCs w:val="21"/>
                    </w:rPr>
                  </w:pPr>
                </w:p>
              </w:tc>
              <w:tc>
                <w:tcPr>
                  <w:tcW w:w="2268" w:type="dxa"/>
                  <w:gridSpan w:val="2"/>
                  <w:vAlign w:val="center"/>
                </w:tcPr>
                <w:p w14:paraId="04C4A0D1">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065A33F1">
                  <w:pPr>
                    <w:jc w:val="center"/>
                    <w:rPr>
                      <w:szCs w:val="21"/>
                    </w:rPr>
                  </w:pPr>
                  <w:r>
                    <w:rPr>
                      <w:rFonts w:hint="eastAsia"/>
                      <w:szCs w:val="21"/>
                    </w:rPr>
                    <w:t>8100</w:t>
                  </w:r>
                </w:p>
              </w:tc>
              <w:tc>
                <w:tcPr>
                  <w:tcW w:w="1071" w:type="dxa"/>
                  <w:vAlign w:val="center"/>
                </w:tcPr>
                <w:p w14:paraId="4D875900">
                  <w:pPr>
                    <w:jc w:val="center"/>
                    <w:rPr>
                      <w:szCs w:val="21"/>
                    </w:rPr>
                  </w:pPr>
                  <w:r>
                    <w:rPr>
                      <w:rFonts w:hint="eastAsia"/>
                      <w:szCs w:val="21"/>
                    </w:rPr>
                    <w:t>8333</w:t>
                  </w:r>
                </w:p>
              </w:tc>
              <w:tc>
                <w:tcPr>
                  <w:tcW w:w="1071" w:type="dxa"/>
                  <w:vAlign w:val="center"/>
                </w:tcPr>
                <w:p w14:paraId="5C6E3488">
                  <w:pPr>
                    <w:jc w:val="center"/>
                    <w:rPr>
                      <w:szCs w:val="21"/>
                    </w:rPr>
                  </w:pPr>
                  <w:r>
                    <w:rPr>
                      <w:rFonts w:hint="eastAsia"/>
                      <w:szCs w:val="21"/>
                    </w:rPr>
                    <w:t>8371</w:t>
                  </w:r>
                </w:p>
              </w:tc>
              <w:tc>
                <w:tcPr>
                  <w:tcW w:w="1071" w:type="dxa"/>
                  <w:vAlign w:val="center"/>
                </w:tcPr>
                <w:p w14:paraId="0AE235F4">
                  <w:pPr>
                    <w:jc w:val="center"/>
                    <w:rPr>
                      <w:szCs w:val="21"/>
                    </w:rPr>
                  </w:pPr>
                  <w:r>
                    <w:rPr>
                      <w:rFonts w:hint="eastAsia"/>
                      <w:szCs w:val="21"/>
                    </w:rPr>
                    <w:t>/</w:t>
                  </w:r>
                </w:p>
              </w:tc>
              <w:tc>
                <w:tcPr>
                  <w:tcW w:w="703" w:type="dxa"/>
                  <w:vAlign w:val="center"/>
                </w:tcPr>
                <w:p w14:paraId="233C7E60">
                  <w:pPr>
                    <w:jc w:val="center"/>
                    <w:rPr>
                      <w:szCs w:val="21"/>
                    </w:rPr>
                  </w:pPr>
                  <w:r>
                    <w:rPr>
                      <w:rFonts w:hint="eastAsia"/>
                      <w:szCs w:val="21"/>
                    </w:rPr>
                    <w:t>/</w:t>
                  </w:r>
                </w:p>
              </w:tc>
            </w:tr>
            <w:tr w14:paraId="29C0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140FD45">
                  <w:pPr>
                    <w:jc w:val="center"/>
                    <w:rPr>
                      <w:szCs w:val="21"/>
                    </w:rPr>
                  </w:pPr>
                </w:p>
              </w:tc>
              <w:tc>
                <w:tcPr>
                  <w:tcW w:w="839" w:type="dxa"/>
                  <w:vMerge w:val="continue"/>
                  <w:vAlign w:val="center"/>
                </w:tcPr>
                <w:p w14:paraId="454112F0">
                  <w:pPr>
                    <w:jc w:val="center"/>
                    <w:rPr>
                      <w:szCs w:val="21"/>
                    </w:rPr>
                  </w:pPr>
                </w:p>
              </w:tc>
              <w:tc>
                <w:tcPr>
                  <w:tcW w:w="993" w:type="dxa"/>
                  <w:vMerge w:val="restart"/>
                  <w:vAlign w:val="center"/>
                </w:tcPr>
                <w:p w14:paraId="6C8056FA">
                  <w:pPr>
                    <w:jc w:val="center"/>
                    <w:rPr>
                      <w:szCs w:val="21"/>
                    </w:rPr>
                  </w:pPr>
                  <w:r>
                    <w:rPr>
                      <w:rFonts w:hint="eastAsia"/>
                      <w:szCs w:val="21"/>
                    </w:rPr>
                    <w:t>颗粒物</w:t>
                  </w:r>
                </w:p>
              </w:tc>
              <w:tc>
                <w:tcPr>
                  <w:tcW w:w="1275" w:type="dxa"/>
                  <w:vAlign w:val="center"/>
                </w:tcPr>
                <w:p w14:paraId="1295B434">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42EDA47">
                  <w:pPr>
                    <w:jc w:val="center"/>
                    <w:rPr>
                      <w:szCs w:val="21"/>
                    </w:rPr>
                  </w:pPr>
                  <w:r>
                    <w:rPr>
                      <w:rFonts w:hint="eastAsia"/>
                      <w:szCs w:val="21"/>
                    </w:rPr>
                    <w:t>2.0</w:t>
                  </w:r>
                </w:p>
              </w:tc>
              <w:tc>
                <w:tcPr>
                  <w:tcW w:w="1071" w:type="dxa"/>
                  <w:vAlign w:val="center"/>
                </w:tcPr>
                <w:p w14:paraId="64788FC9">
                  <w:pPr>
                    <w:jc w:val="center"/>
                    <w:rPr>
                      <w:szCs w:val="21"/>
                    </w:rPr>
                  </w:pPr>
                  <w:r>
                    <w:rPr>
                      <w:rFonts w:hint="eastAsia"/>
                      <w:szCs w:val="21"/>
                    </w:rPr>
                    <w:t>1.8</w:t>
                  </w:r>
                </w:p>
              </w:tc>
              <w:tc>
                <w:tcPr>
                  <w:tcW w:w="1071" w:type="dxa"/>
                  <w:vAlign w:val="center"/>
                </w:tcPr>
                <w:p w14:paraId="0031027E">
                  <w:pPr>
                    <w:jc w:val="center"/>
                    <w:rPr>
                      <w:szCs w:val="21"/>
                    </w:rPr>
                  </w:pPr>
                  <w:r>
                    <w:rPr>
                      <w:rFonts w:hint="eastAsia"/>
                      <w:szCs w:val="21"/>
                    </w:rPr>
                    <w:t>2.2</w:t>
                  </w:r>
                </w:p>
              </w:tc>
              <w:tc>
                <w:tcPr>
                  <w:tcW w:w="1071" w:type="dxa"/>
                  <w:vAlign w:val="center"/>
                </w:tcPr>
                <w:p w14:paraId="73394189">
                  <w:pPr>
                    <w:jc w:val="center"/>
                    <w:rPr>
                      <w:szCs w:val="21"/>
                    </w:rPr>
                  </w:pPr>
                  <w:r>
                    <w:rPr>
                      <w:rFonts w:hint="eastAsia"/>
                      <w:szCs w:val="21"/>
                    </w:rPr>
                    <w:t>/</w:t>
                  </w:r>
                </w:p>
              </w:tc>
              <w:tc>
                <w:tcPr>
                  <w:tcW w:w="703" w:type="dxa"/>
                  <w:vAlign w:val="center"/>
                </w:tcPr>
                <w:p w14:paraId="76941396">
                  <w:pPr>
                    <w:jc w:val="center"/>
                    <w:rPr>
                      <w:szCs w:val="21"/>
                    </w:rPr>
                  </w:pPr>
                  <w:r>
                    <w:rPr>
                      <w:rFonts w:hint="eastAsia"/>
                      <w:szCs w:val="21"/>
                    </w:rPr>
                    <w:t>120</w:t>
                  </w:r>
                </w:p>
              </w:tc>
            </w:tr>
            <w:tr w14:paraId="533B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49339DC">
                  <w:pPr>
                    <w:jc w:val="center"/>
                    <w:rPr>
                      <w:szCs w:val="21"/>
                    </w:rPr>
                  </w:pPr>
                </w:p>
              </w:tc>
              <w:tc>
                <w:tcPr>
                  <w:tcW w:w="839" w:type="dxa"/>
                  <w:vMerge w:val="continue"/>
                  <w:vAlign w:val="center"/>
                </w:tcPr>
                <w:p w14:paraId="2F1F8231">
                  <w:pPr>
                    <w:jc w:val="center"/>
                    <w:rPr>
                      <w:szCs w:val="21"/>
                    </w:rPr>
                  </w:pPr>
                </w:p>
              </w:tc>
              <w:tc>
                <w:tcPr>
                  <w:tcW w:w="993" w:type="dxa"/>
                  <w:vMerge w:val="continue"/>
                  <w:vAlign w:val="center"/>
                </w:tcPr>
                <w:p w14:paraId="66D26066">
                  <w:pPr>
                    <w:jc w:val="center"/>
                    <w:rPr>
                      <w:szCs w:val="21"/>
                    </w:rPr>
                  </w:pPr>
                </w:p>
              </w:tc>
              <w:tc>
                <w:tcPr>
                  <w:tcW w:w="1275" w:type="dxa"/>
                  <w:vAlign w:val="center"/>
                </w:tcPr>
                <w:p w14:paraId="2FC917A6">
                  <w:pPr>
                    <w:jc w:val="center"/>
                    <w:rPr>
                      <w:szCs w:val="21"/>
                    </w:rPr>
                  </w:pPr>
                  <w:r>
                    <w:rPr>
                      <w:rFonts w:hint="eastAsia"/>
                      <w:szCs w:val="21"/>
                    </w:rPr>
                    <w:t>排放速率（kg/h）</w:t>
                  </w:r>
                </w:p>
              </w:tc>
              <w:tc>
                <w:tcPr>
                  <w:tcW w:w="1070" w:type="dxa"/>
                  <w:vAlign w:val="center"/>
                </w:tcPr>
                <w:p w14:paraId="509D190A">
                  <w:pPr>
                    <w:jc w:val="center"/>
                    <w:rPr>
                      <w:szCs w:val="21"/>
                    </w:rPr>
                  </w:pPr>
                  <w:r>
                    <w:rPr>
                      <w:rFonts w:hint="eastAsia"/>
                      <w:szCs w:val="21"/>
                    </w:rPr>
                    <w:t>1.62E-02</w:t>
                  </w:r>
                </w:p>
              </w:tc>
              <w:tc>
                <w:tcPr>
                  <w:tcW w:w="1071" w:type="dxa"/>
                  <w:vAlign w:val="center"/>
                </w:tcPr>
                <w:p w14:paraId="35D67764">
                  <w:pPr>
                    <w:jc w:val="center"/>
                    <w:rPr>
                      <w:szCs w:val="21"/>
                    </w:rPr>
                  </w:pPr>
                  <w:r>
                    <w:rPr>
                      <w:rFonts w:hint="eastAsia"/>
                      <w:szCs w:val="21"/>
                    </w:rPr>
                    <w:t>1.50E-02</w:t>
                  </w:r>
                </w:p>
              </w:tc>
              <w:tc>
                <w:tcPr>
                  <w:tcW w:w="1071" w:type="dxa"/>
                  <w:vAlign w:val="center"/>
                </w:tcPr>
                <w:p w14:paraId="7FAEFA3C">
                  <w:pPr>
                    <w:jc w:val="center"/>
                    <w:rPr>
                      <w:szCs w:val="21"/>
                    </w:rPr>
                  </w:pPr>
                  <w:r>
                    <w:rPr>
                      <w:rFonts w:hint="eastAsia"/>
                      <w:szCs w:val="21"/>
                    </w:rPr>
                    <w:t>1.84E-02</w:t>
                  </w:r>
                </w:p>
              </w:tc>
              <w:tc>
                <w:tcPr>
                  <w:tcW w:w="1071" w:type="dxa"/>
                  <w:vAlign w:val="center"/>
                </w:tcPr>
                <w:p w14:paraId="76C2D7DD">
                  <w:pPr>
                    <w:jc w:val="center"/>
                    <w:rPr>
                      <w:szCs w:val="21"/>
                    </w:rPr>
                  </w:pPr>
                  <w:r>
                    <w:rPr>
                      <w:rFonts w:hint="eastAsia"/>
                      <w:szCs w:val="21"/>
                    </w:rPr>
                    <w:t>/</w:t>
                  </w:r>
                </w:p>
              </w:tc>
              <w:tc>
                <w:tcPr>
                  <w:tcW w:w="703" w:type="dxa"/>
                  <w:vAlign w:val="center"/>
                </w:tcPr>
                <w:p w14:paraId="2BE03418">
                  <w:pPr>
                    <w:jc w:val="center"/>
                    <w:rPr>
                      <w:szCs w:val="21"/>
                    </w:rPr>
                  </w:pPr>
                  <w:r>
                    <w:rPr>
                      <w:rFonts w:hint="eastAsia"/>
                      <w:szCs w:val="21"/>
                    </w:rPr>
                    <w:t>3.5</w:t>
                  </w:r>
                </w:p>
              </w:tc>
            </w:tr>
          </w:tbl>
          <w:p w14:paraId="467DD438">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有组织废气监测结果（2）</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839"/>
              <w:gridCol w:w="993"/>
              <w:gridCol w:w="1275"/>
              <w:gridCol w:w="1070"/>
              <w:gridCol w:w="1071"/>
              <w:gridCol w:w="1071"/>
              <w:gridCol w:w="1071"/>
              <w:gridCol w:w="703"/>
            </w:tblGrid>
            <w:tr w14:paraId="7124A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14:paraId="6D864FAB">
                  <w:pPr>
                    <w:jc w:val="center"/>
                    <w:rPr>
                      <w:szCs w:val="21"/>
                    </w:rPr>
                  </w:pPr>
                  <w:r>
                    <w:rPr>
                      <w:rFonts w:hint="eastAsia"/>
                      <w:szCs w:val="21"/>
                    </w:rPr>
                    <w:t>监测点位</w:t>
                  </w:r>
                </w:p>
              </w:tc>
              <w:tc>
                <w:tcPr>
                  <w:tcW w:w="839" w:type="dxa"/>
                  <w:vMerge w:val="restart"/>
                  <w:vAlign w:val="center"/>
                </w:tcPr>
                <w:p w14:paraId="54AB45E9">
                  <w:pPr>
                    <w:jc w:val="center"/>
                    <w:rPr>
                      <w:szCs w:val="21"/>
                    </w:rPr>
                  </w:pPr>
                  <w:r>
                    <w:rPr>
                      <w:rFonts w:hint="eastAsia"/>
                      <w:szCs w:val="21"/>
                    </w:rPr>
                    <w:t>监测</w:t>
                  </w:r>
                </w:p>
                <w:p w14:paraId="49A5DFF9">
                  <w:pPr>
                    <w:jc w:val="center"/>
                    <w:rPr>
                      <w:szCs w:val="21"/>
                    </w:rPr>
                  </w:pPr>
                  <w:r>
                    <w:rPr>
                      <w:rFonts w:hint="eastAsia"/>
                      <w:szCs w:val="21"/>
                    </w:rPr>
                    <w:t>日期</w:t>
                  </w:r>
                </w:p>
              </w:tc>
              <w:tc>
                <w:tcPr>
                  <w:tcW w:w="2268" w:type="dxa"/>
                  <w:gridSpan w:val="2"/>
                  <w:vMerge w:val="restart"/>
                  <w:vAlign w:val="center"/>
                </w:tcPr>
                <w:p w14:paraId="7B8E359C">
                  <w:pPr>
                    <w:jc w:val="center"/>
                    <w:rPr>
                      <w:szCs w:val="21"/>
                    </w:rPr>
                  </w:pPr>
                  <w:r>
                    <w:rPr>
                      <w:rFonts w:hint="eastAsia"/>
                      <w:szCs w:val="21"/>
                    </w:rPr>
                    <w:t>监测项目</w:t>
                  </w:r>
                </w:p>
              </w:tc>
              <w:tc>
                <w:tcPr>
                  <w:tcW w:w="4283" w:type="dxa"/>
                  <w:gridSpan w:val="4"/>
                  <w:vAlign w:val="center"/>
                </w:tcPr>
                <w:p w14:paraId="19AB9FEE">
                  <w:pPr>
                    <w:jc w:val="center"/>
                    <w:rPr>
                      <w:szCs w:val="21"/>
                    </w:rPr>
                  </w:pPr>
                  <w:r>
                    <w:rPr>
                      <w:rFonts w:hint="eastAsia"/>
                      <w:szCs w:val="21"/>
                    </w:rPr>
                    <w:t>监测结果</w:t>
                  </w:r>
                </w:p>
              </w:tc>
              <w:tc>
                <w:tcPr>
                  <w:tcW w:w="703" w:type="dxa"/>
                  <w:vMerge w:val="restart"/>
                  <w:vAlign w:val="center"/>
                </w:tcPr>
                <w:p w14:paraId="6823237B">
                  <w:pPr>
                    <w:jc w:val="center"/>
                    <w:rPr>
                      <w:szCs w:val="21"/>
                    </w:rPr>
                  </w:pPr>
                  <w:r>
                    <w:rPr>
                      <w:rFonts w:hint="eastAsia"/>
                      <w:szCs w:val="21"/>
                    </w:rPr>
                    <w:t>标准</w:t>
                  </w:r>
                </w:p>
                <w:p w14:paraId="27152477">
                  <w:pPr>
                    <w:jc w:val="center"/>
                    <w:rPr>
                      <w:szCs w:val="21"/>
                    </w:rPr>
                  </w:pPr>
                  <w:r>
                    <w:rPr>
                      <w:rFonts w:hint="eastAsia"/>
                      <w:szCs w:val="21"/>
                    </w:rPr>
                    <w:t>限值</w:t>
                  </w:r>
                </w:p>
              </w:tc>
            </w:tr>
            <w:tr w14:paraId="602E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68B072F">
                  <w:pPr>
                    <w:jc w:val="center"/>
                    <w:rPr>
                      <w:szCs w:val="21"/>
                    </w:rPr>
                  </w:pPr>
                </w:p>
              </w:tc>
              <w:tc>
                <w:tcPr>
                  <w:tcW w:w="839" w:type="dxa"/>
                  <w:vMerge w:val="continue"/>
                  <w:vAlign w:val="center"/>
                </w:tcPr>
                <w:p w14:paraId="3E9F5D55">
                  <w:pPr>
                    <w:jc w:val="center"/>
                    <w:rPr>
                      <w:szCs w:val="21"/>
                    </w:rPr>
                  </w:pPr>
                </w:p>
              </w:tc>
              <w:tc>
                <w:tcPr>
                  <w:tcW w:w="2268" w:type="dxa"/>
                  <w:gridSpan w:val="2"/>
                  <w:vMerge w:val="continue"/>
                  <w:vAlign w:val="center"/>
                </w:tcPr>
                <w:p w14:paraId="02CC55C2">
                  <w:pPr>
                    <w:jc w:val="center"/>
                    <w:rPr>
                      <w:szCs w:val="21"/>
                    </w:rPr>
                  </w:pPr>
                </w:p>
              </w:tc>
              <w:tc>
                <w:tcPr>
                  <w:tcW w:w="1070" w:type="dxa"/>
                  <w:vAlign w:val="center"/>
                </w:tcPr>
                <w:p w14:paraId="740298B7">
                  <w:pPr>
                    <w:jc w:val="center"/>
                    <w:rPr>
                      <w:szCs w:val="21"/>
                    </w:rPr>
                  </w:pPr>
                  <w:r>
                    <w:rPr>
                      <w:rFonts w:hint="eastAsia"/>
                      <w:szCs w:val="21"/>
                    </w:rPr>
                    <w:t>第一次</w:t>
                  </w:r>
                </w:p>
              </w:tc>
              <w:tc>
                <w:tcPr>
                  <w:tcW w:w="1071" w:type="dxa"/>
                  <w:vAlign w:val="center"/>
                </w:tcPr>
                <w:p w14:paraId="22A988E4">
                  <w:pPr>
                    <w:jc w:val="center"/>
                    <w:rPr>
                      <w:szCs w:val="21"/>
                    </w:rPr>
                  </w:pPr>
                  <w:r>
                    <w:rPr>
                      <w:rFonts w:hint="eastAsia"/>
                      <w:szCs w:val="21"/>
                    </w:rPr>
                    <w:t>第二次</w:t>
                  </w:r>
                </w:p>
              </w:tc>
              <w:tc>
                <w:tcPr>
                  <w:tcW w:w="1071" w:type="dxa"/>
                  <w:vAlign w:val="center"/>
                </w:tcPr>
                <w:p w14:paraId="5CF5464D">
                  <w:pPr>
                    <w:jc w:val="center"/>
                    <w:rPr>
                      <w:szCs w:val="21"/>
                    </w:rPr>
                  </w:pPr>
                  <w:r>
                    <w:rPr>
                      <w:rFonts w:hint="eastAsia"/>
                      <w:szCs w:val="21"/>
                    </w:rPr>
                    <w:t>第三次</w:t>
                  </w:r>
                </w:p>
              </w:tc>
              <w:tc>
                <w:tcPr>
                  <w:tcW w:w="1071" w:type="dxa"/>
                  <w:vAlign w:val="center"/>
                </w:tcPr>
                <w:p w14:paraId="4896F002">
                  <w:pPr>
                    <w:jc w:val="center"/>
                    <w:rPr>
                      <w:szCs w:val="21"/>
                    </w:rPr>
                  </w:pPr>
                  <w:r>
                    <w:rPr>
                      <w:rFonts w:hint="eastAsia"/>
                      <w:szCs w:val="21"/>
                    </w:rPr>
                    <w:t>平均值</w:t>
                  </w:r>
                </w:p>
              </w:tc>
              <w:tc>
                <w:tcPr>
                  <w:tcW w:w="703" w:type="dxa"/>
                  <w:vMerge w:val="continue"/>
                  <w:vAlign w:val="center"/>
                </w:tcPr>
                <w:p w14:paraId="6182561D">
                  <w:pPr>
                    <w:jc w:val="center"/>
                    <w:rPr>
                      <w:szCs w:val="21"/>
                    </w:rPr>
                  </w:pPr>
                </w:p>
              </w:tc>
            </w:tr>
            <w:tr w14:paraId="5C8AD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restart"/>
                  <w:vAlign w:val="center"/>
                </w:tcPr>
                <w:p w14:paraId="749C1660">
                  <w:pPr>
                    <w:jc w:val="center"/>
                    <w:rPr>
                      <w:szCs w:val="21"/>
                    </w:rPr>
                  </w:pPr>
                  <w:r>
                    <w:rPr>
                      <w:rFonts w:hint="eastAsia"/>
                      <w:szCs w:val="21"/>
                    </w:rPr>
                    <w:t>DA002</w:t>
                  </w:r>
                </w:p>
              </w:tc>
              <w:tc>
                <w:tcPr>
                  <w:tcW w:w="839" w:type="dxa"/>
                  <w:vMerge w:val="restart"/>
                  <w:vAlign w:val="center"/>
                </w:tcPr>
                <w:p w14:paraId="23135338">
                  <w:pPr>
                    <w:jc w:val="center"/>
                    <w:rPr>
                      <w:szCs w:val="21"/>
                    </w:rPr>
                  </w:pPr>
                  <w:r>
                    <w:rPr>
                      <w:rFonts w:hint="eastAsia"/>
                      <w:szCs w:val="21"/>
                    </w:rPr>
                    <w:t>2024</w:t>
                  </w:r>
                </w:p>
                <w:p w14:paraId="376C4603">
                  <w:pPr>
                    <w:jc w:val="center"/>
                    <w:rPr>
                      <w:szCs w:val="21"/>
                    </w:rPr>
                  </w:pPr>
                  <w:r>
                    <w:rPr>
                      <w:rFonts w:hint="eastAsia"/>
                      <w:szCs w:val="21"/>
                    </w:rPr>
                    <w:t>0801</w:t>
                  </w:r>
                </w:p>
              </w:tc>
              <w:tc>
                <w:tcPr>
                  <w:tcW w:w="2268" w:type="dxa"/>
                  <w:gridSpan w:val="2"/>
                  <w:vAlign w:val="center"/>
                </w:tcPr>
                <w:p w14:paraId="4FC6C38C">
                  <w:pPr>
                    <w:jc w:val="center"/>
                  </w:pPr>
                  <w:r>
                    <w:rPr>
                      <w:rFonts w:hint="eastAsia"/>
                    </w:rPr>
                    <w:t>排气筒高度（m）</w:t>
                  </w:r>
                </w:p>
              </w:tc>
              <w:tc>
                <w:tcPr>
                  <w:tcW w:w="4283" w:type="dxa"/>
                  <w:gridSpan w:val="4"/>
                  <w:vAlign w:val="center"/>
                </w:tcPr>
                <w:p w14:paraId="17489F43">
                  <w:pPr>
                    <w:jc w:val="center"/>
                    <w:rPr>
                      <w:szCs w:val="21"/>
                    </w:rPr>
                  </w:pPr>
                  <w:r>
                    <w:rPr>
                      <w:rFonts w:hint="eastAsia"/>
                      <w:szCs w:val="21"/>
                    </w:rPr>
                    <w:t>15</w:t>
                  </w:r>
                </w:p>
              </w:tc>
              <w:tc>
                <w:tcPr>
                  <w:tcW w:w="703" w:type="dxa"/>
                  <w:vAlign w:val="center"/>
                </w:tcPr>
                <w:p w14:paraId="5812992B">
                  <w:pPr>
                    <w:jc w:val="center"/>
                    <w:rPr>
                      <w:szCs w:val="21"/>
                    </w:rPr>
                  </w:pPr>
                  <w:r>
                    <w:rPr>
                      <w:rFonts w:hint="eastAsia"/>
                      <w:szCs w:val="21"/>
                    </w:rPr>
                    <w:t>/</w:t>
                  </w:r>
                </w:p>
              </w:tc>
            </w:tr>
            <w:tr w14:paraId="3A6C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5C96C70">
                  <w:pPr>
                    <w:jc w:val="center"/>
                    <w:rPr>
                      <w:szCs w:val="21"/>
                    </w:rPr>
                  </w:pPr>
                </w:p>
              </w:tc>
              <w:tc>
                <w:tcPr>
                  <w:tcW w:w="839" w:type="dxa"/>
                  <w:vMerge w:val="continue"/>
                  <w:vAlign w:val="center"/>
                </w:tcPr>
                <w:p w14:paraId="2B51D995">
                  <w:pPr>
                    <w:jc w:val="center"/>
                    <w:rPr>
                      <w:szCs w:val="21"/>
                    </w:rPr>
                  </w:pPr>
                </w:p>
              </w:tc>
              <w:tc>
                <w:tcPr>
                  <w:tcW w:w="2268" w:type="dxa"/>
                  <w:gridSpan w:val="2"/>
                  <w:vAlign w:val="center"/>
                </w:tcPr>
                <w:p w14:paraId="7E14FB3F">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05F7A317">
                  <w:pPr>
                    <w:jc w:val="center"/>
                    <w:rPr>
                      <w:szCs w:val="21"/>
                    </w:rPr>
                  </w:pPr>
                  <w:r>
                    <w:rPr>
                      <w:rFonts w:hint="eastAsia"/>
                      <w:szCs w:val="21"/>
                    </w:rPr>
                    <w:t>21556</w:t>
                  </w:r>
                </w:p>
              </w:tc>
              <w:tc>
                <w:tcPr>
                  <w:tcW w:w="1071" w:type="dxa"/>
                  <w:vAlign w:val="center"/>
                </w:tcPr>
                <w:p w14:paraId="08385EEF">
                  <w:pPr>
                    <w:jc w:val="center"/>
                    <w:rPr>
                      <w:szCs w:val="21"/>
                    </w:rPr>
                  </w:pPr>
                  <w:r>
                    <w:rPr>
                      <w:rFonts w:hint="eastAsia"/>
                      <w:szCs w:val="21"/>
                    </w:rPr>
                    <w:t>23078</w:t>
                  </w:r>
                </w:p>
              </w:tc>
              <w:tc>
                <w:tcPr>
                  <w:tcW w:w="1071" w:type="dxa"/>
                  <w:vAlign w:val="center"/>
                </w:tcPr>
                <w:p w14:paraId="759EA56D">
                  <w:pPr>
                    <w:jc w:val="center"/>
                    <w:rPr>
                      <w:szCs w:val="21"/>
                    </w:rPr>
                  </w:pPr>
                  <w:r>
                    <w:rPr>
                      <w:rFonts w:hint="eastAsia"/>
                      <w:szCs w:val="21"/>
                    </w:rPr>
                    <w:t>21479</w:t>
                  </w:r>
                </w:p>
              </w:tc>
              <w:tc>
                <w:tcPr>
                  <w:tcW w:w="1071" w:type="dxa"/>
                  <w:vAlign w:val="center"/>
                </w:tcPr>
                <w:p w14:paraId="623D460D">
                  <w:pPr>
                    <w:jc w:val="center"/>
                    <w:rPr>
                      <w:szCs w:val="21"/>
                    </w:rPr>
                  </w:pPr>
                  <w:r>
                    <w:rPr>
                      <w:rFonts w:hint="eastAsia"/>
                      <w:szCs w:val="21"/>
                    </w:rPr>
                    <w:t>22038</w:t>
                  </w:r>
                </w:p>
              </w:tc>
              <w:tc>
                <w:tcPr>
                  <w:tcW w:w="703" w:type="dxa"/>
                  <w:vAlign w:val="center"/>
                </w:tcPr>
                <w:p w14:paraId="63B53983">
                  <w:pPr>
                    <w:jc w:val="center"/>
                    <w:rPr>
                      <w:szCs w:val="21"/>
                    </w:rPr>
                  </w:pPr>
                  <w:r>
                    <w:rPr>
                      <w:rFonts w:hint="eastAsia"/>
                      <w:szCs w:val="21"/>
                    </w:rPr>
                    <w:t>/</w:t>
                  </w:r>
                </w:p>
              </w:tc>
            </w:tr>
            <w:tr w14:paraId="0C5E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64F20D77">
                  <w:pPr>
                    <w:jc w:val="center"/>
                    <w:rPr>
                      <w:szCs w:val="21"/>
                    </w:rPr>
                  </w:pPr>
                </w:p>
              </w:tc>
              <w:tc>
                <w:tcPr>
                  <w:tcW w:w="839" w:type="dxa"/>
                  <w:vMerge w:val="continue"/>
                  <w:vAlign w:val="center"/>
                </w:tcPr>
                <w:p w14:paraId="34FB7D93">
                  <w:pPr>
                    <w:jc w:val="center"/>
                    <w:rPr>
                      <w:szCs w:val="21"/>
                    </w:rPr>
                  </w:pPr>
                </w:p>
              </w:tc>
              <w:tc>
                <w:tcPr>
                  <w:tcW w:w="993" w:type="dxa"/>
                  <w:vMerge w:val="restart"/>
                  <w:vAlign w:val="center"/>
                </w:tcPr>
                <w:p w14:paraId="2F0D4719">
                  <w:pPr>
                    <w:jc w:val="center"/>
                    <w:rPr>
                      <w:szCs w:val="21"/>
                    </w:rPr>
                  </w:pPr>
                  <w:r>
                    <w:rPr>
                      <w:rFonts w:hint="eastAsia"/>
                      <w:szCs w:val="21"/>
                    </w:rPr>
                    <w:t>颗粒物</w:t>
                  </w:r>
                </w:p>
              </w:tc>
              <w:tc>
                <w:tcPr>
                  <w:tcW w:w="1275" w:type="dxa"/>
                  <w:vAlign w:val="center"/>
                </w:tcPr>
                <w:p w14:paraId="2B6D43A1">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9C83E26">
                  <w:pPr>
                    <w:jc w:val="center"/>
                    <w:rPr>
                      <w:szCs w:val="21"/>
                    </w:rPr>
                  </w:pPr>
                  <w:r>
                    <w:rPr>
                      <w:rFonts w:hint="eastAsia"/>
                      <w:szCs w:val="21"/>
                    </w:rPr>
                    <w:t>4.9</w:t>
                  </w:r>
                </w:p>
              </w:tc>
              <w:tc>
                <w:tcPr>
                  <w:tcW w:w="1071" w:type="dxa"/>
                  <w:vAlign w:val="center"/>
                </w:tcPr>
                <w:p w14:paraId="3204F64C">
                  <w:pPr>
                    <w:jc w:val="center"/>
                    <w:rPr>
                      <w:szCs w:val="21"/>
                    </w:rPr>
                  </w:pPr>
                  <w:r>
                    <w:rPr>
                      <w:rFonts w:hint="eastAsia"/>
                      <w:szCs w:val="21"/>
                    </w:rPr>
                    <w:t>4.5</w:t>
                  </w:r>
                </w:p>
              </w:tc>
              <w:tc>
                <w:tcPr>
                  <w:tcW w:w="1071" w:type="dxa"/>
                  <w:vAlign w:val="center"/>
                </w:tcPr>
                <w:p w14:paraId="036987D2">
                  <w:pPr>
                    <w:jc w:val="center"/>
                    <w:rPr>
                      <w:szCs w:val="21"/>
                    </w:rPr>
                  </w:pPr>
                  <w:r>
                    <w:rPr>
                      <w:rFonts w:hint="eastAsia"/>
                      <w:szCs w:val="21"/>
                    </w:rPr>
                    <w:t>3.9</w:t>
                  </w:r>
                </w:p>
              </w:tc>
              <w:tc>
                <w:tcPr>
                  <w:tcW w:w="1071" w:type="dxa"/>
                  <w:vAlign w:val="center"/>
                </w:tcPr>
                <w:p w14:paraId="028C3E56">
                  <w:pPr>
                    <w:jc w:val="center"/>
                    <w:rPr>
                      <w:szCs w:val="21"/>
                    </w:rPr>
                  </w:pPr>
                  <w:r>
                    <w:rPr>
                      <w:rFonts w:hint="eastAsia"/>
                      <w:szCs w:val="21"/>
                    </w:rPr>
                    <w:t>4.4</w:t>
                  </w:r>
                </w:p>
              </w:tc>
              <w:tc>
                <w:tcPr>
                  <w:tcW w:w="703" w:type="dxa"/>
                  <w:vAlign w:val="center"/>
                </w:tcPr>
                <w:p w14:paraId="594021D0">
                  <w:pPr>
                    <w:jc w:val="center"/>
                    <w:rPr>
                      <w:szCs w:val="21"/>
                    </w:rPr>
                  </w:pPr>
                  <w:r>
                    <w:rPr>
                      <w:rFonts w:hint="eastAsia"/>
                      <w:szCs w:val="21"/>
                    </w:rPr>
                    <w:t>120</w:t>
                  </w:r>
                </w:p>
              </w:tc>
            </w:tr>
            <w:tr w14:paraId="687F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E5B28EA">
                  <w:pPr>
                    <w:jc w:val="center"/>
                    <w:rPr>
                      <w:szCs w:val="21"/>
                    </w:rPr>
                  </w:pPr>
                </w:p>
              </w:tc>
              <w:tc>
                <w:tcPr>
                  <w:tcW w:w="839" w:type="dxa"/>
                  <w:vMerge w:val="continue"/>
                  <w:vAlign w:val="center"/>
                </w:tcPr>
                <w:p w14:paraId="5A3D5147">
                  <w:pPr>
                    <w:jc w:val="center"/>
                    <w:rPr>
                      <w:szCs w:val="21"/>
                    </w:rPr>
                  </w:pPr>
                </w:p>
              </w:tc>
              <w:tc>
                <w:tcPr>
                  <w:tcW w:w="993" w:type="dxa"/>
                  <w:vMerge w:val="continue"/>
                  <w:vAlign w:val="center"/>
                </w:tcPr>
                <w:p w14:paraId="7D63FA70">
                  <w:pPr>
                    <w:jc w:val="center"/>
                    <w:rPr>
                      <w:szCs w:val="21"/>
                    </w:rPr>
                  </w:pPr>
                </w:p>
              </w:tc>
              <w:tc>
                <w:tcPr>
                  <w:tcW w:w="1275" w:type="dxa"/>
                  <w:vAlign w:val="center"/>
                </w:tcPr>
                <w:p w14:paraId="7F8B9F3B">
                  <w:pPr>
                    <w:jc w:val="center"/>
                    <w:rPr>
                      <w:szCs w:val="21"/>
                    </w:rPr>
                  </w:pPr>
                  <w:r>
                    <w:rPr>
                      <w:rFonts w:hint="eastAsia"/>
                      <w:szCs w:val="21"/>
                    </w:rPr>
                    <w:t>排放速率（kg/h）</w:t>
                  </w:r>
                </w:p>
              </w:tc>
              <w:tc>
                <w:tcPr>
                  <w:tcW w:w="1070" w:type="dxa"/>
                  <w:vAlign w:val="center"/>
                </w:tcPr>
                <w:p w14:paraId="2A68A713">
                  <w:pPr>
                    <w:jc w:val="center"/>
                    <w:rPr>
                      <w:szCs w:val="21"/>
                    </w:rPr>
                  </w:pPr>
                  <w:r>
                    <w:rPr>
                      <w:rFonts w:hint="eastAsia"/>
                      <w:szCs w:val="21"/>
                    </w:rPr>
                    <w:t>0.11</w:t>
                  </w:r>
                </w:p>
              </w:tc>
              <w:tc>
                <w:tcPr>
                  <w:tcW w:w="1071" w:type="dxa"/>
                  <w:vAlign w:val="center"/>
                </w:tcPr>
                <w:p w14:paraId="0BDE5B7F">
                  <w:pPr>
                    <w:jc w:val="center"/>
                    <w:rPr>
                      <w:szCs w:val="21"/>
                    </w:rPr>
                  </w:pPr>
                  <w:r>
                    <w:rPr>
                      <w:rFonts w:hint="eastAsia"/>
                      <w:szCs w:val="21"/>
                    </w:rPr>
                    <w:t>0.10</w:t>
                  </w:r>
                </w:p>
              </w:tc>
              <w:tc>
                <w:tcPr>
                  <w:tcW w:w="1071" w:type="dxa"/>
                  <w:vAlign w:val="center"/>
                </w:tcPr>
                <w:p w14:paraId="6C68D793">
                  <w:pPr>
                    <w:jc w:val="center"/>
                    <w:rPr>
                      <w:szCs w:val="21"/>
                    </w:rPr>
                  </w:pPr>
                  <w:r>
                    <w:rPr>
                      <w:rFonts w:hint="eastAsia"/>
                      <w:szCs w:val="21"/>
                    </w:rPr>
                    <w:t>0.084</w:t>
                  </w:r>
                </w:p>
              </w:tc>
              <w:tc>
                <w:tcPr>
                  <w:tcW w:w="1071" w:type="dxa"/>
                  <w:vAlign w:val="center"/>
                </w:tcPr>
                <w:p w14:paraId="0D230456">
                  <w:pPr>
                    <w:jc w:val="center"/>
                    <w:rPr>
                      <w:szCs w:val="21"/>
                    </w:rPr>
                  </w:pPr>
                  <w:r>
                    <w:rPr>
                      <w:rFonts w:hint="eastAsia"/>
                      <w:szCs w:val="21"/>
                    </w:rPr>
                    <w:t>0.098</w:t>
                  </w:r>
                </w:p>
              </w:tc>
              <w:tc>
                <w:tcPr>
                  <w:tcW w:w="703" w:type="dxa"/>
                  <w:vAlign w:val="center"/>
                </w:tcPr>
                <w:p w14:paraId="136A1A4E">
                  <w:pPr>
                    <w:jc w:val="center"/>
                    <w:rPr>
                      <w:szCs w:val="21"/>
                    </w:rPr>
                  </w:pPr>
                  <w:r>
                    <w:rPr>
                      <w:rFonts w:hint="eastAsia"/>
                      <w:szCs w:val="21"/>
                    </w:rPr>
                    <w:t>3.5</w:t>
                  </w:r>
                </w:p>
              </w:tc>
            </w:tr>
            <w:tr w14:paraId="3AA9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E7ED89B">
                  <w:pPr>
                    <w:jc w:val="center"/>
                    <w:rPr>
                      <w:szCs w:val="21"/>
                    </w:rPr>
                  </w:pPr>
                </w:p>
              </w:tc>
              <w:tc>
                <w:tcPr>
                  <w:tcW w:w="839" w:type="dxa"/>
                  <w:vMerge w:val="continue"/>
                  <w:vAlign w:val="center"/>
                </w:tcPr>
                <w:p w14:paraId="33485B5F">
                  <w:pPr>
                    <w:jc w:val="center"/>
                    <w:rPr>
                      <w:szCs w:val="21"/>
                    </w:rPr>
                  </w:pPr>
                </w:p>
              </w:tc>
              <w:tc>
                <w:tcPr>
                  <w:tcW w:w="993" w:type="dxa"/>
                  <w:vMerge w:val="restart"/>
                  <w:vAlign w:val="center"/>
                </w:tcPr>
                <w:p w14:paraId="79E613AA">
                  <w:pPr>
                    <w:jc w:val="center"/>
                    <w:rPr>
                      <w:szCs w:val="21"/>
                    </w:rPr>
                  </w:pPr>
                  <w:r>
                    <w:rPr>
                      <w:rFonts w:hint="eastAsia"/>
                      <w:szCs w:val="21"/>
                    </w:rPr>
                    <w:t>乙酸</w:t>
                  </w:r>
                </w:p>
                <w:p w14:paraId="0A8D5DE4">
                  <w:pPr>
                    <w:jc w:val="center"/>
                    <w:rPr>
                      <w:szCs w:val="21"/>
                    </w:rPr>
                  </w:pPr>
                  <w:r>
                    <w:rPr>
                      <w:rFonts w:hint="eastAsia"/>
                      <w:szCs w:val="21"/>
                    </w:rPr>
                    <w:t>乙酯</w:t>
                  </w:r>
                </w:p>
              </w:tc>
              <w:tc>
                <w:tcPr>
                  <w:tcW w:w="1275" w:type="dxa"/>
                  <w:vAlign w:val="center"/>
                </w:tcPr>
                <w:p w14:paraId="6C57B47D">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7BB4163E">
                  <w:pPr>
                    <w:jc w:val="center"/>
                    <w:rPr>
                      <w:szCs w:val="21"/>
                    </w:rPr>
                  </w:pPr>
                  <w:r>
                    <w:rPr>
                      <w:rFonts w:hint="eastAsia"/>
                      <w:szCs w:val="21"/>
                    </w:rPr>
                    <w:t>未检出</w:t>
                  </w:r>
                </w:p>
              </w:tc>
              <w:tc>
                <w:tcPr>
                  <w:tcW w:w="1071" w:type="dxa"/>
                  <w:vAlign w:val="center"/>
                </w:tcPr>
                <w:p w14:paraId="46C64C06">
                  <w:pPr>
                    <w:jc w:val="center"/>
                    <w:rPr>
                      <w:szCs w:val="21"/>
                    </w:rPr>
                  </w:pPr>
                  <w:r>
                    <w:rPr>
                      <w:rFonts w:hint="eastAsia"/>
                      <w:szCs w:val="21"/>
                    </w:rPr>
                    <w:t>未检出</w:t>
                  </w:r>
                </w:p>
              </w:tc>
              <w:tc>
                <w:tcPr>
                  <w:tcW w:w="1071" w:type="dxa"/>
                  <w:vAlign w:val="center"/>
                </w:tcPr>
                <w:p w14:paraId="405F53A1">
                  <w:pPr>
                    <w:jc w:val="center"/>
                    <w:rPr>
                      <w:szCs w:val="21"/>
                    </w:rPr>
                  </w:pPr>
                  <w:r>
                    <w:rPr>
                      <w:rFonts w:hint="eastAsia"/>
                      <w:szCs w:val="21"/>
                    </w:rPr>
                    <w:t>未检出</w:t>
                  </w:r>
                </w:p>
              </w:tc>
              <w:tc>
                <w:tcPr>
                  <w:tcW w:w="1071" w:type="dxa"/>
                  <w:vAlign w:val="center"/>
                </w:tcPr>
                <w:p w14:paraId="24180BFA">
                  <w:pPr>
                    <w:jc w:val="center"/>
                    <w:rPr>
                      <w:szCs w:val="21"/>
                    </w:rPr>
                  </w:pPr>
                  <w:r>
                    <w:rPr>
                      <w:rFonts w:hint="eastAsia"/>
                      <w:szCs w:val="21"/>
                    </w:rPr>
                    <w:t>未检出</w:t>
                  </w:r>
                </w:p>
              </w:tc>
              <w:tc>
                <w:tcPr>
                  <w:tcW w:w="703" w:type="dxa"/>
                  <w:vAlign w:val="center"/>
                </w:tcPr>
                <w:p w14:paraId="49902A0C">
                  <w:pPr>
                    <w:jc w:val="center"/>
                    <w:rPr>
                      <w:szCs w:val="21"/>
                    </w:rPr>
                  </w:pPr>
                  <w:r>
                    <w:rPr>
                      <w:rFonts w:hint="eastAsia"/>
                      <w:szCs w:val="21"/>
                    </w:rPr>
                    <w:t>40</w:t>
                  </w:r>
                </w:p>
              </w:tc>
            </w:tr>
            <w:tr w14:paraId="714C5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0F63874">
                  <w:pPr>
                    <w:jc w:val="center"/>
                    <w:rPr>
                      <w:szCs w:val="21"/>
                    </w:rPr>
                  </w:pPr>
                </w:p>
              </w:tc>
              <w:tc>
                <w:tcPr>
                  <w:tcW w:w="839" w:type="dxa"/>
                  <w:vMerge w:val="continue"/>
                  <w:vAlign w:val="center"/>
                </w:tcPr>
                <w:p w14:paraId="20E08C1D">
                  <w:pPr>
                    <w:jc w:val="center"/>
                    <w:rPr>
                      <w:szCs w:val="21"/>
                    </w:rPr>
                  </w:pPr>
                </w:p>
              </w:tc>
              <w:tc>
                <w:tcPr>
                  <w:tcW w:w="993" w:type="dxa"/>
                  <w:vMerge w:val="continue"/>
                  <w:vAlign w:val="center"/>
                </w:tcPr>
                <w:p w14:paraId="616C036F">
                  <w:pPr>
                    <w:jc w:val="center"/>
                    <w:rPr>
                      <w:szCs w:val="21"/>
                    </w:rPr>
                  </w:pPr>
                </w:p>
              </w:tc>
              <w:tc>
                <w:tcPr>
                  <w:tcW w:w="1275" w:type="dxa"/>
                  <w:vAlign w:val="center"/>
                </w:tcPr>
                <w:p w14:paraId="07CC9D6F">
                  <w:pPr>
                    <w:jc w:val="center"/>
                    <w:rPr>
                      <w:szCs w:val="21"/>
                    </w:rPr>
                  </w:pPr>
                  <w:r>
                    <w:rPr>
                      <w:rFonts w:hint="eastAsia"/>
                      <w:szCs w:val="21"/>
                    </w:rPr>
                    <w:t>排放速率（kg/h）</w:t>
                  </w:r>
                </w:p>
              </w:tc>
              <w:tc>
                <w:tcPr>
                  <w:tcW w:w="1070" w:type="dxa"/>
                  <w:vAlign w:val="center"/>
                </w:tcPr>
                <w:p w14:paraId="4FC05236">
                  <w:pPr>
                    <w:jc w:val="center"/>
                    <w:rPr>
                      <w:szCs w:val="21"/>
                    </w:rPr>
                  </w:pPr>
                  <w:r>
                    <w:rPr>
                      <w:rFonts w:hint="eastAsia"/>
                      <w:szCs w:val="21"/>
                    </w:rPr>
                    <w:t>/</w:t>
                  </w:r>
                </w:p>
              </w:tc>
              <w:tc>
                <w:tcPr>
                  <w:tcW w:w="1071" w:type="dxa"/>
                  <w:vAlign w:val="center"/>
                </w:tcPr>
                <w:p w14:paraId="201EC5E0">
                  <w:pPr>
                    <w:jc w:val="center"/>
                    <w:rPr>
                      <w:szCs w:val="21"/>
                    </w:rPr>
                  </w:pPr>
                  <w:r>
                    <w:rPr>
                      <w:rFonts w:hint="eastAsia"/>
                      <w:szCs w:val="21"/>
                    </w:rPr>
                    <w:t>/</w:t>
                  </w:r>
                </w:p>
              </w:tc>
              <w:tc>
                <w:tcPr>
                  <w:tcW w:w="1071" w:type="dxa"/>
                  <w:vAlign w:val="center"/>
                </w:tcPr>
                <w:p w14:paraId="5799D733">
                  <w:pPr>
                    <w:jc w:val="center"/>
                    <w:rPr>
                      <w:szCs w:val="21"/>
                    </w:rPr>
                  </w:pPr>
                  <w:r>
                    <w:rPr>
                      <w:rFonts w:hint="eastAsia"/>
                      <w:szCs w:val="21"/>
                    </w:rPr>
                    <w:t>/</w:t>
                  </w:r>
                </w:p>
              </w:tc>
              <w:tc>
                <w:tcPr>
                  <w:tcW w:w="1071" w:type="dxa"/>
                  <w:vAlign w:val="center"/>
                </w:tcPr>
                <w:p w14:paraId="43E19B8A">
                  <w:pPr>
                    <w:jc w:val="center"/>
                    <w:rPr>
                      <w:szCs w:val="21"/>
                    </w:rPr>
                  </w:pPr>
                  <w:r>
                    <w:rPr>
                      <w:rFonts w:hint="eastAsia"/>
                      <w:szCs w:val="21"/>
                    </w:rPr>
                    <w:t>/</w:t>
                  </w:r>
                </w:p>
              </w:tc>
              <w:tc>
                <w:tcPr>
                  <w:tcW w:w="703" w:type="dxa"/>
                  <w:vAlign w:val="center"/>
                </w:tcPr>
                <w:p w14:paraId="4118D912">
                  <w:pPr>
                    <w:jc w:val="center"/>
                    <w:rPr>
                      <w:szCs w:val="21"/>
                    </w:rPr>
                  </w:pPr>
                  <w:r>
                    <w:rPr>
                      <w:rFonts w:hint="eastAsia"/>
                      <w:szCs w:val="21"/>
                    </w:rPr>
                    <w:t>1.7</w:t>
                  </w:r>
                </w:p>
              </w:tc>
            </w:tr>
            <w:tr w14:paraId="2FB4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985C052">
                  <w:pPr>
                    <w:jc w:val="center"/>
                    <w:rPr>
                      <w:szCs w:val="21"/>
                    </w:rPr>
                  </w:pPr>
                </w:p>
              </w:tc>
              <w:tc>
                <w:tcPr>
                  <w:tcW w:w="839" w:type="dxa"/>
                  <w:vMerge w:val="continue"/>
                  <w:vAlign w:val="center"/>
                </w:tcPr>
                <w:p w14:paraId="3B2FBC37">
                  <w:pPr>
                    <w:jc w:val="center"/>
                    <w:rPr>
                      <w:szCs w:val="21"/>
                    </w:rPr>
                  </w:pPr>
                </w:p>
              </w:tc>
              <w:tc>
                <w:tcPr>
                  <w:tcW w:w="993" w:type="dxa"/>
                  <w:vMerge w:val="restart"/>
                  <w:vAlign w:val="center"/>
                </w:tcPr>
                <w:p w14:paraId="31546D30">
                  <w:pPr>
                    <w:jc w:val="center"/>
                    <w:rPr>
                      <w:szCs w:val="21"/>
                    </w:rPr>
                  </w:pPr>
                  <w:r>
                    <w:rPr>
                      <w:rFonts w:hint="eastAsia"/>
                      <w:szCs w:val="21"/>
                    </w:rPr>
                    <w:t>乙酸</w:t>
                  </w:r>
                </w:p>
                <w:p w14:paraId="0EED90CC">
                  <w:pPr>
                    <w:jc w:val="center"/>
                    <w:rPr>
                      <w:szCs w:val="21"/>
                    </w:rPr>
                  </w:pPr>
                  <w:r>
                    <w:rPr>
                      <w:rFonts w:hint="eastAsia"/>
                      <w:szCs w:val="21"/>
                    </w:rPr>
                    <w:t>丁酯</w:t>
                  </w:r>
                </w:p>
              </w:tc>
              <w:tc>
                <w:tcPr>
                  <w:tcW w:w="1275" w:type="dxa"/>
                  <w:vAlign w:val="center"/>
                </w:tcPr>
                <w:p w14:paraId="4AD8AB17">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7528680B">
                  <w:pPr>
                    <w:jc w:val="center"/>
                    <w:rPr>
                      <w:szCs w:val="21"/>
                    </w:rPr>
                  </w:pPr>
                  <w:r>
                    <w:rPr>
                      <w:rFonts w:hint="eastAsia"/>
                      <w:szCs w:val="21"/>
                    </w:rPr>
                    <w:t>未检出</w:t>
                  </w:r>
                </w:p>
              </w:tc>
              <w:tc>
                <w:tcPr>
                  <w:tcW w:w="1071" w:type="dxa"/>
                  <w:vAlign w:val="center"/>
                </w:tcPr>
                <w:p w14:paraId="2A2C7445">
                  <w:pPr>
                    <w:jc w:val="center"/>
                    <w:rPr>
                      <w:szCs w:val="21"/>
                    </w:rPr>
                  </w:pPr>
                  <w:r>
                    <w:rPr>
                      <w:rFonts w:hint="eastAsia"/>
                      <w:szCs w:val="21"/>
                    </w:rPr>
                    <w:t>未检出</w:t>
                  </w:r>
                </w:p>
              </w:tc>
              <w:tc>
                <w:tcPr>
                  <w:tcW w:w="1071" w:type="dxa"/>
                  <w:vAlign w:val="center"/>
                </w:tcPr>
                <w:p w14:paraId="067541BA">
                  <w:pPr>
                    <w:jc w:val="center"/>
                    <w:rPr>
                      <w:szCs w:val="21"/>
                    </w:rPr>
                  </w:pPr>
                  <w:r>
                    <w:rPr>
                      <w:rFonts w:hint="eastAsia"/>
                      <w:szCs w:val="21"/>
                    </w:rPr>
                    <w:t>未检出</w:t>
                  </w:r>
                </w:p>
              </w:tc>
              <w:tc>
                <w:tcPr>
                  <w:tcW w:w="1071" w:type="dxa"/>
                  <w:vAlign w:val="center"/>
                </w:tcPr>
                <w:p w14:paraId="5B673B0F">
                  <w:pPr>
                    <w:jc w:val="center"/>
                    <w:rPr>
                      <w:szCs w:val="21"/>
                    </w:rPr>
                  </w:pPr>
                  <w:r>
                    <w:rPr>
                      <w:rFonts w:hint="eastAsia"/>
                      <w:szCs w:val="21"/>
                    </w:rPr>
                    <w:t>未检出</w:t>
                  </w:r>
                </w:p>
              </w:tc>
              <w:tc>
                <w:tcPr>
                  <w:tcW w:w="703" w:type="dxa"/>
                  <w:vAlign w:val="center"/>
                </w:tcPr>
                <w:p w14:paraId="22519B06">
                  <w:pPr>
                    <w:jc w:val="center"/>
                    <w:rPr>
                      <w:szCs w:val="21"/>
                    </w:rPr>
                  </w:pPr>
                  <w:r>
                    <w:rPr>
                      <w:rFonts w:hint="eastAsia"/>
                      <w:szCs w:val="21"/>
                    </w:rPr>
                    <w:t>40</w:t>
                  </w:r>
                </w:p>
              </w:tc>
            </w:tr>
            <w:tr w14:paraId="59B0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B7099A4">
                  <w:pPr>
                    <w:jc w:val="center"/>
                    <w:rPr>
                      <w:szCs w:val="21"/>
                    </w:rPr>
                  </w:pPr>
                </w:p>
              </w:tc>
              <w:tc>
                <w:tcPr>
                  <w:tcW w:w="839" w:type="dxa"/>
                  <w:vMerge w:val="continue"/>
                  <w:vAlign w:val="center"/>
                </w:tcPr>
                <w:p w14:paraId="39C307BD">
                  <w:pPr>
                    <w:jc w:val="center"/>
                    <w:rPr>
                      <w:szCs w:val="21"/>
                    </w:rPr>
                  </w:pPr>
                </w:p>
              </w:tc>
              <w:tc>
                <w:tcPr>
                  <w:tcW w:w="993" w:type="dxa"/>
                  <w:vMerge w:val="continue"/>
                  <w:vAlign w:val="center"/>
                </w:tcPr>
                <w:p w14:paraId="0A0CAB5D">
                  <w:pPr>
                    <w:jc w:val="center"/>
                    <w:rPr>
                      <w:szCs w:val="21"/>
                    </w:rPr>
                  </w:pPr>
                </w:p>
              </w:tc>
              <w:tc>
                <w:tcPr>
                  <w:tcW w:w="1275" w:type="dxa"/>
                  <w:vAlign w:val="center"/>
                </w:tcPr>
                <w:p w14:paraId="2316D020">
                  <w:pPr>
                    <w:jc w:val="center"/>
                    <w:rPr>
                      <w:szCs w:val="21"/>
                    </w:rPr>
                  </w:pPr>
                  <w:r>
                    <w:rPr>
                      <w:rFonts w:hint="eastAsia"/>
                      <w:szCs w:val="21"/>
                    </w:rPr>
                    <w:t>排放速率（kg/h）</w:t>
                  </w:r>
                </w:p>
              </w:tc>
              <w:tc>
                <w:tcPr>
                  <w:tcW w:w="1070" w:type="dxa"/>
                  <w:vAlign w:val="center"/>
                </w:tcPr>
                <w:p w14:paraId="3D3B1E16">
                  <w:pPr>
                    <w:jc w:val="center"/>
                    <w:rPr>
                      <w:szCs w:val="21"/>
                    </w:rPr>
                  </w:pPr>
                  <w:r>
                    <w:rPr>
                      <w:rFonts w:hint="eastAsia"/>
                      <w:szCs w:val="21"/>
                    </w:rPr>
                    <w:t>/</w:t>
                  </w:r>
                </w:p>
              </w:tc>
              <w:tc>
                <w:tcPr>
                  <w:tcW w:w="1071" w:type="dxa"/>
                  <w:vAlign w:val="center"/>
                </w:tcPr>
                <w:p w14:paraId="1FFE1041">
                  <w:pPr>
                    <w:jc w:val="center"/>
                    <w:rPr>
                      <w:szCs w:val="21"/>
                    </w:rPr>
                  </w:pPr>
                  <w:r>
                    <w:rPr>
                      <w:rFonts w:hint="eastAsia"/>
                      <w:szCs w:val="21"/>
                    </w:rPr>
                    <w:t>/</w:t>
                  </w:r>
                </w:p>
              </w:tc>
              <w:tc>
                <w:tcPr>
                  <w:tcW w:w="1071" w:type="dxa"/>
                  <w:vAlign w:val="center"/>
                </w:tcPr>
                <w:p w14:paraId="70C2546B">
                  <w:pPr>
                    <w:jc w:val="center"/>
                    <w:rPr>
                      <w:szCs w:val="21"/>
                    </w:rPr>
                  </w:pPr>
                  <w:r>
                    <w:rPr>
                      <w:rFonts w:hint="eastAsia"/>
                      <w:szCs w:val="21"/>
                    </w:rPr>
                    <w:t>/</w:t>
                  </w:r>
                </w:p>
              </w:tc>
              <w:tc>
                <w:tcPr>
                  <w:tcW w:w="1071" w:type="dxa"/>
                  <w:vAlign w:val="center"/>
                </w:tcPr>
                <w:p w14:paraId="6A2D7FA9">
                  <w:pPr>
                    <w:jc w:val="center"/>
                    <w:rPr>
                      <w:szCs w:val="21"/>
                    </w:rPr>
                  </w:pPr>
                  <w:r>
                    <w:rPr>
                      <w:rFonts w:hint="eastAsia"/>
                      <w:szCs w:val="21"/>
                    </w:rPr>
                    <w:t>/</w:t>
                  </w:r>
                </w:p>
              </w:tc>
              <w:tc>
                <w:tcPr>
                  <w:tcW w:w="703" w:type="dxa"/>
                  <w:vAlign w:val="center"/>
                </w:tcPr>
                <w:p w14:paraId="6E875AB9">
                  <w:pPr>
                    <w:jc w:val="center"/>
                    <w:rPr>
                      <w:szCs w:val="21"/>
                    </w:rPr>
                  </w:pPr>
                  <w:r>
                    <w:rPr>
                      <w:rFonts w:hint="eastAsia"/>
                      <w:szCs w:val="21"/>
                    </w:rPr>
                    <w:t>1.7</w:t>
                  </w:r>
                </w:p>
              </w:tc>
            </w:tr>
            <w:tr w14:paraId="2936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B94C0D3">
                  <w:pPr>
                    <w:jc w:val="center"/>
                    <w:rPr>
                      <w:szCs w:val="21"/>
                    </w:rPr>
                  </w:pPr>
                </w:p>
              </w:tc>
              <w:tc>
                <w:tcPr>
                  <w:tcW w:w="839" w:type="dxa"/>
                  <w:vMerge w:val="continue"/>
                  <w:vAlign w:val="center"/>
                </w:tcPr>
                <w:p w14:paraId="74B648E6">
                  <w:pPr>
                    <w:jc w:val="center"/>
                    <w:rPr>
                      <w:szCs w:val="21"/>
                    </w:rPr>
                  </w:pPr>
                </w:p>
              </w:tc>
              <w:tc>
                <w:tcPr>
                  <w:tcW w:w="993" w:type="dxa"/>
                  <w:vMerge w:val="restart"/>
                  <w:vAlign w:val="center"/>
                </w:tcPr>
                <w:p w14:paraId="10178F20">
                  <w:pPr>
                    <w:jc w:val="center"/>
                    <w:rPr>
                      <w:szCs w:val="21"/>
                    </w:rPr>
                  </w:pPr>
                  <w:r>
                    <w:rPr>
                      <w:rFonts w:hint="eastAsia"/>
                      <w:szCs w:val="21"/>
                    </w:rPr>
                    <w:t>非甲烷总烃</w:t>
                  </w:r>
                </w:p>
              </w:tc>
              <w:tc>
                <w:tcPr>
                  <w:tcW w:w="1275" w:type="dxa"/>
                  <w:vAlign w:val="center"/>
                </w:tcPr>
                <w:p w14:paraId="72DA83EE">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44044256">
                  <w:pPr>
                    <w:jc w:val="center"/>
                    <w:rPr>
                      <w:szCs w:val="21"/>
                    </w:rPr>
                  </w:pPr>
                  <w:r>
                    <w:rPr>
                      <w:rFonts w:hint="eastAsia"/>
                      <w:szCs w:val="21"/>
                    </w:rPr>
                    <w:t>2.57</w:t>
                  </w:r>
                </w:p>
              </w:tc>
              <w:tc>
                <w:tcPr>
                  <w:tcW w:w="1071" w:type="dxa"/>
                  <w:vAlign w:val="center"/>
                </w:tcPr>
                <w:p w14:paraId="7271C743">
                  <w:pPr>
                    <w:jc w:val="center"/>
                    <w:rPr>
                      <w:szCs w:val="21"/>
                    </w:rPr>
                  </w:pPr>
                  <w:r>
                    <w:rPr>
                      <w:rFonts w:hint="eastAsia"/>
                      <w:szCs w:val="21"/>
                    </w:rPr>
                    <w:t>2.41</w:t>
                  </w:r>
                </w:p>
              </w:tc>
              <w:tc>
                <w:tcPr>
                  <w:tcW w:w="1071" w:type="dxa"/>
                  <w:vAlign w:val="center"/>
                </w:tcPr>
                <w:p w14:paraId="11F6565F">
                  <w:pPr>
                    <w:jc w:val="center"/>
                    <w:rPr>
                      <w:szCs w:val="21"/>
                    </w:rPr>
                  </w:pPr>
                  <w:r>
                    <w:rPr>
                      <w:rFonts w:hint="eastAsia"/>
                      <w:szCs w:val="21"/>
                    </w:rPr>
                    <w:t>2.08</w:t>
                  </w:r>
                </w:p>
              </w:tc>
              <w:tc>
                <w:tcPr>
                  <w:tcW w:w="1071" w:type="dxa"/>
                  <w:vAlign w:val="center"/>
                </w:tcPr>
                <w:p w14:paraId="325C25E5">
                  <w:pPr>
                    <w:jc w:val="center"/>
                    <w:rPr>
                      <w:szCs w:val="21"/>
                    </w:rPr>
                  </w:pPr>
                  <w:r>
                    <w:rPr>
                      <w:rFonts w:hint="eastAsia"/>
                      <w:szCs w:val="21"/>
                    </w:rPr>
                    <w:t>2.35</w:t>
                  </w:r>
                </w:p>
              </w:tc>
              <w:tc>
                <w:tcPr>
                  <w:tcW w:w="703" w:type="dxa"/>
                  <w:vAlign w:val="center"/>
                </w:tcPr>
                <w:p w14:paraId="1426A28D">
                  <w:pPr>
                    <w:jc w:val="center"/>
                    <w:rPr>
                      <w:szCs w:val="21"/>
                    </w:rPr>
                  </w:pPr>
                  <w:r>
                    <w:rPr>
                      <w:rFonts w:hint="eastAsia"/>
                      <w:szCs w:val="21"/>
                    </w:rPr>
                    <w:t>60</w:t>
                  </w:r>
                </w:p>
              </w:tc>
            </w:tr>
            <w:tr w14:paraId="0FE9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353CF3A5">
                  <w:pPr>
                    <w:jc w:val="center"/>
                    <w:rPr>
                      <w:szCs w:val="21"/>
                    </w:rPr>
                  </w:pPr>
                </w:p>
              </w:tc>
              <w:tc>
                <w:tcPr>
                  <w:tcW w:w="839" w:type="dxa"/>
                  <w:vMerge w:val="continue"/>
                  <w:vAlign w:val="center"/>
                </w:tcPr>
                <w:p w14:paraId="7E5BC965">
                  <w:pPr>
                    <w:jc w:val="center"/>
                    <w:rPr>
                      <w:szCs w:val="21"/>
                    </w:rPr>
                  </w:pPr>
                </w:p>
              </w:tc>
              <w:tc>
                <w:tcPr>
                  <w:tcW w:w="993" w:type="dxa"/>
                  <w:vMerge w:val="continue"/>
                  <w:vAlign w:val="center"/>
                </w:tcPr>
                <w:p w14:paraId="224A1A55">
                  <w:pPr>
                    <w:jc w:val="center"/>
                    <w:rPr>
                      <w:szCs w:val="21"/>
                    </w:rPr>
                  </w:pPr>
                </w:p>
              </w:tc>
              <w:tc>
                <w:tcPr>
                  <w:tcW w:w="1275" w:type="dxa"/>
                  <w:vAlign w:val="center"/>
                </w:tcPr>
                <w:p w14:paraId="0FE1056D">
                  <w:pPr>
                    <w:jc w:val="center"/>
                    <w:rPr>
                      <w:szCs w:val="21"/>
                    </w:rPr>
                  </w:pPr>
                  <w:r>
                    <w:rPr>
                      <w:rFonts w:hint="eastAsia"/>
                      <w:szCs w:val="21"/>
                    </w:rPr>
                    <w:t>排放速率（kg/h）</w:t>
                  </w:r>
                </w:p>
              </w:tc>
              <w:tc>
                <w:tcPr>
                  <w:tcW w:w="1070" w:type="dxa"/>
                  <w:vAlign w:val="center"/>
                </w:tcPr>
                <w:p w14:paraId="4699D235">
                  <w:pPr>
                    <w:jc w:val="center"/>
                    <w:rPr>
                      <w:szCs w:val="21"/>
                    </w:rPr>
                  </w:pPr>
                  <w:r>
                    <w:rPr>
                      <w:rFonts w:hint="eastAsia"/>
                      <w:szCs w:val="21"/>
                    </w:rPr>
                    <w:t>0.055</w:t>
                  </w:r>
                </w:p>
              </w:tc>
              <w:tc>
                <w:tcPr>
                  <w:tcW w:w="1071" w:type="dxa"/>
                  <w:vAlign w:val="center"/>
                </w:tcPr>
                <w:p w14:paraId="16220A28">
                  <w:pPr>
                    <w:jc w:val="center"/>
                    <w:rPr>
                      <w:szCs w:val="21"/>
                    </w:rPr>
                  </w:pPr>
                  <w:r>
                    <w:rPr>
                      <w:rFonts w:hint="eastAsia"/>
                      <w:szCs w:val="21"/>
                    </w:rPr>
                    <w:t>0.056</w:t>
                  </w:r>
                </w:p>
              </w:tc>
              <w:tc>
                <w:tcPr>
                  <w:tcW w:w="1071" w:type="dxa"/>
                  <w:vAlign w:val="center"/>
                </w:tcPr>
                <w:p w14:paraId="32EC5E46">
                  <w:pPr>
                    <w:jc w:val="center"/>
                    <w:rPr>
                      <w:szCs w:val="21"/>
                    </w:rPr>
                  </w:pPr>
                  <w:r>
                    <w:rPr>
                      <w:rFonts w:hint="eastAsia"/>
                      <w:szCs w:val="21"/>
                    </w:rPr>
                    <w:t>0.045</w:t>
                  </w:r>
                </w:p>
              </w:tc>
              <w:tc>
                <w:tcPr>
                  <w:tcW w:w="1071" w:type="dxa"/>
                  <w:vAlign w:val="center"/>
                </w:tcPr>
                <w:p w14:paraId="30E970AF">
                  <w:pPr>
                    <w:jc w:val="center"/>
                    <w:rPr>
                      <w:szCs w:val="21"/>
                    </w:rPr>
                  </w:pPr>
                  <w:r>
                    <w:rPr>
                      <w:rFonts w:hint="eastAsia"/>
                      <w:szCs w:val="21"/>
                    </w:rPr>
                    <w:t>0.052</w:t>
                  </w:r>
                </w:p>
              </w:tc>
              <w:tc>
                <w:tcPr>
                  <w:tcW w:w="703" w:type="dxa"/>
                  <w:vAlign w:val="center"/>
                </w:tcPr>
                <w:p w14:paraId="0694A778">
                  <w:pPr>
                    <w:jc w:val="center"/>
                    <w:rPr>
                      <w:szCs w:val="21"/>
                    </w:rPr>
                  </w:pPr>
                  <w:r>
                    <w:rPr>
                      <w:rFonts w:hint="eastAsia"/>
                      <w:szCs w:val="21"/>
                    </w:rPr>
                    <w:t>3.4</w:t>
                  </w:r>
                </w:p>
              </w:tc>
            </w:tr>
            <w:tr w14:paraId="5CFA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664F3E3">
                  <w:pPr>
                    <w:jc w:val="center"/>
                    <w:rPr>
                      <w:szCs w:val="21"/>
                    </w:rPr>
                  </w:pPr>
                </w:p>
              </w:tc>
              <w:tc>
                <w:tcPr>
                  <w:tcW w:w="839" w:type="dxa"/>
                  <w:vMerge w:val="restart"/>
                  <w:vAlign w:val="center"/>
                </w:tcPr>
                <w:p w14:paraId="69ED0109">
                  <w:pPr>
                    <w:jc w:val="center"/>
                    <w:rPr>
                      <w:szCs w:val="21"/>
                    </w:rPr>
                  </w:pPr>
                  <w:r>
                    <w:rPr>
                      <w:rFonts w:hint="eastAsia"/>
                      <w:szCs w:val="21"/>
                    </w:rPr>
                    <w:t>2024</w:t>
                  </w:r>
                </w:p>
                <w:p w14:paraId="444DB19A">
                  <w:pPr>
                    <w:jc w:val="center"/>
                    <w:rPr>
                      <w:szCs w:val="21"/>
                    </w:rPr>
                  </w:pPr>
                  <w:r>
                    <w:rPr>
                      <w:rFonts w:hint="eastAsia"/>
                      <w:szCs w:val="21"/>
                    </w:rPr>
                    <w:t>0802</w:t>
                  </w:r>
                </w:p>
              </w:tc>
              <w:tc>
                <w:tcPr>
                  <w:tcW w:w="2268" w:type="dxa"/>
                  <w:gridSpan w:val="2"/>
                  <w:vAlign w:val="center"/>
                </w:tcPr>
                <w:p w14:paraId="73A33A08">
                  <w:pPr>
                    <w:jc w:val="center"/>
                  </w:pPr>
                  <w:r>
                    <w:rPr>
                      <w:rFonts w:hint="eastAsia"/>
                    </w:rPr>
                    <w:t>排气筒高度（m）</w:t>
                  </w:r>
                </w:p>
              </w:tc>
              <w:tc>
                <w:tcPr>
                  <w:tcW w:w="4283" w:type="dxa"/>
                  <w:gridSpan w:val="4"/>
                  <w:vAlign w:val="center"/>
                </w:tcPr>
                <w:p w14:paraId="57F643FC">
                  <w:pPr>
                    <w:jc w:val="center"/>
                    <w:rPr>
                      <w:szCs w:val="21"/>
                    </w:rPr>
                  </w:pPr>
                  <w:r>
                    <w:rPr>
                      <w:rFonts w:hint="eastAsia"/>
                      <w:szCs w:val="21"/>
                    </w:rPr>
                    <w:t>15</w:t>
                  </w:r>
                </w:p>
              </w:tc>
              <w:tc>
                <w:tcPr>
                  <w:tcW w:w="703" w:type="dxa"/>
                  <w:vAlign w:val="center"/>
                </w:tcPr>
                <w:p w14:paraId="1D9AF6C9">
                  <w:pPr>
                    <w:jc w:val="center"/>
                    <w:rPr>
                      <w:szCs w:val="21"/>
                    </w:rPr>
                  </w:pPr>
                  <w:r>
                    <w:rPr>
                      <w:rFonts w:hint="eastAsia"/>
                      <w:szCs w:val="21"/>
                    </w:rPr>
                    <w:t>/</w:t>
                  </w:r>
                </w:p>
              </w:tc>
            </w:tr>
            <w:tr w14:paraId="2C68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0895C21C">
                  <w:pPr>
                    <w:jc w:val="center"/>
                    <w:rPr>
                      <w:szCs w:val="21"/>
                    </w:rPr>
                  </w:pPr>
                </w:p>
              </w:tc>
              <w:tc>
                <w:tcPr>
                  <w:tcW w:w="839" w:type="dxa"/>
                  <w:vMerge w:val="continue"/>
                  <w:vAlign w:val="center"/>
                </w:tcPr>
                <w:p w14:paraId="74446005">
                  <w:pPr>
                    <w:jc w:val="center"/>
                    <w:rPr>
                      <w:szCs w:val="21"/>
                    </w:rPr>
                  </w:pPr>
                </w:p>
              </w:tc>
              <w:tc>
                <w:tcPr>
                  <w:tcW w:w="2268" w:type="dxa"/>
                  <w:gridSpan w:val="2"/>
                  <w:vAlign w:val="center"/>
                </w:tcPr>
                <w:p w14:paraId="7E249454">
                  <w:pPr>
                    <w:jc w:val="center"/>
                    <w:rPr>
                      <w:szCs w:val="21"/>
                    </w:rPr>
                  </w:pPr>
                  <w:r>
                    <w:t>标干流量</w:t>
                  </w:r>
                  <w:r>
                    <w:rPr>
                      <w:rFonts w:hint="eastAsia"/>
                    </w:rPr>
                    <w:t>（</w:t>
                  </w:r>
                  <w:r>
                    <w:t>m</w:t>
                  </w:r>
                  <w:r>
                    <w:rPr>
                      <w:vertAlign w:val="superscript"/>
                    </w:rPr>
                    <w:t>3</w:t>
                  </w:r>
                  <w:r>
                    <w:t>/h</w:t>
                  </w:r>
                  <w:r>
                    <w:rPr>
                      <w:rFonts w:hint="eastAsia"/>
                    </w:rPr>
                    <w:t>）</w:t>
                  </w:r>
                </w:p>
              </w:tc>
              <w:tc>
                <w:tcPr>
                  <w:tcW w:w="1070" w:type="dxa"/>
                  <w:vAlign w:val="center"/>
                </w:tcPr>
                <w:p w14:paraId="5C5B45BD">
                  <w:pPr>
                    <w:jc w:val="center"/>
                    <w:rPr>
                      <w:szCs w:val="21"/>
                    </w:rPr>
                  </w:pPr>
                  <w:r>
                    <w:rPr>
                      <w:rFonts w:hint="eastAsia"/>
                      <w:szCs w:val="21"/>
                    </w:rPr>
                    <w:t>23168</w:t>
                  </w:r>
                </w:p>
              </w:tc>
              <w:tc>
                <w:tcPr>
                  <w:tcW w:w="1071" w:type="dxa"/>
                  <w:vAlign w:val="center"/>
                </w:tcPr>
                <w:p w14:paraId="348F3ACE">
                  <w:pPr>
                    <w:jc w:val="center"/>
                    <w:rPr>
                      <w:szCs w:val="21"/>
                    </w:rPr>
                  </w:pPr>
                  <w:r>
                    <w:rPr>
                      <w:rFonts w:hint="eastAsia"/>
                      <w:szCs w:val="21"/>
                    </w:rPr>
                    <w:t>22324</w:t>
                  </w:r>
                </w:p>
              </w:tc>
              <w:tc>
                <w:tcPr>
                  <w:tcW w:w="1071" w:type="dxa"/>
                  <w:vAlign w:val="center"/>
                </w:tcPr>
                <w:p w14:paraId="75CFADD3">
                  <w:pPr>
                    <w:jc w:val="center"/>
                    <w:rPr>
                      <w:szCs w:val="21"/>
                    </w:rPr>
                  </w:pPr>
                  <w:r>
                    <w:rPr>
                      <w:rFonts w:hint="eastAsia"/>
                      <w:szCs w:val="21"/>
                    </w:rPr>
                    <w:t>23149</w:t>
                  </w:r>
                </w:p>
              </w:tc>
              <w:tc>
                <w:tcPr>
                  <w:tcW w:w="1071" w:type="dxa"/>
                  <w:vAlign w:val="center"/>
                </w:tcPr>
                <w:p w14:paraId="3B4C7250">
                  <w:pPr>
                    <w:jc w:val="center"/>
                    <w:rPr>
                      <w:szCs w:val="21"/>
                    </w:rPr>
                  </w:pPr>
                  <w:r>
                    <w:rPr>
                      <w:rFonts w:hint="eastAsia"/>
                      <w:szCs w:val="21"/>
                    </w:rPr>
                    <w:t>22880</w:t>
                  </w:r>
                </w:p>
              </w:tc>
              <w:tc>
                <w:tcPr>
                  <w:tcW w:w="703" w:type="dxa"/>
                  <w:vAlign w:val="center"/>
                </w:tcPr>
                <w:p w14:paraId="7ECA27DF">
                  <w:pPr>
                    <w:jc w:val="center"/>
                    <w:rPr>
                      <w:szCs w:val="21"/>
                    </w:rPr>
                  </w:pPr>
                  <w:r>
                    <w:rPr>
                      <w:rFonts w:hint="eastAsia"/>
                      <w:szCs w:val="21"/>
                    </w:rPr>
                    <w:t>/</w:t>
                  </w:r>
                </w:p>
              </w:tc>
            </w:tr>
            <w:tr w14:paraId="3303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406E5C3">
                  <w:pPr>
                    <w:jc w:val="center"/>
                    <w:rPr>
                      <w:szCs w:val="21"/>
                    </w:rPr>
                  </w:pPr>
                </w:p>
              </w:tc>
              <w:tc>
                <w:tcPr>
                  <w:tcW w:w="839" w:type="dxa"/>
                  <w:vMerge w:val="continue"/>
                  <w:vAlign w:val="center"/>
                </w:tcPr>
                <w:p w14:paraId="57A95463">
                  <w:pPr>
                    <w:jc w:val="center"/>
                    <w:rPr>
                      <w:szCs w:val="21"/>
                    </w:rPr>
                  </w:pPr>
                </w:p>
              </w:tc>
              <w:tc>
                <w:tcPr>
                  <w:tcW w:w="993" w:type="dxa"/>
                  <w:vMerge w:val="restart"/>
                  <w:vAlign w:val="center"/>
                </w:tcPr>
                <w:p w14:paraId="16173F0C">
                  <w:pPr>
                    <w:jc w:val="center"/>
                    <w:rPr>
                      <w:szCs w:val="21"/>
                    </w:rPr>
                  </w:pPr>
                  <w:r>
                    <w:rPr>
                      <w:rFonts w:hint="eastAsia"/>
                      <w:szCs w:val="21"/>
                    </w:rPr>
                    <w:t>颗粒物</w:t>
                  </w:r>
                </w:p>
              </w:tc>
              <w:tc>
                <w:tcPr>
                  <w:tcW w:w="1275" w:type="dxa"/>
                  <w:vAlign w:val="center"/>
                </w:tcPr>
                <w:p w14:paraId="14DA641D">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93F5B38">
                  <w:pPr>
                    <w:jc w:val="center"/>
                    <w:rPr>
                      <w:szCs w:val="21"/>
                    </w:rPr>
                  </w:pPr>
                  <w:r>
                    <w:rPr>
                      <w:rFonts w:hint="eastAsia"/>
                      <w:szCs w:val="21"/>
                    </w:rPr>
                    <w:t>4.4</w:t>
                  </w:r>
                </w:p>
              </w:tc>
              <w:tc>
                <w:tcPr>
                  <w:tcW w:w="1071" w:type="dxa"/>
                  <w:vAlign w:val="center"/>
                </w:tcPr>
                <w:p w14:paraId="2E9B2D0A">
                  <w:pPr>
                    <w:jc w:val="center"/>
                    <w:rPr>
                      <w:szCs w:val="21"/>
                    </w:rPr>
                  </w:pPr>
                  <w:r>
                    <w:rPr>
                      <w:rFonts w:hint="eastAsia"/>
                      <w:szCs w:val="21"/>
                    </w:rPr>
                    <w:t>3.8</w:t>
                  </w:r>
                </w:p>
              </w:tc>
              <w:tc>
                <w:tcPr>
                  <w:tcW w:w="1071" w:type="dxa"/>
                  <w:vAlign w:val="center"/>
                </w:tcPr>
                <w:p w14:paraId="121BAD3B">
                  <w:pPr>
                    <w:jc w:val="center"/>
                    <w:rPr>
                      <w:szCs w:val="21"/>
                    </w:rPr>
                  </w:pPr>
                  <w:r>
                    <w:rPr>
                      <w:rFonts w:hint="eastAsia"/>
                      <w:szCs w:val="21"/>
                    </w:rPr>
                    <w:t>4.7</w:t>
                  </w:r>
                </w:p>
              </w:tc>
              <w:tc>
                <w:tcPr>
                  <w:tcW w:w="1071" w:type="dxa"/>
                  <w:vAlign w:val="center"/>
                </w:tcPr>
                <w:p w14:paraId="4AD166AE">
                  <w:pPr>
                    <w:jc w:val="center"/>
                    <w:rPr>
                      <w:szCs w:val="21"/>
                    </w:rPr>
                  </w:pPr>
                  <w:r>
                    <w:rPr>
                      <w:rFonts w:hint="eastAsia"/>
                      <w:szCs w:val="21"/>
                    </w:rPr>
                    <w:t>4.3</w:t>
                  </w:r>
                </w:p>
              </w:tc>
              <w:tc>
                <w:tcPr>
                  <w:tcW w:w="703" w:type="dxa"/>
                  <w:vAlign w:val="center"/>
                </w:tcPr>
                <w:p w14:paraId="5E5D0E88">
                  <w:pPr>
                    <w:jc w:val="center"/>
                    <w:rPr>
                      <w:szCs w:val="21"/>
                    </w:rPr>
                  </w:pPr>
                  <w:r>
                    <w:rPr>
                      <w:rFonts w:hint="eastAsia"/>
                      <w:szCs w:val="21"/>
                    </w:rPr>
                    <w:t>120</w:t>
                  </w:r>
                </w:p>
              </w:tc>
            </w:tr>
            <w:tr w14:paraId="5F5B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164CEA8">
                  <w:pPr>
                    <w:jc w:val="center"/>
                    <w:rPr>
                      <w:szCs w:val="21"/>
                    </w:rPr>
                  </w:pPr>
                </w:p>
              </w:tc>
              <w:tc>
                <w:tcPr>
                  <w:tcW w:w="839" w:type="dxa"/>
                  <w:vMerge w:val="continue"/>
                  <w:vAlign w:val="center"/>
                </w:tcPr>
                <w:p w14:paraId="3358BF93">
                  <w:pPr>
                    <w:jc w:val="center"/>
                    <w:rPr>
                      <w:szCs w:val="21"/>
                    </w:rPr>
                  </w:pPr>
                </w:p>
              </w:tc>
              <w:tc>
                <w:tcPr>
                  <w:tcW w:w="993" w:type="dxa"/>
                  <w:vMerge w:val="continue"/>
                  <w:vAlign w:val="center"/>
                </w:tcPr>
                <w:p w14:paraId="6EBA3B3F">
                  <w:pPr>
                    <w:jc w:val="center"/>
                    <w:rPr>
                      <w:szCs w:val="21"/>
                    </w:rPr>
                  </w:pPr>
                </w:p>
              </w:tc>
              <w:tc>
                <w:tcPr>
                  <w:tcW w:w="1275" w:type="dxa"/>
                  <w:vAlign w:val="center"/>
                </w:tcPr>
                <w:p w14:paraId="797FDFB6">
                  <w:pPr>
                    <w:jc w:val="center"/>
                    <w:rPr>
                      <w:szCs w:val="21"/>
                    </w:rPr>
                  </w:pPr>
                  <w:r>
                    <w:rPr>
                      <w:rFonts w:hint="eastAsia"/>
                      <w:szCs w:val="21"/>
                    </w:rPr>
                    <w:t>排放速率（kg/h）</w:t>
                  </w:r>
                </w:p>
              </w:tc>
              <w:tc>
                <w:tcPr>
                  <w:tcW w:w="1070" w:type="dxa"/>
                  <w:vAlign w:val="center"/>
                </w:tcPr>
                <w:p w14:paraId="39B644D3">
                  <w:pPr>
                    <w:jc w:val="center"/>
                    <w:rPr>
                      <w:szCs w:val="21"/>
                    </w:rPr>
                  </w:pPr>
                  <w:r>
                    <w:rPr>
                      <w:rFonts w:hint="eastAsia"/>
                      <w:szCs w:val="21"/>
                    </w:rPr>
                    <w:t>0.10</w:t>
                  </w:r>
                </w:p>
              </w:tc>
              <w:tc>
                <w:tcPr>
                  <w:tcW w:w="1071" w:type="dxa"/>
                  <w:vAlign w:val="center"/>
                </w:tcPr>
                <w:p w14:paraId="207B284C">
                  <w:pPr>
                    <w:jc w:val="center"/>
                    <w:rPr>
                      <w:szCs w:val="21"/>
                    </w:rPr>
                  </w:pPr>
                  <w:r>
                    <w:rPr>
                      <w:rFonts w:hint="eastAsia"/>
                      <w:szCs w:val="21"/>
                    </w:rPr>
                    <w:t>0.085</w:t>
                  </w:r>
                </w:p>
              </w:tc>
              <w:tc>
                <w:tcPr>
                  <w:tcW w:w="1071" w:type="dxa"/>
                  <w:vAlign w:val="center"/>
                </w:tcPr>
                <w:p w14:paraId="2FC5B6B0">
                  <w:pPr>
                    <w:jc w:val="center"/>
                    <w:rPr>
                      <w:szCs w:val="21"/>
                    </w:rPr>
                  </w:pPr>
                  <w:r>
                    <w:rPr>
                      <w:rFonts w:hint="eastAsia"/>
                      <w:szCs w:val="21"/>
                    </w:rPr>
                    <w:t>0.11</w:t>
                  </w:r>
                </w:p>
              </w:tc>
              <w:tc>
                <w:tcPr>
                  <w:tcW w:w="1071" w:type="dxa"/>
                  <w:vAlign w:val="center"/>
                </w:tcPr>
                <w:p w14:paraId="4EFE57ED">
                  <w:pPr>
                    <w:jc w:val="center"/>
                    <w:rPr>
                      <w:szCs w:val="21"/>
                    </w:rPr>
                  </w:pPr>
                  <w:r>
                    <w:rPr>
                      <w:rFonts w:hint="eastAsia"/>
                      <w:szCs w:val="21"/>
                    </w:rPr>
                    <w:t>0.099</w:t>
                  </w:r>
                </w:p>
              </w:tc>
              <w:tc>
                <w:tcPr>
                  <w:tcW w:w="703" w:type="dxa"/>
                  <w:vAlign w:val="center"/>
                </w:tcPr>
                <w:p w14:paraId="0E7FFEB6">
                  <w:pPr>
                    <w:jc w:val="center"/>
                    <w:rPr>
                      <w:szCs w:val="21"/>
                    </w:rPr>
                  </w:pPr>
                  <w:r>
                    <w:rPr>
                      <w:rFonts w:hint="eastAsia"/>
                      <w:szCs w:val="21"/>
                    </w:rPr>
                    <w:t>3.5</w:t>
                  </w:r>
                </w:p>
              </w:tc>
            </w:tr>
            <w:tr w14:paraId="7AFA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49560AE4">
                  <w:pPr>
                    <w:jc w:val="center"/>
                    <w:rPr>
                      <w:szCs w:val="21"/>
                    </w:rPr>
                  </w:pPr>
                </w:p>
              </w:tc>
              <w:tc>
                <w:tcPr>
                  <w:tcW w:w="839" w:type="dxa"/>
                  <w:vMerge w:val="continue"/>
                  <w:vAlign w:val="center"/>
                </w:tcPr>
                <w:p w14:paraId="04ECB7E8">
                  <w:pPr>
                    <w:jc w:val="center"/>
                    <w:rPr>
                      <w:szCs w:val="21"/>
                    </w:rPr>
                  </w:pPr>
                </w:p>
              </w:tc>
              <w:tc>
                <w:tcPr>
                  <w:tcW w:w="993" w:type="dxa"/>
                  <w:vMerge w:val="restart"/>
                  <w:vAlign w:val="center"/>
                </w:tcPr>
                <w:p w14:paraId="27FE46AB">
                  <w:pPr>
                    <w:jc w:val="center"/>
                    <w:rPr>
                      <w:szCs w:val="21"/>
                    </w:rPr>
                  </w:pPr>
                  <w:r>
                    <w:rPr>
                      <w:rFonts w:hint="eastAsia"/>
                      <w:szCs w:val="21"/>
                    </w:rPr>
                    <w:t>乙酸</w:t>
                  </w:r>
                </w:p>
                <w:p w14:paraId="2E87CAFD">
                  <w:pPr>
                    <w:jc w:val="center"/>
                    <w:rPr>
                      <w:szCs w:val="21"/>
                    </w:rPr>
                  </w:pPr>
                  <w:r>
                    <w:rPr>
                      <w:rFonts w:hint="eastAsia"/>
                      <w:szCs w:val="21"/>
                    </w:rPr>
                    <w:t>乙酯</w:t>
                  </w:r>
                </w:p>
              </w:tc>
              <w:tc>
                <w:tcPr>
                  <w:tcW w:w="1275" w:type="dxa"/>
                  <w:vAlign w:val="center"/>
                </w:tcPr>
                <w:p w14:paraId="2A832394">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03F8AC2D">
                  <w:pPr>
                    <w:jc w:val="center"/>
                    <w:rPr>
                      <w:szCs w:val="21"/>
                    </w:rPr>
                  </w:pPr>
                  <w:r>
                    <w:rPr>
                      <w:rFonts w:hint="eastAsia"/>
                      <w:szCs w:val="21"/>
                    </w:rPr>
                    <w:t>未检出</w:t>
                  </w:r>
                </w:p>
              </w:tc>
              <w:tc>
                <w:tcPr>
                  <w:tcW w:w="1071" w:type="dxa"/>
                  <w:vAlign w:val="center"/>
                </w:tcPr>
                <w:p w14:paraId="75F1F1CB">
                  <w:pPr>
                    <w:jc w:val="center"/>
                    <w:rPr>
                      <w:szCs w:val="21"/>
                    </w:rPr>
                  </w:pPr>
                  <w:r>
                    <w:rPr>
                      <w:rFonts w:hint="eastAsia"/>
                      <w:szCs w:val="21"/>
                    </w:rPr>
                    <w:t>未检出</w:t>
                  </w:r>
                </w:p>
              </w:tc>
              <w:tc>
                <w:tcPr>
                  <w:tcW w:w="1071" w:type="dxa"/>
                  <w:vAlign w:val="center"/>
                </w:tcPr>
                <w:p w14:paraId="5DD5E278">
                  <w:pPr>
                    <w:jc w:val="center"/>
                    <w:rPr>
                      <w:szCs w:val="21"/>
                    </w:rPr>
                  </w:pPr>
                  <w:r>
                    <w:rPr>
                      <w:rFonts w:hint="eastAsia"/>
                      <w:szCs w:val="21"/>
                    </w:rPr>
                    <w:t>未检出</w:t>
                  </w:r>
                </w:p>
              </w:tc>
              <w:tc>
                <w:tcPr>
                  <w:tcW w:w="1071" w:type="dxa"/>
                  <w:vAlign w:val="center"/>
                </w:tcPr>
                <w:p w14:paraId="715DFAD2">
                  <w:pPr>
                    <w:jc w:val="center"/>
                    <w:rPr>
                      <w:szCs w:val="21"/>
                    </w:rPr>
                  </w:pPr>
                  <w:r>
                    <w:rPr>
                      <w:rFonts w:hint="eastAsia"/>
                      <w:szCs w:val="21"/>
                    </w:rPr>
                    <w:t>未检出</w:t>
                  </w:r>
                </w:p>
              </w:tc>
              <w:tc>
                <w:tcPr>
                  <w:tcW w:w="703" w:type="dxa"/>
                  <w:vAlign w:val="center"/>
                </w:tcPr>
                <w:p w14:paraId="3D6C3357">
                  <w:pPr>
                    <w:jc w:val="center"/>
                    <w:rPr>
                      <w:szCs w:val="21"/>
                    </w:rPr>
                  </w:pPr>
                  <w:r>
                    <w:rPr>
                      <w:rFonts w:hint="eastAsia"/>
                      <w:szCs w:val="21"/>
                    </w:rPr>
                    <w:t>40</w:t>
                  </w:r>
                </w:p>
              </w:tc>
            </w:tr>
            <w:tr w14:paraId="575C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71E3FF54">
                  <w:pPr>
                    <w:jc w:val="center"/>
                    <w:rPr>
                      <w:szCs w:val="21"/>
                    </w:rPr>
                  </w:pPr>
                </w:p>
              </w:tc>
              <w:tc>
                <w:tcPr>
                  <w:tcW w:w="839" w:type="dxa"/>
                  <w:vMerge w:val="continue"/>
                  <w:vAlign w:val="center"/>
                </w:tcPr>
                <w:p w14:paraId="52C72556">
                  <w:pPr>
                    <w:jc w:val="center"/>
                    <w:rPr>
                      <w:szCs w:val="21"/>
                    </w:rPr>
                  </w:pPr>
                </w:p>
              </w:tc>
              <w:tc>
                <w:tcPr>
                  <w:tcW w:w="993" w:type="dxa"/>
                  <w:vMerge w:val="continue"/>
                  <w:vAlign w:val="center"/>
                </w:tcPr>
                <w:p w14:paraId="3CF03CC5">
                  <w:pPr>
                    <w:jc w:val="center"/>
                    <w:rPr>
                      <w:szCs w:val="21"/>
                    </w:rPr>
                  </w:pPr>
                </w:p>
              </w:tc>
              <w:tc>
                <w:tcPr>
                  <w:tcW w:w="1275" w:type="dxa"/>
                  <w:vAlign w:val="center"/>
                </w:tcPr>
                <w:p w14:paraId="675813F3">
                  <w:pPr>
                    <w:jc w:val="center"/>
                    <w:rPr>
                      <w:szCs w:val="21"/>
                    </w:rPr>
                  </w:pPr>
                  <w:r>
                    <w:rPr>
                      <w:rFonts w:hint="eastAsia"/>
                      <w:szCs w:val="21"/>
                    </w:rPr>
                    <w:t>排放速率（kg/h）</w:t>
                  </w:r>
                </w:p>
              </w:tc>
              <w:tc>
                <w:tcPr>
                  <w:tcW w:w="1070" w:type="dxa"/>
                  <w:vAlign w:val="center"/>
                </w:tcPr>
                <w:p w14:paraId="39024EEF">
                  <w:pPr>
                    <w:jc w:val="center"/>
                    <w:rPr>
                      <w:szCs w:val="21"/>
                    </w:rPr>
                  </w:pPr>
                  <w:r>
                    <w:rPr>
                      <w:rFonts w:hint="eastAsia"/>
                      <w:szCs w:val="21"/>
                    </w:rPr>
                    <w:t>/</w:t>
                  </w:r>
                </w:p>
              </w:tc>
              <w:tc>
                <w:tcPr>
                  <w:tcW w:w="1071" w:type="dxa"/>
                  <w:vAlign w:val="center"/>
                </w:tcPr>
                <w:p w14:paraId="289AF1C1">
                  <w:pPr>
                    <w:jc w:val="center"/>
                    <w:rPr>
                      <w:szCs w:val="21"/>
                    </w:rPr>
                  </w:pPr>
                  <w:r>
                    <w:rPr>
                      <w:rFonts w:hint="eastAsia"/>
                      <w:szCs w:val="21"/>
                    </w:rPr>
                    <w:t>/</w:t>
                  </w:r>
                </w:p>
              </w:tc>
              <w:tc>
                <w:tcPr>
                  <w:tcW w:w="1071" w:type="dxa"/>
                  <w:vAlign w:val="center"/>
                </w:tcPr>
                <w:p w14:paraId="5B39452A">
                  <w:pPr>
                    <w:jc w:val="center"/>
                    <w:rPr>
                      <w:szCs w:val="21"/>
                    </w:rPr>
                  </w:pPr>
                  <w:r>
                    <w:rPr>
                      <w:rFonts w:hint="eastAsia"/>
                      <w:szCs w:val="21"/>
                    </w:rPr>
                    <w:t>/</w:t>
                  </w:r>
                </w:p>
              </w:tc>
              <w:tc>
                <w:tcPr>
                  <w:tcW w:w="1071" w:type="dxa"/>
                  <w:vAlign w:val="center"/>
                </w:tcPr>
                <w:p w14:paraId="3F1F441C">
                  <w:pPr>
                    <w:jc w:val="center"/>
                    <w:rPr>
                      <w:szCs w:val="21"/>
                    </w:rPr>
                  </w:pPr>
                  <w:r>
                    <w:rPr>
                      <w:rFonts w:hint="eastAsia"/>
                      <w:szCs w:val="21"/>
                    </w:rPr>
                    <w:t>/</w:t>
                  </w:r>
                </w:p>
              </w:tc>
              <w:tc>
                <w:tcPr>
                  <w:tcW w:w="703" w:type="dxa"/>
                  <w:vAlign w:val="center"/>
                </w:tcPr>
                <w:p w14:paraId="2D84B692">
                  <w:pPr>
                    <w:jc w:val="center"/>
                    <w:rPr>
                      <w:szCs w:val="21"/>
                    </w:rPr>
                  </w:pPr>
                  <w:r>
                    <w:rPr>
                      <w:rFonts w:hint="eastAsia"/>
                      <w:szCs w:val="21"/>
                    </w:rPr>
                    <w:t>1.7</w:t>
                  </w:r>
                </w:p>
              </w:tc>
            </w:tr>
            <w:tr w14:paraId="28BEE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1F666802">
                  <w:pPr>
                    <w:jc w:val="center"/>
                    <w:rPr>
                      <w:szCs w:val="21"/>
                    </w:rPr>
                  </w:pPr>
                </w:p>
              </w:tc>
              <w:tc>
                <w:tcPr>
                  <w:tcW w:w="839" w:type="dxa"/>
                  <w:vMerge w:val="continue"/>
                  <w:vAlign w:val="center"/>
                </w:tcPr>
                <w:p w14:paraId="36B0DA1C">
                  <w:pPr>
                    <w:jc w:val="center"/>
                    <w:rPr>
                      <w:szCs w:val="21"/>
                    </w:rPr>
                  </w:pPr>
                </w:p>
              </w:tc>
              <w:tc>
                <w:tcPr>
                  <w:tcW w:w="993" w:type="dxa"/>
                  <w:vMerge w:val="restart"/>
                  <w:vAlign w:val="center"/>
                </w:tcPr>
                <w:p w14:paraId="05975D90">
                  <w:pPr>
                    <w:jc w:val="center"/>
                    <w:rPr>
                      <w:szCs w:val="21"/>
                    </w:rPr>
                  </w:pPr>
                  <w:r>
                    <w:rPr>
                      <w:rFonts w:hint="eastAsia"/>
                      <w:szCs w:val="21"/>
                    </w:rPr>
                    <w:t>乙酸</w:t>
                  </w:r>
                </w:p>
                <w:p w14:paraId="20F8FD93">
                  <w:pPr>
                    <w:jc w:val="center"/>
                    <w:rPr>
                      <w:szCs w:val="21"/>
                    </w:rPr>
                  </w:pPr>
                  <w:r>
                    <w:rPr>
                      <w:rFonts w:hint="eastAsia"/>
                      <w:szCs w:val="21"/>
                    </w:rPr>
                    <w:t>丁酯</w:t>
                  </w:r>
                </w:p>
              </w:tc>
              <w:tc>
                <w:tcPr>
                  <w:tcW w:w="1275" w:type="dxa"/>
                  <w:vAlign w:val="center"/>
                </w:tcPr>
                <w:p w14:paraId="0B24A515">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17DDBE58">
                  <w:pPr>
                    <w:jc w:val="center"/>
                    <w:rPr>
                      <w:szCs w:val="21"/>
                    </w:rPr>
                  </w:pPr>
                  <w:r>
                    <w:rPr>
                      <w:rFonts w:hint="eastAsia"/>
                      <w:szCs w:val="21"/>
                    </w:rPr>
                    <w:t>未检出</w:t>
                  </w:r>
                </w:p>
              </w:tc>
              <w:tc>
                <w:tcPr>
                  <w:tcW w:w="1071" w:type="dxa"/>
                  <w:vAlign w:val="center"/>
                </w:tcPr>
                <w:p w14:paraId="30DBF3C9">
                  <w:pPr>
                    <w:jc w:val="center"/>
                    <w:rPr>
                      <w:szCs w:val="21"/>
                    </w:rPr>
                  </w:pPr>
                  <w:r>
                    <w:rPr>
                      <w:rFonts w:hint="eastAsia"/>
                      <w:szCs w:val="21"/>
                    </w:rPr>
                    <w:t>未检出</w:t>
                  </w:r>
                </w:p>
              </w:tc>
              <w:tc>
                <w:tcPr>
                  <w:tcW w:w="1071" w:type="dxa"/>
                  <w:vAlign w:val="center"/>
                </w:tcPr>
                <w:p w14:paraId="01243A3E">
                  <w:pPr>
                    <w:jc w:val="center"/>
                    <w:rPr>
                      <w:szCs w:val="21"/>
                    </w:rPr>
                  </w:pPr>
                  <w:r>
                    <w:rPr>
                      <w:rFonts w:hint="eastAsia"/>
                      <w:szCs w:val="21"/>
                    </w:rPr>
                    <w:t>未检出</w:t>
                  </w:r>
                </w:p>
              </w:tc>
              <w:tc>
                <w:tcPr>
                  <w:tcW w:w="1071" w:type="dxa"/>
                  <w:vAlign w:val="center"/>
                </w:tcPr>
                <w:p w14:paraId="65DB164B">
                  <w:pPr>
                    <w:jc w:val="center"/>
                    <w:rPr>
                      <w:szCs w:val="21"/>
                    </w:rPr>
                  </w:pPr>
                  <w:r>
                    <w:rPr>
                      <w:rFonts w:hint="eastAsia"/>
                      <w:szCs w:val="21"/>
                    </w:rPr>
                    <w:t>未检出</w:t>
                  </w:r>
                </w:p>
              </w:tc>
              <w:tc>
                <w:tcPr>
                  <w:tcW w:w="703" w:type="dxa"/>
                  <w:vAlign w:val="center"/>
                </w:tcPr>
                <w:p w14:paraId="20F316D0">
                  <w:pPr>
                    <w:jc w:val="center"/>
                    <w:rPr>
                      <w:szCs w:val="21"/>
                    </w:rPr>
                  </w:pPr>
                  <w:r>
                    <w:rPr>
                      <w:rFonts w:hint="eastAsia"/>
                      <w:szCs w:val="21"/>
                    </w:rPr>
                    <w:t>40</w:t>
                  </w:r>
                </w:p>
              </w:tc>
            </w:tr>
            <w:tr w14:paraId="29AB3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3EB6A8D9">
                  <w:pPr>
                    <w:jc w:val="center"/>
                    <w:rPr>
                      <w:szCs w:val="21"/>
                    </w:rPr>
                  </w:pPr>
                </w:p>
              </w:tc>
              <w:tc>
                <w:tcPr>
                  <w:tcW w:w="839" w:type="dxa"/>
                  <w:vMerge w:val="continue"/>
                  <w:vAlign w:val="center"/>
                </w:tcPr>
                <w:p w14:paraId="007852F8">
                  <w:pPr>
                    <w:jc w:val="center"/>
                    <w:rPr>
                      <w:szCs w:val="21"/>
                    </w:rPr>
                  </w:pPr>
                </w:p>
              </w:tc>
              <w:tc>
                <w:tcPr>
                  <w:tcW w:w="993" w:type="dxa"/>
                  <w:vMerge w:val="continue"/>
                  <w:vAlign w:val="center"/>
                </w:tcPr>
                <w:p w14:paraId="2313A82C">
                  <w:pPr>
                    <w:jc w:val="center"/>
                    <w:rPr>
                      <w:szCs w:val="21"/>
                    </w:rPr>
                  </w:pPr>
                </w:p>
              </w:tc>
              <w:tc>
                <w:tcPr>
                  <w:tcW w:w="1275" w:type="dxa"/>
                  <w:vAlign w:val="center"/>
                </w:tcPr>
                <w:p w14:paraId="44275CAD">
                  <w:pPr>
                    <w:jc w:val="center"/>
                    <w:rPr>
                      <w:szCs w:val="21"/>
                    </w:rPr>
                  </w:pPr>
                  <w:r>
                    <w:rPr>
                      <w:rFonts w:hint="eastAsia"/>
                      <w:szCs w:val="21"/>
                    </w:rPr>
                    <w:t>排放速率（kg/h）</w:t>
                  </w:r>
                </w:p>
              </w:tc>
              <w:tc>
                <w:tcPr>
                  <w:tcW w:w="1070" w:type="dxa"/>
                  <w:vAlign w:val="center"/>
                </w:tcPr>
                <w:p w14:paraId="351B4322">
                  <w:pPr>
                    <w:jc w:val="center"/>
                    <w:rPr>
                      <w:szCs w:val="21"/>
                    </w:rPr>
                  </w:pPr>
                  <w:r>
                    <w:rPr>
                      <w:rFonts w:hint="eastAsia"/>
                      <w:szCs w:val="21"/>
                    </w:rPr>
                    <w:t>/</w:t>
                  </w:r>
                </w:p>
              </w:tc>
              <w:tc>
                <w:tcPr>
                  <w:tcW w:w="1071" w:type="dxa"/>
                  <w:vAlign w:val="center"/>
                </w:tcPr>
                <w:p w14:paraId="71EB4F42">
                  <w:pPr>
                    <w:jc w:val="center"/>
                    <w:rPr>
                      <w:szCs w:val="21"/>
                    </w:rPr>
                  </w:pPr>
                  <w:r>
                    <w:rPr>
                      <w:rFonts w:hint="eastAsia"/>
                      <w:szCs w:val="21"/>
                    </w:rPr>
                    <w:t>/</w:t>
                  </w:r>
                </w:p>
              </w:tc>
              <w:tc>
                <w:tcPr>
                  <w:tcW w:w="1071" w:type="dxa"/>
                  <w:vAlign w:val="center"/>
                </w:tcPr>
                <w:p w14:paraId="6B4C83FF">
                  <w:pPr>
                    <w:jc w:val="center"/>
                    <w:rPr>
                      <w:szCs w:val="21"/>
                    </w:rPr>
                  </w:pPr>
                  <w:r>
                    <w:rPr>
                      <w:rFonts w:hint="eastAsia"/>
                      <w:szCs w:val="21"/>
                    </w:rPr>
                    <w:t>/</w:t>
                  </w:r>
                </w:p>
              </w:tc>
              <w:tc>
                <w:tcPr>
                  <w:tcW w:w="1071" w:type="dxa"/>
                  <w:vAlign w:val="center"/>
                </w:tcPr>
                <w:p w14:paraId="7170B290">
                  <w:pPr>
                    <w:jc w:val="center"/>
                    <w:rPr>
                      <w:szCs w:val="21"/>
                    </w:rPr>
                  </w:pPr>
                  <w:r>
                    <w:rPr>
                      <w:rFonts w:hint="eastAsia"/>
                      <w:szCs w:val="21"/>
                    </w:rPr>
                    <w:t>/</w:t>
                  </w:r>
                </w:p>
              </w:tc>
              <w:tc>
                <w:tcPr>
                  <w:tcW w:w="703" w:type="dxa"/>
                  <w:vAlign w:val="center"/>
                </w:tcPr>
                <w:p w14:paraId="0B7F31EE">
                  <w:pPr>
                    <w:jc w:val="center"/>
                    <w:rPr>
                      <w:szCs w:val="21"/>
                    </w:rPr>
                  </w:pPr>
                  <w:r>
                    <w:rPr>
                      <w:rFonts w:hint="eastAsia"/>
                      <w:szCs w:val="21"/>
                    </w:rPr>
                    <w:t>1.7</w:t>
                  </w:r>
                </w:p>
              </w:tc>
            </w:tr>
            <w:tr w14:paraId="7970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282D78C1">
                  <w:pPr>
                    <w:jc w:val="center"/>
                    <w:rPr>
                      <w:szCs w:val="21"/>
                    </w:rPr>
                  </w:pPr>
                </w:p>
              </w:tc>
              <w:tc>
                <w:tcPr>
                  <w:tcW w:w="839" w:type="dxa"/>
                  <w:vMerge w:val="continue"/>
                  <w:vAlign w:val="center"/>
                </w:tcPr>
                <w:p w14:paraId="737E5C00">
                  <w:pPr>
                    <w:jc w:val="center"/>
                    <w:rPr>
                      <w:szCs w:val="21"/>
                    </w:rPr>
                  </w:pPr>
                </w:p>
              </w:tc>
              <w:tc>
                <w:tcPr>
                  <w:tcW w:w="993" w:type="dxa"/>
                  <w:vMerge w:val="restart"/>
                  <w:vAlign w:val="center"/>
                </w:tcPr>
                <w:p w14:paraId="519C6EAD">
                  <w:pPr>
                    <w:jc w:val="center"/>
                    <w:rPr>
                      <w:szCs w:val="21"/>
                    </w:rPr>
                  </w:pPr>
                  <w:r>
                    <w:rPr>
                      <w:rFonts w:hint="eastAsia"/>
                      <w:szCs w:val="21"/>
                    </w:rPr>
                    <w:t>非甲烷总烃</w:t>
                  </w:r>
                </w:p>
              </w:tc>
              <w:tc>
                <w:tcPr>
                  <w:tcW w:w="1275" w:type="dxa"/>
                  <w:vAlign w:val="center"/>
                </w:tcPr>
                <w:p w14:paraId="794EB44B">
                  <w:pPr>
                    <w:jc w:val="center"/>
                    <w:rPr>
                      <w:szCs w:val="21"/>
                    </w:rPr>
                  </w:pPr>
                  <w:r>
                    <w:rPr>
                      <w:rFonts w:hint="eastAsia"/>
                      <w:szCs w:val="21"/>
                    </w:rPr>
                    <w:t>排放浓度（mg/m</w:t>
                  </w:r>
                  <w:r>
                    <w:rPr>
                      <w:rFonts w:hint="eastAsia"/>
                      <w:szCs w:val="21"/>
                      <w:vertAlign w:val="superscript"/>
                    </w:rPr>
                    <w:t>3</w:t>
                  </w:r>
                  <w:r>
                    <w:rPr>
                      <w:rFonts w:hint="eastAsia"/>
                      <w:szCs w:val="21"/>
                    </w:rPr>
                    <w:t>）</w:t>
                  </w:r>
                </w:p>
              </w:tc>
              <w:tc>
                <w:tcPr>
                  <w:tcW w:w="1070" w:type="dxa"/>
                  <w:vAlign w:val="center"/>
                </w:tcPr>
                <w:p w14:paraId="5B678C18">
                  <w:pPr>
                    <w:jc w:val="center"/>
                    <w:rPr>
                      <w:szCs w:val="21"/>
                    </w:rPr>
                  </w:pPr>
                  <w:r>
                    <w:rPr>
                      <w:rFonts w:hint="eastAsia"/>
                      <w:szCs w:val="21"/>
                    </w:rPr>
                    <w:t>2.06</w:t>
                  </w:r>
                </w:p>
              </w:tc>
              <w:tc>
                <w:tcPr>
                  <w:tcW w:w="1071" w:type="dxa"/>
                  <w:vAlign w:val="center"/>
                </w:tcPr>
                <w:p w14:paraId="2E764F75">
                  <w:pPr>
                    <w:jc w:val="center"/>
                    <w:rPr>
                      <w:szCs w:val="21"/>
                    </w:rPr>
                  </w:pPr>
                  <w:r>
                    <w:rPr>
                      <w:rFonts w:hint="eastAsia"/>
                      <w:szCs w:val="21"/>
                    </w:rPr>
                    <w:t>1.97</w:t>
                  </w:r>
                </w:p>
              </w:tc>
              <w:tc>
                <w:tcPr>
                  <w:tcW w:w="1071" w:type="dxa"/>
                  <w:vAlign w:val="center"/>
                </w:tcPr>
                <w:p w14:paraId="0BD31413">
                  <w:pPr>
                    <w:jc w:val="center"/>
                    <w:rPr>
                      <w:szCs w:val="21"/>
                    </w:rPr>
                  </w:pPr>
                  <w:r>
                    <w:rPr>
                      <w:rFonts w:hint="eastAsia"/>
                      <w:szCs w:val="21"/>
                    </w:rPr>
                    <w:t>2.04</w:t>
                  </w:r>
                </w:p>
              </w:tc>
              <w:tc>
                <w:tcPr>
                  <w:tcW w:w="1071" w:type="dxa"/>
                  <w:vAlign w:val="center"/>
                </w:tcPr>
                <w:p w14:paraId="3BB5C4D7">
                  <w:pPr>
                    <w:jc w:val="center"/>
                    <w:rPr>
                      <w:szCs w:val="21"/>
                    </w:rPr>
                  </w:pPr>
                  <w:r>
                    <w:rPr>
                      <w:rFonts w:hint="eastAsia"/>
                      <w:szCs w:val="21"/>
                    </w:rPr>
                    <w:t>2.02</w:t>
                  </w:r>
                </w:p>
              </w:tc>
              <w:tc>
                <w:tcPr>
                  <w:tcW w:w="703" w:type="dxa"/>
                  <w:vAlign w:val="center"/>
                </w:tcPr>
                <w:p w14:paraId="474D3ED4">
                  <w:pPr>
                    <w:jc w:val="center"/>
                    <w:rPr>
                      <w:szCs w:val="21"/>
                    </w:rPr>
                  </w:pPr>
                  <w:r>
                    <w:rPr>
                      <w:rFonts w:hint="eastAsia"/>
                      <w:szCs w:val="21"/>
                    </w:rPr>
                    <w:t>60</w:t>
                  </w:r>
                </w:p>
              </w:tc>
            </w:tr>
            <w:tr w14:paraId="6FCF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Merge w:val="continue"/>
                  <w:vAlign w:val="center"/>
                </w:tcPr>
                <w:p w14:paraId="5B90D644">
                  <w:pPr>
                    <w:jc w:val="center"/>
                    <w:rPr>
                      <w:szCs w:val="21"/>
                    </w:rPr>
                  </w:pPr>
                </w:p>
              </w:tc>
              <w:tc>
                <w:tcPr>
                  <w:tcW w:w="839" w:type="dxa"/>
                  <w:vMerge w:val="continue"/>
                  <w:vAlign w:val="center"/>
                </w:tcPr>
                <w:p w14:paraId="5E78E636">
                  <w:pPr>
                    <w:jc w:val="center"/>
                    <w:rPr>
                      <w:szCs w:val="21"/>
                    </w:rPr>
                  </w:pPr>
                </w:p>
              </w:tc>
              <w:tc>
                <w:tcPr>
                  <w:tcW w:w="993" w:type="dxa"/>
                  <w:vMerge w:val="continue"/>
                  <w:vAlign w:val="center"/>
                </w:tcPr>
                <w:p w14:paraId="5F249AF4">
                  <w:pPr>
                    <w:jc w:val="center"/>
                    <w:rPr>
                      <w:szCs w:val="21"/>
                    </w:rPr>
                  </w:pPr>
                </w:p>
              </w:tc>
              <w:tc>
                <w:tcPr>
                  <w:tcW w:w="1275" w:type="dxa"/>
                  <w:vAlign w:val="center"/>
                </w:tcPr>
                <w:p w14:paraId="1A596DB7">
                  <w:pPr>
                    <w:jc w:val="center"/>
                    <w:rPr>
                      <w:szCs w:val="21"/>
                    </w:rPr>
                  </w:pPr>
                  <w:r>
                    <w:rPr>
                      <w:rFonts w:hint="eastAsia"/>
                      <w:szCs w:val="21"/>
                    </w:rPr>
                    <w:t>排放速率（kg/h）</w:t>
                  </w:r>
                </w:p>
              </w:tc>
              <w:tc>
                <w:tcPr>
                  <w:tcW w:w="1070" w:type="dxa"/>
                  <w:vAlign w:val="center"/>
                </w:tcPr>
                <w:p w14:paraId="73D2CE9C">
                  <w:pPr>
                    <w:jc w:val="center"/>
                    <w:rPr>
                      <w:szCs w:val="21"/>
                    </w:rPr>
                  </w:pPr>
                  <w:r>
                    <w:rPr>
                      <w:rFonts w:hint="eastAsia"/>
                      <w:szCs w:val="21"/>
                    </w:rPr>
                    <w:t>0.048</w:t>
                  </w:r>
                </w:p>
              </w:tc>
              <w:tc>
                <w:tcPr>
                  <w:tcW w:w="1071" w:type="dxa"/>
                  <w:vAlign w:val="center"/>
                </w:tcPr>
                <w:p w14:paraId="794D1B4C">
                  <w:pPr>
                    <w:jc w:val="center"/>
                    <w:rPr>
                      <w:szCs w:val="21"/>
                    </w:rPr>
                  </w:pPr>
                  <w:r>
                    <w:rPr>
                      <w:rFonts w:hint="eastAsia"/>
                      <w:szCs w:val="21"/>
                    </w:rPr>
                    <w:t>0.044</w:t>
                  </w:r>
                </w:p>
              </w:tc>
              <w:tc>
                <w:tcPr>
                  <w:tcW w:w="1071" w:type="dxa"/>
                  <w:vAlign w:val="center"/>
                </w:tcPr>
                <w:p w14:paraId="1E1D30B7">
                  <w:pPr>
                    <w:jc w:val="center"/>
                    <w:rPr>
                      <w:szCs w:val="21"/>
                    </w:rPr>
                  </w:pPr>
                  <w:r>
                    <w:rPr>
                      <w:rFonts w:hint="eastAsia"/>
                      <w:szCs w:val="21"/>
                    </w:rPr>
                    <w:t>0.047</w:t>
                  </w:r>
                </w:p>
              </w:tc>
              <w:tc>
                <w:tcPr>
                  <w:tcW w:w="1071" w:type="dxa"/>
                  <w:vAlign w:val="center"/>
                </w:tcPr>
                <w:p w14:paraId="60E2AAEE">
                  <w:pPr>
                    <w:jc w:val="center"/>
                    <w:rPr>
                      <w:szCs w:val="21"/>
                    </w:rPr>
                  </w:pPr>
                  <w:r>
                    <w:rPr>
                      <w:rFonts w:hint="eastAsia"/>
                      <w:szCs w:val="21"/>
                    </w:rPr>
                    <w:t>0.046</w:t>
                  </w:r>
                </w:p>
              </w:tc>
              <w:tc>
                <w:tcPr>
                  <w:tcW w:w="703" w:type="dxa"/>
                  <w:vAlign w:val="center"/>
                </w:tcPr>
                <w:p w14:paraId="72C44D1E">
                  <w:pPr>
                    <w:jc w:val="center"/>
                    <w:rPr>
                      <w:szCs w:val="21"/>
                    </w:rPr>
                  </w:pPr>
                  <w:r>
                    <w:rPr>
                      <w:rFonts w:hint="eastAsia"/>
                      <w:szCs w:val="21"/>
                    </w:rPr>
                    <w:t>3.4</w:t>
                  </w:r>
                </w:p>
              </w:tc>
            </w:tr>
          </w:tbl>
          <w:p w14:paraId="1D3AE7B2">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有组织废气监测结果（3）</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829"/>
              <w:gridCol w:w="1429"/>
              <w:gridCol w:w="857"/>
              <w:gridCol w:w="858"/>
              <w:gridCol w:w="858"/>
              <w:gridCol w:w="857"/>
              <w:gridCol w:w="858"/>
              <w:gridCol w:w="858"/>
              <w:gridCol w:w="690"/>
            </w:tblGrid>
            <w:tr w14:paraId="454D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restart"/>
                  <w:vAlign w:val="center"/>
                </w:tcPr>
                <w:p w14:paraId="67BFFF50">
                  <w:pPr>
                    <w:jc w:val="center"/>
                    <w:rPr>
                      <w:szCs w:val="21"/>
                    </w:rPr>
                  </w:pPr>
                  <w:r>
                    <w:rPr>
                      <w:rFonts w:hint="eastAsia"/>
                      <w:szCs w:val="21"/>
                    </w:rPr>
                    <w:t>监测点位</w:t>
                  </w:r>
                </w:p>
              </w:tc>
              <w:tc>
                <w:tcPr>
                  <w:tcW w:w="829" w:type="dxa"/>
                  <w:vMerge w:val="restart"/>
                  <w:vAlign w:val="center"/>
                </w:tcPr>
                <w:p w14:paraId="4BB27C26">
                  <w:pPr>
                    <w:jc w:val="center"/>
                    <w:rPr>
                      <w:szCs w:val="21"/>
                    </w:rPr>
                  </w:pPr>
                  <w:r>
                    <w:rPr>
                      <w:rFonts w:hint="eastAsia"/>
                      <w:szCs w:val="21"/>
                    </w:rPr>
                    <w:t>监测</w:t>
                  </w:r>
                </w:p>
                <w:p w14:paraId="1951A0B6">
                  <w:pPr>
                    <w:jc w:val="center"/>
                    <w:rPr>
                      <w:szCs w:val="21"/>
                    </w:rPr>
                  </w:pPr>
                  <w:r>
                    <w:rPr>
                      <w:rFonts w:hint="eastAsia"/>
                      <w:szCs w:val="21"/>
                    </w:rPr>
                    <w:t>日期</w:t>
                  </w:r>
                </w:p>
              </w:tc>
              <w:tc>
                <w:tcPr>
                  <w:tcW w:w="1429" w:type="dxa"/>
                  <w:vMerge w:val="restart"/>
                  <w:vAlign w:val="center"/>
                </w:tcPr>
                <w:p w14:paraId="6B8F36F6">
                  <w:pPr>
                    <w:jc w:val="center"/>
                    <w:rPr>
                      <w:szCs w:val="21"/>
                    </w:rPr>
                  </w:pPr>
                  <w:r>
                    <w:rPr>
                      <w:rFonts w:hint="eastAsia"/>
                      <w:szCs w:val="21"/>
                    </w:rPr>
                    <w:t>监测项目</w:t>
                  </w:r>
                </w:p>
              </w:tc>
              <w:tc>
                <w:tcPr>
                  <w:tcW w:w="5146" w:type="dxa"/>
                  <w:gridSpan w:val="6"/>
                  <w:vAlign w:val="center"/>
                </w:tcPr>
                <w:p w14:paraId="703C7B31">
                  <w:pPr>
                    <w:jc w:val="center"/>
                    <w:rPr>
                      <w:szCs w:val="21"/>
                    </w:rPr>
                  </w:pPr>
                  <w:r>
                    <w:rPr>
                      <w:rFonts w:hint="eastAsia"/>
                      <w:szCs w:val="21"/>
                    </w:rPr>
                    <w:t>监测结果</w:t>
                  </w:r>
                </w:p>
              </w:tc>
              <w:tc>
                <w:tcPr>
                  <w:tcW w:w="690" w:type="dxa"/>
                  <w:vMerge w:val="restart"/>
                  <w:vAlign w:val="center"/>
                </w:tcPr>
                <w:p w14:paraId="5B4F0282">
                  <w:pPr>
                    <w:jc w:val="center"/>
                    <w:rPr>
                      <w:szCs w:val="21"/>
                    </w:rPr>
                  </w:pPr>
                  <w:r>
                    <w:rPr>
                      <w:rFonts w:hint="eastAsia"/>
                      <w:szCs w:val="21"/>
                    </w:rPr>
                    <w:t>标准</w:t>
                  </w:r>
                </w:p>
                <w:p w14:paraId="01200AE0">
                  <w:pPr>
                    <w:jc w:val="center"/>
                    <w:rPr>
                      <w:szCs w:val="21"/>
                    </w:rPr>
                  </w:pPr>
                  <w:r>
                    <w:rPr>
                      <w:rFonts w:hint="eastAsia"/>
                      <w:szCs w:val="21"/>
                    </w:rPr>
                    <w:t>限值</w:t>
                  </w:r>
                </w:p>
              </w:tc>
            </w:tr>
            <w:tr w14:paraId="17D5A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5667C458">
                  <w:pPr>
                    <w:jc w:val="center"/>
                    <w:rPr>
                      <w:szCs w:val="21"/>
                    </w:rPr>
                  </w:pPr>
                </w:p>
              </w:tc>
              <w:tc>
                <w:tcPr>
                  <w:tcW w:w="829" w:type="dxa"/>
                  <w:vMerge w:val="continue"/>
                  <w:vAlign w:val="center"/>
                </w:tcPr>
                <w:p w14:paraId="65E44F0A">
                  <w:pPr>
                    <w:jc w:val="center"/>
                    <w:rPr>
                      <w:szCs w:val="21"/>
                    </w:rPr>
                  </w:pPr>
                </w:p>
              </w:tc>
              <w:tc>
                <w:tcPr>
                  <w:tcW w:w="1429" w:type="dxa"/>
                  <w:vMerge w:val="continue"/>
                  <w:vAlign w:val="center"/>
                </w:tcPr>
                <w:p w14:paraId="02B92221">
                  <w:pPr>
                    <w:jc w:val="center"/>
                    <w:rPr>
                      <w:szCs w:val="21"/>
                    </w:rPr>
                  </w:pPr>
                </w:p>
              </w:tc>
              <w:tc>
                <w:tcPr>
                  <w:tcW w:w="857" w:type="dxa"/>
                  <w:vAlign w:val="center"/>
                </w:tcPr>
                <w:p w14:paraId="135F0A42">
                  <w:pPr>
                    <w:jc w:val="center"/>
                    <w:rPr>
                      <w:szCs w:val="21"/>
                    </w:rPr>
                  </w:pPr>
                  <w:r>
                    <w:rPr>
                      <w:rFonts w:hint="eastAsia"/>
                      <w:szCs w:val="21"/>
                    </w:rPr>
                    <w:t>第一次</w:t>
                  </w:r>
                </w:p>
              </w:tc>
              <w:tc>
                <w:tcPr>
                  <w:tcW w:w="858" w:type="dxa"/>
                  <w:vAlign w:val="center"/>
                </w:tcPr>
                <w:p w14:paraId="40193748">
                  <w:pPr>
                    <w:jc w:val="center"/>
                    <w:rPr>
                      <w:szCs w:val="21"/>
                    </w:rPr>
                  </w:pPr>
                  <w:r>
                    <w:rPr>
                      <w:rFonts w:hint="eastAsia"/>
                      <w:szCs w:val="21"/>
                    </w:rPr>
                    <w:t>第二次</w:t>
                  </w:r>
                </w:p>
              </w:tc>
              <w:tc>
                <w:tcPr>
                  <w:tcW w:w="858" w:type="dxa"/>
                  <w:vAlign w:val="center"/>
                </w:tcPr>
                <w:p w14:paraId="7DC5F2C3">
                  <w:pPr>
                    <w:jc w:val="center"/>
                    <w:rPr>
                      <w:szCs w:val="21"/>
                    </w:rPr>
                  </w:pPr>
                  <w:r>
                    <w:rPr>
                      <w:rFonts w:hint="eastAsia"/>
                      <w:szCs w:val="21"/>
                    </w:rPr>
                    <w:t>第三次</w:t>
                  </w:r>
                </w:p>
              </w:tc>
              <w:tc>
                <w:tcPr>
                  <w:tcW w:w="857" w:type="dxa"/>
                  <w:vAlign w:val="center"/>
                </w:tcPr>
                <w:p w14:paraId="2DFF18A1">
                  <w:pPr>
                    <w:jc w:val="center"/>
                    <w:rPr>
                      <w:szCs w:val="21"/>
                    </w:rPr>
                  </w:pPr>
                  <w:r>
                    <w:rPr>
                      <w:rFonts w:hint="eastAsia"/>
                      <w:szCs w:val="21"/>
                    </w:rPr>
                    <w:t>第四次</w:t>
                  </w:r>
                </w:p>
              </w:tc>
              <w:tc>
                <w:tcPr>
                  <w:tcW w:w="858" w:type="dxa"/>
                  <w:vAlign w:val="center"/>
                </w:tcPr>
                <w:p w14:paraId="226AA391">
                  <w:pPr>
                    <w:jc w:val="center"/>
                    <w:rPr>
                      <w:szCs w:val="21"/>
                    </w:rPr>
                  </w:pPr>
                  <w:r>
                    <w:rPr>
                      <w:rFonts w:hint="eastAsia"/>
                      <w:szCs w:val="21"/>
                    </w:rPr>
                    <w:t>第五次</w:t>
                  </w:r>
                </w:p>
              </w:tc>
              <w:tc>
                <w:tcPr>
                  <w:tcW w:w="858" w:type="dxa"/>
                  <w:vAlign w:val="center"/>
                </w:tcPr>
                <w:p w14:paraId="7011C66B">
                  <w:pPr>
                    <w:jc w:val="center"/>
                    <w:rPr>
                      <w:szCs w:val="21"/>
                    </w:rPr>
                  </w:pPr>
                  <w:r>
                    <w:rPr>
                      <w:rFonts w:hint="eastAsia"/>
                      <w:szCs w:val="21"/>
                    </w:rPr>
                    <w:t>平均值</w:t>
                  </w:r>
                </w:p>
              </w:tc>
              <w:tc>
                <w:tcPr>
                  <w:tcW w:w="690" w:type="dxa"/>
                  <w:vMerge w:val="continue"/>
                  <w:vAlign w:val="center"/>
                </w:tcPr>
                <w:p w14:paraId="74F5E16B">
                  <w:pPr>
                    <w:jc w:val="center"/>
                    <w:rPr>
                      <w:szCs w:val="21"/>
                    </w:rPr>
                  </w:pPr>
                </w:p>
              </w:tc>
            </w:tr>
            <w:tr w14:paraId="0DC0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restart"/>
                  <w:vAlign w:val="center"/>
                </w:tcPr>
                <w:p w14:paraId="12544427">
                  <w:pPr>
                    <w:jc w:val="center"/>
                    <w:rPr>
                      <w:szCs w:val="21"/>
                    </w:rPr>
                  </w:pPr>
                  <w:r>
                    <w:rPr>
                      <w:rFonts w:hint="eastAsia"/>
                      <w:szCs w:val="21"/>
                    </w:rPr>
                    <w:t>DA004</w:t>
                  </w:r>
                </w:p>
              </w:tc>
              <w:tc>
                <w:tcPr>
                  <w:tcW w:w="829" w:type="dxa"/>
                  <w:vMerge w:val="restart"/>
                  <w:vAlign w:val="center"/>
                </w:tcPr>
                <w:p w14:paraId="2851BFA8">
                  <w:pPr>
                    <w:jc w:val="center"/>
                    <w:rPr>
                      <w:szCs w:val="21"/>
                    </w:rPr>
                  </w:pPr>
                  <w:r>
                    <w:rPr>
                      <w:rFonts w:hint="eastAsia"/>
                      <w:szCs w:val="21"/>
                    </w:rPr>
                    <w:t>2024</w:t>
                  </w:r>
                </w:p>
                <w:p w14:paraId="45C74D81">
                  <w:pPr>
                    <w:jc w:val="center"/>
                    <w:rPr>
                      <w:szCs w:val="21"/>
                    </w:rPr>
                  </w:pPr>
                  <w:r>
                    <w:rPr>
                      <w:rFonts w:hint="eastAsia"/>
                      <w:szCs w:val="21"/>
                    </w:rPr>
                    <w:t>0801</w:t>
                  </w:r>
                </w:p>
              </w:tc>
              <w:tc>
                <w:tcPr>
                  <w:tcW w:w="1429" w:type="dxa"/>
                  <w:vAlign w:val="center"/>
                </w:tcPr>
                <w:p w14:paraId="09F536B1">
                  <w:pPr>
                    <w:jc w:val="center"/>
                    <w:rPr>
                      <w:szCs w:val="21"/>
                    </w:rPr>
                  </w:pPr>
                  <w:r>
                    <w:rPr>
                      <w:rFonts w:hint="eastAsia"/>
                      <w:szCs w:val="21"/>
                    </w:rPr>
                    <w:t>排气流量</w:t>
                  </w:r>
                  <w:r>
                    <w:rPr>
                      <w:rFonts w:hint="eastAsia"/>
                    </w:rPr>
                    <w:t>（</w:t>
                  </w:r>
                  <w:r>
                    <w:t>m</w:t>
                  </w:r>
                  <w:r>
                    <w:rPr>
                      <w:vertAlign w:val="superscript"/>
                    </w:rPr>
                    <w:t>3</w:t>
                  </w:r>
                  <w:r>
                    <w:t>/h</w:t>
                  </w:r>
                  <w:r>
                    <w:rPr>
                      <w:rFonts w:hint="eastAsia"/>
                    </w:rPr>
                    <w:t>）</w:t>
                  </w:r>
                </w:p>
              </w:tc>
              <w:tc>
                <w:tcPr>
                  <w:tcW w:w="857" w:type="dxa"/>
                  <w:vAlign w:val="center"/>
                </w:tcPr>
                <w:p w14:paraId="71314413">
                  <w:pPr>
                    <w:jc w:val="center"/>
                    <w:rPr>
                      <w:szCs w:val="21"/>
                    </w:rPr>
                  </w:pPr>
                  <w:r>
                    <w:rPr>
                      <w:rFonts w:hint="eastAsia"/>
                      <w:szCs w:val="21"/>
                    </w:rPr>
                    <w:t>2754</w:t>
                  </w:r>
                </w:p>
              </w:tc>
              <w:tc>
                <w:tcPr>
                  <w:tcW w:w="858" w:type="dxa"/>
                  <w:vAlign w:val="center"/>
                </w:tcPr>
                <w:p w14:paraId="0A0D925A">
                  <w:pPr>
                    <w:jc w:val="center"/>
                    <w:rPr>
                      <w:szCs w:val="21"/>
                    </w:rPr>
                  </w:pPr>
                  <w:r>
                    <w:rPr>
                      <w:rFonts w:hint="eastAsia"/>
                      <w:szCs w:val="21"/>
                    </w:rPr>
                    <w:t>2689</w:t>
                  </w:r>
                </w:p>
              </w:tc>
              <w:tc>
                <w:tcPr>
                  <w:tcW w:w="858" w:type="dxa"/>
                  <w:vAlign w:val="center"/>
                </w:tcPr>
                <w:p w14:paraId="45B44D81">
                  <w:pPr>
                    <w:jc w:val="center"/>
                    <w:rPr>
                      <w:szCs w:val="21"/>
                    </w:rPr>
                  </w:pPr>
                  <w:r>
                    <w:rPr>
                      <w:rFonts w:hint="eastAsia"/>
                      <w:szCs w:val="21"/>
                    </w:rPr>
                    <w:t>2722</w:t>
                  </w:r>
                </w:p>
              </w:tc>
              <w:tc>
                <w:tcPr>
                  <w:tcW w:w="857" w:type="dxa"/>
                  <w:vAlign w:val="center"/>
                </w:tcPr>
                <w:p w14:paraId="310E1A4B">
                  <w:pPr>
                    <w:jc w:val="center"/>
                    <w:rPr>
                      <w:szCs w:val="21"/>
                    </w:rPr>
                  </w:pPr>
                  <w:r>
                    <w:rPr>
                      <w:rFonts w:hint="eastAsia"/>
                      <w:szCs w:val="21"/>
                    </w:rPr>
                    <w:t>2527</w:t>
                  </w:r>
                </w:p>
              </w:tc>
              <w:tc>
                <w:tcPr>
                  <w:tcW w:w="858" w:type="dxa"/>
                  <w:vAlign w:val="center"/>
                </w:tcPr>
                <w:p w14:paraId="05136D37">
                  <w:pPr>
                    <w:jc w:val="center"/>
                    <w:rPr>
                      <w:szCs w:val="21"/>
                    </w:rPr>
                  </w:pPr>
                  <w:r>
                    <w:rPr>
                      <w:rFonts w:hint="eastAsia"/>
                      <w:szCs w:val="21"/>
                    </w:rPr>
                    <w:t>2560</w:t>
                  </w:r>
                </w:p>
              </w:tc>
              <w:tc>
                <w:tcPr>
                  <w:tcW w:w="858" w:type="dxa"/>
                  <w:vAlign w:val="center"/>
                </w:tcPr>
                <w:p w14:paraId="429B6673">
                  <w:pPr>
                    <w:jc w:val="center"/>
                    <w:rPr>
                      <w:szCs w:val="21"/>
                    </w:rPr>
                  </w:pPr>
                  <w:r>
                    <w:rPr>
                      <w:rFonts w:hint="eastAsia"/>
                      <w:szCs w:val="21"/>
                    </w:rPr>
                    <w:t>2650</w:t>
                  </w:r>
                </w:p>
              </w:tc>
              <w:tc>
                <w:tcPr>
                  <w:tcW w:w="690" w:type="dxa"/>
                  <w:vAlign w:val="center"/>
                </w:tcPr>
                <w:p w14:paraId="5EB62BEF">
                  <w:pPr>
                    <w:jc w:val="center"/>
                    <w:rPr>
                      <w:szCs w:val="21"/>
                    </w:rPr>
                  </w:pPr>
                  <w:r>
                    <w:rPr>
                      <w:rFonts w:hint="eastAsia"/>
                      <w:szCs w:val="21"/>
                    </w:rPr>
                    <w:t>/</w:t>
                  </w:r>
                </w:p>
              </w:tc>
            </w:tr>
            <w:tr w14:paraId="5EF2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459C16B5">
                  <w:pPr>
                    <w:jc w:val="center"/>
                    <w:rPr>
                      <w:szCs w:val="21"/>
                    </w:rPr>
                  </w:pPr>
                </w:p>
              </w:tc>
              <w:tc>
                <w:tcPr>
                  <w:tcW w:w="829" w:type="dxa"/>
                  <w:vMerge w:val="continue"/>
                  <w:vAlign w:val="center"/>
                </w:tcPr>
                <w:p w14:paraId="101FF8CC">
                  <w:pPr>
                    <w:jc w:val="center"/>
                    <w:rPr>
                      <w:szCs w:val="21"/>
                    </w:rPr>
                  </w:pPr>
                </w:p>
              </w:tc>
              <w:tc>
                <w:tcPr>
                  <w:tcW w:w="1429" w:type="dxa"/>
                  <w:vAlign w:val="center"/>
                </w:tcPr>
                <w:p w14:paraId="359851D3">
                  <w:pPr>
                    <w:jc w:val="center"/>
                    <w:rPr>
                      <w:szCs w:val="21"/>
                    </w:rPr>
                  </w:pPr>
                  <w:r>
                    <w:rPr>
                      <w:rFonts w:hint="eastAsia"/>
                      <w:szCs w:val="21"/>
                    </w:rPr>
                    <w:t>基准灶头数</w:t>
                  </w:r>
                </w:p>
              </w:tc>
              <w:tc>
                <w:tcPr>
                  <w:tcW w:w="5146" w:type="dxa"/>
                  <w:gridSpan w:val="6"/>
                  <w:vAlign w:val="center"/>
                </w:tcPr>
                <w:p w14:paraId="2C7BFB3A">
                  <w:pPr>
                    <w:jc w:val="center"/>
                    <w:rPr>
                      <w:szCs w:val="21"/>
                    </w:rPr>
                  </w:pPr>
                  <w:r>
                    <w:rPr>
                      <w:rFonts w:hint="eastAsia"/>
                      <w:szCs w:val="21"/>
                    </w:rPr>
                    <w:t>3.3个</w:t>
                  </w:r>
                </w:p>
              </w:tc>
              <w:tc>
                <w:tcPr>
                  <w:tcW w:w="690" w:type="dxa"/>
                  <w:vAlign w:val="center"/>
                </w:tcPr>
                <w:p w14:paraId="2B61B890">
                  <w:pPr>
                    <w:jc w:val="center"/>
                    <w:rPr>
                      <w:szCs w:val="21"/>
                    </w:rPr>
                  </w:pPr>
                  <w:r>
                    <w:rPr>
                      <w:rFonts w:hint="eastAsia"/>
                      <w:szCs w:val="21"/>
                    </w:rPr>
                    <w:t>/</w:t>
                  </w:r>
                </w:p>
              </w:tc>
            </w:tr>
            <w:tr w14:paraId="754C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30403811">
                  <w:pPr>
                    <w:jc w:val="center"/>
                    <w:rPr>
                      <w:szCs w:val="21"/>
                    </w:rPr>
                  </w:pPr>
                </w:p>
              </w:tc>
              <w:tc>
                <w:tcPr>
                  <w:tcW w:w="829" w:type="dxa"/>
                  <w:vMerge w:val="continue"/>
                  <w:vAlign w:val="center"/>
                </w:tcPr>
                <w:p w14:paraId="2AB3A930">
                  <w:pPr>
                    <w:jc w:val="center"/>
                    <w:rPr>
                      <w:szCs w:val="21"/>
                    </w:rPr>
                  </w:pPr>
                </w:p>
              </w:tc>
              <w:tc>
                <w:tcPr>
                  <w:tcW w:w="1429" w:type="dxa"/>
                  <w:vAlign w:val="center"/>
                </w:tcPr>
                <w:p w14:paraId="496E5514">
                  <w:pPr>
                    <w:jc w:val="center"/>
                    <w:rPr>
                      <w:szCs w:val="21"/>
                    </w:rPr>
                  </w:pPr>
                  <w:r>
                    <w:rPr>
                      <w:rFonts w:hint="eastAsia"/>
                      <w:szCs w:val="21"/>
                    </w:rPr>
                    <w:t>油烟排放浓度（mg/m</w:t>
                  </w:r>
                  <w:r>
                    <w:rPr>
                      <w:rFonts w:hint="eastAsia"/>
                      <w:szCs w:val="21"/>
                      <w:vertAlign w:val="superscript"/>
                    </w:rPr>
                    <w:t>3</w:t>
                  </w:r>
                  <w:r>
                    <w:rPr>
                      <w:rFonts w:hint="eastAsia"/>
                      <w:szCs w:val="21"/>
                    </w:rPr>
                    <w:t>）</w:t>
                  </w:r>
                </w:p>
              </w:tc>
              <w:tc>
                <w:tcPr>
                  <w:tcW w:w="857" w:type="dxa"/>
                  <w:vAlign w:val="center"/>
                </w:tcPr>
                <w:p w14:paraId="28C2B469">
                  <w:pPr>
                    <w:jc w:val="center"/>
                    <w:rPr>
                      <w:szCs w:val="21"/>
                    </w:rPr>
                  </w:pPr>
                  <w:r>
                    <w:rPr>
                      <w:rFonts w:hint="eastAsia"/>
                      <w:szCs w:val="21"/>
                    </w:rPr>
                    <w:t>1.4</w:t>
                  </w:r>
                </w:p>
              </w:tc>
              <w:tc>
                <w:tcPr>
                  <w:tcW w:w="858" w:type="dxa"/>
                  <w:vAlign w:val="center"/>
                </w:tcPr>
                <w:p w14:paraId="508FF94F">
                  <w:pPr>
                    <w:jc w:val="center"/>
                    <w:rPr>
                      <w:szCs w:val="21"/>
                    </w:rPr>
                  </w:pPr>
                  <w:r>
                    <w:rPr>
                      <w:rFonts w:hint="eastAsia"/>
                      <w:szCs w:val="21"/>
                    </w:rPr>
                    <w:t>1.4</w:t>
                  </w:r>
                </w:p>
              </w:tc>
              <w:tc>
                <w:tcPr>
                  <w:tcW w:w="858" w:type="dxa"/>
                  <w:vAlign w:val="center"/>
                </w:tcPr>
                <w:p w14:paraId="62AB8DFF">
                  <w:pPr>
                    <w:jc w:val="center"/>
                    <w:rPr>
                      <w:szCs w:val="21"/>
                    </w:rPr>
                  </w:pPr>
                  <w:r>
                    <w:rPr>
                      <w:rFonts w:hint="eastAsia"/>
                      <w:szCs w:val="21"/>
                    </w:rPr>
                    <w:t>1.2</w:t>
                  </w:r>
                </w:p>
              </w:tc>
              <w:tc>
                <w:tcPr>
                  <w:tcW w:w="857" w:type="dxa"/>
                  <w:vAlign w:val="center"/>
                </w:tcPr>
                <w:p w14:paraId="6A735071">
                  <w:pPr>
                    <w:jc w:val="center"/>
                    <w:rPr>
                      <w:szCs w:val="21"/>
                    </w:rPr>
                  </w:pPr>
                  <w:r>
                    <w:rPr>
                      <w:rFonts w:hint="eastAsia"/>
                      <w:szCs w:val="21"/>
                    </w:rPr>
                    <w:t>1.4</w:t>
                  </w:r>
                </w:p>
              </w:tc>
              <w:tc>
                <w:tcPr>
                  <w:tcW w:w="858" w:type="dxa"/>
                  <w:vAlign w:val="center"/>
                </w:tcPr>
                <w:p w14:paraId="3E5C2B62">
                  <w:pPr>
                    <w:jc w:val="center"/>
                    <w:rPr>
                      <w:szCs w:val="21"/>
                    </w:rPr>
                  </w:pPr>
                  <w:r>
                    <w:rPr>
                      <w:rFonts w:hint="eastAsia"/>
                      <w:szCs w:val="21"/>
                    </w:rPr>
                    <w:t>1.2</w:t>
                  </w:r>
                </w:p>
              </w:tc>
              <w:tc>
                <w:tcPr>
                  <w:tcW w:w="858" w:type="dxa"/>
                  <w:vAlign w:val="center"/>
                </w:tcPr>
                <w:p w14:paraId="70F926B7">
                  <w:pPr>
                    <w:jc w:val="center"/>
                    <w:rPr>
                      <w:szCs w:val="21"/>
                    </w:rPr>
                  </w:pPr>
                  <w:r>
                    <w:rPr>
                      <w:rFonts w:hint="eastAsia"/>
                      <w:szCs w:val="21"/>
                    </w:rPr>
                    <w:t>1.3</w:t>
                  </w:r>
                </w:p>
              </w:tc>
              <w:tc>
                <w:tcPr>
                  <w:tcW w:w="690" w:type="dxa"/>
                  <w:vAlign w:val="center"/>
                </w:tcPr>
                <w:p w14:paraId="214F2BB3">
                  <w:pPr>
                    <w:jc w:val="center"/>
                    <w:rPr>
                      <w:szCs w:val="21"/>
                    </w:rPr>
                  </w:pPr>
                  <w:r>
                    <w:rPr>
                      <w:rFonts w:hint="eastAsia"/>
                      <w:szCs w:val="21"/>
                    </w:rPr>
                    <w:t>/</w:t>
                  </w:r>
                </w:p>
              </w:tc>
            </w:tr>
            <w:tr w14:paraId="40C9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7248B312">
                  <w:pPr>
                    <w:jc w:val="center"/>
                    <w:rPr>
                      <w:szCs w:val="21"/>
                    </w:rPr>
                  </w:pPr>
                </w:p>
              </w:tc>
              <w:tc>
                <w:tcPr>
                  <w:tcW w:w="829" w:type="dxa"/>
                  <w:vMerge w:val="continue"/>
                  <w:vAlign w:val="center"/>
                </w:tcPr>
                <w:p w14:paraId="6A0AA6DB">
                  <w:pPr>
                    <w:jc w:val="center"/>
                    <w:rPr>
                      <w:szCs w:val="21"/>
                    </w:rPr>
                  </w:pPr>
                </w:p>
              </w:tc>
              <w:tc>
                <w:tcPr>
                  <w:tcW w:w="1429" w:type="dxa"/>
                  <w:vAlign w:val="center"/>
                </w:tcPr>
                <w:p w14:paraId="35B0205C">
                  <w:pPr>
                    <w:jc w:val="center"/>
                    <w:rPr>
                      <w:szCs w:val="21"/>
                    </w:rPr>
                  </w:pPr>
                  <w:r>
                    <w:rPr>
                      <w:rFonts w:hint="eastAsia"/>
                      <w:szCs w:val="21"/>
                    </w:rPr>
                    <w:t>油烟折算浓度（mg/m</w:t>
                  </w:r>
                  <w:r>
                    <w:rPr>
                      <w:rFonts w:hint="eastAsia"/>
                      <w:szCs w:val="21"/>
                      <w:vertAlign w:val="superscript"/>
                    </w:rPr>
                    <w:t>3</w:t>
                  </w:r>
                  <w:r>
                    <w:rPr>
                      <w:rFonts w:hint="eastAsia"/>
                      <w:szCs w:val="21"/>
                    </w:rPr>
                    <w:t>）</w:t>
                  </w:r>
                </w:p>
              </w:tc>
              <w:tc>
                <w:tcPr>
                  <w:tcW w:w="857" w:type="dxa"/>
                  <w:vAlign w:val="center"/>
                </w:tcPr>
                <w:p w14:paraId="40D64C7A">
                  <w:pPr>
                    <w:jc w:val="center"/>
                    <w:rPr>
                      <w:szCs w:val="21"/>
                    </w:rPr>
                  </w:pPr>
                  <w:r>
                    <w:rPr>
                      <w:rFonts w:hint="eastAsia"/>
                      <w:szCs w:val="21"/>
                    </w:rPr>
                    <w:t>0.6</w:t>
                  </w:r>
                </w:p>
              </w:tc>
              <w:tc>
                <w:tcPr>
                  <w:tcW w:w="858" w:type="dxa"/>
                  <w:vAlign w:val="center"/>
                </w:tcPr>
                <w:p w14:paraId="7840C31A">
                  <w:pPr>
                    <w:jc w:val="center"/>
                    <w:rPr>
                      <w:szCs w:val="21"/>
                    </w:rPr>
                  </w:pPr>
                  <w:r>
                    <w:rPr>
                      <w:rFonts w:hint="eastAsia"/>
                      <w:szCs w:val="21"/>
                    </w:rPr>
                    <w:t>0.6</w:t>
                  </w:r>
                </w:p>
              </w:tc>
              <w:tc>
                <w:tcPr>
                  <w:tcW w:w="858" w:type="dxa"/>
                  <w:vAlign w:val="center"/>
                </w:tcPr>
                <w:p w14:paraId="34C3AC43">
                  <w:pPr>
                    <w:jc w:val="center"/>
                    <w:rPr>
                      <w:szCs w:val="21"/>
                    </w:rPr>
                  </w:pPr>
                  <w:r>
                    <w:rPr>
                      <w:rFonts w:hint="eastAsia"/>
                      <w:szCs w:val="21"/>
                    </w:rPr>
                    <w:t>0.5</w:t>
                  </w:r>
                </w:p>
              </w:tc>
              <w:tc>
                <w:tcPr>
                  <w:tcW w:w="857" w:type="dxa"/>
                  <w:vAlign w:val="center"/>
                </w:tcPr>
                <w:p w14:paraId="51B46559">
                  <w:pPr>
                    <w:jc w:val="center"/>
                    <w:rPr>
                      <w:szCs w:val="21"/>
                    </w:rPr>
                  </w:pPr>
                  <w:r>
                    <w:rPr>
                      <w:rFonts w:hint="eastAsia"/>
                      <w:szCs w:val="21"/>
                    </w:rPr>
                    <w:t>0.5</w:t>
                  </w:r>
                </w:p>
              </w:tc>
              <w:tc>
                <w:tcPr>
                  <w:tcW w:w="858" w:type="dxa"/>
                  <w:vAlign w:val="center"/>
                </w:tcPr>
                <w:p w14:paraId="6789B407">
                  <w:pPr>
                    <w:jc w:val="center"/>
                    <w:rPr>
                      <w:szCs w:val="21"/>
                    </w:rPr>
                  </w:pPr>
                  <w:r>
                    <w:rPr>
                      <w:rFonts w:hint="eastAsia"/>
                      <w:szCs w:val="21"/>
                    </w:rPr>
                    <w:t>0.5</w:t>
                  </w:r>
                </w:p>
              </w:tc>
              <w:tc>
                <w:tcPr>
                  <w:tcW w:w="858" w:type="dxa"/>
                  <w:vAlign w:val="center"/>
                </w:tcPr>
                <w:p w14:paraId="28CC6CDA">
                  <w:pPr>
                    <w:jc w:val="center"/>
                    <w:rPr>
                      <w:szCs w:val="21"/>
                    </w:rPr>
                  </w:pPr>
                  <w:r>
                    <w:rPr>
                      <w:rFonts w:hint="eastAsia"/>
                      <w:szCs w:val="21"/>
                    </w:rPr>
                    <w:t>0.5</w:t>
                  </w:r>
                </w:p>
              </w:tc>
              <w:tc>
                <w:tcPr>
                  <w:tcW w:w="690" w:type="dxa"/>
                  <w:vAlign w:val="center"/>
                </w:tcPr>
                <w:p w14:paraId="4578A7C9">
                  <w:pPr>
                    <w:jc w:val="center"/>
                    <w:rPr>
                      <w:szCs w:val="21"/>
                    </w:rPr>
                  </w:pPr>
                  <w:r>
                    <w:rPr>
                      <w:rFonts w:hint="eastAsia"/>
                      <w:szCs w:val="21"/>
                    </w:rPr>
                    <w:t>2.0</w:t>
                  </w:r>
                </w:p>
              </w:tc>
            </w:tr>
            <w:tr w14:paraId="703B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4A288A03">
                  <w:pPr>
                    <w:jc w:val="center"/>
                    <w:rPr>
                      <w:szCs w:val="21"/>
                    </w:rPr>
                  </w:pPr>
                </w:p>
              </w:tc>
              <w:tc>
                <w:tcPr>
                  <w:tcW w:w="829" w:type="dxa"/>
                  <w:vMerge w:val="restart"/>
                  <w:vAlign w:val="center"/>
                </w:tcPr>
                <w:p w14:paraId="545AC0E5">
                  <w:pPr>
                    <w:jc w:val="center"/>
                    <w:rPr>
                      <w:szCs w:val="21"/>
                    </w:rPr>
                  </w:pPr>
                  <w:r>
                    <w:rPr>
                      <w:rFonts w:hint="eastAsia"/>
                      <w:szCs w:val="21"/>
                    </w:rPr>
                    <w:t>2024</w:t>
                  </w:r>
                </w:p>
                <w:p w14:paraId="1043621F">
                  <w:pPr>
                    <w:jc w:val="center"/>
                    <w:rPr>
                      <w:szCs w:val="21"/>
                    </w:rPr>
                  </w:pPr>
                  <w:r>
                    <w:rPr>
                      <w:rFonts w:hint="eastAsia"/>
                      <w:szCs w:val="21"/>
                    </w:rPr>
                    <w:t>0802</w:t>
                  </w:r>
                </w:p>
              </w:tc>
              <w:tc>
                <w:tcPr>
                  <w:tcW w:w="1429" w:type="dxa"/>
                  <w:vAlign w:val="center"/>
                </w:tcPr>
                <w:p w14:paraId="0417E840">
                  <w:pPr>
                    <w:jc w:val="center"/>
                    <w:rPr>
                      <w:szCs w:val="21"/>
                    </w:rPr>
                  </w:pPr>
                  <w:r>
                    <w:rPr>
                      <w:rFonts w:hint="eastAsia"/>
                      <w:szCs w:val="21"/>
                    </w:rPr>
                    <w:t>排气流量</w:t>
                  </w:r>
                  <w:r>
                    <w:rPr>
                      <w:rFonts w:hint="eastAsia"/>
                    </w:rPr>
                    <w:t>（</w:t>
                  </w:r>
                  <w:r>
                    <w:t>m</w:t>
                  </w:r>
                  <w:r>
                    <w:rPr>
                      <w:vertAlign w:val="superscript"/>
                    </w:rPr>
                    <w:t>3</w:t>
                  </w:r>
                  <w:r>
                    <w:t>/h</w:t>
                  </w:r>
                  <w:r>
                    <w:rPr>
                      <w:rFonts w:hint="eastAsia"/>
                    </w:rPr>
                    <w:t>）</w:t>
                  </w:r>
                </w:p>
              </w:tc>
              <w:tc>
                <w:tcPr>
                  <w:tcW w:w="857" w:type="dxa"/>
                  <w:vAlign w:val="center"/>
                </w:tcPr>
                <w:p w14:paraId="2435A071">
                  <w:pPr>
                    <w:jc w:val="center"/>
                    <w:rPr>
                      <w:szCs w:val="21"/>
                    </w:rPr>
                  </w:pPr>
                  <w:r>
                    <w:rPr>
                      <w:rFonts w:hint="eastAsia"/>
                      <w:szCs w:val="21"/>
                    </w:rPr>
                    <w:t>2462</w:t>
                  </w:r>
                </w:p>
              </w:tc>
              <w:tc>
                <w:tcPr>
                  <w:tcW w:w="858" w:type="dxa"/>
                  <w:vAlign w:val="center"/>
                </w:tcPr>
                <w:p w14:paraId="3858C394">
                  <w:pPr>
                    <w:jc w:val="center"/>
                    <w:rPr>
                      <w:szCs w:val="21"/>
                    </w:rPr>
                  </w:pPr>
                  <w:r>
                    <w:rPr>
                      <w:rFonts w:hint="eastAsia"/>
                      <w:szCs w:val="21"/>
                    </w:rPr>
                    <w:t>2430</w:t>
                  </w:r>
                </w:p>
              </w:tc>
              <w:tc>
                <w:tcPr>
                  <w:tcW w:w="858" w:type="dxa"/>
                  <w:vAlign w:val="center"/>
                </w:tcPr>
                <w:p w14:paraId="67A3DEDF">
                  <w:pPr>
                    <w:jc w:val="center"/>
                    <w:rPr>
                      <w:szCs w:val="21"/>
                    </w:rPr>
                  </w:pPr>
                  <w:r>
                    <w:rPr>
                      <w:rFonts w:hint="eastAsia"/>
                      <w:szCs w:val="21"/>
                    </w:rPr>
                    <w:t>2398</w:t>
                  </w:r>
                </w:p>
              </w:tc>
              <w:tc>
                <w:tcPr>
                  <w:tcW w:w="857" w:type="dxa"/>
                  <w:vAlign w:val="center"/>
                </w:tcPr>
                <w:p w14:paraId="14AA0169">
                  <w:pPr>
                    <w:jc w:val="center"/>
                    <w:rPr>
                      <w:szCs w:val="21"/>
                    </w:rPr>
                  </w:pPr>
                  <w:r>
                    <w:rPr>
                      <w:rFonts w:hint="eastAsia"/>
                      <w:szCs w:val="21"/>
                    </w:rPr>
                    <w:t>2365</w:t>
                  </w:r>
                </w:p>
              </w:tc>
              <w:tc>
                <w:tcPr>
                  <w:tcW w:w="858" w:type="dxa"/>
                  <w:vAlign w:val="center"/>
                </w:tcPr>
                <w:p w14:paraId="4053C4E8">
                  <w:pPr>
                    <w:jc w:val="center"/>
                    <w:rPr>
                      <w:szCs w:val="21"/>
                    </w:rPr>
                  </w:pPr>
                  <w:r>
                    <w:rPr>
                      <w:rFonts w:hint="eastAsia"/>
                      <w:szCs w:val="21"/>
                    </w:rPr>
                    <w:t>2430</w:t>
                  </w:r>
                </w:p>
              </w:tc>
              <w:tc>
                <w:tcPr>
                  <w:tcW w:w="858" w:type="dxa"/>
                  <w:vAlign w:val="center"/>
                </w:tcPr>
                <w:p w14:paraId="68B5BE56">
                  <w:pPr>
                    <w:jc w:val="center"/>
                    <w:rPr>
                      <w:szCs w:val="21"/>
                    </w:rPr>
                  </w:pPr>
                  <w:r>
                    <w:rPr>
                      <w:rFonts w:hint="eastAsia"/>
                      <w:szCs w:val="21"/>
                    </w:rPr>
                    <w:t>2417</w:t>
                  </w:r>
                </w:p>
              </w:tc>
              <w:tc>
                <w:tcPr>
                  <w:tcW w:w="690" w:type="dxa"/>
                  <w:vAlign w:val="center"/>
                </w:tcPr>
                <w:p w14:paraId="1F53E314">
                  <w:pPr>
                    <w:jc w:val="center"/>
                    <w:rPr>
                      <w:szCs w:val="21"/>
                    </w:rPr>
                  </w:pPr>
                  <w:r>
                    <w:rPr>
                      <w:rFonts w:hint="eastAsia"/>
                      <w:szCs w:val="21"/>
                    </w:rPr>
                    <w:t>/</w:t>
                  </w:r>
                </w:p>
              </w:tc>
            </w:tr>
            <w:tr w14:paraId="5819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60202DEA">
                  <w:pPr>
                    <w:jc w:val="center"/>
                    <w:rPr>
                      <w:szCs w:val="21"/>
                    </w:rPr>
                  </w:pPr>
                </w:p>
              </w:tc>
              <w:tc>
                <w:tcPr>
                  <w:tcW w:w="829" w:type="dxa"/>
                  <w:vMerge w:val="continue"/>
                  <w:vAlign w:val="center"/>
                </w:tcPr>
                <w:p w14:paraId="4D8E4EF9">
                  <w:pPr>
                    <w:jc w:val="center"/>
                    <w:rPr>
                      <w:szCs w:val="21"/>
                    </w:rPr>
                  </w:pPr>
                </w:p>
              </w:tc>
              <w:tc>
                <w:tcPr>
                  <w:tcW w:w="1429" w:type="dxa"/>
                  <w:vAlign w:val="center"/>
                </w:tcPr>
                <w:p w14:paraId="67788A42">
                  <w:pPr>
                    <w:jc w:val="center"/>
                    <w:rPr>
                      <w:szCs w:val="21"/>
                    </w:rPr>
                  </w:pPr>
                  <w:r>
                    <w:rPr>
                      <w:rFonts w:hint="eastAsia"/>
                      <w:szCs w:val="21"/>
                    </w:rPr>
                    <w:t>基准灶头数</w:t>
                  </w:r>
                </w:p>
              </w:tc>
              <w:tc>
                <w:tcPr>
                  <w:tcW w:w="5146" w:type="dxa"/>
                  <w:gridSpan w:val="6"/>
                  <w:vAlign w:val="center"/>
                </w:tcPr>
                <w:p w14:paraId="566384D2">
                  <w:pPr>
                    <w:jc w:val="center"/>
                    <w:rPr>
                      <w:szCs w:val="21"/>
                    </w:rPr>
                  </w:pPr>
                  <w:r>
                    <w:rPr>
                      <w:rFonts w:hint="eastAsia"/>
                      <w:szCs w:val="21"/>
                    </w:rPr>
                    <w:t>3.3个</w:t>
                  </w:r>
                </w:p>
              </w:tc>
              <w:tc>
                <w:tcPr>
                  <w:tcW w:w="690" w:type="dxa"/>
                  <w:vAlign w:val="center"/>
                </w:tcPr>
                <w:p w14:paraId="42EB4DEC">
                  <w:pPr>
                    <w:jc w:val="center"/>
                    <w:rPr>
                      <w:szCs w:val="21"/>
                    </w:rPr>
                  </w:pPr>
                  <w:r>
                    <w:rPr>
                      <w:rFonts w:hint="eastAsia"/>
                      <w:szCs w:val="21"/>
                    </w:rPr>
                    <w:t>/</w:t>
                  </w:r>
                </w:p>
              </w:tc>
            </w:tr>
            <w:tr w14:paraId="7B88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5D265423">
                  <w:pPr>
                    <w:jc w:val="center"/>
                    <w:rPr>
                      <w:szCs w:val="21"/>
                    </w:rPr>
                  </w:pPr>
                </w:p>
              </w:tc>
              <w:tc>
                <w:tcPr>
                  <w:tcW w:w="829" w:type="dxa"/>
                  <w:vMerge w:val="continue"/>
                  <w:vAlign w:val="center"/>
                </w:tcPr>
                <w:p w14:paraId="2276B43C">
                  <w:pPr>
                    <w:jc w:val="center"/>
                    <w:rPr>
                      <w:szCs w:val="21"/>
                    </w:rPr>
                  </w:pPr>
                </w:p>
              </w:tc>
              <w:tc>
                <w:tcPr>
                  <w:tcW w:w="1429" w:type="dxa"/>
                  <w:vAlign w:val="center"/>
                </w:tcPr>
                <w:p w14:paraId="3EED1C64">
                  <w:pPr>
                    <w:jc w:val="center"/>
                    <w:rPr>
                      <w:szCs w:val="21"/>
                    </w:rPr>
                  </w:pPr>
                  <w:r>
                    <w:rPr>
                      <w:rFonts w:hint="eastAsia"/>
                      <w:szCs w:val="21"/>
                    </w:rPr>
                    <w:t>油烟排放浓度（mg/m</w:t>
                  </w:r>
                  <w:r>
                    <w:rPr>
                      <w:rFonts w:hint="eastAsia"/>
                      <w:szCs w:val="21"/>
                      <w:vertAlign w:val="superscript"/>
                    </w:rPr>
                    <w:t>3</w:t>
                  </w:r>
                  <w:r>
                    <w:rPr>
                      <w:rFonts w:hint="eastAsia"/>
                      <w:szCs w:val="21"/>
                    </w:rPr>
                    <w:t>）</w:t>
                  </w:r>
                </w:p>
              </w:tc>
              <w:tc>
                <w:tcPr>
                  <w:tcW w:w="857" w:type="dxa"/>
                  <w:vAlign w:val="center"/>
                </w:tcPr>
                <w:p w14:paraId="296703D1">
                  <w:pPr>
                    <w:jc w:val="center"/>
                    <w:rPr>
                      <w:szCs w:val="21"/>
                    </w:rPr>
                  </w:pPr>
                  <w:r>
                    <w:rPr>
                      <w:rFonts w:hint="eastAsia"/>
                      <w:szCs w:val="21"/>
                    </w:rPr>
                    <w:t>1.8</w:t>
                  </w:r>
                </w:p>
              </w:tc>
              <w:tc>
                <w:tcPr>
                  <w:tcW w:w="858" w:type="dxa"/>
                  <w:vAlign w:val="center"/>
                </w:tcPr>
                <w:p w14:paraId="700A3A72">
                  <w:pPr>
                    <w:jc w:val="center"/>
                    <w:rPr>
                      <w:szCs w:val="21"/>
                    </w:rPr>
                  </w:pPr>
                  <w:r>
                    <w:rPr>
                      <w:rFonts w:hint="eastAsia"/>
                      <w:szCs w:val="21"/>
                    </w:rPr>
                    <w:t>1.8</w:t>
                  </w:r>
                </w:p>
              </w:tc>
              <w:tc>
                <w:tcPr>
                  <w:tcW w:w="858" w:type="dxa"/>
                  <w:vAlign w:val="center"/>
                </w:tcPr>
                <w:p w14:paraId="5371193B">
                  <w:pPr>
                    <w:jc w:val="center"/>
                    <w:rPr>
                      <w:szCs w:val="21"/>
                    </w:rPr>
                  </w:pPr>
                  <w:r>
                    <w:rPr>
                      <w:rFonts w:hint="eastAsia"/>
                      <w:szCs w:val="21"/>
                    </w:rPr>
                    <w:t>1.7</w:t>
                  </w:r>
                </w:p>
              </w:tc>
              <w:tc>
                <w:tcPr>
                  <w:tcW w:w="857" w:type="dxa"/>
                  <w:vAlign w:val="center"/>
                </w:tcPr>
                <w:p w14:paraId="34E1C2FA">
                  <w:pPr>
                    <w:jc w:val="center"/>
                    <w:rPr>
                      <w:szCs w:val="21"/>
                    </w:rPr>
                  </w:pPr>
                  <w:r>
                    <w:rPr>
                      <w:rFonts w:hint="eastAsia"/>
                      <w:szCs w:val="21"/>
                    </w:rPr>
                    <w:t>1.7</w:t>
                  </w:r>
                </w:p>
              </w:tc>
              <w:tc>
                <w:tcPr>
                  <w:tcW w:w="858" w:type="dxa"/>
                  <w:vAlign w:val="center"/>
                </w:tcPr>
                <w:p w14:paraId="5401C2CA">
                  <w:pPr>
                    <w:jc w:val="center"/>
                    <w:rPr>
                      <w:szCs w:val="21"/>
                    </w:rPr>
                  </w:pPr>
                  <w:r>
                    <w:rPr>
                      <w:rFonts w:hint="eastAsia"/>
                      <w:szCs w:val="21"/>
                    </w:rPr>
                    <w:t>1.7</w:t>
                  </w:r>
                </w:p>
              </w:tc>
              <w:tc>
                <w:tcPr>
                  <w:tcW w:w="858" w:type="dxa"/>
                  <w:vAlign w:val="center"/>
                </w:tcPr>
                <w:p w14:paraId="629AB4A5">
                  <w:pPr>
                    <w:jc w:val="center"/>
                    <w:rPr>
                      <w:szCs w:val="21"/>
                    </w:rPr>
                  </w:pPr>
                  <w:r>
                    <w:rPr>
                      <w:rFonts w:hint="eastAsia"/>
                      <w:szCs w:val="21"/>
                    </w:rPr>
                    <w:t>1.7</w:t>
                  </w:r>
                </w:p>
              </w:tc>
              <w:tc>
                <w:tcPr>
                  <w:tcW w:w="690" w:type="dxa"/>
                  <w:vAlign w:val="center"/>
                </w:tcPr>
                <w:p w14:paraId="6411020B">
                  <w:pPr>
                    <w:jc w:val="center"/>
                    <w:rPr>
                      <w:szCs w:val="21"/>
                    </w:rPr>
                  </w:pPr>
                  <w:r>
                    <w:rPr>
                      <w:rFonts w:hint="eastAsia"/>
                      <w:szCs w:val="21"/>
                    </w:rPr>
                    <w:t>/</w:t>
                  </w:r>
                </w:p>
              </w:tc>
            </w:tr>
            <w:tr w14:paraId="1CC4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8" w:type="dxa"/>
                  <w:vMerge w:val="continue"/>
                  <w:vAlign w:val="center"/>
                </w:tcPr>
                <w:p w14:paraId="171E987A">
                  <w:pPr>
                    <w:jc w:val="center"/>
                    <w:rPr>
                      <w:szCs w:val="21"/>
                    </w:rPr>
                  </w:pPr>
                </w:p>
              </w:tc>
              <w:tc>
                <w:tcPr>
                  <w:tcW w:w="829" w:type="dxa"/>
                  <w:vMerge w:val="continue"/>
                  <w:vAlign w:val="center"/>
                </w:tcPr>
                <w:p w14:paraId="0BCC3334">
                  <w:pPr>
                    <w:jc w:val="center"/>
                    <w:rPr>
                      <w:szCs w:val="21"/>
                    </w:rPr>
                  </w:pPr>
                </w:p>
              </w:tc>
              <w:tc>
                <w:tcPr>
                  <w:tcW w:w="1429" w:type="dxa"/>
                  <w:vAlign w:val="center"/>
                </w:tcPr>
                <w:p w14:paraId="33D4F752">
                  <w:pPr>
                    <w:jc w:val="center"/>
                    <w:rPr>
                      <w:szCs w:val="21"/>
                    </w:rPr>
                  </w:pPr>
                  <w:r>
                    <w:rPr>
                      <w:rFonts w:hint="eastAsia"/>
                      <w:szCs w:val="21"/>
                    </w:rPr>
                    <w:t>油烟折算浓度（mg/m</w:t>
                  </w:r>
                  <w:r>
                    <w:rPr>
                      <w:rFonts w:hint="eastAsia"/>
                      <w:szCs w:val="21"/>
                      <w:vertAlign w:val="superscript"/>
                    </w:rPr>
                    <w:t>3</w:t>
                  </w:r>
                  <w:r>
                    <w:rPr>
                      <w:rFonts w:hint="eastAsia"/>
                      <w:szCs w:val="21"/>
                    </w:rPr>
                    <w:t>）</w:t>
                  </w:r>
                </w:p>
              </w:tc>
              <w:tc>
                <w:tcPr>
                  <w:tcW w:w="857" w:type="dxa"/>
                  <w:vAlign w:val="center"/>
                </w:tcPr>
                <w:p w14:paraId="0C20C113">
                  <w:pPr>
                    <w:jc w:val="center"/>
                    <w:rPr>
                      <w:szCs w:val="21"/>
                    </w:rPr>
                  </w:pPr>
                  <w:r>
                    <w:rPr>
                      <w:rFonts w:hint="eastAsia"/>
                      <w:szCs w:val="21"/>
                    </w:rPr>
                    <w:t>0.7</w:t>
                  </w:r>
                </w:p>
              </w:tc>
              <w:tc>
                <w:tcPr>
                  <w:tcW w:w="858" w:type="dxa"/>
                  <w:vAlign w:val="center"/>
                </w:tcPr>
                <w:p w14:paraId="5F9B9B2D">
                  <w:pPr>
                    <w:jc w:val="center"/>
                    <w:rPr>
                      <w:szCs w:val="21"/>
                    </w:rPr>
                  </w:pPr>
                  <w:r>
                    <w:rPr>
                      <w:rFonts w:hint="eastAsia"/>
                      <w:szCs w:val="21"/>
                    </w:rPr>
                    <w:t>0.7</w:t>
                  </w:r>
                </w:p>
              </w:tc>
              <w:tc>
                <w:tcPr>
                  <w:tcW w:w="858" w:type="dxa"/>
                  <w:vAlign w:val="center"/>
                </w:tcPr>
                <w:p w14:paraId="6F9D086A">
                  <w:pPr>
                    <w:jc w:val="center"/>
                    <w:rPr>
                      <w:szCs w:val="21"/>
                    </w:rPr>
                  </w:pPr>
                  <w:r>
                    <w:rPr>
                      <w:rFonts w:hint="eastAsia"/>
                      <w:szCs w:val="21"/>
                    </w:rPr>
                    <w:t>0.6</w:t>
                  </w:r>
                </w:p>
              </w:tc>
              <w:tc>
                <w:tcPr>
                  <w:tcW w:w="857" w:type="dxa"/>
                  <w:vAlign w:val="center"/>
                </w:tcPr>
                <w:p w14:paraId="7658C4CA">
                  <w:pPr>
                    <w:jc w:val="center"/>
                    <w:rPr>
                      <w:szCs w:val="21"/>
                    </w:rPr>
                  </w:pPr>
                  <w:r>
                    <w:rPr>
                      <w:rFonts w:hint="eastAsia"/>
                      <w:szCs w:val="21"/>
                    </w:rPr>
                    <w:t>0.6</w:t>
                  </w:r>
                </w:p>
              </w:tc>
              <w:tc>
                <w:tcPr>
                  <w:tcW w:w="858" w:type="dxa"/>
                  <w:vAlign w:val="center"/>
                </w:tcPr>
                <w:p w14:paraId="46826401">
                  <w:pPr>
                    <w:jc w:val="center"/>
                    <w:rPr>
                      <w:szCs w:val="21"/>
                    </w:rPr>
                  </w:pPr>
                  <w:r>
                    <w:rPr>
                      <w:rFonts w:hint="eastAsia"/>
                      <w:szCs w:val="21"/>
                    </w:rPr>
                    <w:t>0.6</w:t>
                  </w:r>
                </w:p>
              </w:tc>
              <w:tc>
                <w:tcPr>
                  <w:tcW w:w="858" w:type="dxa"/>
                  <w:vAlign w:val="center"/>
                </w:tcPr>
                <w:p w14:paraId="1343667D">
                  <w:pPr>
                    <w:jc w:val="center"/>
                    <w:rPr>
                      <w:szCs w:val="21"/>
                    </w:rPr>
                  </w:pPr>
                  <w:r>
                    <w:rPr>
                      <w:rFonts w:hint="eastAsia"/>
                      <w:szCs w:val="21"/>
                    </w:rPr>
                    <w:t>0.6</w:t>
                  </w:r>
                </w:p>
              </w:tc>
              <w:tc>
                <w:tcPr>
                  <w:tcW w:w="690" w:type="dxa"/>
                  <w:vAlign w:val="center"/>
                </w:tcPr>
                <w:p w14:paraId="1BBF8102">
                  <w:pPr>
                    <w:jc w:val="center"/>
                    <w:rPr>
                      <w:szCs w:val="21"/>
                    </w:rPr>
                  </w:pPr>
                  <w:r>
                    <w:rPr>
                      <w:rFonts w:hint="eastAsia"/>
                      <w:szCs w:val="21"/>
                    </w:rPr>
                    <w:t>2.0</w:t>
                  </w:r>
                </w:p>
              </w:tc>
            </w:tr>
          </w:tbl>
          <w:p w14:paraId="270DE462">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厂界无组织废气监测结果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325"/>
              <w:gridCol w:w="1431"/>
              <w:gridCol w:w="1076"/>
              <w:gridCol w:w="1076"/>
              <w:gridCol w:w="1076"/>
              <w:gridCol w:w="1078"/>
              <w:gridCol w:w="1259"/>
            </w:tblGrid>
            <w:tr w14:paraId="2A8E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452" w:type="pct"/>
                  <w:vMerge w:val="restart"/>
                  <w:vAlign w:val="center"/>
                </w:tcPr>
                <w:p w14:paraId="03AA009B">
                  <w:pPr>
                    <w:jc w:val="center"/>
                    <w:rPr>
                      <w:rFonts w:cstheme="minorHAnsi"/>
                      <w:szCs w:val="21"/>
                    </w:rPr>
                  </w:pPr>
                  <w:r>
                    <w:rPr>
                      <w:rFonts w:cstheme="minorHAnsi"/>
                      <w:szCs w:val="21"/>
                    </w:rPr>
                    <w:t>监测日期</w:t>
                  </w:r>
                </w:p>
              </w:tc>
              <w:tc>
                <w:tcPr>
                  <w:tcW w:w="725" w:type="pct"/>
                  <w:vMerge w:val="restart"/>
                  <w:vAlign w:val="center"/>
                </w:tcPr>
                <w:p w14:paraId="2BE5EA1D">
                  <w:pPr>
                    <w:jc w:val="center"/>
                    <w:rPr>
                      <w:rFonts w:cstheme="minorHAnsi"/>
                      <w:szCs w:val="21"/>
                    </w:rPr>
                  </w:pPr>
                  <w:r>
                    <w:rPr>
                      <w:rFonts w:cstheme="minorHAnsi"/>
                      <w:szCs w:val="21"/>
                    </w:rPr>
                    <w:t>监测点位</w:t>
                  </w:r>
                </w:p>
              </w:tc>
              <w:tc>
                <w:tcPr>
                  <w:tcW w:w="782" w:type="pct"/>
                  <w:vMerge w:val="restart"/>
                  <w:vAlign w:val="center"/>
                </w:tcPr>
                <w:p w14:paraId="2E533008">
                  <w:pPr>
                    <w:jc w:val="center"/>
                    <w:rPr>
                      <w:rFonts w:cstheme="minorHAnsi"/>
                      <w:szCs w:val="21"/>
                    </w:rPr>
                  </w:pPr>
                  <w:r>
                    <w:rPr>
                      <w:rFonts w:cstheme="minorHAnsi"/>
                      <w:szCs w:val="21"/>
                    </w:rPr>
                    <w:t>监测项目</w:t>
                  </w:r>
                </w:p>
              </w:tc>
              <w:tc>
                <w:tcPr>
                  <w:tcW w:w="2352" w:type="pct"/>
                  <w:gridSpan w:val="4"/>
                  <w:vAlign w:val="center"/>
                </w:tcPr>
                <w:p w14:paraId="4866600C">
                  <w:pPr>
                    <w:jc w:val="center"/>
                    <w:rPr>
                      <w:rFonts w:cstheme="minorHAnsi"/>
                      <w:szCs w:val="21"/>
                    </w:rPr>
                  </w:pPr>
                  <w:r>
                    <w:rPr>
                      <w:rFonts w:cstheme="minorHAnsi"/>
                      <w:szCs w:val="21"/>
                    </w:rPr>
                    <w:t>监测结果</w:t>
                  </w:r>
                  <w:r>
                    <w:rPr>
                      <w:rFonts w:hint="eastAsia" w:cstheme="minorHAnsi"/>
                      <w:szCs w:val="21"/>
                    </w:rPr>
                    <w:t>（</w:t>
                  </w:r>
                  <w:r>
                    <w:rPr>
                      <w:rFonts w:cstheme="minorHAnsi"/>
                      <w:szCs w:val="21"/>
                    </w:rPr>
                    <w:t>mg/m</w:t>
                  </w:r>
                  <w:r>
                    <w:rPr>
                      <w:rFonts w:cstheme="minorHAnsi"/>
                      <w:szCs w:val="21"/>
                      <w:vertAlign w:val="superscript"/>
                    </w:rPr>
                    <w:t>3</w:t>
                  </w:r>
                  <w:r>
                    <w:rPr>
                      <w:rFonts w:hint="eastAsia" w:cstheme="minorHAnsi"/>
                      <w:szCs w:val="21"/>
                    </w:rPr>
                    <w:t>）</w:t>
                  </w:r>
                </w:p>
              </w:tc>
              <w:tc>
                <w:tcPr>
                  <w:tcW w:w="688" w:type="pct"/>
                  <w:vMerge w:val="restart"/>
                  <w:vAlign w:val="center"/>
                </w:tcPr>
                <w:p w14:paraId="1A7F8E98">
                  <w:pPr>
                    <w:jc w:val="center"/>
                    <w:rPr>
                      <w:rFonts w:cstheme="minorHAnsi"/>
                      <w:szCs w:val="21"/>
                    </w:rPr>
                  </w:pPr>
                  <w:r>
                    <w:rPr>
                      <w:rFonts w:cstheme="minorHAnsi"/>
                      <w:szCs w:val="21"/>
                    </w:rPr>
                    <w:t>标准限值</w:t>
                  </w:r>
                  <w:r>
                    <w:rPr>
                      <w:rFonts w:hint="eastAsia" w:cstheme="minorHAnsi"/>
                      <w:szCs w:val="21"/>
                    </w:rPr>
                    <w:t>（</w:t>
                  </w:r>
                  <w:r>
                    <w:rPr>
                      <w:rFonts w:cstheme="minorHAnsi"/>
                      <w:szCs w:val="21"/>
                    </w:rPr>
                    <w:t>mg/m</w:t>
                  </w:r>
                  <w:r>
                    <w:rPr>
                      <w:rFonts w:cstheme="minorHAnsi"/>
                      <w:szCs w:val="21"/>
                      <w:vertAlign w:val="superscript"/>
                    </w:rPr>
                    <w:t>3</w:t>
                  </w:r>
                  <w:r>
                    <w:rPr>
                      <w:rFonts w:hint="eastAsia" w:cstheme="minorHAnsi"/>
                      <w:szCs w:val="21"/>
                    </w:rPr>
                    <w:t>）</w:t>
                  </w:r>
                </w:p>
              </w:tc>
            </w:tr>
            <w:tr w14:paraId="5978F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452" w:type="pct"/>
                  <w:vMerge w:val="continue"/>
                  <w:vAlign w:val="center"/>
                </w:tcPr>
                <w:p w14:paraId="27E3E5AC">
                  <w:pPr>
                    <w:jc w:val="center"/>
                    <w:rPr>
                      <w:rFonts w:cstheme="minorHAnsi"/>
                      <w:szCs w:val="21"/>
                    </w:rPr>
                  </w:pPr>
                </w:p>
              </w:tc>
              <w:tc>
                <w:tcPr>
                  <w:tcW w:w="725" w:type="pct"/>
                  <w:vMerge w:val="continue"/>
                  <w:vAlign w:val="center"/>
                </w:tcPr>
                <w:p w14:paraId="6CEEC94E">
                  <w:pPr>
                    <w:jc w:val="center"/>
                    <w:rPr>
                      <w:rFonts w:cstheme="minorHAnsi"/>
                      <w:szCs w:val="21"/>
                    </w:rPr>
                  </w:pPr>
                </w:p>
              </w:tc>
              <w:tc>
                <w:tcPr>
                  <w:tcW w:w="782" w:type="pct"/>
                  <w:vMerge w:val="continue"/>
                  <w:vAlign w:val="center"/>
                </w:tcPr>
                <w:p w14:paraId="1FAD9CAA">
                  <w:pPr>
                    <w:jc w:val="center"/>
                    <w:rPr>
                      <w:rFonts w:cstheme="minorHAnsi"/>
                      <w:szCs w:val="21"/>
                    </w:rPr>
                  </w:pPr>
                </w:p>
              </w:tc>
              <w:tc>
                <w:tcPr>
                  <w:tcW w:w="588" w:type="pct"/>
                  <w:vAlign w:val="center"/>
                </w:tcPr>
                <w:p w14:paraId="625FEBD0">
                  <w:pPr>
                    <w:jc w:val="center"/>
                    <w:rPr>
                      <w:rFonts w:cstheme="minorHAnsi"/>
                      <w:szCs w:val="21"/>
                    </w:rPr>
                  </w:pPr>
                  <w:r>
                    <w:rPr>
                      <w:rFonts w:cstheme="minorHAnsi"/>
                      <w:szCs w:val="21"/>
                    </w:rPr>
                    <w:t>第一次</w:t>
                  </w:r>
                </w:p>
              </w:tc>
              <w:tc>
                <w:tcPr>
                  <w:tcW w:w="588" w:type="pct"/>
                  <w:vAlign w:val="center"/>
                </w:tcPr>
                <w:p w14:paraId="14E68466">
                  <w:pPr>
                    <w:jc w:val="center"/>
                    <w:rPr>
                      <w:rFonts w:cstheme="minorHAnsi"/>
                      <w:szCs w:val="21"/>
                    </w:rPr>
                  </w:pPr>
                  <w:r>
                    <w:rPr>
                      <w:rFonts w:cstheme="minorHAnsi"/>
                      <w:szCs w:val="21"/>
                    </w:rPr>
                    <w:t>第二次</w:t>
                  </w:r>
                </w:p>
              </w:tc>
              <w:tc>
                <w:tcPr>
                  <w:tcW w:w="588" w:type="pct"/>
                  <w:vAlign w:val="center"/>
                </w:tcPr>
                <w:p w14:paraId="6A71FDDE">
                  <w:pPr>
                    <w:jc w:val="center"/>
                    <w:rPr>
                      <w:rFonts w:cstheme="minorHAnsi"/>
                      <w:szCs w:val="21"/>
                    </w:rPr>
                  </w:pPr>
                  <w:r>
                    <w:rPr>
                      <w:rFonts w:cstheme="minorHAnsi"/>
                      <w:szCs w:val="21"/>
                    </w:rPr>
                    <w:t>第三次</w:t>
                  </w:r>
                </w:p>
              </w:tc>
              <w:tc>
                <w:tcPr>
                  <w:tcW w:w="589" w:type="pct"/>
                  <w:vAlign w:val="center"/>
                </w:tcPr>
                <w:p w14:paraId="32250C0F">
                  <w:pPr>
                    <w:jc w:val="center"/>
                    <w:rPr>
                      <w:rFonts w:cstheme="minorHAnsi"/>
                      <w:szCs w:val="21"/>
                    </w:rPr>
                  </w:pPr>
                  <w:r>
                    <w:rPr>
                      <w:rFonts w:hint="eastAsia" w:cstheme="minorHAnsi"/>
                      <w:szCs w:val="21"/>
                    </w:rPr>
                    <w:t>最大值/平均值</w:t>
                  </w:r>
                </w:p>
              </w:tc>
              <w:tc>
                <w:tcPr>
                  <w:tcW w:w="688" w:type="pct"/>
                  <w:vMerge w:val="continue"/>
                  <w:vAlign w:val="center"/>
                </w:tcPr>
                <w:p w14:paraId="524C7031">
                  <w:pPr>
                    <w:jc w:val="center"/>
                    <w:rPr>
                      <w:rFonts w:cstheme="minorHAnsi"/>
                      <w:szCs w:val="21"/>
                    </w:rPr>
                  </w:pPr>
                </w:p>
              </w:tc>
            </w:tr>
            <w:tr w14:paraId="30DA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restart"/>
                  <w:vAlign w:val="center"/>
                </w:tcPr>
                <w:p w14:paraId="0FF6256A">
                  <w:pPr>
                    <w:jc w:val="center"/>
                    <w:rPr>
                      <w:rFonts w:cstheme="minorHAnsi"/>
                      <w:szCs w:val="21"/>
                    </w:rPr>
                  </w:pPr>
                  <w:r>
                    <w:rPr>
                      <w:rFonts w:hint="eastAsia" w:cstheme="minorHAnsi"/>
                      <w:szCs w:val="21"/>
                    </w:rPr>
                    <w:t>2024</w:t>
                  </w:r>
                </w:p>
                <w:p w14:paraId="71060841">
                  <w:pPr>
                    <w:jc w:val="center"/>
                    <w:rPr>
                      <w:rFonts w:cstheme="minorHAnsi"/>
                      <w:szCs w:val="21"/>
                    </w:rPr>
                  </w:pPr>
                  <w:r>
                    <w:rPr>
                      <w:rFonts w:hint="eastAsia" w:cstheme="minorHAnsi"/>
                      <w:szCs w:val="21"/>
                    </w:rPr>
                    <w:t>0801</w:t>
                  </w:r>
                </w:p>
              </w:tc>
              <w:tc>
                <w:tcPr>
                  <w:tcW w:w="725" w:type="pct"/>
                  <w:vMerge w:val="restart"/>
                  <w:vAlign w:val="center"/>
                </w:tcPr>
                <w:p w14:paraId="0F77A106">
                  <w:pPr>
                    <w:jc w:val="center"/>
                    <w:rPr>
                      <w:rFonts w:cstheme="minorHAnsi"/>
                      <w:szCs w:val="21"/>
                    </w:rPr>
                  </w:pPr>
                  <w:r>
                    <w:rPr>
                      <w:rFonts w:hint="eastAsia" w:cstheme="minorHAnsi"/>
                      <w:szCs w:val="21"/>
                    </w:rPr>
                    <w:t>厂界外东南侧3m高1.5m</w:t>
                  </w:r>
                </w:p>
              </w:tc>
              <w:tc>
                <w:tcPr>
                  <w:tcW w:w="782" w:type="pct"/>
                  <w:vAlign w:val="center"/>
                </w:tcPr>
                <w:p w14:paraId="7B691CF2">
                  <w:pPr>
                    <w:jc w:val="center"/>
                    <w:rPr>
                      <w:szCs w:val="21"/>
                    </w:rPr>
                  </w:pPr>
                  <w:r>
                    <w:rPr>
                      <w:rFonts w:hint="eastAsia"/>
                      <w:szCs w:val="21"/>
                    </w:rPr>
                    <w:t>颗粒物</w:t>
                  </w:r>
                </w:p>
              </w:tc>
              <w:tc>
                <w:tcPr>
                  <w:tcW w:w="588" w:type="pct"/>
                  <w:vAlign w:val="center"/>
                </w:tcPr>
                <w:p w14:paraId="0A8871D8">
                  <w:pPr>
                    <w:jc w:val="center"/>
                    <w:rPr>
                      <w:rFonts w:cstheme="minorHAnsi"/>
                      <w:szCs w:val="21"/>
                    </w:rPr>
                  </w:pPr>
                  <w:r>
                    <w:rPr>
                      <w:rFonts w:hint="eastAsia" w:cstheme="minorHAnsi"/>
                      <w:szCs w:val="21"/>
                    </w:rPr>
                    <w:t>0.295</w:t>
                  </w:r>
                </w:p>
              </w:tc>
              <w:tc>
                <w:tcPr>
                  <w:tcW w:w="588" w:type="pct"/>
                  <w:vAlign w:val="center"/>
                </w:tcPr>
                <w:p w14:paraId="2F841DBF">
                  <w:pPr>
                    <w:jc w:val="center"/>
                    <w:rPr>
                      <w:rFonts w:cstheme="minorHAnsi"/>
                      <w:szCs w:val="21"/>
                    </w:rPr>
                  </w:pPr>
                  <w:r>
                    <w:rPr>
                      <w:rFonts w:hint="eastAsia" w:cstheme="minorHAnsi"/>
                      <w:szCs w:val="21"/>
                    </w:rPr>
                    <w:t>0.296</w:t>
                  </w:r>
                </w:p>
              </w:tc>
              <w:tc>
                <w:tcPr>
                  <w:tcW w:w="588" w:type="pct"/>
                  <w:vAlign w:val="center"/>
                </w:tcPr>
                <w:p w14:paraId="7A75FDA7">
                  <w:pPr>
                    <w:jc w:val="center"/>
                    <w:rPr>
                      <w:rFonts w:cstheme="minorHAnsi"/>
                      <w:szCs w:val="21"/>
                    </w:rPr>
                  </w:pPr>
                  <w:r>
                    <w:rPr>
                      <w:rFonts w:hint="eastAsia" w:cstheme="minorHAnsi"/>
                      <w:szCs w:val="21"/>
                    </w:rPr>
                    <w:t>0.297</w:t>
                  </w:r>
                </w:p>
              </w:tc>
              <w:tc>
                <w:tcPr>
                  <w:tcW w:w="589" w:type="pct"/>
                  <w:vAlign w:val="center"/>
                </w:tcPr>
                <w:p w14:paraId="1B90E4A2">
                  <w:pPr>
                    <w:jc w:val="center"/>
                    <w:rPr>
                      <w:rFonts w:cstheme="minorHAnsi"/>
                      <w:szCs w:val="21"/>
                    </w:rPr>
                  </w:pPr>
                  <w:r>
                    <w:rPr>
                      <w:rFonts w:hint="eastAsia" w:cstheme="minorHAnsi"/>
                      <w:szCs w:val="21"/>
                    </w:rPr>
                    <w:t>0.297</w:t>
                  </w:r>
                </w:p>
              </w:tc>
              <w:tc>
                <w:tcPr>
                  <w:tcW w:w="688" w:type="pct"/>
                  <w:vAlign w:val="center"/>
                </w:tcPr>
                <w:p w14:paraId="209FE329">
                  <w:pPr>
                    <w:jc w:val="center"/>
                    <w:rPr>
                      <w:rFonts w:cstheme="minorHAnsi"/>
                      <w:szCs w:val="21"/>
                    </w:rPr>
                  </w:pPr>
                  <w:r>
                    <w:rPr>
                      <w:rFonts w:hint="eastAsia" w:cstheme="minorHAnsi"/>
                      <w:szCs w:val="21"/>
                    </w:rPr>
                    <w:t>1.0</w:t>
                  </w:r>
                </w:p>
              </w:tc>
            </w:tr>
            <w:tr w14:paraId="40CE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59B378E7">
                  <w:pPr>
                    <w:jc w:val="center"/>
                    <w:rPr>
                      <w:rFonts w:cstheme="minorHAnsi"/>
                      <w:szCs w:val="21"/>
                    </w:rPr>
                  </w:pPr>
                </w:p>
              </w:tc>
              <w:tc>
                <w:tcPr>
                  <w:tcW w:w="725" w:type="pct"/>
                  <w:vMerge w:val="continue"/>
                  <w:vAlign w:val="center"/>
                </w:tcPr>
                <w:p w14:paraId="55320EA2">
                  <w:pPr>
                    <w:jc w:val="center"/>
                    <w:rPr>
                      <w:rFonts w:cstheme="minorHAnsi"/>
                      <w:szCs w:val="21"/>
                    </w:rPr>
                  </w:pPr>
                </w:p>
              </w:tc>
              <w:tc>
                <w:tcPr>
                  <w:tcW w:w="782" w:type="pct"/>
                  <w:vAlign w:val="center"/>
                </w:tcPr>
                <w:p w14:paraId="7C683916">
                  <w:pPr>
                    <w:jc w:val="center"/>
                    <w:rPr>
                      <w:szCs w:val="21"/>
                    </w:rPr>
                  </w:pPr>
                  <w:r>
                    <w:rPr>
                      <w:rFonts w:hint="eastAsia"/>
                      <w:szCs w:val="21"/>
                    </w:rPr>
                    <w:t>非甲烷总烃</w:t>
                  </w:r>
                </w:p>
              </w:tc>
              <w:tc>
                <w:tcPr>
                  <w:tcW w:w="588" w:type="pct"/>
                  <w:vAlign w:val="center"/>
                </w:tcPr>
                <w:p w14:paraId="4562F1D6">
                  <w:pPr>
                    <w:jc w:val="center"/>
                    <w:rPr>
                      <w:rFonts w:cstheme="minorHAnsi"/>
                      <w:szCs w:val="21"/>
                    </w:rPr>
                  </w:pPr>
                  <w:r>
                    <w:rPr>
                      <w:rFonts w:hint="eastAsia" w:cstheme="minorHAnsi"/>
                      <w:szCs w:val="21"/>
                    </w:rPr>
                    <w:t>0.48</w:t>
                  </w:r>
                </w:p>
              </w:tc>
              <w:tc>
                <w:tcPr>
                  <w:tcW w:w="588" w:type="pct"/>
                  <w:vAlign w:val="center"/>
                </w:tcPr>
                <w:p w14:paraId="7FE4677E">
                  <w:pPr>
                    <w:jc w:val="center"/>
                    <w:rPr>
                      <w:rFonts w:cstheme="minorHAnsi"/>
                      <w:szCs w:val="21"/>
                    </w:rPr>
                  </w:pPr>
                  <w:r>
                    <w:rPr>
                      <w:rFonts w:hint="eastAsia" w:cstheme="minorHAnsi"/>
                      <w:szCs w:val="21"/>
                    </w:rPr>
                    <w:t>0.55</w:t>
                  </w:r>
                </w:p>
              </w:tc>
              <w:tc>
                <w:tcPr>
                  <w:tcW w:w="588" w:type="pct"/>
                  <w:vAlign w:val="center"/>
                </w:tcPr>
                <w:p w14:paraId="78635B49">
                  <w:pPr>
                    <w:jc w:val="center"/>
                    <w:rPr>
                      <w:rFonts w:cstheme="minorHAnsi"/>
                      <w:szCs w:val="21"/>
                    </w:rPr>
                  </w:pPr>
                  <w:r>
                    <w:rPr>
                      <w:rFonts w:hint="eastAsia" w:cstheme="minorHAnsi"/>
                      <w:szCs w:val="21"/>
                    </w:rPr>
                    <w:t>0.51</w:t>
                  </w:r>
                </w:p>
              </w:tc>
              <w:tc>
                <w:tcPr>
                  <w:tcW w:w="589" w:type="pct"/>
                  <w:vAlign w:val="center"/>
                </w:tcPr>
                <w:p w14:paraId="16B1EBF2">
                  <w:pPr>
                    <w:jc w:val="center"/>
                    <w:rPr>
                      <w:rFonts w:cstheme="minorHAnsi"/>
                      <w:szCs w:val="21"/>
                    </w:rPr>
                  </w:pPr>
                  <w:r>
                    <w:rPr>
                      <w:rFonts w:hint="eastAsia" w:cstheme="minorHAnsi"/>
                      <w:szCs w:val="21"/>
                    </w:rPr>
                    <w:t>0.51</w:t>
                  </w:r>
                </w:p>
              </w:tc>
              <w:tc>
                <w:tcPr>
                  <w:tcW w:w="688" w:type="pct"/>
                  <w:vAlign w:val="center"/>
                </w:tcPr>
                <w:p w14:paraId="42B55019">
                  <w:pPr>
                    <w:jc w:val="center"/>
                    <w:rPr>
                      <w:rFonts w:cstheme="minorHAnsi"/>
                      <w:szCs w:val="21"/>
                    </w:rPr>
                  </w:pPr>
                  <w:r>
                    <w:rPr>
                      <w:rFonts w:hint="eastAsia" w:cstheme="minorHAnsi"/>
                      <w:szCs w:val="21"/>
                    </w:rPr>
                    <w:t>2.0</w:t>
                  </w:r>
                </w:p>
              </w:tc>
            </w:tr>
            <w:tr w14:paraId="1B354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40CFAD16">
                  <w:pPr>
                    <w:jc w:val="center"/>
                    <w:rPr>
                      <w:rFonts w:cstheme="minorHAnsi"/>
                      <w:szCs w:val="21"/>
                    </w:rPr>
                  </w:pPr>
                </w:p>
              </w:tc>
              <w:tc>
                <w:tcPr>
                  <w:tcW w:w="725" w:type="pct"/>
                  <w:vMerge w:val="restart"/>
                  <w:vAlign w:val="center"/>
                </w:tcPr>
                <w:p w14:paraId="7A2FE9C6">
                  <w:pPr>
                    <w:jc w:val="center"/>
                    <w:rPr>
                      <w:rFonts w:cstheme="minorHAnsi"/>
                      <w:szCs w:val="21"/>
                    </w:rPr>
                  </w:pPr>
                  <w:r>
                    <w:rPr>
                      <w:rFonts w:hint="eastAsia" w:cstheme="minorHAnsi"/>
                      <w:szCs w:val="21"/>
                    </w:rPr>
                    <w:t>厂界外西侧3m高1.5m</w:t>
                  </w:r>
                </w:p>
              </w:tc>
              <w:tc>
                <w:tcPr>
                  <w:tcW w:w="782" w:type="pct"/>
                  <w:vAlign w:val="center"/>
                </w:tcPr>
                <w:p w14:paraId="1B284765">
                  <w:pPr>
                    <w:jc w:val="center"/>
                    <w:rPr>
                      <w:szCs w:val="21"/>
                    </w:rPr>
                  </w:pPr>
                  <w:r>
                    <w:rPr>
                      <w:rFonts w:hint="eastAsia"/>
                      <w:szCs w:val="21"/>
                    </w:rPr>
                    <w:t>颗粒物</w:t>
                  </w:r>
                </w:p>
              </w:tc>
              <w:tc>
                <w:tcPr>
                  <w:tcW w:w="588" w:type="pct"/>
                  <w:vAlign w:val="center"/>
                </w:tcPr>
                <w:p w14:paraId="7347A7E8">
                  <w:pPr>
                    <w:jc w:val="center"/>
                    <w:rPr>
                      <w:rFonts w:cstheme="minorHAnsi"/>
                      <w:szCs w:val="21"/>
                    </w:rPr>
                  </w:pPr>
                  <w:r>
                    <w:rPr>
                      <w:rFonts w:hint="eastAsia" w:cstheme="minorHAnsi"/>
                      <w:szCs w:val="21"/>
                    </w:rPr>
                    <w:t>0.354</w:t>
                  </w:r>
                </w:p>
              </w:tc>
              <w:tc>
                <w:tcPr>
                  <w:tcW w:w="588" w:type="pct"/>
                  <w:vAlign w:val="center"/>
                </w:tcPr>
                <w:p w14:paraId="1F0174A8">
                  <w:pPr>
                    <w:jc w:val="center"/>
                    <w:rPr>
                      <w:rFonts w:cstheme="minorHAnsi"/>
                      <w:szCs w:val="21"/>
                    </w:rPr>
                  </w:pPr>
                  <w:r>
                    <w:rPr>
                      <w:rFonts w:hint="eastAsia" w:cstheme="minorHAnsi"/>
                      <w:szCs w:val="21"/>
                    </w:rPr>
                    <w:t>0.355</w:t>
                  </w:r>
                </w:p>
              </w:tc>
              <w:tc>
                <w:tcPr>
                  <w:tcW w:w="588" w:type="pct"/>
                  <w:vAlign w:val="center"/>
                </w:tcPr>
                <w:p w14:paraId="15E510CC">
                  <w:pPr>
                    <w:jc w:val="center"/>
                    <w:rPr>
                      <w:rFonts w:cstheme="minorHAnsi"/>
                      <w:szCs w:val="21"/>
                    </w:rPr>
                  </w:pPr>
                  <w:r>
                    <w:rPr>
                      <w:rFonts w:hint="eastAsia" w:cstheme="minorHAnsi"/>
                      <w:szCs w:val="21"/>
                    </w:rPr>
                    <w:t>0.357</w:t>
                  </w:r>
                </w:p>
              </w:tc>
              <w:tc>
                <w:tcPr>
                  <w:tcW w:w="589" w:type="pct"/>
                  <w:vAlign w:val="center"/>
                </w:tcPr>
                <w:p w14:paraId="0FC22BB1">
                  <w:pPr>
                    <w:jc w:val="center"/>
                    <w:rPr>
                      <w:rFonts w:cstheme="minorHAnsi"/>
                      <w:szCs w:val="21"/>
                    </w:rPr>
                  </w:pPr>
                  <w:r>
                    <w:rPr>
                      <w:rFonts w:hint="eastAsia" w:cstheme="minorHAnsi"/>
                      <w:szCs w:val="21"/>
                    </w:rPr>
                    <w:t>0.357</w:t>
                  </w:r>
                </w:p>
              </w:tc>
              <w:tc>
                <w:tcPr>
                  <w:tcW w:w="688" w:type="pct"/>
                  <w:vAlign w:val="center"/>
                </w:tcPr>
                <w:p w14:paraId="2712E704">
                  <w:pPr>
                    <w:jc w:val="center"/>
                    <w:rPr>
                      <w:rFonts w:cstheme="minorHAnsi"/>
                      <w:szCs w:val="21"/>
                    </w:rPr>
                  </w:pPr>
                  <w:r>
                    <w:rPr>
                      <w:rFonts w:hint="eastAsia" w:cstheme="minorHAnsi"/>
                      <w:szCs w:val="21"/>
                    </w:rPr>
                    <w:t>1.0</w:t>
                  </w:r>
                </w:p>
              </w:tc>
            </w:tr>
            <w:tr w14:paraId="0092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29C12829">
                  <w:pPr>
                    <w:jc w:val="center"/>
                    <w:rPr>
                      <w:rFonts w:cstheme="minorHAnsi"/>
                      <w:szCs w:val="21"/>
                    </w:rPr>
                  </w:pPr>
                </w:p>
              </w:tc>
              <w:tc>
                <w:tcPr>
                  <w:tcW w:w="725" w:type="pct"/>
                  <w:vMerge w:val="continue"/>
                  <w:vAlign w:val="center"/>
                </w:tcPr>
                <w:p w14:paraId="722E8755">
                  <w:pPr>
                    <w:jc w:val="center"/>
                    <w:rPr>
                      <w:rFonts w:cstheme="minorHAnsi"/>
                      <w:szCs w:val="21"/>
                    </w:rPr>
                  </w:pPr>
                </w:p>
              </w:tc>
              <w:tc>
                <w:tcPr>
                  <w:tcW w:w="782" w:type="pct"/>
                  <w:vAlign w:val="center"/>
                </w:tcPr>
                <w:p w14:paraId="7E0AAAEE">
                  <w:pPr>
                    <w:jc w:val="center"/>
                    <w:rPr>
                      <w:szCs w:val="21"/>
                    </w:rPr>
                  </w:pPr>
                  <w:r>
                    <w:rPr>
                      <w:rFonts w:hint="eastAsia"/>
                      <w:szCs w:val="21"/>
                    </w:rPr>
                    <w:t>非甲烷总烃</w:t>
                  </w:r>
                </w:p>
              </w:tc>
              <w:tc>
                <w:tcPr>
                  <w:tcW w:w="588" w:type="pct"/>
                  <w:vAlign w:val="center"/>
                </w:tcPr>
                <w:p w14:paraId="7A4C71C1">
                  <w:pPr>
                    <w:jc w:val="center"/>
                    <w:rPr>
                      <w:rFonts w:cstheme="minorHAnsi"/>
                      <w:szCs w:val="21"/>
                    </w:rPr>
                  </w:pPr>
                  <w:r>
                    <w:rPr>
                      <w:rFonts w:hint="eastAsia" w:cstheme="minorHAnsi"/>
                      <w:szCs w:val="21"/>
                    </w:rPr>
                    <w:t>1.02</w:t>
                  </w:r>
                </w:p>
              </w:tc>
              <w:tc>
                <w:tcPr>
                  <w:tcW w:w="588" w:type="pct"/>
                  <w:vAlign w:val="center"/>
                </w:tcPr>
                <w:p w14:paraId="61B4FEB5">
                  <w:pPr>
                    <w:jc w:val="center"/>
                    <w:rPr>
                      <w:rFonts w:cstheme="minorHAnsi"/>
                      <w:szCs w:val="21"/>
                    </w:rPr>
                  </w:pPr>
                  <w:r>
                    <w:rPr>
                      <w:rFonts w:hint="eastAsia" w:cstheme="minorHAnsi"/>
                      <w:szCs w:val="21"/>
                    </w:rPr>
                    <w:t>0.95</w:t>
                  </w:r>
                </w:p>
              </w:tc>
              <w:tc>
                <w:tcPr>
                  <w:tcW w:w="588" w:type="pct"/>
                  <w:vAlign w:val="center"/>
                </w:tcPr>
                <w:p w14:paraId="779C60DC">
                  <w:pPr>
                    <w:jc w:val="center"/>
                    <w:rPr>
                      <w:rFonts w:cstheme="minorHAnsi"/>
                      <w:szCs w:val="21"/>
                    </w:rPr>
                  </w:pPr>
                  <w:r>
                    <w:rPr>
                      <w:rFonts w:hint="eastAsia" w:cstheme="minorHAnsi"/>
                      <w:szCs w:val="21"/>
                    </w:rPr>
                    <w:t>1.05</w:t>
                  </w:r>
                </w:p>
              </w:tc>
              <w:tc>
                <w:tcPr>
                  <w:tcW w:w="589" w:type="pct"/>
                  <w:vAlign w:val="center"/>
                </w:tcPr>
                <w:p w14:paraId="453CC278">
                  <w:pPr>
                    <w:jc w:val="center"/>
                    <w:rPr>
                      <w:rFonts w:cstheme="minorHAnsi"/>
                      <w:szCs w:val="21"/>
                    </w:rPr>
                  </w:pPr>
                  <w:r>
                    <w:rPr>
                      <w:rFonts w:hint="eastAsia" w:cstheme="minorHAnsi"/>
                      <w:szCs w:val="21"/>
                    </w:rPr>
                    <w:t>1.01</w:t>
                  </w:r>
                </w:p>
              </w:tc>
              <w:tc>
                <w:tcPr>
                  <w:tcW w:w="688" w:type="pct"/>
                  <w:vAlign w:val="center"/>
                </w:tcPr>
                <w:p w14:paraId="46FD5AD2">
                  <w:pPr>
                    <w:jc w:val="center"/>
                    <w:rPr>
                      <w:rFonts w:cstheme="minorHAnsi"/>
                      <w:szCs w:val="21"/>
                    </w:rPr>
                  </w:pPr>
                  <w:r>
                    <w:rPr>
                      <w:rFonts w:hint="eastAsia" w:cstheme="minorHAnsi"/>
                      <w:szCs w:val="21"/>
                    </w:rPr>
                    <w:t>2.0</w:t>
                  </w:r>
                </w:p>
              </w:tc>
            </w:tr>
            <w:tr w14:paraId="41CB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70E6E7AB">
                  <w:pPr>
                    <w:jc w:val="center"/>
                    <w:rPr>
                      <w:rFonts w:cstheme="minorHAnsi"/>
                      <w:szCs w:val="21"/>
                    </w:rPr>
                  </w:pPr>
                </w:p>
              </w:tc>
              <w:tc>
                <w:tcPr>
                  <w:tcW w:w="725" w:type="pct"/>
                  <w:vMerge w:val="restart"/>
                  <w:vAlign w:val="center"/>
                </w:tcPr>
                <w:p w14:paraId="65527C09">
                  <w:pPr>
                    <w:jc w:val="center"/>
                    <w:rPr>
                      <w:rFonts w:cstheme="minorHAnsi"/>
                      <w:szCs w:val="21"/>
                    </w:rPr>
                  </w:pPr>
                  <w:r>
                    <w:rPr>
                      <w:rFonts w:hint="eastAsia" w:cstheme="minorHAnsi"/>
                      <w:szCs w:val="21"/>
                    </w:rPr>
                    <w:t>厂界外西北侧3m高1.5m</w:t>
                  </w:r>
                </w:p>
              </w:tc>
              <w:tc>
                <w:tcPr>
                  <w:tcW w:w="782" w:type="pct"/>
                  <w:vAlign w:val="center"/>
                </w:tcPr>
                <w:p w14:paraId="286D5B49">
                  <w:pPr>
                    <w:jc w:val="center"/>
                    <w:rPr>
                      <w:szCs w:val="21"/>
                    </w:rPr>
                  </w:pPr>
                  <w:r>
                    <w:rPr>
                      <w:rFonts w:hint="eastAsia"/>
                      <w:szCs w:val="21"/>
                    </w:rPr>
                    <w:t>颗粒物</w:t>
                  </w:r>
                </w:p>
              </w:tc>
              <w:tc>
                <w:tcPr>
                  <w:tcW w:w="588" w:type="pct"/>
                  <w:vAlign w:val="center"/>
                </w:tcPr>
                <w:p w14:paraId="0653B639">
                  <w:pPr>
                    <w:jc w:val="center"/>
                    <w:rPr>
                      <w:rFonts w:cstheme="minorHAnsi"/>
                      <w:szCs w:val="21"/>
                    </w:rPr>
                  </w:pPr>
                  <w:r>
                    <w:rPr>
                      <w:rFonts w:hint="eastAsia" w:cstheme="minorHAnsi"/>
                      <w:szCs w:val="21"/>
                    </w:rPr>
                    <w:t>0.335</w:t>
                  </w:r>
                </w:p>
              </w:tc>
              <w:tc>
                <w:tcPr>
                  <w:tcW w:w="588" w:type="pct"/>
                  <w:vAlign w:val="center"/>
                </w:tcPr>
                <w:p w14:paraId="54824CBF">
                  <w:pPr>
                    <w:jc w:val="center"/>
                    <w:rPr>
                      <w:rFonts w:cstheme="minorHAnsi"/>
                      <w:szCs w:val="21"/>
                    </w:rPr>
                  </w:pPr>
                  <w:r>
                    <w:rPr>
                      <w:rFonts w:hint="eastAsia" w:cstheme="minorHAnsi"/>
                      <w:szCs w:val="21"/>
                    </w:rPr>
                    <w:t>0.336</w:t>
                  </w:r>
                </w:p>
              </w:tc>
              <w:tc>
                <w:tcPr>
                  <w:tcW w:w="588" w:type="pct"/>
                  <w:vAlign w:val="center"/>
                </w:tcPr>
                <w:p w14:paraId="25C72364">
                  <w:pPr>
                    <w:jc w:val="center"/>
                    <w:rPr>
                      <w:rFonts w:cstheme="minorHAnsi"/>
                      <w:szCs w:val="21"/>
                    </w:rPr>
                  </w:pPr>
                  <w:r>
                    <w:rPr>
                      <w:rFonts w:hint="eastAsia" w:cstheme="minorHAnsi"/>
                      <w:szCs w:val="21"/>
                    </w:rPr>
                    <w:t>0.337</w:t>
                  </w:r>
                </w:p>
              </w:tc>
              <w:tc>
                <w:tcPr>
                  <w:tcW w:w="589" w:type="pct"/>
                  <w:vAlign w:val="center"/>
                </w:tcPr>
                <w:p w14:paraId="63A56B4C">
                  <w:pPr>
                    <w:jc w:val="center"/>
                    <w:rPr>
                      <w:rFonts w:cstheme="minorHAnsi"/>
                      <w:szCs w:val="21"/>
                    </w:rPr>
                  </w:pPr>
                  <w:r>
                    <w:rPr>
                      <w:rFonts w:hint="eastAsia" w:cstheme="minorHAnsi"/>
                      <w:szCs w:val="21"/>
                    </w:rPr>
                    <w:t>0.337</w:t>
                  </w:r>
                </w:p>
              </w:tc>
              <w:tc>
                <w:tcPr>
                  <w:tcW w:w="688" w:type="pct"/>
                  <w:vAlign w:val="center"/>
                </w:tcPr>
                <w:p w14:paraId="5C1236BF">
                  <w:pPr>
                    <w:jc w:val="center"/>
                    <w:rPr>
                      <w:rFonts w:cstheme="minorHAnsi"/>
                      <w:szCs w:val="21"/>
                    </w:rPr>
                  </w:pPr>
                  <w:r>
                    <w:rPr>
                      <w:rFonts w:hint="eastAsia" w:cstheme="minorHAnsi"/>
                      <w:szCs w:val="21"/>
                    </w:rPr>
                    <w:t>1.0</w:t>
                  </w:r>
                </w:p>
              </w:tc>
            </w:tr>
            <w:tr w14:paraId="6E77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6CCF818A">
                  <w:pPr>
                    <w:jc w:val="center"/>
                    <w:rPr>
                      <w:rFonts w:cstheme="minorHAnsi"/>
                      <w:szCs w:val="21"/>
                    </w:rPr>
                  </w:pPr>
                </w:p>
              </w:tc>
              <w:tc>
                <w:tcPr>
                  <w:tcW w:w="725" w:type="pct"/>
                  <w:vMerge w:val="continue"/>
                  <w:vAlign w:val="center"/>
                </w:tcPr>
                <w:p w14:paraId="6FA98A49">
                  <w:pPr>
                    <w:jc w:val="center"/>
                    <w:rPr>
                      <w:rFonts w:cstheme="minorHAnsi"/>
                      <w:szCs w:val="21"/>
                    </w:rPr>
                  </w:pPr>
                </w:p>
              </w:tc>
              <w:tc>
                <w:tcPr>
                  <w:tcW w:w="782" w:type="pct"/>
                  <w:vAlign w:val="center"/>
                </w:tcPr>
                <w:p w14:paraId="562AF5CC">
                  <w:pPr>
                    <w:jc w:val="center"/>
                    <w:rPr>
                      <w:szCs w:val="21"/>
                    </w:rPr>
                  </w:pPr>
                  <w:r>
                    <w:rPr>
                      <w:rFonts w:hint="eastAsia"/>
                      <w:szCs w:val="21"/>
                    </w:rPr>
                    <w:t>非甲烷总烃</w:t>
                  </w:r>
                </w:p>
              </w:tc>
              <w:tc>
                <w:tcPr>
                  <w:tcW w:w="588" w:type="pct"/>
                  <w:vAlign w:val="center"/>
                </w:tcPr>
                <w:p w14:paraId="492486E0">
                  <w:pPr>
                    <w:jc w:val="center"/>
                    <w:rPr>
                      <w:rFonts w:cstheme="minorHAnsi"/>
                      <w:szCs w:val="21"/>
                    </w:rPr>
                  </w:pPr>
                  <w:r>
                    <w:rPr>
                      <w:rFonts w:hint="eastAsia" w:cstheme="minorHAnsi"/>
                      <w:szCs w:val="21"/>
                    </w:rPr>
                    <w:t>0.92</w:t>
                  </w:r>
                </w:p>
              </w:tc>
              <w:tc>
                <w:tcPr>
                  <w:tcW w:w="588" w:type="pct"/>
                  <w:vAlign w:val="center"/>
                </w:tcPr>
                <w:p w14:paraId="19570B35">
                  <w:pPr>
                    <w:jc w:val="center"/>
                    <w:rPr>
                      <w:rFonts w:cstheme="minorHAnsi"/>
                      <w:szCs w:val="21"/>
                    </w:rPr>
                  </w:pPr>
                  <w:r>
                    <w:rPr>
                      <w:rFonts w:hint="eastAsia" w:cstheme="minorHAnsi"/>
                      <w:szCs w:val="21"/>
                    </w:rPr>
                    <w:t>0.90</w:t>
                  </w:r>
                </w:p>
              </w:tc>
              <w:tc>
                <w:tcPr>
                  <w:tcW w:w="588" w:type="pct"/>
                  <w:vAlign w:val="center"/>
                </w:tcPr>
                <w:p w14:paraId="3B559CD6">
                  <w:pPr>
                    <w:jc w:val="center"/>
                    <w:rPr>
                      <w:rFonts w:cstheme="minorHAnsi"/>
                      <w:szCs w:val="21"/>
                    </w:rPr>
                  </w:pPr>
                  <w:r>
                    <w:rPr>
                      <w:rFonts w:hint="eastAsia" w:cstheme="minorHAnsi"/>
                      <w:szCs w:val="21"/>
                    </w:rPr>
                    <w:t>0.94</w:t>
                  </w:r>
                </w:p>
              </w:tc>
              <w:tc>
                <w:tcPr>
                  <w:tcW w:w="589" w:type="pct"/>
                  <w:vAlign w:val="center"/>
                </w:tcPr>
                <w:p w14:paraId="5E6E9A80">
                  <w:pPr>
                    <w:jc w:val="center"/>
                    <w:rPr>
                      <w:rFonts w:cstheme="minorHAnsi"/>
                      <w:szCs w:val="21"/>
                    </w:rPr>
                  </w:pPr>
                  <w:r>
                    <w:rPr>
                      <w:rFonts w:hint="eastAsia" w:cstheme="minorHAnsi"/>
                      <w:szCs w:val="21"/>
                    </w:rPr>
                    <w:t>0.92</w:t>
                  </w:r>
                </w:p>
              </w:tc>
              <w:tc>
                <w:tcPr>
                  <w:tcW w:w="688" w:type="pct"/>
                  <w:vAlign w:val="center"/>
                </w:tcPr>
                <w:p w14:paraId="542A1BC2">
                  <w:pPr>
                    <w:jc w:val="center"/>
                    <w:rPr>
                      <w:rFonts w:cstheme="minorHAnsi"/>
                      <w:szCs w:val="21"/>
                    </w:rPr>
                  </w:pPr>
                  <w:r>
                    <w:rPr>
                      <w:rFonts w:hint="eastAsia" w:cstheme="minorHAnsi"/>
                      <w:szCs w:val="21"/>
                    </w:rPr>
                    <w:t>2.0</w:t>
                  </w:r>
                </w:p>
              </w:tc>
            </w:tr>
            <w:tr w14:paraId="398F6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trPr>
              <w:tc>
                <w:tcPr>
                  <w:tcW w:w="452" w:type="pct"/>
                  <w:vMerge w:val="continue"/>
                  <w:vAlign w:val="center"/>
                </w:tcPr>
                <w:p w14:paraId="7A1B0BAD">
                  <w:pPr>
                    <w:jc w:val="center"/>
                    <w:rPr>
                      <w:rFonts w:cstheme="minorHAnsi"/>
                      <w:szCs w:val="21"/>
                    </w:rPr>
                  </w:pPr>
                </w:p>
              </w:tc>
              <w:tc>
                <w:tcPr>
                  <w:tcW w:w="725" w:type="pct"/>
                  <w:vMerge w:val="restart"/>
                  <w:vAlign w:val="center"/>
                </w:tcPr>
                <w:p w14:paraId="7A9BF2A4">
                  <w:pPr>
                    <w:jc w:val="center"/>
                    <w:rPr>
                      <w:rFonts w:cstheme="minorHAnsi"/>
                      <w:szCs w:val="21"/>
                    </w:rPr>
                  </w:pPr>
                  <w:r>
                    <w:rPr>
                      <w:rFonts w:hint="eastAsia" w:cstheme="minorHAnsi"/>
                      <w:szCs w:val="21"/>
                    </w:rPr>
                    <w:t>厂界外北侧3m高1.5m</w:t>
                  </w:r>
                </w:p>
              </w:tc>
              <w:tc>
                <w:tcPr>
                  <w:tcW w:w="782" w:type="pct"/>
                  <w:vAlign w:val="center"/>
                </w:tcPr>
                <w:p w14:paraId="4BB87517">
                  <w:pPr>
                    <w:jc w:val="center"/>
                    <w:rPr>
                      <w:szCs w:val="21"/>
                    </w:rPr>
                  </w:pPr>
                  <w:r>
                    <w:rPr>
                      <w:rFonts w:hint="eastAsia"/>
                      <w:szCs w:val="21"/>
                    </w:rPr>
                    <w:t>颗粒物</w:t>
                  </w:r>
                </w:p>
              </w:tc>
              <w:tc>
                <w:tcPr>
                  <w:tcW w:w="588" w:type="pct"/>
                  <w:vAlign w:val="center"/>
                </w:tcPr>
                <w:p w14:paraId="7E70C267">
                  <w:pPr>
                    <w:jc w:val="center"/>
                    <w:rPr>
                      <w:rFonts w:cstheme="minorHAnsi"/>
                      <w:szCs w:val="21"/>
                    </w:rPr>
                  </w:pPr>
                  <w:r>
                    <w:rPr>
                      <w:rFonts w:hint="eastAsia" w:cstheme="minorHAnsi"/>
                      <w:szCs w:val="21"/>
                    </w:rPr>
                    <w:t>0.325</w:t>
                  </w:r>
                </w:p>
              </w:tc>
              <w:tc>
                <w:tcPr>
                  <w:tcW w:w="588" w:type="pct"/>
                  <w:vAlign w:val="center"/>
                </w:tcPr>
                <w:p w14:paraId="46DEDB75">
                  <w:pPr>
                    <w:jc w:val="center"/>
                    <w:rPr>
                      <w:rFonts w:cstheme="minorHAnsi"/>
                      <w:szCs w:val="21"/>
                    </w:rPr>
                  </w:pPr>
                  <w:r>
                    <w:rPr>
                      <w:rFonts w:hint="eastAsia" w:cstheme="minorHAnsi"/>
                      <w:szCs w:val="21"/>
                    </w:rPr>
                    <w:t>0.326</w:t>
                  </w:r>
                </w:p>
              </w:tc>
              <w:tc>
                <w:tcPr>
                  <w:tcW w:w="588" w:type="pct"/>
                  <w:vAlign w:val="center"/>
                </w:tcPr>
                <w:p w14:paraId="6E960306">
                  <w:pPr>
                    <w:jc w:val="center"/>
                    <w:rPr>
                      <w:rFonts w:cstheme="minorHAnsi"/>
                      <w:szCs w:val="21"/>
                    </w:rPr>
                  </w:pPr>
                  <w:r>
                    <w:rPr>
                      <w:rFonts w:hint="eastAsia" w:cstheme="minorHAnsi"/>
                      <w:szCs w:val="21"/>
                    </w:rPr>
                    <w:t>0.327</w:t>
                  </w:r>
                </w:p>
              </w:tc>
              <w:tc>
                <w:tcPr>
                  <w:tcW w:w="589" w:type="pct"/>
                  <w:vAlign w:val="center"/>
                </w:tcPr>
                <w:p w14:paraId="0BFEF020">
                  <w:pPr>
                    <w:jc w:val="center"/>
                    <w:rPr>
                      <w:rFonts w:cstheme="minorHAnsi"/>
                      <w:szCs w:val="21"/>
                    </w:rPr>
                  </w:pPr>
                  <w:r>
                    <w:rPr>
                      <w:rFonts w:hint="eastAsia" w:cstheme="minorHAnsi"/>
                      <w:szCs w:val="21"/>
                    </w:rPr>
                    <w:t>0.327</w:t>
                  </w:r>
                </w:p>
              </w:tc>
              <w:tc>
                <w:tcPr>
                  <w:tcW w:w="688" w:type="pct"/>
                  <w:vAlign w:val="center"/>
                </w:tcPr>
                <w:p w14:paraId="4E4EA150">
                  <w:pPr>
                    <w:jc w:val="center"/>
                    <w:rPr>
                      <w:rFonts w:cstheme="minorHAnsi"/>
                      <w:szCs w:val="21"/>
                    </w:rPr>
                  </w:pPr>
                  <w:r>
                    <w:rPr>
                      <w:rFonts w:hint="eastAsia" w:cstheme="minorHAnsi"/>
                      <w:szCs w:val="21"/>
                    </w:rPr>
                    <w:t>1.0</w:t>
                  </w:r>
                </w:p>
              </w:tc>
            </w:tr>
            <w:tr w14:paraId="506C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4D7295F5">
                  <w:pPr>
                    <w:jc w:val="center"/>
                    <w:rPr>
                      <w:rFonts w:cstheme="minorHAnsi"/>
                      <w:szCs w:val="21"/>
                    </w:rPr>
                  </w:pPr>
                </w:p>
              </w:tc>
              <w:tc>
                <w:tcPr>
                  <w:tcW w:w="725" w:type="pct"/>
                  <w:vMerge w:val="continue"/>
                  <w:vAlign w:val="center"/>
                </w:tcPr>
                <w:p w14:paraId="3FEFBC1C">
                  <w:pPr>
                    <w:jc w:val="center"/>
                    <w:rPr>
                      <w:rFonts w:cstheme="minorHAnsi"/>
                      <w:szCs w:val="21"/>
                    </w:rPr>
                  </w:pPr>
                </w:p>
              </w:tc>
              <w:tc>
                <w:tcPr>
                  <w:tcW w:w="782" w:type="pct"/>
                  <w:vAlign w:val="center"/>
                </w:tcPr>
                <w:p w14:paraId="6B104B6C">
                  <w:pPr>
                    <w:jc w:val="center"/>
                    <w:rPr>
                      <w:szCs w:val="21"/>
                    </w:rPr>
                  </w:pPr>
                  <w:r>
                    <w:rPr>
                      <w:rFonts w:hint="eastAsia"/>
                      <w:szCs w:val="21"/>
                    </w:rPr>
                    <w:t>非甲烷总烃</w:t>
                  </w:r>
                </w:p>
              </w:tc>
              <w:tc>
                <w:tcPr>
                  <w:tcW w:w="588" w:type="pct"/>
                  <w:vAlign w:val="center"/>
                </w:tcPr>
                <w:p w14:paraId="6B2A527C">
                  <w:pPr>
                    <w:jc w:val="center"/>
                    <w:rPr>
                      <w:rFonts w:cstheme="minorHAnsi"/>
                      <w:szCs w:val="21"/>
                    </w:rPr>
                  </w:pPr>
                  <w:r>
                    <w:rPr>
                      <w:rFonts w:hint="eastAsia" w:cstheme="minorHAnsi"/>
                      <w:szCs w:val="21"/>
                    </w:rPr>
                    <w:t>1.01</w:t>
                  </w:r>
                </w:p>
              </w:tc>
              <w:tc>
                <w:tcPr>
                  <w:tcW w:w="588" w:type="pct"/>
                  <w:vAlign w:val="center"/>
                </w:tcPr>
                <w:p w14:paraId="51AB60BF">
                  <w:pPr>
                    <w:jc w:val="center"/>
                    <w:rPr>
                      <w:rFonts w:cstheme="minorHAnsi"/>
                      <w:szCs w:val="21"/>
                    </w:rPr>
                  </w:pPr>
                  <w:r>
                    <w:rPr>
                      <w:rFonts w:hint="eastAsia" w:cstheme="minorHAnsi"/>
                      <w:szCs w:val="21"/>
                    </w:rPr>
                    <w:t>0.89</w:t>
                  </w:r>
                </w:p>
              </w:tc>
              <w:tc>
                <w:tcPr>
                  <w:tcW w:w="588" w:type="pct"/>
                  <w:vAlign w:val="center"/>
                </w:tcPr>
                <w:p w14:paraId="36AB6969">
                  <w:pPr>
                    <w:jc w:val="center"/>
                    <w:rPr>
                      <w:rFonts w:cstheme="minorHAnsi"/>
                      <w:szCs w:val="21"/>
                    </w:rPr>
                  </w:pPr>
                  <w:r>
                    <w:rPr>
                      <w:rFonts w:hint="eastAsia" w:cstheme="minorHAnsi"/>
                      <w:szCs w:val="21"/>
                    </w:rPr>
                    <w:t>0.88</w:t>
                  </w:r>
                </w:p>
              </w:tc>
              <w:tc>
                <w:tcPr>
                  <w:tcW w:w="589" w:type="pct"/>
                  <w:vAlign w:val="center"/>
                </w:tcPr>
                <w:p w14:paraId="68F7BBCE">
                  <w:pPr>
                    <w:jc w:val="center"/>
                    <w:rPr>
                      <w:rFonts w:cstheme="minorHAnsi"/>
                      <w:szCs w:val="21"/>
                    </w:rPr>
                  </w:pPr>
                  <w:r>
                    <w:rPr>
                      <w:rFonts w:hint="eastAsia" w:cstheme="minorHAnsi"/>
                      <w:szCs w:val="21"/>
                    </w:rPr>
                    <w:t>0.93</w:t>
                  </w:r>
                </w:p>
              </w:tc>
              <w:tc>
                <w:tcPr>
                  <w:tcW w:w="688" w:type="pct"/>
                  <w:vAlign w:val="center"/>
                </w:tcPr>
                <w:p w14:paraId="02ECC5CD">
                  <w:pPr>
                    <w:jc w:val="center"/>
                    <w:rPr>
                      <w:rFonts w:cstheme="minorHAnsi"/>
                      <w:szCs w:val="21"/>
                    </w:rPr>
                  </w:pPr>
                  <w:r>
                    <w:rPr>
                      <w:rFonts w:hint="eastAsia" w:cstheme="minorHAnsi"/>
                      <w:szCs w:val="21"/>
                    </w:rPr>
                    <w:t>2.0</w:t>
                  </w:r>
                </w:p>
              </w:tc>
            </w:tr>
            <w:tr w14:paraId="51E1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restart"/>
                  <w:vAlign w:val="center"/>
                </w:tcPr>
                <w:p w14:paraId="43C48E6E">
                  <w:pPr>
                    <w:jc w:val="center"/>
                    <w:rPr>
                      <w:rFonts w:cstheme="minorHAnsi"/>
                      <w:szCs w:val="21"/>
                    </w:rPr>
                  </w:pPr>
                  <w:r>
                    <w:rPr>
                      <w:rFonts w:hint="eastAsia" w:cstheme="minorHAnsi"/>
                      <w:szCs w:val="21"/>
                    </w:rPr>
                    <w:t>2024</w:t>
                  </w:r>
                </w:p>
                <w:p w14:paraId="6698FB9C">
                  <w:pPr>
                    <w:jc w:val="center"/>
                    <w:rPr>
                      <w:rFonts w:cstheme="minorHAnsi"/>
                      <w:szCs w:val="21"/>
                    </w:rPr>
                  </w:pPr>
                  <w:r>
                    <w:rPr>
                      <w:rFonts w:hint="eastAsia" w:cstheme="minorHAnsi"/>
                      <w:szCs w:val="21"/>
                    </w:rPr>
                    <w:t>0802</w:t>
                  </w:r>
                </w:p>
              </w:tc>
              <w:tc>
                <w:tcPr>
                  <w:tcW w:w="725" w:type="pct"/>
                  <w:vMerge w:val="restart"/>
                  <w:vAlign w:val="center"/>
                </w:tcPr>
                <w:p w14:paraId="15F96DDC">
                  <w:pPr>
                    <w:jc w:val="center"/>
                    <w:rPr>
                      <w:rFonts w:cstheme="minorHAnsi"/>
                      <w:szCs w:val="21"/>
                    </w:rPr>
                  </w:pPr>
                  <w:r>
                    <w:rPr>
                      <w:rFonts w:hint="eastAsia" w:cstheme="minorHAnsi"/>
                      <w:szCs w:val="21"/>
                    </w:rPr>
                    <w:t>厂界外东南侧3m高1.5m</w:t>
                  </w:r>
                </w:p>
              </w:tc>
              <w:tc>
                <w:tcPr>
                  <w:tcW w:w="782" w:type="pct"/>
                  <w:vAlign w:val="center"/>
                </w:tcPr>
                <w:p w14:paraId="1CF850C3">
                  <w:pPr>
                    <w:jc w:val="center"/>
                    <w:rPr>
                      <w:szCs w:val="21"/>
                    </w:rPr>
                  </w:pPr>
                  <w:r>
                    <w:rPr>
                      <w:rFonts w:hint="eastAsia"/>
                      <w:szCs w:val="21"/>
                    </w:rPr>
                    <w:t>颗粒物</w:t>
                  </w:r>
                </w:p>
              </w:tc>
              <w:tc>
                <w:tcPr>
                  <w:tcW w:w="588" w:type="pct"/>
                  <w:vAlign w:val="center"/>
                </w:tcPr>
                <w:p w14:paraId="7D3F1962">
                  <w:pPr>
                    <w:jc w:val="center"/>
                    <w:rPr>
                      <w:rFonts w:cstheme="minorHAnsi"/>
                      <w:szCs w:val="21"/>
                    </w:rPr>
                  </w:pPr>
                  <w:r>
                    <w:rPr>
                      <w:rFonts w:hint="eastAsia" w:cstheme="minorHAnsi"/>
                      <w:szCs w:val="21"/>
                    </w:rPr>
                    <w:t>0.314</w:t>
                  </w:r>
                </w:p>
              </w:tc>
              <w:tc>
                <w:tcPr>
                  <w:tcW w:w="588" w:type="pct"/>
                  <w:vAlign w:val="center"/>
                </w:tcPr>
                <w:p w14:paraId="78BDCEEB">
                  <w:pPr>
                    <w:jc w:val="center"/>
                    <w:rPr>
                      <w:rFonts w:cstheme="minorHAnsi"/>
                      <w:szCs w:val="21"/>
                    </w:rPr>
                  </w:pPr>
                  <w:r>
                    <w:rPr>
                      <w:rFonts w:hint="eastAsia" w:cstheme="minorHAnsi"/>
                      <w:szCs w:val="21"/>
                    </w:rPr>
                    <w:t>0.304</w:t>
                  </w:r>
                </w:p>
              </w:tc>
              <w:tc>
                <w:tcPr>
                  <w:tcW w:w="588" w:type="pct"/>
                  <w:vAlign w:val="center"/>
                </w:tcPr>
                <w:p w14:paraId="24B7F333">
                  <w:pPr>
                    <w:jc w:val="center"/>
                    <w:rPr>
                      <w:rFonts w:cstheme="minorHAnsi"/>
                      <w:szCs w:val="21"/>
                    </w:rPr>
                  </w:pPr>
                  <w:r>
                    <w:rPr>
                      <w:rFonts w:hint="eastAsia" w:cstheme="minorHAnsi"/>
                      <w:szCs w:val="21"/>
                    </w:rPr>
                    <w:t>0.313</w:t>
                  </w:r>
                </w:p>
              </w:tc>
              <w:tc>
                <w:tcPr>
                  <w:tcW w:w="589" w:type="pct"/>
                  <w:vAlign w:val="center"/>
                </w:tcPr>
                <w:p w14:paraId="3FF9BFAC">
                  <w:pPr>
                    <w:jc w:val="center"/>
                    <w:rPr>
                      <w:rFonts w:cstheme="minorHAnsi"/>
                      <w:szCs w:val="21"/>
                    </w:rPr>
                  </w:pPr>
                  <w:r>
                    <w:rPr>
                      <w:rFonts w:hint="eastAsia" w:cstheme="minorHAnsi"/>
                      <w:szCs w:val="21"/>
                    </w:rPr>
                    <w:t>0.314</w:t>
                  </w:r>
                </w:p>
              </w:tc>
              <w:tc>
                <w:tcPr>
                  <w:tcW w:w="688" w:type="pct"/>
                  <w:vAlign w:val="center"/>
                </w:tcPr>
                <w:p w14:paraId="6B3B02A6">
                  <w:pPr>
                    <w:jc w:val="center"/>
                    <w:rPr>
                      <w:rFonts w:cstheme="minorHAnsi"/>
                      <w:szCs w:val="21"/>
                    </w:rPr>
                  </w:pPr>
                  <w:r>
                    <w:rPr>
                      <w:rFonts w:hint="eastAsia" w:cstheme="minorHAnsi"/>
                      <w:szCs w:val="21"/>
                    </w:rPr>
                    <w:t>1.0</w:t>
                  </w:r>
                </w:p>
              </w:tc>
            </w:tr>
            <w:tr w14:paraId="41CE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349C4B78">
                  <w:pPr>
                    <w:jc w:val="center"/>
                    <w:rPr>
                      <w:rFonts w:cstheme="minorHAnsi"/>
                      <w:szCs w:val="21"/>
                    </w:rPr>
                  </w:pPr>
                </w:p>
              </w:tc>
              <w:tc>
                <w:tcPr>
                  <w:tcW w:w="725" w:type="pct"/>
                  <w:vMerge w:val="continue"/>
                  <w:vAlign w:val="center"/>
                </w:tcPr>
                <w:p w14:paraId="6B080346">
                  <w:pPr>
                    <w:jc w:val="center"/>
                    <w:rPr>
                      <w:rFonts w:cstheme="minorHAnsi"/>
                      <w:szCs w:val="21"/>
                    </w:rPr>
                  </w:pPr>
                </w:p>
              </w:tc>
              <w:tc>
                <w:tcPr>
                  <w:tcW w:w="782" w:type="pct"/>
                  <w:vAlign w:val="center"/>
                </w:tcPr>
                <w:p w14:paraId="2D72759D">
                  <w:pPr>
                    <w:jc w:val="center"/>
                    <w:rPr>
                      <w:szCs w:val="21"/>
                    </w:rPr>
                  </w:pPr>
                  <w:r>
                    <w:rPr>
                      <w:rFonts w:hint="eastAsia"/>
                      <w:szCs w:val="21"/>
                    </w:rPr>
                    <w:t>非甲烷总烃</w:t>
                  </w:r>
                </w:p>
              </w:tc>
              <w:tc>
                <w:tcPr>
                  <w:tcW w:w="588" w:type="pct"/>
                  <w:vAlign w:val="center"/>
                </w:tcPr>
                <w:p w14:paraId="1B16D224">
                  <w:pPr>
                    <w:jc w:val="center"/>
                    <w:rPr>
                      <w:rFonts w:cstheme="minorHAnsi"/>
                      <w:szCs w:val="21"/>
                    </w:rPr>
                  </w:pPr>
                  <w:r>
                    <w:rPr>
                      <w:rFonts w:hint="eastAsia" w:cstheme="minorHAnsi"/>
                      <w:szCs w:val="21"/>
                    </w:rPr>
                    <w:t>0.41</w:t>
                  </w:r>
                </w:p>
              </w:tc>
              <w:tc>
                <w:tcPr>
                  <w:tcW w:w="588" w:type="pct"/>
                  <w:vAlign w:val="center"/>
                </w:tcPr>
                <w:p w14:paraId="55887B34">
                  <w:pPr>
                    <w:jc w:val="center"/>
                    <w:rPr>
                      <w:rFonts w:cstheme="minorHAnsi"/>
                      <w:szCs w:val="21"/>
                    </w:rPr>
                  </w:pPr>
                  <w:r>
                    <w:rPr>
                      <w:rFonts w:hint="eastAsia" w:cstheme="minorHAnsi"/>
                      <w:szCs w:val="21"/>
                    </w:rPr>
                    <w:t>0.53</w:t>
                  </w:r>
                </w:p>
              </w:tc>
              <w:tc>
                <w:tcPr>
                  <w:tcW w:w="588" w:type="pct"/>
                  <w:vAlign w:val="center"/>
                </w:tcPr>
                <w:p w14:paraId="6FEB68B5">
                  <w:pPr>
                    <w:jc w:val="center"/>
                    <w:rPr>
                      <w:rFonts w:cstheme="minorHAnsi"/>
                      <w:szCs w:val="21"/>
                    </w:rPr>
                  </w:pPr>
                  <w:r>
                    <w:rPr>
                      <w:rFonts w:hint="eastAsia" w:cstheme="minorHAnsi"/>
                      <w:szCs w:val="21"/>
                    </w:rPr>
                    <w:t>0.51</w:t>
                  </w:r>
                </w:p>
              </w:tc>
              <w:tc>
                <w:tcPr>
                  <w:tcW w:w="589" w:type="pct"/>
                  <w:vAlign w:val="center"/>
                </w:tcPr>
                <w:p w14:paraId="351CDA65">
                  <w:pPr>
                    <w:jc w:val="center"/>
                    <w:rPr>
                      <w:rFonts w:cstheme="minorHAnsi"/>
                      <w:szCs w:val="21"/>
                    </w:rPr>
                  </w:pPr>
                  <w:r>
                    <w:rPr>
                      <w:rFonts w:hint="eastAsia" w:cstheme="minorHAnsi"/>
                      <w:szCs w:val="21"/>
                    </w:rPr>
                    <w:t>0.48</w:t>
                  </w:r>
                </w:p>
              </w:tc>
              <w:tc>
                <w:tcPr>
                  <w:tcW w:w="688" w:type="pct"/>
                  <w:vAlign w:val="center"/>
                </w:tcPr>
                <w:p w14:paraId="2EF32B3C">
                  <w:pPr>
                    <w:jc w:val="center"/>
                    <w:rPr>
                      <w:rFonts w:cstheme="minorHAnsi"/>
                      <w:szCs w:val="21"/>
                    </w:rPr>
                  </w:pPr>
                  <w:r>
                    <w:rPr>
                      <w:rFonts w:hint="eastAsia" w:cstheme="minorHAnsi"/>
                      <w:szCs w:val="21"/>
                    </w:rPr>
                    <w:t>2.0</w:t>
                  </w:r>
                </w:p>
              </w:tc>
            </w:tr>
            <w:tr w14:paraId="3BAA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29E13D7D">
                  <w:pPr>
                    <w:jc w:val="center"/>
                    <w:rPr>
                      <w:rFonts w:cstheme="minorHAnsi"/>
                      <w:szCs w:val="21"/>
                    </w:rPr>
                  </w:pPr>
                </w:p>
              </w:tc>
              <w:tc>
                <w:tcPr>
                  <w:tcW w:w="725" w:type="pct"/>
                  <w:vMerge w:val="restart"/>
                  <w:vAlign w:val="center"/>
                </w:tcPr>
                <w:p w14:paraId="4100A346">
                  <w:pPr>
                    <w:jc w:val="center"/>
                    <w:rPr>
                      <w:rFonts w:cstheme="minorHAnsi"/>
                      <w:szCs w:val="21"/>
                    </w:rPr>
                  </w:pPr>
                  <w:r>
                    <w:rPr>
                      <w:rFonts w:hint="eastAsia" w:cstheme="minorHAnsi"/>
                      <w:szCs w:val="21"/>
                    </w:rPr>
                    <w:t>厂界外西侧3m高1.5m</w:t>
                  </w:r>
                </w:p>
              </w:tc>
              <w:tc>
                <w:tcPr>
                  <w:tcW w:w="782" w:type="pct"/>
                  <w:vAlign w:val="center"/>
                </w:tcPr>
                <w:p w14:paraId="50849D7A">
                  <w:pPr>
                    <w:jc w:val="center"/>
                    <w:rPr>
                      <w:szCs w:val="21"/>
                    </w:rPr>
                  </w:pPr>
                  <w:r>
                    <w:rPr>
                      <w:rFonts w:hint="eastAsia"/>
                      <w:szCs w:val="21"/>
                    </w:rPr>
                    <w:t>颗粒物</w:t>
                  </w:r>
                </w:p>
              </w:tc>
              <w:tc>
                <w:tcPr>
                  <w:tcW w:w="588" w:type="pct"/>
                  <w:vAlign w:val="center"/>
                </w:tcPr>
                <w:p w14:paraId="0A9A447D">
                  <w:pPr>
                    <w:jc w:val="center"/>
                    <w:rPr>
                      <w:rFonts w:cstheme="minorHAnsi"/>
                      <w:szCs w:val="21"/>
                    </w:rPr>
                  </w:pPr>
                  <w:r>
                    <w:rPr>
                      <w:rFonts w:hint="eastAsia" w:cstheme="minorHAnsi"/>
                      <w:szCs w:val="21"/>
                    </w:rPr>
                    <w:t>0.334</w:t>
                  </w:r>
                </w:p>
              </w:tc>
              <w:tc>
                <w:tcPr>
                  <w:tcW w:w="588" w:type="pct"/>
                  <w:vAlign w:val="center"/>
                </w:tcPr>
                <w:p w14:paraId="5B4229DA">
                  <w:pPr>
                    <w:jc w:val="center"/>
                    <w:rPr>
                      <w:rFonts w:cstheme="minorHAnsi"/>
                      <w:szCs w:val="21"/>
                    </w:rPr>
                  </w:pPr>
                  <w:r>
                    <w:rPr>
                      <w:rFonts w:hint="eastAsia" w:cstheme="minorHAnsi"/>
                      <w:szCs w:val="21"/>
                    </w:rPr>
                    <w:t>0.343</w:t>
                  </w:r>
                </w:p>
              </w:tc>
              <w:tc>
                <w:tcPr>
                  <w:tcW w:w="588" w:type="pct"/>
                  <w:vAlign w:val="center"/>
                </w:tcPr>
                <w:p w14:paraId="144C841D">
                  <w:pPr>
                    <w:jc w:val="center"/>
                    <w:rPr>
                      <w:rFonts w:cstheme="minorHAnsi"/>
                      <w:szCs w:val="21"/>
                    </w:rPr>
                  </w:pPr>
                  <w:r>
                    <w:rPr>
                      <w:rFonts w:hint="eastAsia" w:cstheme="minorHAnsi"/>
                      <w:szCs w:val="21"/>
                    </w:rPr>
                    <w:t>0.333</w:t>
                  </w:r>
                </w:p>
              </w:tc>
              <w:tc>
                <w:tcPr>
                  <w:tcW w:w="589" w:type="pct"/>
                  <w:vAlign w:val="center"/>
                </w:tcPr>
                <w:p w14:paraId="5674FFEF">
                  <w:pPr>
                    <w:jc w:val="center"/>
                    <w:rPr>
                      <w:rFonts w:cstheme="minorHAnsi"/>
                      <w:szCs w:val="21"/>
                    </w:rPr>
                  </w:pPr>
                  <w:r>
                    <w:rPr>
                      <w:rFonts w:hint="eastAsia" w:cstheme="minorHAnsi"/>
                      <w:szCs w:val="21"/>
                    </w:rPr>
                    <w:t>0.343</w:t>
                  </w:r>
                </w:p>
              </w:tc>
              <w:tc>
                <w:tcPr>
                  <w:tcW w:w="688" w:type="pct"/>
                  <w:vAlign w:val="center"/>
                </w:tcPr>
                <w:p w14:paraId="618B64E4">
                  <w:pPr>
                    <w:jc w:val="center"/>
                    <w:rPr>
                      <w:rFonts w:cstheme="minorHAnsi"/>
                      <w:szCs w:val="21"/>
                    </w:rPr>
                  </w:pPr>
                  <w:r>
                    <w:rPr>
                      <w:rFonts w:hint="eastAsia" w:cstheme="minorHAnsi"/>
                      <w:szCs w:val="21"/>
                    </w:rPr>
                    <w:t>1.0</w:t>
                  </w:r>
                </w:p>
              </w:tc>
            </w:tr>
            <w:tr w14:paraId="7E1DD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4A9B063E">
                  <w:pPr>
                    <w:jc w:val="center"/>
                    <w:rPr>
                      <w:rFonts w:cstheme="minorHAnsi"/>
                      <w:szCs w:val="21"/>
                    </w:rPr>
                  </w:pPr>
                </w:p>
              </w:tc>
              <w:tc>
                <w:tcPr>
                  <w:tcW w:w="725" w:type="pct"/>
                  <w:vMerge w:val="continue"/>
                  <w:vAlign w:val="center"/>
                </w:tcPr>
                <w:p w14:paraId="384B5C41">
                  <w:pPr>
                    <w:jc w:val="center"/>
                    <w:rPr>
                      <w:rFonts w:cstheme="minorHAnsi"/>
                      <w:szCs w:val="21"/>
                    </w:rPr>
                  </w:pPr>
                </w:p>
              </w:tc>
              <w:tc>
                <w:tcPr>
                  <w:tcW w:w="782" w:type="pct"/>
                  <w:vAlign w:val="center"/>
                </w:tcPr>
                <w:p w14:paraId="3E1EFA63">
                  <w:pPr>
                    <w:jc w:val="center"/>
                    <w:rPr>
                      <w:szCs w:val="21"/>
                    </w:rPr>
                  </w:pPr>
                  <w:r>
                    <w:rPr>
                      <w:rFonts w:hint="eastAsia"/>
                      <w:szCs w:val="21"/>
                    </w:rPr>
                    <w:t>非甲烷总烃</w:t>
                  </w:r>
                </w:p>
              </w:tc>
              <w:tc>
                <w:tcPr>
                  <w:tcW w:w="588" w:type="pct"/>
                  <w:vAlign w:val="center"/>
                </w:tcPr>
                <w:p w14:paraId="45787A76">
                  <w:pPr>
                    <w:jc w:val="center"/>
                    <w:rPr>
                      <w:rFonts w:cstheme="minorHAnsi"/>
                      <w:szCs w:val="21"/>
                    </w:rPr>
                  </w:pPr>
                  <w:r>
                    <w:rPr>
                      <w:rFonts w:hint="eastAsia" w:cstheme="minorHAnsi"/>
                      <w:szCs w:val="21"/>
                    </w:rPr>
                    <w:t>0.93</w:t>
                  </w:r>
                </w:p>
              </w:tc>
              <w:tc>
                <w:tcPr>
                  <w:tcW w:w="588" w:type="pct"/>
                  <w:vAlign w:val="center"/>
                </w:tcPr>
                <w:p w14:paraId="39FEDA2F">
                  <w:pPr>
                    <w:jc w:val="center"/>
                    <w:rPr>
                      <w:rFonts w:cstheme="minorHAnsi"/>
                      <w:szCs w:val="21"/>
                    </w:rPr>
                  </w:pPr>
                  <w:r>
                    <w:rPr>
                      <w:rFonts w:hint="eastAsia" w:cstheme="minorHAnsi"/>
                      <w:szCs w:val="21"/>
                    </w:rPr>
                    <w:t>1.18</w:t>
                  </w:r>
                </w:p>
              </w:tc>
              <w:tc>
                <w:tcPr>
                  <w:tcW w:w="588" w:type="pct"/>
                  <w:vAlign w:val="center"/>
                </w:tcPr>
                <w:p w14:paraId="01050456">
                  <w:pPr>
                    <w:jc w:val="center"/>
                    <w:rPr>
                      <w:rFonts w:cstheme="minorHAnsi"/>
                      <w:szCs w:val="21"/>
                    </w:rPr>
                  </w:pPr>
                  <w:r>
                    <w:rPr>
                      <w:rFonts w:hint="eastAsia" w:cstheme="minorHAnsi"/>
                      <w:szCs w:val="21"/>
                    </w:rPr>
                    <w:t>1.16</w:t>
                  </w:r>
                </w:p>
              </w:tc>
              <w:tc>
                <w:tcPr>
                  <w:tcW w:w="589" w:type="pct"/>
                  <w:vAlign w:val="center"/>
                </w:tcPr>
                <w:p w14:paraId="388400C1">
                  <w:pPr>
                    <w:jc w:val="center"/>
                    <w:rPr>
                      <w:rFonts w:cstheme="minorHAnsi"/>
                      <w:szCs w:val="21"/>
                    </w:rPr>
                  </w:pPr>
                  <w:r>
                    <w:rPr>
                      <w:rFonts w:hint="eastAsia" w:cstheme="minorHAnsi"/>
                      <w:szCs w:val="21"/>
                    </w:rPr>
                    <w:t>1.09</w:t>
                  </w:r>
                </w:p>
              </w:tc>
              <w:tc>
                <w:tcPr>
                  <w:tcW w:w="688" w:type="pct"/>
                  <w:vAlign w:val="center"/>
                </w:tcPr>
                <w:p w14:paraId="3B1DB7B8">
                  <w:pPr>
                    <w:jc w:val="center"/>
                    <w:rPr>
                      <w:rFonts w:cstheme="minorHAnsi"/>
                      <w:szCs w:val="21"/>
                    </w:rPr>
                  </w:pPr>
                  <w:r>
                    <w:rPr>
                      <w:rFonts w:hint="eastAsia" w:cstheme="minorHAnsi"/>
                      <w:szCs w:val="21"/>
                    </w:rPr>
                    <w:t>2.0</w:t>
                  </w:r>
                </w:p>
              </w:tc>
            </w:tr>
            <w:tr w14:paraId="3AAE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2C75C279">
                  <w:pPr>
                    <w:jc w:val="center"/>
                    <w:rPr>
                      <w:rFonts w:cstheme="minorHAnsi"/>
                      <w:szCs w:val="21"/>
                    </w:rPr>
                  </w:pPr>
                </w:p>
              </w:tc>
              <w:tc>
                <w:tcPr>
                  <w:tcW w:w="725" w:type="pct"/>
                  <w:vMerge w:val="restart"/>
                  <w:vAlign w:val="center"/>
                </w:tcPr>
                <w:p w14:paraId="3CB25BCC">
                  <w:pPr>
                    <w:jc w:val="center"/>
                    <w:rPr>
                      <w:rFonts w:cstheme="minorHAnsi"/>
                      <w:szCs w:val="21"/>
                    </w:rPr>
                  </w:pPr>
                  <w:r>
                    <w:rPr>
                      <w:rFonts w:hint="eastAsia" w:cstheme="minorHAnsi"/>
                      <w:szCs w:val="21"/>
                    </w:rPr>
                    <w:t>厂界外西北侧3m高1.5m</w:t>
                  </w:r>
                </w:p>
              </w:tc>
              <w:tc>
                <w:tcPr>
                  <w:tcW w:w="782" w:type="pct"/>
                  <w:vAlign w:val="center"/>
                </w:tcPr>
                <w:p w14:paraId="217871A9">
                  <w:pPr>
                    <w:jc w:val="center"/>
                    <w:rPr>
                      <w:szCs w:val="21"/>
                    </w:rPr>
                  </w:pPr>
                  <w:r>
                    <w:rPr>
                      <w:rFonts w:hint="eastAsia"/>
                      <w:szCs w:val="21"/>
                    </w:rPr>
                    <w:t>颗粒物</w:t>
                  </w:r>
                </w:p>
              </w:tc>
              <w:tc>
                <w:tcPr>
                  <w:tcW w:w="588" w:type="pct"/>
                  <w:vAlign w:val="center"/>
                </w:tcPr>
                <w:p w14:paraId="24AD1DFD">
                  <w:pPr>
                    <w:jc w:val="center"/>
                    <w:rPr>
                      <w:rFonts w:cstheme="minorHAnsi"/>
                      <w:szCs w:val="21"/>
                    </w:rPr>
                  </w:pPr>
                  <w:r>
                    <w:rPr>
                      <w:rFonts w:hint="eastAsia" w:cstheme="minorHAnsi"/>
                      <w:szCs w:val="21"/>
                    </w:rPr>
                    <w:t>0.353</w:t>
                  </w:r>
                </w:p>
              </w:tc>
              <w:tc>
                <w:tcPr>
                  <w:tcW w:w="588" w:type="pct"/>
                  <w:vAlign w:val="center"/>
                </w:tcPr>
                <w:p w14:paraId="2064323A">
                  <w:pPr>
                    <w:jc w:val="center"/>
                    <w:rPr>
                      <w:rFonts w:cstheme="minorHAnsi"/>
                      <w:szCs w:val="21"/>
                    </w:rPr>
                  </w:pPr>
                  <w:r>
                    <w:rPr>
                      <w:rFonts w:hint="eastAsia" w:cstheme="minorHAnsi"/>
                      <w:szCs w:val="21"/>
                    </w:rPr>
                    <w:t>0.363</w:t>
                  </w:r>
                </w:p>
              </w:tc>
              <w:tc>
                <w:tcPr>
                  <w:tcW w:w="588" w:type="pct"/>
                  <w:vAlign w:val="center"/>
                </w:tcPr>
                <w:p w14:paraId="3EE7A134">
                  <w:pPr>
                    <w:jc w:val="center"/>
                    <w:rPr>
                      <w:rFonts w:cstheme="minorHAnsi"/>
                      <w:szCs w:val="21"/>
                    </w:rPr>
                  </w:pPr>
                  <w:r>
                    <w:rPr>
                      <w:rFonts w:hint="eastAsia" w:cstheme="minorHAnsi"/>
                      <w:szCs w:val="21"/>
                    </w:rPr>
                    <w:t>0.353</w:t>
                  </w:r>
                </w:p>
              </w:tc>
              <w:tc>
                <w:tcPr>
                  <w:tcW w:w="589" w:type="pct"/>
                  <w:vAlign w:val="center"/>
                </w:tcPr>
                <w:p w14:paraId="57202254">
                  <w:pPr>
                    <w:jc w:val="center"/>
                    <w:rPr>
                      <w:rFonts w:cstheme="minorHAnsi"/>
                      <w:szCs w:val="21"/>
                    </w:rPr>
                  </w:pPr>
                  <w:r>
                    <w:rPr>
                      <w:rFonts w:hint="eastAsia" w:cstheme="minorHAnsi"/>
                      <w:szCs w:val="21"/>
                    </w:rPr>
                    <w:t>0.363</w:t>
                  </w:r>
                </w:p>
              </w:tc>
              <w:tc>
                <w:tcPr>
                  <w:tcW w:w="688" w:type="pct"/>
                  <w:vAlign w:val="center"/>
                </w:tcPr>
                <w:p w14:paraId="06D1D393">
                  <w:pPr>
                    <w:jc w:val="center"/>
                    <w:rPr>
                      <w:rFonts w:cstheme="minorHAnsi"/>
                      <w:szCs w:val="21"/>
                    </w:rPr>
                  </w:pPr>
                  <w:r>
                    <w:rPr>
                      <w:rFonts w:hint="eastAsia" w:cstheme="minorHAnsi"/>
                      <w:szCs w:val="21"/>
                    </w:rPr>
                    <w:t>1.0</w:t>
                  </w:r>
                </w:p>
              </w:tc>
            </w:tr>
            <w:tr w14:paraId="7BC8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1CE25C92">
                  <w:pPr>
                    <w:jc w:val="center"/>
                    <w:rPr>
                      <w:rFonts w:cstheme="minorHAnsi"/>
                      <w:szCs w:val="21"/>
                    </w:rPr>
                  </w:pPr>
                </w:p>
              </w:tc>
              <w:tc>
                <w:tcPr>
                  <w:tcW w:w="725" w:type="pct"/>
                  <w:vMerge w:val="continue"/>
                  <w:vAlign w:val="center"/>
                </w:tcPr>
                <w:p w14:paraId="33060550">
                  <w:pPr>
                    <w:jc w:val="center"/>
                    <w:rPr>
                      <w:rFonts w:cstheme="minorHAnsi"/>
                      <w:szCs w:val="21"/>
                    </w:rPr>
                  </w:pPr>
                </w:p>
              </w:tc>
              <w:tc>
                <w:tcPr>
                  <w:tcW w:w="782" w:type="pct"/>
                  <w:vAlign w:val="center"/>
                </w:tcPr>
                <w:p w14:paraId="0906915A">
                  <w:pPr>
                    <w:jc w:val="center"/>
                    <w:rPr>
                      <w:szCs w:val="21"/>
                    </w:rPr>
                  </w:pPr>
                  <w:r>
                    <w:rPr>
                      <w:rFonts w:hint="eastAsia"/>
                      <w:szCs w:val="21"/>
                    </w:rPr>
                    <w:t>非甲烷总烃</w:t>
                  </w:r>
                </w:p>
              </w:tc>
              <w:tc>
                <w:tcPr>
                  <w:tcW w:w="588" w:type="pct"/>
                  <w:vAlign w:val="center"/>
                </w:tcPr>
                <w:p w14:paraId="5C02E184">
                  <w:pPr>
                    <w:jc w:val="center"/>
                    <w:rPr>
                      <w:rFonts w:cstheme="minorHAnsi"/>
                      <w:szCs w:val="21"/>
                    </w:rPr>
                  </w:pPr>
                  <w:r>
                    <w:rPr>
                      <w:rFonts w:hint="eastAsia" w:cstheme="minorHAnsi"/>
                      <w:szCs w:val="21"/>
                    </w:rPr>
                    <w:t>0.92</w:t>
                  </w:r>
                </w:p>
              </w:tc>
              <w:tc>
                <w:tcPr>
                  <w:tcW w:w="588" w:type="pct"/>
                  <w:vAlign w:val="center"/>
                </w:tcPr>
                <w:p w14:paraId="75926B27">
                  <w:pPr>
                    <w:jc w:val="center"/>
                    <w:rPr>
                      <w:rFonts w:cstheme="minorHAnsi"/>
                      <w:szCs w:val="21"/>
                    </w:rPr>
                  </w:pPr>
                  <w:r>
                    <w:rPr>
                      <w:rFonts w:hint="eastAsia" w:cstheme="minorHAnsi"/>
                      <w:szCs w:val="21"/>
                    </w:rPr>
                    <w:t>0.99</w:t>
                  </w:r>
                </w:p>
              </w:tc>
              <w:tc>
                <w:tcPr>
                  <w:tcW w:w="588" w:type="pct"/>
                  <w:vAlign w:val="center"/>
                </w:tcPr>
                <w:p w14:paraId="0D25AE15">
                  <w:pPr>
                    <w:jc w:val="center"/>
                    <w:rPr>
                      <w:rFonts w:cstheme="minorHAnsi"/>
                      <w:szCs w:val="21"/>
                    </w:rPr>
                  </w:pPr>
                  <w:r>
                    <w:rPr>
                      <w:rFonts w:hint="eastAsia" w:cstheme="minorHAnsi"/>
                      <w:szCs w:val="21"/>
                    </w:rPr>
                    <w:t>0.90</w:t>
                  </w:r>
                </w:p>
              </w:tc>
              <w:tc>
                <w:tcPr>
                  <w:tcW w:w="589" w:type="pct"/>
                  <w:vAlign w:val="center"/>
                </w:tcPr>
                <w:p w14:paraId="7994194B">
                  <w:pPr>
                    <w:jc w:val="center"/>
                    <w:rPr>
                      <w:rFonts w:cstheme="minorHAnsi"/>
                      <w:szCs w:val="21"/>
                    </w:rPr>
                  </w:pPr>
                  <w:r>
                    <w:rPr>
                      <w:rFonts w:hint="eastAsia" w:cstheme="minorHAnsi"/>
                      <w:szCs w:val="21"/>
                    </w:rPr>
                    <w:t>0.94</w:t>
                  </w:r>
                </w:p>
              </w:tc>
              <w:tc>
                <w:tcPr>
                  <w:tcW w:w="688" w:type="pct"/>
                  <w:vAlign w:val="center"/>
                </w:tcPr>
                <w:p w14:paraId="419B3EE4">
                  <w:pPr>
                    <w:jc w:val="center"/>
                    <w:rPr>
                      <w:rFonts w:cstheme="minorHAnsi"/>
                      <w:szCs w:val="21"/>
                    </w:rPr>
                  </w:pPr>
                  <w:r>
                    <w:rPr>
                      <w:rFonts w:hint="eastAsia" w:cstheme="minorHAnsi"/>
                      <w:szCs w:val="21"/>
                    </w:rPr>
                    <w:t>2.0</w:t>
                  </w:r>
                </w:p>
              </w:tc>
            </w:tr>
            <w:tr w14:paraId="50EF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129740BB">
                  <w:pPr>
                    <w:jc w:val="center"/>
                    <w:rPr>
                      <w:rFonts w:cstheme="minorHAnsi"/>
                      <w:szCs w:val="21"/>
                    </w:rPr>
                  </w:pPr>
                </w:p>
              </w:tc>
              <w:tc>
                <w:tcPr>
                  <w:tcW w:w="725" w:type="pct"/>
                  <w:vMerge w:val="restart"/>
                  <w:vAlign w:val="center"/>
                </w:tcPr>
                <w:p w14:paraId="4F9B07DF">
                  <w:pPr>
                    <w:jc w:val="center"/>
                    <w:rPr>
                      <w:rFonts w:cstheme="minorHAnsi"/>
                      <w:szCs w:val="21"/>
                    </w:rPr>
                  </w:pPr>
                  <w:r>
                    <w:rPr>
                      <w:rFonts w:hint="eastAsia" w:cstheme="minorHAnsi"/>
                      <w:szCs w:val="21"/>
                    </w:rPr>
                    <w:t>厂界外北侧3m高1.5m</w:t>
                  </w:r>
                </w:p>
              </w:tc>
              <w:tc>
                <w:tcPr>
                  <w:tcW w:w="782" w:type="pct"/>
                  <w:vAlign w:val="center"/>
                </w:tcPr>
                <w:p w14:paraId="0989C9DC">
                  <w:pPr>
                    <w:jc w:val="center"/>
                    <w:rPr>
                      <w:szCs w:val="21"/>
                    </w:rPr>
                  </w:pPr>
                  <w:r>
                    <w:rPr>
                      <w:rFonts w:hint="eastAsia"/>
                      <w:szCs w:val="21"/>
                    </w:rPr>
                    <w:t>颗粒物</w:t>
                  </w:r>
                </w:p>
              </w:tc>
              <w:tc>
                <w:tcPr>
                  <w:tcW w:w="588" w:type="pct"/>
                  <w:vAlign w:val="center"/>
                </w:tcPr>
                <w:p w14:paraId="0611BA38">
                  <w:pPr>
                    <w:jc w:val="center"/>
                    <w:rPr>
                      <w:rFonts w:cstheme="minorHAnsi"/>
                      <w:szCs w:val="21"/>
                    </w:rPr>
                  </w:pPr>
                  <w:r>
                    <w:rPr>
                      <w:rFonts w:hint="eastAsia" w:cstheme="minorHAnsi"/>
                      <w:szCs w:val="21"/>
                    </w:rPr>
                    <w:t>0.343</w:t>
                  </w:r>
                </w:p>
              </w:tc>
              <w:tc>
                <w:tcPr>
                  <w:tcW w:w="588" w:type="pct"/>
                  <w:vAlign w:val="center"/>
                </w:tcPr>
                <w:p w14:paraId="712199C8">
                  <w:pPr>
                    <w:jc w:val="center"/>
                    <w:rPr>
                      <w:rFonts w:cstheme="minorHAnsi"/>
                      <w:szCs w:val="21"/>
                    </w:rPr>
                  </w:pPr>
                  <w:r>
                    <w:rPr>
                      <w:rFonts w:hint="eastAsia" w:cstheme="minorHAnsi"/>
                      <w:szCs w:val="21"/>
                    </w:rPr>
                    <w:t>0.353</w:t>
                  </w:r>
                </w:p>
              </w:tc>
              <w:tc>
                <w:tcPr>
                  <w:tcW w:w="588" w:type="pct"/>
                  <w:vAlign w:val="center"/>
                </w:tcPr>
                <w:p w14:paraId="31158AA3">
                  <w:pPr>
                    <w:jc w:val="center"/>
                    <w:rPr>
                      <w:rFonts w:cstheme="minorHAnsi"/>
                      <w:szCs w:val="21"/>
                    </w:rPr>
                  </w:pPr>
                  <w:r>
                    <w:rPr>
                      <w:rFonts w:hint="eastAsia" w:cstheme="minorHAnsi"/>
                      <w:szCs w:val="21"/>
                    </w:rPr>
                    <w:t>0.343</w:t>
                  </w:r>
                </w:p>
              </w:tc>
              <w:tc>
                <w:tcPr>
                  <w:tcW w:w="589" w:type="pct"/>
                  <w:vAlign w:val="center"/>
                </w:tcPr>
                <w:p w14:paraId="22746828">
                  <w:pPr>
                    <w:jc w:val="center"/>
                    <w:rPr>
                      <w:rFonts w:cstheme="minorHAnsi"/>
                      <w:szCs w:val="21"/>
                    </w:rPr>
                  </w:pPr>
                  <w:r>
                    <w:rPr>
                      <w:rFonts w:hint="eastAsia" w:cstheme="minorHAnsi"/>
                      <w:szCs w:val="21"/>
                    </w:rPr>
                    <w:t>0.353</w:t>
                  </w:r>
                </w:p>
              </w:tc>
              <w:tc>
                <w:tcPr>
                  <w:tcW w:w="688" w:type="pct"/>
                  <w:vAlign w:val="center"/>
                </w:tcPr>
                <w:p w14:paraId="66CC914F">
                  <w:pPr>
                    <w:jc w:val="center"/>
                    <w:rPr>
                      <w:rFonts w:cstheme="minorHAnsi"/>
                      <w:szCs w:val="21"/>
                    </w:rPr>
                  </w:pPr>
                  <w:r>
                    <w:rPr>
                      <w:rFonts w:hint="eastAsia" w:cstheme="minorHAnsi"/>
                      <w:szCs w:val="21"/>
                    </w:rPr>
                    <w:t>1.0</w:t>
                  </w:r>
                </w:p>
              </w:tc>
            </w:tr>
            <w:tr w14:paraId="68AF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Merge w:val="continue"/>
                  <w:vAlign w:val="center"/>
                </w:tcPr>
                <w:p w14:paraId="1FAAD2B8">
                  <w:pPr>
                    <w:jc w:val="center"/>
                    <w:rPr>
                      <w:rFonts w:cstheme="minorHAnsi"/>
                      <w:szCs w:val="21"/>
                    </w:rPr>
                  </w:pPr>
                </w:p>
              </w:tc>
              <w:tc>
                <w:tcPr>
                  <w:tcW w:w="725" w:type="pct"/>
                  <w:vMerge w:val="continue"/>
                  <w:vAlign w:val="center"/>
                </w:tcPr>
                <w:p w14:paraId="77629F27">
                  <w:pPr>
                    <w:jc w:val="center"/>
                    <w:rPr>
                      <w:rFonts w:cstheme="minorHAnsi"/>
                      <w:szCs w:val="21"/>
                    </w:rPr>
                  </w:pPr>
                </w:p>
              </w:tc>
              <w:tc>
                <w:tcPr>
                  <w:tcW w:w="782" w:type="pct"/>
                  <w:vAlign w:val="center"/>
                </w:tcPr>
                <w:p w14:paraId="1D8091DB">
                  <w:pPr>
                    <w:jc w:val="center"/>
                    <w:rPr>
                      <w:szCs w:val="21"/>
                    </w:rPr>
                  </w:pPr>
                  <w:r>
                    <w:rPr>
                      <w:rFonts w:hint="eastAsia"/>
                      <w:szCs w:val="21"/>
                    </w:rPr>
                    <w:t>非甲烷总烃</w:t>
                  </w:r>
                </w:p>
              </w:tc>
              <w:tc>
                <w:tcPr>
                  <w:tcW w:w="588" w:type="pct"/>
                  <w:vAlign w:val="center"/>
                </w:tcPr>
                <w:p w14:paraId="68684D9B">
                  <w:pPr>
                    <w:jc w:val="center"/>
                    <w:rPr>
                      <w:rFonts w:cstheme="minorHAnsi"/>
                      <w:szCs w:val="21"/>
                    </w:rPr>
                  </w:pPr>
                  <w:r>
                    <w:rPr>
                      <w:rFonts w:hint="eastAsia" w:cstheme="minorHAnsi"/>
                      <w:szCs w:val="21"/>
                    </w:rPr>
                    <w:t>0.83</w:t>
                  </w:r>
                </w:p>
              </w:tc>
              <w:tc>
                <w:tcPr>
                  <w:tcW w:w="588" w:type="pct"/>
                  <w:vAlign w:val="center"/>
                </w:tcPr>
                <w:p w14:paraId="0476255A">
                  <w:pPr>
                    <w:jc w:val="center"/>
                    <w:rPr>
                      <w:rFonts w:cstheme="minorHAnsi"/>
                      <w:szCs w:val="21"/>
                    </w:rPr>
                  </w:pPr>
                  <w:r>
                    <w:rPr>
                      <w:rFonts w:hint="eastAsia" w:cstheme="minorHAnsi"/>
                      <w:szCs w:val="21"/>
                    </w:rPr>
                    <w:t>0.86</w:t>
                  </w:r>
                </w:p>
              </w:tc>
              <w:tc>
                <w:tcPr>
                  <w:tcW w:w="588" w:type="pct"/>
                  <w:vAlign w:val="center"/>
                </w:tcPr>
                <w:p w14:paraId="4383B2B4">
                  <w:pPr>
                    <w:jc w:val="center"/>
                    <w:rPr>
                      <w:rFonts w:cstheme="minorHAnsi"/>
                      <w:szCs w:val="21"/>
                    </w:rPr>
                  </w:pPr>
                  <w:r>
                    <w:rPr>
                      <w:rFonts w:hint="eastAsia" w:cstheme="minorHAnsi"/>
                      <w:szCs w:val="21"/>
                    </w:rPr>
                    <w:t>0.78</w:t>
                  </w:r>
                </w:p>
              </w:tc>
              <w:tc>
                <w:tcPr>
                  <w:tcW w:w="589" w:type="pct"/>
                  <w:vAlign w:val="center"/>
                </w:tcPr>
                <w:p w14:paraId="2E6B8865">
                  <w:pPr>
                    <w:jc w:val="center"/>
                    <w:rPr>
                      <w:rFonts w:cstheme="minorHAnsi"/>
                      <w:szCs w:val="21"/>
                    </w:rPr>
                  </w:pPr>
                  <w:r>
                    <w:rPr>
                      <w:rFonts w:hint="eastAsia" w:cstheme="minorHAnsi"/>
                      <w:szCs w:val="21"/>
                    </w:rPr>
                    <w:t>0.82</w:t>
                  </w:r>
                </w:p>
              </w:tc>
              <w:tc>
                <w:tcPr>
                  <w:tcW w:w="688" w:type="pct"/>
                  <w:vAlign w:val="center"/>
                </w:tcPr>
                <w:p w14:paraId="6E5C5ED5">
                  <w:pPr>
                    <w:jc w:val="center"/>
                    <w:rPr>
                      <w:rFonts w:cstheme="minorHAnsi"/>
                      <w:szCs w:val="21"/>
                    </w:rPr>
                  </w:pPr>
                  <w:r>
                    <w:rPr>
                      <w:rFonts w:hint="eastAsia" w:cstheme="minorHAnsi"/>
                      <w:szCs w:val="21"/>
                    </w:rPr>
                    <w:t>2.0</w:t>
                  </w:r>
                </w:p>
              </w:tc>
            </w:tr>
          </w:tbl>
          <w:p w14:paraId="0FF361AF">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厂区内无组织废气监测结果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1325"/>
              <w:gridCol w:w="1431"/>
              <w:gridCol w:w="1076"/>
              <w:gridCol w:w="1076"/>
              <w:gridCol w:w="1076"/>
              <w:gridCol w:w="1078"/>
              <w:gridCol w:w="1259"/>
            </w:tblGrid>
            <w:tr w14:paraId="4E9F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452" w:type="pct"/>
                  <w:vMerge w:val="restart"/>
                  <w:vAlign w:val="center"/>
                </w:tcPr>
                <w:p w14:paraId="5D918E55">
                  <w:pPr>
                    <w:jc w:val="center"/>
                    <w:rPr>
                      <w:rFonts w:cstheme="minorHAnsi"/>
                      <w:szCs w:val="21"/>
                    </w:rPr>
                  </w:pPr>
                  <w:r>
                    <w:rPr>
                      <w:rFonts w:cstheme="minorHAnsi"/>
                      <w:szCs w:val="21"/>
                    </w:rPr>
                    <w:t>监测日期</w:t>
                  </w:r>
                </w:p>
              </w:tc>
              <w:tc>
                <w:tcPr>
                  <w:tcW w:w="725" w:type="pct"/>
                  <w:vMerge w:val="restart"/>
                  <w:vAlign w:val="center"/>
                </w:tcPr>
                <w:p w14:paraId="340E37A9">
                  <w:pPr>
                    <w:jc w:val="center"/>
                    <w:rPr>
                      <w:rFonts w:cstheme="minorHAnsi"/>
                      <w:szCs w:val="21"/>
                    </w:rPr>
                  </w:pPr>
                  <w:r>
                    <w:rPr>
                      <w:rFonts w:cstheme="minorHAnsi"/>
                      <w:szCs w:val="21"/>
                    </w:rPr>
                    <w:t>监测点位</w:t>
                  </w:r>
                </w:p>
              </w:tc>
              <w:tc>
                <w:tcPr>
                  <w:tcW w:w="782" w:type="pct"/>
                  <w:vMerge w:val="restart"/>
                  <w:vAlign w:val="center"/>
                </w:tcPr>
                <w:p w14:paraId="207A0DA3">
                  <w:pPr>
                    <w:jc w:val="center"/>
                    <w:rPr>
                      <w:rFonts w:cstheme="minorHAnsi"/>
                      <w:szCs w:val="21"/>
                    </w:rPr>
                  </w:pPr>
                  <w:r>
                    <w:rPr>
                      <w:rFonts w:cstheme="minorHAnsi"/>
                      <w:szCs w:val="21"/>
                    </w:rPr>
                    <w:t>监测项目</w:t>
                  </w:r>
                </w:p>
              </w:tc>
              <w:tc>
                <w:tcPr>
                  <w:tcW w:w="2352" w:type="pct"/>
                  <w:gridSpan w:val="4"/>
                  <w:vAlign w:val="center"/>
                </w:tcPr>
                <w:p w14:paraId="0569E562">
                  <w:pPr>
                    <w:jc w:val="center"/>
                    <w:rPr>
                      <w:rFonts w:cstheme="minorHAnsi"/>
                      <w:szCs w:val="21"/>
                    </w:rPr>
                  </w:pPr>
                  <w:r>
                    <w:rPr>
                      <w:rFonts w:cstheme="minorHAnsi"/>
                      <w:szCs w:val="21"/>
                    </w:rPr>
                    <w:t>监测结果</w:t>
                  </w:r>
                  <w:r>
                    <w:rPr>
                      <w:rFonts w:hint="eastAsia" w:cstheme="minorHAnsi"/>
                      <w:szCs w:val="21"/>
                    </w:rPr>
                    <w:t>（</w:t>
                  </w:r>
                  <w:r>
                    <w:rPr>
                      <w:rFonts w:cstheme="minorHAnsi"/>
                      <w:szCs w:val="21"/>
                    </w:rPr>
                    <w:t>mg/m</w:t>
                  </w:r>
                  <w:r>
                    <w:rPr>
                      <w:rFonts w:cstheme="minorHAnsi"/>
                      <w:szCs w:val="21"/>
                      <w:vertAlign w:val="superscript"/>
                    </w:rPr>
                    <w:t>3</w:t>
                  </w:r>
                  <w:r>
                    <w:rPr>
                      <w:rFonts w:hint="eastAsia" w:cstheme="minorHAnsi"/>
                      <w:szCs w:val="21"/>
                    </w:rPr>
                    <w:t>）</w:t>
                  </w:r>
                </w:p>
              </w:tc>
              <w:tc>
                <w:tcPr>
                  <w:tcW w:w="688" w:type="pct"/>
                  <w:vMerge w:val="restart"/>
                  <w:vAlign w:val="center"/>
                </w:tcPr>
                <w:p w14:paraId="4A9198CC">
                  <w:pPr>
                    <w:jc w:val="center"/>
                    <w:rPr>
                      <w:rFonts w:cstheme="minorHAnsi"/>
                      <w:szCs w:val="21"/>
                    </w:rPr>
                  </w:pPr>
                  <w:r>
                    <w:rPr>
                      <w:rFonts w:cstheme="minorHAnsi"/>
                      <w:szCs w:val="21"/>
                    </w:rPr>
                    <w:t>标准限值</w:t>
                  </w:r>
                  <w:r>
                    <w:rPr>
                      <w:rFonts w:hint="eastAsia" w:cstheme="minorHAnsi"/>
                      <w:szCs w:val="21"/>
                    </w:rPr>
                    <w:t>（</w:t>
                  </w:r>
                  <w:r>
                    <w:rPr>
                      <w:rFonts w:cstheme="minorHAnsi"/>
                      <w:szCs w:val="21"/>
                    </w:rPr>
                    <w:t>mg/m</w:t>
                  </w:r>
                  <w:r>
                    <w:rPr>
                      <w:rFonts w:cstheme="minorHAnsi"/>
                      <w:szCs w:val="21"/>
                      <w:vertAlign w:val="superscript"/>
                    </w:rPr>
                    <w:t>3</w:t>
                  </w:r>
                  <w:r>
                    <w:rPr>
                      <w:rFonts w:hint="eastAsia" w:cstheme="minorHAnsi"/>
                      <w:szCs w:val="21"/>
                    </w:rPr>
                    <w:t>）</w:t>
                  </w:r>
                </w:p>
              </w:tc>
            </w:tr>
            <w:tr w14:paraId="7F6A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452" w:type="pct"/>
                  <w:vMerge w:val="continue"/>
                  <w:vAlign w:val="center"/>
                </w:tcPr>
                <w:p w14:paraId="5EB4A3B0">
                  <w:pPr>
                    <w:jc w:val="center"/>
                    <w:rPr>
                      <w:rFonts w:cstheme="minorHAnsi"/>
                      <w:szCs w:val="21"/>
                    </w:rPr>
                  </w:pPr>
                </w:p>
              </w:tc>
              <w:tc>
                <w:tcPr>
                  <w:tcW w:w="725" w:type="pct"/>
                  <w:vMerge w:val="continue"/>
                  <w:vAlign w:val="center"/>
                </w:tcPr>
                <w:p w14:paraId="52F87CC4">
                  <w:pPr>
                    <w:jc w:val="center"/>
                    <w:rPr>
                      <w:rFonts w:cstheme="minorHAnsi"/>
                      <w:szCs w:val="21"/>
                    </w:rPr>
                  </w:pPr>
                </w:p>
              </w:tc>
              <w:tc>
                <w:tcPr>
                  <w:tcW w:w="782" w:type="pct"/>
                  <w:vMerge w:val="continue"/>
                  <w:vAlign w:val="center"/>
                </w:tcPr>
                <w:p w14:paraId="21D73F46">
                  <w:pPr>
                    <w:jc w:val="center"/>
                    <w:rPr>
                      <w:rFonts w:cstheme="minorHAnsi"/>
                      <w:szCs w:val="21"/>
                    </w:rPr>
                  </w:pPr>
                </w:p>
              </w:tc>
              <w:tc>
                <w:tcPr>
                  <w:tcW w:w="588" w:type="pct"/>
                  <w:vAlign w:val="center"/>
                </w:tcPr>
                <w:p w14:paraId="59A332A0">
                  <w:pPr>
                    <w:jc w:val="center"/>
                    <w:rPr>
                      <w:rFonts w:cstheme="minorHAnsi"/>
                      <w:szCs w:val="21"/>
                    </w:rPr>
                  </w:pPr>
                  <w:r>
                    <w:rPr>
                      <w:rFonts w:cstheme="minorHAnsi"/>
                      <w:szCs w:val="21"/>
                    </w:rPr>
                    <w:t>第一次</w:t>
                  </w:r>
                </w:p>
              </w:tc>
              <w:tc>
                <w:tcPr>
                  <w:tcW w:w="588" w:type="pct"/>
                  <w:vAlign w:val="center"/>
                </w:tcPr>
                <w:p w14:paraId="64DA07ED">
                  <w:pPr>
                    <w:jc w:val="center"/>
                    <w:rPr>
                      <w:rFonts w:cstheme="minorHAnsi"/>
                      <w:szCs w:val="21"/>
                    </w:rPr>
                  </w:pPr>
                  <w:r>
                    <w:rPr>
                      <w:rFonts w:cstheme="minorHAnsi"/>
                      <w:szCs w:val="21"/>
                    </w:rPr>
                    <w:t>第二次</w:t>
                  </w:r>
                </w:p>
              </w:tc>
              <w:tc>
                <w:tcPr>
                  <w:tcW w:w="588" w:type="pct"/>
                  <w:vAlign w:val="center"/>
                </w:tcPr>
                <w:p w14:paraId="1B6F0D34">
                  <w:pPr>
                    <w:jc w:val="center"/>
                    <w:rPr>
                      <w:rFonts w:cstheme="minorHAnsi"/>
                      <w:szCs w:val="21"/>
                    </w:rPr>
                  </w:pPr>
                  <w:r>
                    <w:rPr>
                      <w:rFonts w:cstheme="minorHAnsi"/>
                      <w:szCs w:val="21"/>
                    </w:rPr>
                    <w:t>第三次</w:t>
                  </w:r>
                </w:p>
              </w:tc>
              <w:tc>
                <w:tcPr>
                  <w:tcW w:w="589" w:type="pct"/>
                  <w:vAlign w:val="center"/>
                </w:tcPr>
                <w:p w14:paraId="0E5A5245">
                  <w:pPr>
                    <w:jc w:val="center"/>
                    <w:rPr>
                      <w:rFonts w:cstheme="minorHAnsi"/>
                      <w:szCs w:val="21"/>
                    </w:rPr>
                  </w:pPr>
                  <w:r>
                    <w:rPr>
                      <w:rFonts w:hint="eastAsia" w:cstheme="minorHAnsi"/>
                      <w:szCs w:val="21"/>
                    </w:rPr>
                    <w:t>平均值</w:t>
                  </w:r>
                </w:p>
              </w:tc>
              <w:tc>
                <w:tcPr>
                  <w:tcW w:w="688" w:type="pct"/>
                  <w:vMerge w:val="continue"/>
                  <w:vAlign w:val="center"/>
                </w:tcPr>
                <w:p w14:paraId="3A12D465">
                  <w:pPr>
                    <w:jc w:val="center"/>
                    <w:rPr>
                      <w:rFonts w:cstheme="minorHAnsi"/>
                      <w:szCs w:val="21"/>
                    </w:rPr>
                  </w:pPr>
                </w:p>
              </w:tc>
            </w:tr>
            <w:tr w14:paraId="6E5F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Align w:val="center"/>
                </w:tcPr>
                <w:p w14:paraId="0D3FEC31">
                  <w:pPr>
                    <w:jc w:val="center"/>
                    <w:rPr>
                      <w:rFonts w:cstheme="minorHAnsi"/>
                      <w:szCs w:val="21"/>
                    </w:rPr>
                  </w:pPr>
                  <w:r>
                    <w:rPr>
                      <w:rFonts w:hint="eastAsia" w:cstheme="minorHAnsi"/>
                      <w:szCs w:val="21"/>
                    </w:rPr>
                    <w:t>2024</w:t>
                  </w:r>
                </w:p>
                <w:p w14:paraId="5A9059FC">
                  <w:pPr>
                    <w:jc w:val="center"/>
                    <w:rPr>
                      <w:rFonts w:cstheme="minorHAnsi"/>
                      <w:szCs w:val="21"/>
                    </w:rPr>
                  </w:pPr>
                  <w:r>
                    <w:rPr>
                      <w:rFonts w:hint="eastAsia" w:cstheme="minorHAnsi"/>
                      <w:szCs w:val="21"/>
                    </w:rPr>
                    <w:t>0801</w:t>
                  </w:r>
                </w:p>
              </w:tc>
              <w:tc>
                <w:tcPr>
                  <w:tcW w:w="725" w:type="pct"/>
                  <w:vMerge w:val="restart"/>
                  <w:vAlign w:val="center"/>
                </w:tcPr>
                <w:p w14:paraId="6ED8F24F">
                  <w:pPr>
                    <w:jc w:val="center"/>
                    <w:rPr>
                      <w:rFonts w:cstheme="minorHAnsi"/>
                      <w:szCs w:val="21"/>
                    </w:rPr>
                  </w:pPr>
                  <w:r>
                    <w:rPr>
                      <w:rFonts w:hint="eastAsia" w:cstheme="minorHAnsi"/>
                      <w:szCs w:val="21"/>
                    </w:rPr>
                    <w:t>厂界内车间大门外1m距地1.5m</w:t>
                  </w:r>
                </w:p>
              </w:tc>
              <w:tc>
                <w:tcPr>
                  <w:tcW w:w="782" w:type="pct"/>
                  <w:vAlign w:val="center"/>
                </w:tcPr>
                <w:p w14:paraId="13D4B1C5">
                  <w:pPr>
                    <w:jc w:val="center"/>
                    <w:rPr>
                      <w:szCs w:val="21"/>
                    </w:rPr>
                  </w:pPr>
                  <w:r>
                    <w:rPr>
                      <w:rFonts w:hint="eastAsia"/>
                      <w:szCs w:val="21"/>
                    </w:rPr>
                    <w:t>非甲烷总烃</w:t>
                  </w:r>
                </w:p>
              </w:tc>
              <w:tc>
                <w:tcPr>
                  <w:tcW w:w="588" w:type="pct"/>
                  <w:vAlign w:val="center"/>
                </w:tcPr>
                <w:p w14:paraId="61B489C9">
                  <w:pPr>
                    <w:jc w:val="center"/>
                    <w:rPr>
                      <w:rFonts w:cstheme="minorHAnsi"/>
                      <w:szCs w:val="21"/>
                    </w:rPr>
                  </w:pPr>
                  <w:r>
                    <w:rPr>
                      <w:rFonts w:hint="eastAsia" w:cstheme="minorHAnsi"/>
                      <w:szCs w:val="21"/>
                    </w:rPr>
                    <w:t>1.07</w:t>
                  </w:r>
                </w:p>
              </w:tc>
              <w:tc>
                <w:tcPr>
                  <w:tcW w:w="588" w:type="pct"/>
                  <w:vAlign w:val="center"/>
                </w:tcPr>
                <w:p w14:paraId="6616DF33">
                  <w:pPr>
                    <w:jc w:val="center"/>
                    <w:rPr>
                      <w:rFonts w:cstheme="minorHAnsi"/>
                      <w:szCs w:val="21"/>
                    </w:rPr>
                  </w:pPr>
                  <w:r>
                    <w:rPr>
                      <w:rFonts w:hint="eastAsia" w:cstheme="minorHAnsi"/>
                      <w:szCs w:val="21"/>
                    </w:rPr>
                    <w:t>1.01</w:t>
                  </w:r>
                </w:p>
              </w:tc>
              <w:tc>
                <w:tcPr>
                  <w:tcW w:w="588" w:type="pct"/>
                  <w:vAlign w:val="center"/>
                </w:tcPr>
                <w:p w14:paraId="167D990C">
                  <w:pPr>
                    <w:jc w:val="center"/>
                    <w:rPr>
                      <w:rFonts w:cstheme="minorHAnsi"/>
                      <w:szCs w:val="21"/>
                    </w:rPr>
                  </w:pPr>
                  <w:r>
                    <w:rPr>
                      <w:rFonts w:hint="eastAsia" w:cstheme="minorHAnsi"/>
                      <w:szCs w:val="21"/>
                    </w:rPr>
                    <w:t>1.24</w:t>
                  </w:r>
                </w:p>
              </w:tc>
              <w:tc>
                <w:tcPr>
                  <w:tcW w:w="589" w:type="pct"/>
                  <w:vAlign w:val="center"/>
                </w:tcPr>
                <w:p w14:paraId="6B651BF3">
                  <w:pPr>
                    <w:jc w:val="center"/>
                    <w:rPr>
                      <w:rFonts w:cstheme="minorHAnsi"/>
                      <w:szCs w:val="21"/>
                    </w:rPr>
                  </w:pPr>
                  <w:r>
                    <w:rPr>
                      <w:rFonts w:hint="eastAsia" w:cstheme="minorHAnsi"/>
                      <w:szCs w:val="21"/>
                    </w:rPr>
                    <w:t>1.11</w:t>
                  </w:r>
                </w:p>
              </w:tc>
              <w:tc>
                <w:tcPr>
                  <w:tcW w:w="688" w:type="pct"/>
                  <w:vAlign w:val="center"/>
                </w:tcPr>
                <w:p w14:paraId="20EE3B21">
                  <w:pPr>
                    <w:jc w:val="center"/>
                    <w:rPr>
                      <w:rFonts w:cstheme="minorHAnsi"/>
                      <w:szCs w:val="21"/>
                    </w:rPr>
                  </w:pPr>
                  <w:r>
                    <w:rPr>
                      <w:rFonts w:hint="eastAsia" w:cstheme="minorHAnsi"/>
                      <w:szCs w:val="21"/>
                    </w:rPr>
                    <w:t>6</w:t>
                  </w:r>
                </w:p>
              </w:tc>
            </w:tr>
            <w:tr w14:paraId="366B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52" w:type="pct"/>
                  <w:vAlign w:val="center"/>
                </w:tcPr>
                <w:p w14:paraId="079063BC">
                  <w:pPr>
                    <w:jc w:val="center"/>
                    <w:rPr>
                      <w:rFonts w:cstheme="minorHAnsi"/>
                      <w:szCs w:val="21"/>
                    </w:rPr>
                  </w:pPr>
                  <w:r>
                    <w:rPr>
                      <w:rFonts w:hint="eastAsia" w:cstheme="minorHAnsi"/>
                      <w:szCs w:val="21"/>
                    </w:rPr>
                    <w:t>2024</w:t>
                  </w:r>
                </w:p>
                <w:p w14:paraId="13A90E7F">
                  <w:pPr>
                    <w:jc w:val="center"/>
                    <w:rPr>
                      <w:rFonts w:cstheme="minorHAnsi"/>
                      <w:szCs w:val="21"/>
                    </w:rPr>
                  </w:pPr>
                  <w:r>
                    <w:rPr>
                      <w:rFonts w:hint="eastAsia" w:cstheme="minorHAnsi"/>
                      <w:szCs w:val="21"/>
                    </w:rPr>
                    <w:t>0802</w:t>
                  </w:r>
                </w:p>
              </w:tc>
              <w:tc>
                <w:tcPr>
                  <w:tcW w:w="725" w:type="pct"/>
                  <w:vMerge w:val="continue"/>
                  <w:vAlign w:val="center"/>
                </w:tcPr>
                <w:p w14:paraId="579DECF6">
                  <w:pPr>
                    <w:jc w:val="center"/>
                    <w:rPr>
                      <w:rFonts w:cstheme="minorHAnsi"/>
                      <w:szCs w:val="21"/>
                    </w:rPr>
                  </w:pPr>
                </w:p>
              </w:tc>
              <w:tc>
                <w:tcPr>
                  <w:tcW w:w="782" w:type="pct"/>
                  <w:vAlign w:val="center"/>
                </w:tcPr>
                <w:p w14:paraId="60987680">
                  <w:pPr>
                    <w:jc w:val="center"/>
                    <w:rPr>
                      <w:szCs w:val="21"/>
                    </w:rPr>
                  </w:pPr>
                  <w:r>
                    <w:rPr>
                      <w:rFonts w:hint="eastAsia"/>
                      <w:szCs w:val="21"/>
                    </w:rPr>
                    <w:t>非甲烷总烃</w:t>
                  </w:r>
                </w:p>
              </w:tc>
              <w:tc>
                <w:tcPr>
                  <w:tcW w:w="588" w:type="pct"/>
                  <w:vAlign w:val="center"/>
                </w:tcPr>
                <w:p w14:paraId="5407043C">
                  <w:pPr>
                    <w:jc w:val="center"/>
                    <w:rPr>
                      <w:rFonts w:cstheme="minorHAnsi"/>
                      <w:szCs w:val="21"/>
                    </w:rPr>
                  </w:pPr>
                  <w:r>
                    <w:rPr>
                      <w:rFonts w:hint="eastAsia" w:cstheme="minorHAnsi"/>
                      <w:szCs w:val="21"/>
                    </w:rPr>
                    <w:t>1.61</w:t>
                  </w:r>
                </w:p>
              </w:tc>
              <w:tc>
                <w:tcPr>
                  <w:tcW w:w="588" w:type="pct"/>
                  <w:vAlign w:val="center"/>
                </w:tcPr>
                <w:p w14:paraId="2C3A55AE">
                  <w:pPr>
                    <w:jc w:val="center"/>
                    <w:rPr>
                      <w:rFonts w:cstheme="minorHAnsi"/>
                      <w:szCs w:val="21"/>
                    </w:rPr>
                  </w:pPr>
                  <w:r>
                    <w:rPr>
                      <w:rFonts w:hint="eastAsia" w:cstheme="minorHAnsi"/>
                      <w:szCs w:val="21"/>
                    </w:rPr>
                    <w:t>1.51</w:t>
                  </w:r>
                </w:p>
              </w:tc>
              <w:tc>
                <w:tcPr>
                  <w:tcW w:w="588" w:type="pct"/>
                  <w:vAlign w:val="center"/>
                </w:tcPr>
                <w:p w14:paraId="54F5AC8E">
                  <w:pPr>
                    <w:jc w:val="center"/>
                    <w:rPr>
                      <w:rFonts w:cstheme="minorHAnsi"/>
                      <w:szCs w:val="21"/>
                    </w:rPr>
                  </w:pPr>
                  <w:r>
                    <w:rPr>
                      <w:rFonts w:hint="eastAsia" w:cstheme="minorHAnsi"/>
                      <w:szCs w:val="21"/>
                    </w:rPr>
                    <w:t>1.68</w:t>
                  </w:r>
                </w:p>
              </w:tc>
              <w:tc>
                <w:tcPr>
                  <w:tcW w:w="589" w:type="pct"/>
                  <w:vAlign w:val="center"/>
                </w:tcPr>
                <w:p w14:paraId="6FE9B433">
                  <w:pPr>
                    <w:jc w:val="center"/>
                    <w:rPr>
                      <w:rFonts w:cstheme="minorHAnsi"/>
                      <w:szCs w:val="21"/>
                    </w:rPr>
                  </w:pPr>
                  <w:r>
                    <w:rPr>
                      <w:rFonts w:hint="eastAsia" w:cstheme="minorHAnsi"/>
                      <w:szCs w:val="21"/>
                    </w:rPr>
                    <w:t>1.60</w:t>
                  </w:r>
                </w:p>
              </w:tc>
              <w:tc>
                <w:tcPr>
                  <w:tcW w:w="688" w:type="pct"/>
                  <w:vAlign w:val="center"/>
                </w:tcPr>
                <w:p w14:paraId="73B308F4">
                  <w:pPr>
                    <w:jc w:val="center"/>
                    <w:rPr>
                      <w:rFonts w:cstheme="minorHAnsi"/>
                      <w:szCs w:val="21"/>
                    </w:rPr>
                  </w:pPr>
                  <w:r>
                    <w:rPr>
                      <w:rFonts w:hint="eastAsia" w:cstheme="minorHAnsi"/>
                      <w:szCs w:val="21"/>
                    </w:rPr>
                    <w:t>6</w:t>
                  </w:r>
                </w:p>
              </w:tc>
            </w:tr>
          </w:tbl>
          <w:p w14:paraId="7326AF42">
            <w:pPr>
              <w:spacing w:line="360" w:lineRule="auto"/>
              <w:ind w:firstLine="480" w:firstLineChars="200"/>
              <w:rPr>
                <w:sz w:val="24"/>
              </w:rPr>
            </w:pPr>
            <w:r>
              <w:rPr>
                <w:rFonts w:hint="eastAsia"/>
                <w:sz w:val="24"/>
              </w:rPr>
              <w:t>监测结果表明</w:t>
            </w:r>
            <w:r>
              <w:rPr>
                <w:sz w:val="24"/>
              </w:rPr>
              <w:t>，</w:t>
            </w:r>
            <w:r>
              <w:rPr>
                <w:rFonts w:hint="eastAsia"/>
                <w:sz w:val="24"/>
              </w:rPr>
              <w:t>现有工程各排气筒颗粒物排放浓度、排放速率均满足《大气污染物综合排放标准》（GB16297-1996）表2中二级标准，VOCs（以非甲烷总烃计）、乙酸乙酯、乙酸丁酯排放浓度、排放速率均满足《四川省固定污染源大气挥发性有机物排放标准》（DB51</w:t>
            </w:r>
            <w:r>
              <w:rPr>
                <w:sz w:val="24"/>
              </w:rPr>
              <w:t>/</w:t>
            </w:r>
            <w:r>
              <w:rPr>
                <w:rFonts w:hint="eastAsia"/>
                <w:sz w:val="24"/>
              </w:rPr>
              <w:t>2377-2017）表3</w:t>
            </w:r>
            <w:r>
              <w:rPr>
                <w:sz w:val="24"/>
              </w:rPr>
              <w:t>（</w:t>
            </w:r>
            <w:r>
              <w:rPr>
                <w:rFonts w:hint="eastAsia"/>
                <w:sz w:val="24"/>
              </w:rPr>
              <w:t>表面涂装</w:t>
            </w:r>
            <w:r>
              <w:rPr>
                <w:sz w:val="24"/>
              </w:rPr>
              <w:t>）</w:t>
            </w:r>
            <w:r>
              <w:rPr>
                <w:rFonts w:hint="eastAsia"/>
                <w:sz w:val="24"/>
              </w:rPr>
              <w:t>、表4</w:t>
            </w:r>
            <w:r>
              <w:rPr>
                <w:sz w:val="24"/>
              </w:rPr>
              <w:t>排放限值。</w:t>
            </w:r>
          </w:p>
          <w:p w14:paraId="5DFA4B4A">
            <w:pPr>
              <w:spacing w:line="360" w:lineRule="auto"/>
              <w:ind w:firstLine="480" w:firstLineChars="200"/>
              <w:rPr>
                <w:sz w:val="24"/>
              </w:rPr>
            </w:pPr>
            <w:r>
              <w:rPr>
                <w:rFonts w:hint="eastAsia"/>
                <w:sz w:val="24"/>
              </w:rPr>
              <w:t>厂界无组织颗粒物监测浓度满足《大气污染物综合排放标准》（GB16297-1996）表2中排放限值，VOCs（以非甲烷总烃计）监测浓度满足《四川省固定污染源大气挥发性有机物排放标准》（DB51</w:t>
            </w:r>
            <w:r>
              <w:rPr>
                <w:sz w:val="24"/>
              </w:rPr>
              <w:t>/</w:t>
            </w:r>
            <w:r>
              <w:rPr>
                <w:rFonts w:hint="eastAsia"/>
                <w:sz w:val="24"/>
              </w:rPr>
              <w:t>2377-2017）表5（其他）排放限值；厂区内VOCs（以非甲烷总烃计）排放浓度满足《挥发性有机物无组织排放控制标准》（GB37822-2019）附录A中限值。</w:t>
            </w:r>
          </w:p>
          <w:p w14:paraId="6627412E">
            <w:pPr>
              <w:spacing w:line="360" w:lineRule="auto"/>
              <w:ind w:firstLine="482" w:firstLineChars="200"/>
              <w:rPr>
                <w:b/>
                <w:sz w:val="24"/>
              </w:rPr>
            </w:pPr>
            <w:r>
              <w:rPr>
                <w:rFonts w:hint="eastAsia"/>
                <w:b/>
                <w:sz w:val="24"/>
              </w:rPr>
              <w:t>（</w:t>
            </w:r>
            <w:r>
              <w:rPr>
                <w:b/>
                <w:sz w:val="24"/>
              </w:rPr>
              <w:t>2</w:t>
            </w:r>
            <w:r>
              <w:rPr>
                <w:rFonts w:hint="eastAsia"/>
                <w:b/>
                <w:sz w:val="24"/>
              </w:rPr>
              <w:t>）废水</w:t>
            </w:r>
          </w:p>
          <w:p w14:paraId="0AFC6B37">
            <w:pPr>
              <w:spacing w:line="360" w:lineRule="auto"/>
              <w:ind w:firstLine="482" w:firstLineChars="200"/>
              <w:rPr>
                <w:b/>
                <w:bCs/>
                <w:sz w:val="24"/>
              </w:rPr>
            </w:pPr>
            <w:r>
              <w:rPr>
                <w:rFonts w:hint="eastAsia"/>
                <w:b/>
                <w:bCs/>
                <w:sz w:val="24"/>
              </w:rPr>
              <w:t>1）治理措施</w:t>
            </w:r>
          </w:p>
          <w:p w14:paraId="10A9C6DE">
            <w:pPr>
              <w:spacing w:line="360" w:lineRule="auto"/>
              <w:ind w:firstLine="480" w:firstLineChars="200"/>
              <w:rPr>
                <w:sz w:val="24"/>
              </w:rPr>
            </w:pPr>
            <w:r>
              <w:rPr>
                <w:rFonts w:hint="eastAsia"/>
                <w:sz w:val="24"/>
              </w:rPr>
              <w:t>现有工程喷头清洗用水分批次混入水性漆用于喷涂，二级水帘、三级螺旋水洗废水循环使用，更换的废水全部作为危险废物处置，无生产废水排放。运营期废水主要为生活污水和食堂废水</w:t>
            </w:r>
            <w:r>
              <w:rPr>
                <w:rFonts w:hint="eastAsia"/>
                <w:sz w:val="24"/>
                <w:szCs w:val="24"/>
              </w:rPr>
              <w:t>，</w:t>
            </w:r>
            <w:r>
              <w:rPr>
                <w:rFonts w:hint="eastAsia"/>
                <w:b/>
                <w:bCs/>
                <w:sz w:val="24"/>
                <w:szCs w:val="24"/>
              </w:rPr>
              <w:t>设有1个容积4</w:t>
            </w:r>
            <w:r>
              <w:rPr>
                <w:b/>
                <w:bCs/>
                <w:sz w:val="24"/>
                <w:szCs w:val="24"/>
              </w:rPr>
              <w:t>0</w:t>
            </w:r>
            <w:r>
              <w:rPr>
                <w:rFonts w:hint="eastAsia"/>
                <w:b/>
                <w:bCs/>
                <w:sz w:val="24"/>
                <w:szCs w:val="24"/>
              </w:rPr>
              <w:t>m</w:t>
            </w:r>
            <w:r>
              <w:rPr>
                <w:b/>
                <w:bCs/>
                <w:sz w:val="24"/>
                <w:szCs w:val="24"/>
                <w:vertAlign w:val="superscript"/>
              </w:rPr>
              <w:t>3</w:t>
            </w:r>
            <w:r>
              <w:rPr>
                <w:rFonts w:hint="eastAsia"/>
                <w:b/>
                <w:bCs/>
                <w:sz w:val="24"/>
                <w:szCs w:val="24"/>
              </w:rPr>
              <w:t>的预处理池和1个容积1m</w:t>
            </w:r>
            <w:r>
              <w:rPr>
                <w:b/>
                <w:bCs/>
                <w:sz w:val="24"/>
                <w:szCs w:val="24"/>
                <w:vertAlign w:val="superscript"/>
              </w:rPr>
              <w:t>3</w:t>
            </w:r>
            <w:r>
              <w:rPr>
                <w:rFonts w:hint="eastAsia"/>
                <w:b/>
                <w:bCs/>
                <w:sz w:val="24"/>
                <w:szCs w:val="24"/>
              </w:rPr>
              <w:t>的隔油池</w:t>
            </w:r>
            <w:r>
              <w:rPr>
                <w:rFonts w:hint="eastAsia"/>
                <w:sz w:val="24"/>
                <w:szCs w:val="24"/>
              </w:rPr>
              <w:t>。生活污水经预处理池（食堂废水先经隔油池处理）处理达到</w:t>
            </w:r>
            <w:r>
              <w:rPr>
                <w:sz w:val="24"/>
                <w:szCs w:val="24"/>
              </w:rPr>
              <w:t>《污水综合排放标准》（GB8978-1996）三级标准</w:t>
            </w:r>
            <w:r>
              <w:rPr>
                <w:rFonts w:hint="eastAsia"/>
                <w:sz w:val="24"/>
                <w:szCs w:val="24"/>
              </w:rPr>
              <w:t>后排入园区污水管网</w:t>
            </w:r>
            <w:r>
              <w:rPr>
                <w:sz w:val="24"/>
                <w:szCs w:val="24"/>
              </w:rPr>
              <w:t>，</w:t>
            </w:r>
            <w:r>
              <w:rPr>
                <w:rFonts w:hint="eastAsia"/>
                <w:kern w:val="24"/>
                <w:sz w:val="24"/>
                <w:szCs w:val="24"/>
              </w:rPr>
              <w:t>经大英县工业污水处理厂处理达标后排入郪江</w:t>
            </w:r>
            <w:r>
              <w:rPr>
                <w:sz w:val="24"/>
                <w:szCs w:val="24"/>
              </w:rPr>
              <w:t>。</w:t>
            </w:r>
          </w:p>
          <w:p w14:paraId="5C3EFABA">
            <w:pPr>
              <w:spacing w:line="360" w:lineRule="auto"/>
              <w:ind w:firstLine="482" w:firstLineChars="200"/>
              <w:rPr>
                <w:b/>
                <w:bCs/>
                <w:sz w:val="24"/>
              </w:rPr>
            </w:pPr>
            <w:r>
              <w:rPr>
                <w:b/>
                <w:bCs/>
                <w:sz w:val="24"/>
              </w:rPr>
              <w:t>2</w:t>
            </w:r>
            <w:r>
              <w:rPr>
                <w:rFonts w:hint="eastAsia"/>
                <w:b/>
                <w:bCs/>
                <w:sz w:val="24"/>
              </w:rPr>
              <w:t>）达标情况</w:t>
            </w:r>
          </w:p>
          <w:p w14:paraId="7725A7BB">
            <w:pPr>
              <w:spacing w:line="360" w:lineRule="auto"/>
              <w:ind w:firstLine="480" w:firstLineChars="200"/>
              <w:rPr>
                <w:rFonts w:cs="Times New Roman"/>
                <w:sz w:val="24"/>
                <w:szCs w:val="24"/>
              </w:rPr>
            </w:pPr>
            <w:r>
              <w:rPr>
                <w:sz w:val="24"/>
              </w:rPr>
              <w:t>根据</w:t>
            </w:r>
            <w:r>
              <w:rPr>
                <w:rFonts w:hint="eastAsia"/>
                <w:sz w:val="24"/>
                <w:szCs w:val="24"/>
              </w:rPr>
              <w:t>四川圣拉斯包装制品有限公司验收监测报告</w:t>
            </w:r>
            <w:r>
              <w:rPr>
                <w:rFonts w:hint="eastAsia"/>
                <w:sz w:val="24"/>
              </w:rPr>
              <w:t>（铁环检字（2024）第07123号），现有工程</w:t>
            </w:r>
            <w:r>
              <w:rPr>
                <w:rFonts w:hint="eastAsia" w:cs="Times New Roman"/>
                <w:sz w:val="24"/>
                <w:szCs w:val="24"/>
              </w:rPr>
              <w:t>废水监测结果见下表。</w:t>
            </w:r>
          </w:p>
          <w:p w14:paraId="3EF12455">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现有工程废水监测结果</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71"/>
              <w:gridCol w:w="1743"/>
              <w:gridCol w:w="929"/>
              <w:gridCol w:w="929"/>
              <w:gridCol w:w="929"/>
              <w:gridCol w:w="929"/>
              <w:gridCol w:w="930"/>
              <w:gridCol w:w="1179"/>
            </w:tblGrid>
            <w:tr w14:paraId="00FE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7" w:type="pct"/>
                  <w:vMerge w:val="restart"/>
                  <w:vAlign w:val="center"/>
                </w:tcPr>
                <w:p w14:paraId="3C64568C">
                  <w:pPr>
                    <w:jc w:val="center"/>
                    <w:rPr>
                      <w:szCs w:val="21"/>
                    </w:rPr>
                  </w:pPr>
                  <w:r>
                    <w:rPr>
                      <w:szCs w:val="21"/>
                    </w:rPr>
                    <w:t>监测</w:t>
                  </w:r>
                </w:p>
                <w:p w14:paraId="7E8AE1FB">
                  <w:pPr>
                    <w:jc w:val="center"/>
                    <w:rPr>
                      <w:szCs w:val="21"/>
                    </w:rPr>
                  </w:pPr>
                  <w:r>
                    <w:rPr>
                      <w:szCs w:val="21"/>
                    </w:rPr>
                    <w:t>日期</w:t>
                  </w:r>
                </w:p>
              </w:tc>
              <w:tc>
                <w:tcPr>
                  <w:tcW w:w="476" w:type="pct"/>
                  <w:vMerge w:val="restart"/>
                  <w:vAlign w:val="center"/>
                </w:tcPr>
                <w:p w14:paraId="310C695F">
                  <w:pPr>
                    <w:jc w:val="center"/>
                    <w:rPr>
                      <w:szCs w:val="21"/>
                    </w:rPr>
                  </w:pPr>
                  <w:r>
                    <w:rPr>
                      <w:rFonts w:hint="eastAsia"/>
                      <w:szCs w:val="21"/>
                    </w:rPr>
                    <w:t>监测</w:t>
                  </w:r>
                </w:p>
                <w:p w14:paraId="44333FD9">
                  <w:pPr>
                    <w:jc w:val="center"/>
                    <w:rPr>
                      <w:szCs w:val="21"/>
                    </w:rPr>
                  </w:pPr>
                  <w:r>
                    <w:rPr>
                      <w:rFonts w:hint="eastAsia"/>
                      <w:szCs w:val="21"/>
                    </w:rPr>
                    <w:t>点位</w:t>
                  </w:r>
                </w:p>
              </w:tc>
              <w:tc>
                <w:tcPr>
                  <w:tcW w:w="953" w:type="pct"/>
                  <w:vMerge w:val="restart"/>
                  <w:vAlign w:val="center"/>
                </w:tcPr>
                <w:p w14:paraId="7D25359B">
                  <w:pPr>
                    <w:jc w:val="center"/>
                    <w:rPr>
                      <w:szCs w:val="21"/>
                    </w:rPr>
                  </w:pPr>
                  <w:r>
                    <w:rPr>
                      <w:rFonts w:hint="eastAsia"/>
                      <w:szCs w:val="21"/>
                    </w:rPr>
                    <w:t>监测项目</w:t>
                  </w:r>
                </w:p>
              </w:tc>
              <w:tc>
                <w:tcPr>
                  <w:tcW w:w="2539" w:type="pct"/>
                  <w:gridSpan w:val="5"/>
                  <w:vAlign w:val="center"/>
                </w:tcPr>
                <w:p w14:paraId="178669FB">
                  <w:pPr>
                    <w:jc w:val="center"/>
                    <w:rPr>
                      <w:szCs w:val="21"/>
                    </w:rPr>
                  </w:pPr>
                  <w:r>
                    <w:rPr>
                      <w:rFonts w:hint="eastAsia"/>
                      <w:szCs w:val="21"/>
                    </w:rPr>
                    <w:t>监测结果（mg</w:t>
                  </w:r>
                  <w:r>
                    <w:rPr>
                      <w:szCs w:val="21"/>
                    </w:rPr>
                    <w:t>/</w:t>
                  </w:r>
                  <w:r>
                    <w:rPr>
                      <w:rFonts w:hint="eastAsia"/>
                      <w:szCs w:val="21"/>
                    </w:rPr>
                    <w:t>L）</w:t>
                  </w:r>
                </w:p>
              </w:tc>
              <w:tc>
                <w:tcPr>
                  <w:tcW w:w="645" w:type="pct"/>
                  <w:vMerge w:val="restart"/>
                  <w:vAlign w:val="center"/>
                </w:tcPr>
                <w:p w14:paraId="1A9C809A">
                  <w:pPr>
                    <w:jc w:val="center"/>
                    <w:rPr>
                      <w:szCs w:val="21"/>
                    </w:rPr>
                  </w:pPr>
                  <w:r>
                    <w:rPr>
                      <w:rFonts w:hint="eastAsia"/>
                      <w:szCs w:val="21"/>
                    </w:rPr>
                    <w:t>标准限值（mg</w:t>
                  </w:r>
                  <w:r>
                    <w:rPr>
                      <w:szCs w:val="21"/>
                    </w:rPr>
                    <w:t>/</w:t>
                  </w:r>
                  <w:r>
                    <w:rPr>
                      <w:rFonts w:hint="eastAsia"/>
                      <w:szCs w:val="21"/>
                    </w:rPr>
                    <w:t>L）</w:t>
                  </w:r>
                </w:p>
              </w:tc>
            </w:tr>
            <w:tr w14:paraId="672A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387" w:type="pct"/>
                  <w:vMerge w:val="continue"/>
                  <w:vAlign w:val="center"/>
                </w:tcPr>
                <w:p w14:paraId="37CA179A">
                  <w:pPr>
                    <w:jc w:val="center"/>
                    <w:rPr>
                      <w:szCs w:val="21"/>
                    </w:rPr>
                  </w:pPr>
                </w:p>
              </w:tc>
              <w:tc>
                <w:tcPr>
                  <w:tcW w:w="476" w:type="pct"/>
                  <w:vMerge w:val="continue"/>
                  <w:vAlign w:val="center"/>
                </w:tcPr>
                <w:p w14:paraId="5EF84D81">
                  <w:pPr>
                    <w:jc w:val="center"/>
                    <w:rPr>
                      <w:szCs w:val="21"/>
                    </w:rPr>
                  </w:pPr>
                </w:p>
              </w:tc>
              <w:tc>
                <w:tcPr>
                  <w:tcW w:w="953" w:type="pct"/>
                  <w:vMerge w:val="continue"/>
                  <w:vAlign w:val="center"/>
                </w:tcPr>
                <w:p w14:paraId="76C23C01">
                  <w:pPr>
                    <w:jc w:val="center"/>
                    <w:rPr>
                      <w:szCs w:val="21"/>
                    </w:rPr>
                  </w:pPr>
                </w:p>
              </w:tc>
              <w:tc>
                <w:tcPr>
                  <w:tcW w:w="508" w:type="pct"/>
                  <w:vAlign w:val="center"/>
                </w:tcPr>
                <w:p w14:paraId="1484F305">
                  <w:pPr>
                    <w:jc w:val="center"/>
                    <w:rPr>
                      <w:szCs w:val="21"/>
                    </w:rPr>
                  </w:pPr>
                  <w:r>
                    <w:rPr>
                      <w:szCs w:val="21"/>
                    </w:rPr>
                    <w:t>一次</w:t>
                  </w:r>
                </w:p>
              </w:tc>
              <w:tc>
                <w:tcPr>
                  <w:tcW w:w="508" w:type="pct"/>
                  <w:vAlign w:val="center"/>
                </w:tcPr>
                <w:p w14:paraId="4B6BB5A5">
                  <w:pPr>
                    <w:jc w:val="center"/>
                    <w:rPr>
                      <w:szCs w:val="21"/>
                    </w:rPr>
                  </w:pPr>
                  <w:r>
                    <w:rPr>
                      <w:szCs w:val="21"/>
                    </w:rPr>
                    <w:t>二次</w:t>
                  </w:r>
                </w:p>
              </w:tc>
              <w:tc>
                <w:tcPr>
                  <w:tcW w:w="508" w:type="pct"/>
                  <w:vAlign w:val="center"/>
                </w:tcPr>
                <w:p w14:paraId="542D5BAC">
                  <w:pPr>
                    <w:jc w:val="center"/>
                    <w:rPr>
                      <w:szCs w:val="21"/>
                    </w:rPr>
                  </w:pPr>
                  <w:r>
                    <w:rPr>
                      <w:szCs w:val="21"/>
                    </w:rPr>
                    <w:t>三次</w:t>
                  </w:r>
                </w:p>
              </w:tc>
              <w:tc>
                <w:tcPr>
                  <w:tcW w:w="508" w:type="pct"/>
                  <w:vAlign w:val="center"/>
                </w:tcPr>
                <w:p w14:paraId="7E2468EF">
                  <w:pPr>
                    <w:jc w:val="center"/>
                    <w:rPr>
                      <w:szCs w:val="21"/>
                    </w:rPr>
                  </w:pPr>
                  <w:r>
                    <w:rPr>
                      <w:rFonts w:hint="eastAsia"/>
                      <w:szCs w:val="21"/>
                    </w:rPr>
                    <w:t>四次</w:t>
                  </w:r>
                </w:p>
              </w:tc>
              <w:tc>
                <w:tcPr>
                  <w:tcW w:w="508" w:type="pct"/>
                  <w:vAlign w:val="center"/>
                </w:tcPr>
                <w:p w14:paraId="55DA8B8A">
                  <w:pPr>
                    <w:jc w:val="center"/>
                    <w:rPr>
                      <w:szCs w:val="21"/>
                    </w:rPr>
                  </w:pPr>
                  <w:r>
                    <w:rPr>
                      <w:rFonts w:hint="eastAsia"/>
                      <w:szCs w:val="21"/>
                    </w:rPr>
                    <w:t>均值</w:t>
                  </w:r>
                </w:p>
              </w:tc>
              <w:tc>
                <w:tcPr>
                  <w:tcW w:w="645" w:type="pct"/>
                  <w:vMerge w:val="continue"/>
                  <w:vAlign w:val="center"/>
                </w:tcPr>
                <w:p w14:paraId="3C280A92">
                  <w:pPr>
                    <w:jc w:val="center"/>
                    <w:rPr>
                      <w:szCs w:val="21"/>
                    </w:rPr>
                  </w:pPr>
                </w:p>
              </w:tc>
            </w:tr>
            <w:tr w14:paraId="28A6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87" w:type="pct"/>
                  <w:vMerge w:val="restart"/>
                  <w:vAlign w:val="center"/>
                </w:tcPr>
                <w:p w14:paraId="08984CD0">
                  <w:pPr>
                    <w:jc w:val="center"/>
                    <w:rPr>
                      <w:rFonts w:cstheme="minorHAnsi"/>
                      <w:szCs w:val="21"/>
                    </w:rPr>
                  </w:pPr>
                  <w:r>
                    <w:rPr>
                      <w:rFonts w:hint="eastAsia" w:cstheme="minorHAnsi"/>
                      <w:szCs w:val="21"/>
                    </w:rPr>
                    <w:t>2024</w:t>
                  </w:r>
                </w:p>
                <w:p w14:paraId="51F1F032">
                  <w:pPr>
                    <w:jc w:val="center"/>
                    <w:rPr>
                      <w:szCs w:val="21"/>
                    </w:rPr>
                  </w:pPr>
                  <w:r>
                    <w:rPr>
                      <w:rFonts w:hint="eastAsia" w:cstheme="minorHAnsi"/>
                      <w:szCs w:val="21"/>
                    </w:rPr>
                    <w:t>0801</w:t>
                  </w:r>
                </w:p>
              </w:tc>
              <w:tc>
                <w:tcPr>
                  <w:tcW w:w="476" w:type="pct"/>
                  <w:vMerge w:val="restart"/>
                  <w:vAlign w:val="center"/>
                </w:tcPr>
                <w:p w14:paraId="499890B2">
                  <w:pPr>
                    <w:jc w:val="center"/>
                    <w:rPr>
                      <w:szCs w:val="21"/>
                    </w:rPr>
                  </w:pPr>
                  <w:r>
                    <w:rPr>
                      <w:szCs w:val="21"/>
                    </w:rPr>
                    <w:t>废水</w:t>
                  </w:r>
                  <w:r>
                    <w:rPr>
                      <w:rFonts w:hint="eastAsia"/>
                      <w:szCs w:val="21"/>
                    </w:rPr>
                    <w:t>总排口</w:t>
                  </w:r>
                </w:p>
              </w:tc>
              <w:tc>
                <w:tcPr>
                  <w:tcW w:w="953" w:type="pct"/>
                  <w:vAlign w:val="center"/>
                </w:tcPr>
                <w:p w14:paraId="7CF3D108">
                  <w:pPr>
                    <w:jc w:val="center"/>
                    <w:rPr>
                      <w:szCs w:val="21"/>
                    </w:rPr>
                  </w:pPr>
                  <w:r>
                    <w:rPr>
                      <w:szCs w:val="21"/>
                    </w:rPr>
                    <w:t>pH</w:t>
                  </w:r>
                  <w:r>
                    <w:rPr>
                      <w:rFonts w:hint="eastAsia"/>
                      <w:szCs w:val="21"/>
                    </w:rPr>
                    <w:t>（无量纲）</w:t>
                  </w:r>
                </w:p>
              </w:tc>
              <w:tc>
                <w:tcPr>
                  <w:tcW w:w="508" w:type="pct"/>
                  <w:vAlign w:val="center"/>
                </w:tcPr>
                <w:p w14:paraId="30A70DFA">
                  <w:pPr>
                    <w:jc w:val="center"/>
                    <w:rPr>
                      <w:szCs w:val="21"/>
                    </w:rPr>
                  </w:pPr>
                  <w:r>
                    <w:rPr>
                      <w:rFonts w:hint="eastAsia"/>
                      <w:szCs w:val="21"/>
                    </w:rPr>
                    <w:t>7.5</w:t>
                  </w:r>
                </w:p>
              </w:tc>
              <w:tc>
                <w:tcPr>
                  <w:tcW w:w="508" w:type="pct"/>
                  <w:vAlign w:val="center"/>
                </w:tcPr>
                <w:p w14:paraId="13D00338">
                  <w:pPr>
                    <w:jc w:val="center"/>
                    <w:rPr>
                      <w:szCs w:val="21"/>
                    </w:rPr>
                  </w:pPr>
                  <w:r>
                    <w:rPr>
                      <w:rFonts w:hint="eastAsia"/>
                      <w:szCs w:val="21"/>
                    </w:rPr>
                    <w:t>7.4</w:t>
                  </w:r>
                </w:p>
              </w:tc>
              <w:tc>
                <w:tcPr>
                  <w:tcW w:w="508" w:type="pct"/>
                  <w:vAlign w:val="center"/>
                </w:tcPr>
                <w:p w14:paraId="3685694E">
                  <w:pPr>
                    <w:jc w:val="center"/>
                    <w:rPr>
                      <w:szCs w:val="21"/>
                    </w:rPr>
                  </w:pPr>
                  <w:r>
                    <w:rPr>
                      <w:rFonts w:hint="eastAsia"/>
                      <w:szCs w:val="21"/>
                    </w:rPr>
                    <w:t>7.4</w:t>
                  </w:r>
                </w:p>
              </w:tc>
              <w:tc>
                <w:tcPr>
                  <w:tcW w:w="508" w:type="pct"/>
                  <w:vAlign w:val="center"/>
                </w:tcPr>
                <w:p w14:paraId="2E183531">
                  <w:pPr>
                    <w:jc w:val="center"/>
                    <w:rPr>
                      <w:szCs w:val="21"/>
                    </w:rPr>
                  </w:pPr>
                  <w:r>
                    <w:rPr>
                      <w:rFonts w:hint="eastAsia"/>
                      <w:szCs w:val="21"/>
                    </w:rPr>
                    <w:t>7.3</w:t>
                  </w:r>
                </w:p>
              </w:tc>
              <w:tc>
                <w:tcPr>
                  <w:tcW w:w="508" w:type="pct"/>
                  <w:vAlign w:val="center"/>
                </w:tcPr>
                <w:p w14:paraId="71BD54F7">
                  <w:pPr>
                    <w:jc w:val="center"/>
                    <w:rPr>
                      <w:szCs w:val="21"/>
                    </w:rPr>
                  </w:pPr>
                  <w:r>
                    <w:rPr>
                      <w:rFonts w:hint="eastAsia"/>
                      <w:szCs w:val="21"/>
                    </w:rPr>
                    <w:t>/</w:t>
                  </w:r>
                </w:p>
              </w:tc>
              <w:tc>
                <w:tcPr>
                  <w:tcW w:w="645" w:type="pct"/>
                  <w:vAlign w:val="center"/>
                </w:tcPr>
                <w:p w14:paraId="07718278">
                  <w:pPr>
                    <w:jc w:val="center"/>
                    <w:rPr>
                      <w:szCs w:val="21"/>
                    </w:rPr>
                  </w:pPr>
                  <w:r>
                    <w:rPr>
                      <w:rFonts w:hint="eastAsia"/>
                      <w:szCs w:val="21"/>
                    </w:rPr>
                    <w:t>6~</w:t>
                  </w:r>
                  <w:r>
                    <w:rPr>
                      <w:szCs w:val="21"/>
                    </w:rPr>
                    <w:t>9</w:t>
                  </w:r>
                </w:p>
              </w:tc>
            </w:tr>
            <w:tr w14:paraId="57372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87" w:type="pct"/>
                  <w:vMerge w:val="continue"/>
                  <w:vAlign w:val="center"/>
                </w:tcPr>
                <w:p w14:paraId="23964840">
                  <w:pPr>
                    <w:jc w:val="center"/>
                    <w:rPr>
                      <w:szCs w:val="21"/>
                    </w:rPr>
                  </w:pPr>
                </w:p>
              </w:tc>
              <w:tc>
                <w:tcPr>
                  <w:tcW w:w="476" w:type="pct"/>
                  <w:vMerge w:val="continue"/>
                  <w:vAlign w:val="center"/>
                </w:tcPr>
                <w:p w14:paraId="575E903F">
                  <w:pPr>
                    <w:jc w:val="center"/>
                    <w:rPr>
                      <w:szCs w:val="21"/>
                    </w:rPr>
                  </w:pPr>
                </w:p>
              </w:tc>
              <w:tc>
                <w:tcPr>
                  <w:tcW w:w="953" w:type="pct"/>
                  <w:vAlign w:val="center"/>
                </w:tcPr>
                <w:p w14:paraId="61D0A849">
                  <w:pPr>
                    <w:jc w:val="center"/>
                    <w:rPr>
                      <w:szCs w:val="21"/>
                    </w:rPr>
                  </w:pPr>
                  <w:r>
                    <w:rPr>
                      <w:rFonts w:hint="eastAsia"/>
                      <w:szCs w:val="21"/>
                    </w:rPr>
                    <w:t>化学需氧量</w:t>
                  </w:r>
                </w:p>
              </w:tc>
              <w:tc>
                <w:tcPr>
                  <w:tcW w:w="508" w:type="pct"/>
                  <w:vAlign w:val="center"/>
                </w:tcPr>
                <w:p w14:paraId="1CD4EBD6">
                  <w:pPr>
                    <w:jc w:val="center"/>
                    <w:rPr>
                      <w:szCs w:val="21"/>
                    </w:rPr>
                  </w:pPr>
                  <w:r>
                    <w:rPr>
                      <w:rFonts w:hint="eastAsia"/>
                      <w:szCs w:val="21"/>
                    </w:rPr>
                    <w:t>101</w:t>
                  </w:r>
                </w:p>
              </w:tc>
              <w:tc>
                <w:tcPr>
                  <w:tcW w:w="508" w:type="pct"/>
                  <w:vAlign w:val="center"/>
                </w:tcPr>
                <w:p w14:paraId="2F683920">
                  <w:pPr>
                    <w:jc w:val="center"/>
                    <w:rPr>
                      <w:szCs w:val="21"/>
                    </w:rPr>
                  </w:pPr>
                  <w:r>
                    <w:rPr>
                      <w:rFonts w:hint="eastAsia"/>
                      <w:szCs w:val="21"/>
                    </w:rPr>
                    <w:t>105</w:t>
                  </w:r>
                </w:p>
              </w:tc>
              <w:tc>
                <w:tcPr>
                  <w:tcW w:w="508" w:type="pct"/>
                  <w:vAlign w:val="center"/>
                </w:tcPr>
                <w:p w14:paraId="2DF7FE9C">
                  <w:pPr>
                    <w:jc w:val="center"/>
                    <w:rPr>
                      <w:szCs w:val="21"/>
                    </w:rPr>
                  </w:pPr>
                  <w:r>
                    <w:rPr>
                      <w:rFonts w:hint="eastAsia"/>
                      <w:szCs w:val="21"/>
                    </w:rPr>
                    <w:t>106</w:t>
                  </w:r>
                </w:p>
              </w:tc>
              <w:tc>
                <w:tcPr>
                  <w:tcW w:w="508" w:type="pct"/>
                  <w:vAlign w:val="center"/>
                </w:tcPr>
                <w:p w14:paraId="4C6445EF">
                  <w:pPr>
                    <w:jc w:val="center"/>
                    <w:rPr>
                      <w:szCs w:val="21"/>
                    </w:rPr>
                  </w:pPr>
                  <w:r>
                    <w:rPr>
                      <w:rFonts w:hint="eastAsia"/>
                      <w:szCs w:val="21"/>
                    </w:rPr>
                    <w:t>103</w:t>
                  </w:r>
                </w:p>
              </w:tc>
              <w:tc>
                <w:tcPr>
                  <w:tcW w:w="508" w:type="pct"/>
                  <w:vAlign w:val="center"/>
                </w:tcPr>
                <w:p w14:paraId="3DDBBC57">
                  <w:pPr>
                    <w:jc w:val="center"/>
                    <w:rPr>
                      <w:szCs w:val="21"/>
                    </w:rPr>
                  </w:pPr>
                  <w:r>
                    <w:rPr>
                      <w:rFonts w:hint="eastAsia"/>
                      <w:szCs w:val="21"/>
                    </w:rPr>
                    <w:t>104</w:t>
                  </w:r>
                </w:p>
              </w:tc>
              <w:tc>
                <w:tcPr>
                  <w:tcW w:w="645" w:type="pct"/>
                  <w:vAlign w:val="center"/>
                </w:tcPr>
                <w:p w14:paraId="31D51944">
                  <w:pPr>
                    <w:jc w:val="center"/>
                    <w:rPr>
                      <w:szCs w:val="21"/>
                    </w:rPr>
                  </w:pPr>
                  <w:r>
                    <w:rPr>
                      <w:rFonts w:hint="eastAsia"/>
                      <w:szCs w:val="21"/>
                    </w:rPr>
                    <w:t>500</w:t>
                  </w:r>
                </w:p>
              </w:tc>
            </w:tr>
            <w:tr w14:paraId="361A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387" w:type="pct"/>
                  <w:vMerge w:val="continue"/>
                  <w:vAlign w:val="center"/>
                </w:tcPr>
                <w:p w14:paraId="78E187BE">
                  <w:pPr>
                    <w:jc w:val="center"/>
                    <w:rPr>
                      <w:szCs w:val="21"/>
                    </w:rPr>
                  </w:pPr>
                </w:p>
              </w:tc>
              <w:tc>
                <w:tcPr>
                  <w:tcW w:w="476" w:type="pct"/>
                  <w:vMerge w:val="continue"/>
                  <w:vAlign w:val="center"/>
                </w:tcPr>
                <w:p w14:paraId="7F217CCE">
                  <w:pPr>
                    <w:jc w:val="center"/>
                    <w:rPr>
                      <w:szCs w:val="21"/>
                    </w:rPr>
                  </w:pPr>
                </w:p>
              </w:tc>
              <w:tc>
                <w:tcPr>
                  <w:tcW w:w="953" w:type="pct"/>
                  <w:vAlign w:val="center"/>
                </w:tcPr>
                <w:p w14:paraId="42BDE38C">
                  <w:pPr>
                    <w:jc w:val="center"/>
                    <w:rPr>
                      <w:szCs w:val="21"/>
                    </w:rPr>
                  </w:pPr>
                  <w:r>
                    <w:rPr>
                      <w:rFonts w:hint="eastAsia"/>
                      <w:szCs w:val="21"/>
                    </w:rPr>
                    <w:t>五日生化需氧量</w:t>
                  </w:r>
                </w:p>
              </w:tc>
              <w:tc>
                <w:tcPr>
                  <w:tcW w:w="508" w:type="pct"/>
                  <w:vAlign w:val="center"/>
                </w:tcPr>
                <w:p w14:paraId="09CF3D51">
                  <w:pPr>
                    <w:jc w:val="center"/>
                    <w:rPr>
                      <w:szCs w:val="21"/>
                    </w:rPr>
                  </w:pPr>
                  <w:r>
                    <w:rPr>
                      <w:rFonts w:hint="eastAsia"/>
                      <w:szCs w:val="21"/>
                    </w:rPr>
                    <w:t>29.4</w:t>
                  </w:r>
                </w:p>
              </w:tc>
              <w:tc>
                <w:tcPr>
                  <w:tcW w:w="508" w:type="pct"/>
                  <w:vAlign w:val="center"/>
                </w:tcPr>
                <w:p w14:paraId="6E6FFC87">
                  <w:pPr>
                    <w:jc w:val="center"/>
                    <w:rPr>
                      <w:szCs w:val="21"/>
                    </w:rPr>
                  </w:pPr>
                  <w:r>
                    <w:rPr>
                      <w:rFonts w:hint="eastAsia"/>
                      <w:szCs w:val="21"/>
                    </w:rPr>
                    <w:t>31.4</w:t>
                  </w:r>
                </w:p>
              </w:tc>
              <w:tc>
                <w:tcPr>
                  <w:tcW w:w="508" w:type="pct"/>
                  <w:vAlign w:val="center"/>
                </w:tcPr>
                <w:p w14:paraId="7E88CB94">
                  <w:pPr>
                    <w:jc w:val="center"/>
                    <w:rPr>
                      <w:szCs w:val="21"/>
                    </w:rPr>
                  </w:pPr>
                  <w:r>
                    <w:rPr>
                      <w:rFonts w:hint="eastAsia"/>
                      <w:szCs w:val="21"/>
                    </w:rPr>
                    <w:t>32.4</w:t>
                  </w:r>
                </w:p>
              </w:tc>
              <w:tc>
                <w:tcPr>
                  <w:tcW w:w="508" w:type="pct"/>
                  <w:vAlign w:val="center"/>
                </w:tcPr>
                <w:p w14:paraId="5937B869">
                  <w:pPr>
                    <w:jc w:val="center"/>
                    <w:rPr>
                      <w:szCs w:val="21"/>
                    </w:rPr>
                  </w:pPr>
                  <w:r>
                    <w:rPr>
                      <w:rFonts w:hint="eastAsia"/>
                      <w:szCs w:val="21"/>
                    </w:rPr>
                    <w:t>30.4</w:t>
                  </w:r>
                </w:p>
              </w:tc>
              <w:tc>
                <w:tcPr>
                  <w:tcW w:w="508" w:type="pct"/>
                  <w:vAlign w:val="center"/>
                </w:tcPr>
                <w:p w14:paraId="49AA673D">
                  <w:pPr>
                    <w:jc w:val="center"/>
                    <w:rPr>
                      <w:szCs w:val="21"/>
                    </w:rPr>
                  </w:pPr>
                  <w:r>
                    <w:rPr>
                      <w:rFonts w:hint="eastAsia"/>
                      <w:szCs w:val="21"/>
                    </w:rPr>
                    <w:t>30.9</w:t>
                  </w:r>
                </w:p>
              </w:tc>
              <w:tc>
                <w:tcPr>
                  <w:tcW w:w="645" w:type="pct"/>
                  <w:vAlign w:val="center"/>
                </w:tcPr>
                <w:p w14:paraId="294779DC">
                  <w:pPr>
                    <w:jc w:val="center"/>
                    <w:rPr>
                      <w:szCs w:val="21"/>
                    </w:rPr>
                  </w:pPr>
                  <w:r>
                    <w:rPr>
                      <w:rFonts w:hint="eastAsia"/>
                      <w:szCs w:val="21"/>
                    </w:rPr>
                    <w:t>300</w:t>
                  </w:r>
                </w:p>
              </w:tc>
            </w:tr>
            <w:tr w14:paraId="3706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387" w:type="pct"/>
                  <w:vMerge w:val="continue"/>
                  <w:vAlign w:val="center"/>
                </w:tcPr>
                <w:p w14:paraId="3A4E0F46">
                  <w:pPr>
                    <w:jc w:val="center"/>
                    <w:rPr>
                      <w:szCs w:val="21"/>
                    </w:rPr>
                  </w:pPr>
                </w:p>
              </w:tc>
              <w:tc>
                <w:tcPr>
                  <w:tcW w:w="476" w:type="pct"/>
                  <w:vMerge w:val="continue"/>
                  <w:vAlign w:val="center"/>
                </w:tcPr>
                <w:p w14:paraId="5FACC639">
                  <w:pPr>
                    <w:jc w:val="center"/>
                    <w:rPr>
                      <w:szCs w:val="21"/>
                    </w:rPr>
                  </w:pPr>
                </w:p>
              </w:tc>
              <w:tc>
                <w:tcPr>
                  <w:tcW w:w="953" w:type="pct"/>
                  <w:vAlign w:val="center"/>
                </w:tcPr>
                <w:p w14:paraId="023D51BA">
                  <w:pPr>
                    <w:jc w:val="center"/>
                    <w:rPr>
                      <w:szCs w:val="21"/>
                    </w:rPr>
                  </w:pPr>
                  <w:r>
                    <w:rPr>
                      <w:rFonts w:hint="eastAsia"/>
                      <w:szCs w:val="21"/>
                    </w:rPr>
                    <w:t>氨氮</w:t>
                  </w:r>
                </w:p>
              </w:tc>
              <w:tc>
                <w:tcPr>
                  <w:tcW w:w="508" w:type="pct"/>
                  <w:vAlign w:val="center"/>
                </w:tcPr>
                <w:p w14:paraId="0574F7F5">
                  <w:pPr>
                    <w:jc w:val="center"/>
                    <w:rPr>
                      <w:szCs w:val="21"/>
                    </w:rPr>
                  </w:pPr>
                  <w:r>
                    <w:rPr>
                      <w:rFonts w:hint="eastAsia"/>
                      <w:szCs w:val="21"/>
                    </w:rPr>
                    <w:t>44.0</w:t>
                  </w:r>
                </w:p>
              </w:tc>
              <w:tc>
                <w:tcPr>
                  <w:tcW w:w="508" w:type="pct"/>
                  <w:vAlign w:val="center"/>
                </w:tcPr>
                <w:p w14:paraId="73592BFF">
                  <w:pPr>
                    <w:jc w:val="center"/>
                    <w:rPr>
                      <w:szCs w:val="21"/>
                    </w:rPr>
                  </w:pPr>
                  <w:r>
                    <w:rPr>
                      <w:rFonts w:hint="eastAsia"/>
                      <w:szCs w:val="21"/>
                    </w:rPr>
                    <w:t>43.1</w:t>
                  </w:r>
                </w:p>
              </w:tc>
              <w:tc>
                <w:tcPr>
                  <w:tcW w:w="508" w:type="pct"/>
                  <w:vAlign w:val="center"/>
                </w:tcPr>
                <w:p w14:paraId="5CBF3746">
                  <w:pPr>
                    <w:jc w:val="center"/>
                    <w:rPr>
                      <w:szCs w:val="21"/>
                    </w:rPr>
                  </w:pPr>
                  <w:r>
                    <w:rPr>
                      <w:rFonts w:hint="eastAsia"/>
                      <w:szCs w:val="21"/>
                    </w:rPr>
                    <w:t>43.6</w:t>
                  </w:r>
                </w:p>
              </w:tc>
              <w:tc>
                <w:tcPr>
                  <w:tcW w:w="508" w:type="pct"/>
                  <w:vAlign w:val="center"/>
                </w:tcPr>
                <w:p w14:paraId="3EF9DD19">
                  <w:pPr>
                    <w:jc w:val="center"/>
                    <w:rPr>
                      <w:szCs w:val="21"/>
                    </w:rPr>
                  </w:pPr>
                  <w:r>
                    <w:rPr>
                      <w:rFonts w:hint="eastAsia"/>
                      <w:szCs w:val="21"/>
                    </w:rPr>
                    <w:t>42.8</w:t>
                  </w:r>
                </w:p>
              </w:tc>
              <w:tc>
                <w:tcPr>
                  <w:tcW w:w="508" w:type="pct"/>
                  <w:vAlign w:val="center"/>
                </w:tcPr>
                <w:p w14:paraId="12A3E260">
                  <w:pPr>
                    <w:jc w:val="center"/>
                    <w:rPr>
                      <w:szCs w:val="21"/>
                    </w:rPr>
                  </w:pPr>
                  <w:r>
                    <w:rPr>
                      <w:rFonts w:hint="eastAsia"/>
                      <w:szCs w:val="21"/>
                    </w:rPr>
                    <w:t>43.4</w:t>
                  </w:r>
                </w:p>
              </w:tc>
              <w:tc>
                <w:tcPr>
                  <w:tcW w:w="645" w:type="pct"/>
                  <w:vAlign w:val="center"/>
                </w:tcPr>
                <w:p w14:paraId="34302BA2">
                  <w:pPr>
                    <w:jc w:val="center"/>
                    <w:rPr>
                      <w:szCs w:val="21"/>
                    </w:rPr>
                  </w:pPr>
                  <w:r>
                    <w:rPr>
                      <w:rFonts w:hint="eastAsia"/>
                      <w:szCs w:val="21"/>
                    </w:rPr>
                    <w:t>45</w:t>
                  </w:r>
                </w:p>
              </w:tc>
            </w:tr>
            <w:tr w14:paraId="5CF8B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152EE66E">
                  <w:pPr>
                    <w:jc w:val="center"/>
                    <w:rPr>
                      <w:szCs w:val="21"/>
                    </w:rPr>
                  </w:pPr>
                </w:p>
              </w:tc>
              <w:tc>
                <w:tcPr>
                  <w:tcW w:w="476" w:type="pct"/>
                  <w:vMerge w:val="continue"/>
                  <w:vAlign w:val="center"/>
                </w:tcPr>
                <w:p w14:paraId="434AC095">
                  <w:pPr>
                    <w:jc w:val="center"/>
                    <w:rPr>
                      <w:szCs w:val="21"/>
                    </w:rPr>
                  </w:pPr>
                </w:p>
              </w:tc>
              <w:tc>
                <w:tcPr>
                  <w:tcW w:w="953" w:type="pct"/>
                  <w:vAlign w:val="center"/>
                </w:tcPr>
                <w:p w14:paraId="25CAFDEE">
                  <w:pPr>
                    <w:jc w:val="center"/>
                    <w:rPr>
                      <w:szCs w:val="21"/>
                    </w:rPr>
                  </w:pPr>
                  <w:r>
                    <w:rPr>
                      <w:rFonts w:hint="eastAsia"/>
                      <w:szCs w:val="21"/>
                    </w:rPr>
                    <w:t>悬浮物</w:t>
                  </w:r>
                </w:p>
              </w:tc>
              <w:tc>
                <w:tcPr>
                  <w:tcW w:w="508" w:type="pct"/>
                  <w:vAlign w:val="center"/>
                </w:tcPr>
                <w:p w14:paraId="777C5937">
                  <w:pPr>
                    <w:jc w:val="center"/>
                    <w:rPr>
                      <w:szCs w:val="21"/>
                    </w:rPr>
                  </w:pPr>
                  <w:r>
                    <w:rPr>
                      <w:rFonts w:hint="eastAsia"/>
                      <w:szCs w:val="21"/>
                    </w:rPr>
                    <w:t>64</w:t>
                  </w:r>
                </w:p>
              </w:tc>
              <w:tc>
                <w:tcPr>
                  <w:tcW w:w="508" w:type="pct"/>
                  <w:vAlign w:val="center"/>
                </w:tcPr>
                <w:p w14:paraId="7877974D">
                  <w:pPr>
                    <w:jc w:val="center"/>
                    <w:rPr>
                      <w:szCs w:val="21"/>
                    </w:rPr>
                  </w:pPr>
                  <w:r>
                    <w:rPr>
                      <w:rFonts w:hint="eastAsia"/>
                      <w:szCs w:val="21"/>
                    </w:rPr>
                    <w:t>60</w:t>
                  </w:r>
                </w:p>
              </w:tc>
              <w:tc>
                <w:tcPr>
                  <w:tcW w:w="508" w:type="pct"/>
                  <w:vAlign w:val="center"/>
                </w:tcPr>
                <w:p w14:paraId="358A1702">
                  <w:pPr>
                    <w:jc w:val="center"/>
                    <w:rPr>
                      <w:szCs w:val="21"/>
                    </w:rPr>
                  </w:pPr>
                  <w:r>
                    <w:rPr>
                      <w:rFonts w:hint="eastAsia"/>
                      <w:szCs w:val="21"/>
                    </w:rPr>
                    <w:t>63</w:t>
                  </w:r>
                </w:p>
              </w:tc>
              <w:tc>
                <w:tcPr>
                  <w:tcW w:w="508" w:type="pct"/>
                  <w:vAlign w:val="center"/>
                </w:tcPr>
                <w:p w14:paraId="1EF45CC9">
                  <w:pPr>
                    <w:jc w:val="center"/>
                    <w:rPr>
                      <w:szCs w:val="21"/>
                    </w:rPr>
                  </w:pPr>
                  <w:r>
                    <w:rPr>
                      <w:rFonts w:hint="eastAsia"/>
                      <w:szCs w:val="21"/>
                    </w:rPr>
                    <w:t>61</w:t>
                  </w:r>
                </w:p>
              </w:tc>
              <w:tc>
                <w:tcPr>
                  <w:tcW w:w="508" w:type="pct"/>
                  <w:vAlign w:val="center"/>
                </w:tcPr>
                <w:p w14:paraId="1F984F95">
                  <w:pPr>
                    <w:jc w:val="center"/>
                    <w:rPr>
                      <w:szCs w:val="21"/>
                    </w:rPr>
                  </w:pPr>
                  <w:r>
                    <w:rPr>
                      <w:rFonts w:hint="eastAsia"/>
                      <w:szCs w:val="21"/>
                    </w:rPr>
                    <w:t>62</w:t>
                  </w:r>
                </w:p>
              </w:tc>
              <w:tc>
                <w:tcPr>
                  <w:tcW w:w="645" w:type="pct"/>
                  <w:vAlign w:val="center"/>
                </w:tcPr>
                <w:p w14:paraId="3131C253">
                  <w:pPr>
                    <w:jc w:val="center"/>
                    <w:rPr>
                      <w:szCs w:val="21"/>
                    </w:rPr>
                  </w:pPr>
                  <w:r>
                    <w:rPr>
                      <w:rFonts w:hint="eastAsia"/>
                      <w:szCs w:val="21"/>
                    </w:rPr>
                    <w:t>400</w:t>
                  </w:r>
                </w:p>
              </w:tc>
            </w:tr>
            <w:tr w14:paraId="7DF61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6572D8D5">
                  <w:pPr>
                    <w:jc w:val="center"/>
                    <w:rPr>
                      <w:szCs w:val="21"/>
                    </w:rPr>
                  </w:pPr>
                </w:p>
              </w:tc>
              <w:tc>
                <w:tcPr>
                  <w:tcW w:w="476" w:type="pct"/>
                  <w:vMerge w:val="continue"/>
                  <w:vAlign w:val="center"/>
                </w:tcPr>
                <w:p w14:paraId="01F55739">
                  <w:pPr>
                    <w:jc w:val="center"/>
                    <w:rPr>
                      <w:szCs w:val="21"/>
                    </w:rPr>
                  </w:pPr>
                </w:p>
              </w:tc>
              <w:tc>
                <w:tcPr>
                  <w:tcW w:w="953" w:type="pct"/>
                  <w:vAlign w:val="center"/>
                </w:tcPr>
                <w:p w14:paraId="3C1FD224">
                  <w:pPr>
                    <w:jc w:val="center"/>
                    <w:rPr>
                      <w:szCs w:val="21"/>
                    </w:rPr>
                  </w:pPr>
                  <w:r>
                    <w:rPr>
                      <w:rFonts w:hint="eastAsia"/>
                      <w:szCs w:val="21"/>
                    </w:rPr>
                    <w:t>总磷</w:t>
                  </w:r>
                </w:p>
              </w:tc>
              <w:tc>
                <w:tcPr>
                  <w:tcW w:w="508" w:type="pct"/>
                  <w:vAlign w:val="center"/>
                </w:tcPr>
                <w:p w14:paraId="2BCD7DE8">
                  <w:pPr>
                    <w:jc w:val="center"/>
                    <w:rPr>
                      <w:szCs w:val="21"/>
                    </w:rPr>
                  </w:pPr>
                  <w:r>
                    <w:rPr>
                      <w:rFonts w:hint="eastAsia"/>
                      <w:szCs w:val="21"/>
                    </w:rPr>
                    <w:t>2.06</w:t>
                  </w:r>
                </w:p>
              </w:tc>
              <w:tc>
                <w:tcPr>
                  <w:tcW w:w="508" w:type="pct"/>
                  <w:vAlign w:val="center"/>
                </w:tcPr>
                <w:p w14:paraId="0563FB10">
                  <w:pPr>
                    <w:jc w:val="center"/>
                    <w:rPr>
                      <w:szCs w:val="21"/>
                    </w:rPr>
                  </w:pPr>
                  <w:r>
                    <w:rPr>
                      <w:rFonts w:hint="eastAsia"/>
                      <w:szCs w:val="21"/>
                    </w:rPr>
                    <w:t>2.04</w:t>
                  </w:r>
                </w:p>
              </w:tc>
              <w:tc>
                <w:tcPr>
                  <w:tcW w:w="508" w:type="pct"/>
                  <w:vAlign w:val="center"/>
                </w:tcPr>
                <w:p w14:paraId="67A336C1">
                  <w:pPr>
                    <w:jc w:val="center"/>
                    <w:rPr>
                      <w:szCs w:val="21"/>
                    </w:rPr>
                  </w:pPr>
                  <w:r>
                    <w:rPr>
                      <w:rFonts w:hint="eastAsia"/>
                      <w:szCs w:val="21"/>
                    </w:rPr>
                    <w:t>2.09</w:t>
                  </w:r>
                </w:p>
              </w:tc>
              <w:tc>
                <w:tcPr>
                  <w:tcW w:w="508" w:type="pct"/>
                  <w:vAlign w:val="center"/>
                </w:tcPr>
                <w:p w14:paraId="7B786ED0">
                  <w:pPr>
                    <w:jc w:val="center"/>
                    <w:rPr>
                      <w:szCs w:val="21"/>
                    </w:rPr>
                  </w:pPr>
                  <w:r>
                    <w:rPr>
                      <w:rFonts w:hint="eastAsia"/>
                      <w:szCs w:val="21"/>
                    </w:rPr>
                    <w:t>2.07</w:t>
                  </w:r>
                </w:p>
              </w:tc>
              <w:tc>
                <w:tcPr>
                  <w:tcW w:w="508" w:type="pct"/>
                  <w:vAlign w:val="center"/>
                </w:tcPr>
                <w:p w14:paraId="5640268F">
                  <w:pPr>
                    <w:jc w:val="center"/>
                    <w:rPr>
                      <w:szCs w:val="21"/>
                    </w:rPr>
                  </w:pPr>
                  <w:r>
                    <w:rPr>
                      <w:rFonts w:hint="eastAsia"/>
                      <w:szCs w:val="21"/>
                    </w:rPr>
                    <w:t>2.06</w:t>
                  </w:r>
                </w:p>
              </w:tc>
              <w:tc>
                <w:tcPr>
                  <w:tcW w:w="645" w:type="pct"/>
                  <w:vAlign w:val="center"/>
                </w:tcPr>
                <w:p w14:paraId="761425AC">
                  <w:pPr>
                    <w:jc w:val="center"/>
                    <w:rPr>
                      <w:szCs w:val="21"/>
                    </w:rPr>
                  </w:pPr>
                  <w:r>
                    <w:rPr>
                      <w:rFonts w:hint="eastAsia"/>
                      <w:szCs w:val="21"/>
                    </w:rPr>
                    <w:t>8</w:t>
                  </w:r>
                </w:p>
              </w:tc>
            </w:tr>
            <w:tr w14:paraId="013D5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13D46267">
                  <w:pPr>
                    <w:jc w:val="center"/>
                    <w:rPr>
                      <w:szCs w:val="21"/>
                    </w:rPr>
                  </w:pPr>
                </w:p>
              </w:tc>
              <w:tc>
                <w:tcPr>
                  <w:tcW w:w="476" w:type="pct"/>
                  <w:vMerge w:val="continue"/>
                  <w:vAlign w:val="center"/>
                </w:tcPr>
                <w:p w14:paraId="55CFD6D1">
                  <w:pPr>
                    <w:jc w:val="center"/>
                    <w:rPr>
                      <w:szCs w:val="21"/>
                    </w:rPr>
                  </w:pPr>
                </w:p>
              </w:tc>
              <w:tc>
                <w:tcPr>
                  <w:tcW w:w="953" w:type="pct"/>
                  <w:vAlign w:val="center"/>
                </w:tcPr>
                <w:p w14:paraId="2171021E">
                  <w:pPr>
                    <w:jc w:val="center"/>
                    <w:rPr>
                      <w:szCs w:val="21"/>
                    </w:rPr>
                  </w:pPr>
                  <w:r>
                    <w:rPr>
                      <w:rFonts w:hint="eastAsia"/>
                      <w:szCs w:val="21"/>
                    </w:rPr>
                    <w:t>动植物油</w:t>
                  </w:r>
                </w:p>
              </w:tc>
              <w:tc>
                <w:tcPr>
                  <w:tcW w:w="508" w:type="pct"/>
                  <w:vAlign w:val="center"/>
                </w:tcPr>
                <w:p w14:paraId="076B0BD9">
                  <w:pPr>
                    <w:jc w:val="center"/>
                    <w:rPr>
                      <w:szCs w:val="21"/>
                    </w:rPr>
                  </w:pPr>
                  <w:r>
                    <w:rPr>
                      <w:rFonts w:hint="eastAsia"/>
                      <w:szCs w:val="21"/>
                    </w:rPr>
                    <w:t>1.03</w:t>
                  </w:r>
                </w:p>
              </w:tc>
              <w:tc>
                <w:tcPr>
                  <w:tcW w:w="508" w:type="pct"/>
                  <w:vAlign w:val="center"/>
                </w:tcPr>
                <w:p w14:paraId="30B23A3B">
                  <w:pPr>
                    <w:jc w:val="center"/>
                    <w:rPr>
                      <w:szCs w:val="21"/>
                    </w:rPr>
                  </w:pPr>
                  <w:r>
                    <w:rPr>
                      <w:rFonts w:hint="eastAsia"/>
                      <w:szCs w:val="21"/>
                    </w:rPr>
                    <w:t>1.02</w:t>
                  </w:r>
                </w:p>
              </w:tc>
              <w:tc>
                <w:tcPr>
                  <w:tcW w:w="508" w:type="pct"/>
                  <w:vAlign w:val="center"/>
                </w:tcPr>
                <w:p w14:paraId="4070BE54">
                  <w:pPr>
                    <w:jc w:val="center"/>
                    <w:rPr>
                      <w:szCs w:val="21"/>
                    </w:rPr>
                  </w:pPr>
                  <w:r>
                    <w:rPr>
                      <w:rFonts w:hint="eastAsia"/>
                      <w:szCs w:val="21"/>
                    </w:rPr>
                    <w:t>1.10</w:t>
                  </w:r>
                </w:p>
              </w:tc>
              <w:tc>
                <w:tcPr>
                  <w:tcW w:w="508" w:type="pct"/>
                  <w:vAlign w:val="center"/>
                </w:tcPr>
                <w:p w14:paraId="40426EA3">
                  <w:pPr>
                    <w:jc w:val="center"/>
                    <w:rPr>
                      <w:szCs w:val="21"/>
                    </w:rPr>
                  </w:pPr>
                  <w:r>
                    <w:rPr>
                      <w:rFonts w:hint="eastAsia"/>
                      <w:szCs w:val="21"/>
                    </w:rPr>
                    <w:t>0.99</w:t>
                  </w:r>
                </w:p>
              </w:tc>
              <w:tc>
                <w:tcPr>
                  <w:tcW w:w="508" w:type="pct"/>
                  <w:vAlign w:val="center"/>
                </w:tcPr>
                <w:p w14:paraId="4F9B400D">
                  <w:pPr>
                    <w:jc w:val="center"/>
                    <w:rPr>
                      <w:szCs w:val="21"/>
                    </w:rPr>
                  </w:pPr>
                  <w:r>
                    <w:rPr>
                      <w:rFonts w:hint="eastAsia"/>
                      <w:szCs w:val="21"/>
                    </w:rPr>
                    <w:t>1.04</w:t>
                  </w:r>
                </w:p>
              </w:tc>
              <w:tc>
                <w:tcPr>
                  <w:tcW w:w="645" w:type="pct"/>
                  <w:vAlign w:val="center"/>
                </w:tcPr>
                <w:p w14:paraId="11F50E96">
                  <w:pPr>
                    <w:jc w:val="center"/>
                    <w:rPr>
                      <w:szCs w:val="21"/>
                    </w:rPr>
                  </w:pPr>
                  <w:r>
                    <w:rPr>
                      <w:rFonts w:hint="eastAsia"/>
                      <w:szCs w:val="21"/>
                    </w:rPr>
                    <w:t>100</w:t>
                  </w:r>
                </w:p>
              </w:tc>
            </w:tr>
            <w:tr w14:paraId="61D0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restart"/>
                  <w:vAlign w:val="center"/>
                </w:tcPr>
                <w:p w14:paraId="31648D31">
                  <w:pPr>
                    <w:jc w:val="center"/>
                    <w:rPr>
                      <w:szCs w:val="21"/>
                    </w:rPr>
                  </w:pPr>
                  <w:r>
                    <w:rPr>
                      <w:rFonts w:hint="eastAsia"/>
                      <w:szCs w:val="21"/>
                    </w:rPr>
                    <w:t>2024</w:t>
                  </w:r>
                </w:p>
                <w:p w14:paraId="4624F486">
                  <w:pPr>
                    <w:jc w:val="center"/>
                    <w:rPr>
                      <w:szCs w:val="21"/>
                    </w:rPr>
                  </w:pPr>
                  <w:r>
                    <w:rPr>
                      <w:rFonts w:hint="eastAsia"/>
                      <w:szCs w:val="21"/>
                    </w:rPr>
                    <w:t>0802</w:t>
                  </w:r>
                </w:p>
              </w:tc>
              <w:tc>
                <w:tcPr>
                  <w:tcW w:w="476" w:type="pct"/>
                  <w:vMerge w:val="continue"/>
                  <w:vAlign w:val="center"/>
                </w:tcPr>
                <w:p w14:paraId="12C59B37">
                  <w:pPr>
                    <w:jc w:val="center"/>
                    <w:rPr>
                      <w:szCs w:val="21"/>
                    </w:rPr>
                  </w:pPr>
                </w:p>
              </w:tc>
              <w:tc>
                <w:tcPr>
                  <w:tcW w:w="953" w:type="pct"/>
                  <w:vAlign w:val="center"/>
                </w:tcPr>
                <w:p w14:paraId="41E03AFD">
                  <w:pPr>
                    <w:jc w:val="center"/>
                    <w:rPr>
                      <w:szCs w:val="21"/>
                    </w:rPr>
                  </w:pPr>
                  <w:r>
                    <w:rPr>
                      <w:szCs w:val="21"/>
                    </w:rPr>
                    <w:t>pH</w:t>
                  </w:r>
                  <w:r>
                    <w:rPr>
                      <w:rFonts w:hint="eastAsia"/>
                      <w:szCs w:val="21"/>
                    </w:rPr>
                    <w:t>（无量纲）</w:t>
                  </w:r>
                </w:p>
              </w:tc>
              <w:tc>
                <w:tcPr>
                  <w:tcW w:w="508" w:type="pct"/>
                  <w:vAlign w:val="center"/>
                </w:tcPr>
                <w:p w14:paraId="5243C39E">
                  <w:pPr>
                    <w:jc w:val="center"/>
                    <w:rPr>
                      <w:szCs w:val="21"/>
                    </w:rPr>
                  </w:pPr>
                  <w:r>
                    <w:rPr>
                      <w:rFonts w:hint="eastAsia"/>
                      <w:szCs w:val="21"/>
                    </w:rPr>
                    <w:t>7.6</w:t>
                  </w:r>
                </w:p>
              </w:tc>
              <w:tc>
                <w:tcPr>
                  <w:tcW w:w="508" w:type="pct"/>
                  <w:vAlign w:val="center"/>
                </w:tcPr>
                <w:p w14:paraId="0CB457B9">
                  <w:pPr>
                    <w:jc w:val="center"/>
                    <w:rPr>
                      <w:szCs w:val="21"/>
                    </w:rPr>
                  </w:pPr>
                  <w:r>
                    <w:rPr>
                      <w:rFonts w:hint="eastAsia"/>
                      <w:szCs w:val="21"/>
                    </w:rPr>
                    <w:t>7.4</w:t>
                  </w:r>
                </w:p>
              </w:tc>
              <w:tc>
                <w:tcPr>
                  <w:tcW w:w="508" w:type="pct"/>
                  <w:vAlign w:val="center"/>
                </w:tcPr>
                <w:p w14:paraId="7D960714">
                  <w:pPr>
                    <w:jc w:val="center"/>
                    <w:rPr>
                      <w:szCs w:val="21"/>
                    </w:rPr>
                  </w:pPr>
                  <w:r>
                    <w:rPr>
                      <w:rFonts w:hint="eastAsia"/>
                      <w:szCs w:val="21"/>
                    </w:rPr>
                    <w:t>7.3</w:t>
                  </w:r>
                </w:p>
              </w:tc>
              <w:tc>
                <w:tcPr>
                  <w:tcW w:w="508" w:type="pct"/>
                  <w:vAlign w:val="center"/>
                </w:tcPr>
                <w:p w14:paraId="7F9A9747">
                  <w:pPr>
                    <w:jc w:val="center"/>
                    <w:rPr>
                      <w:szCs w:val="21"/>
                    </w:rPr>
                  </w:pPr>
                  <w:r>
                    <w:rPr>
                      <w:rFonts w:hint="eastAsia"/>
                      <w:szCs w:val="21"/>
                    </w:rPr>
                    <w:t>7.4</w:t>
                  </w:r>
                </w:p>
              </w:tc>
              <w:tc>
                <w:tcPr>
                  <w:tcW w:w="508" w:type="pct"/>
                  <w:vAlign w:val="center"/>
                </w:tcPr>
                <w:p w14:paraId="68AA794C">
                  <w:pPr>
                    <w:jc w:val="center"/>
                    <w:rPr>
                      <w:szCs w:val="21"/>
                    </w:rPr>
                  </w:pPr>
                  <w:r>
                    <w:rPr>
                      <w:rFonts w:hint="eastAsia"/>
                      <w:szCs w:val="21"/>
                    </w:rPr>
                    <w:t>/</w:t>
                  </w:r>
                </w:p>
              </w:tc>
              <w:tc>
                <w:tcPr>
                  <w:tcW w:w="645" w:type="pct"/>
                  <w:vAlign w:val="center"/>
                </w:tcPr>
                <w:p w14:paraId="6EFC5836">
                  <w:pPr>
                    <w:jc w:val="center"/>
                    <w:rPr>
                      <w:szCs w:val="21"/>
                    </w:rPr>
                  </w:pPr>
                  <w:r>
                    <w:rPr>
                      <w:rFonts w:hint="eastAsia"/>
                      <w:szCs w:val="21"/>
                    </w:rPr>
                    <w:t>6~</w:t>
                  </w:r>
                  <w:r>
                    <w:rPr>
                      <w:szCs w:val="21"/>
                    </w:rPr>
                    <w:t>9</w:t>
                  </w:r>
                </w:p>
              </w:tc>
            </w:tr>
            <w:tr w14:paraId="2FE2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263D472A">
                  <w:pPr>
                    <w:jc w:val="center"/>
                    <w:rPr>
                      <w:szCs w:val="21"/>
                    </w:rPr>
                  </w:pPr>
                </w:p>
              </w:tc>
              <w:tc>
                <w:tcPr>
                  <w:tcW w:w="476" w:type="pct"/>
                  <w:vMerge w:val="continue"/>
                  <w:vAlign w:val="center"/>
                </w:tcPr>
                <w:p w14:paraId="17DFCB16">
                  <w:pPr>
                    <w:jc w:val="center"/>
                    <w:rPr>
                      <w:szCs w:val="21"/>
                    </w:rPr>
                  </w:pPr>
                </w:p>
              </w:tc>
              <w:tc>
                <w:tcPr>
                  <w:tcW w:w="953" w:type="pct"/>
                  <w:vAlign w:val="center"/>
                </w:tcPr>
                <w:p w14:paraId="7F7EC0A3">
                  <w:pPr>
                    <w:jc w:val="center"/>
                    <w:rPr>
                      <w:szCs w:val="21"/>
                    </w:rPr>
                  </w:pPr>
                  <w:r>
                    <w:rPr>
                      <w:rFonts w:hint="eastAsia"/>
                      <w:szCs w:val="21"/>
                    </w:rPr>
                    <w:t>化学需氧量</w:t>
                  </w:r>
                </w:p>
              </w:tc>
              <w:tc>
                <w:tcPr>
                  <w:tcW w:w="508" w:type="pct"/>
                  <w:vAlign w:val="center"/>
                </w:tcPr>
                <w:p w14:paraId="3CB12F84">
                  <w:pPr>
                    <w:jc w:val="center"/>
                    <w:rPr>
                      <w:szCs w:val="21"/>
                    </w:rPr>
                  </w:pPr>
                  <w:r>
                    <w:rPr>
                      <w:rFonts w:hint="eastAsia"/>
                      <w:szCs w:val="21"/>
                    </w:rPr>
                    <w:t>108</w:t>
                  </w:r>
                </w:p>
              </w:tc>
              <w:tc>
                <w:tcPr>
                  <w:tcW w:w="508" w:type="pct"/>
                  <w:vAlign w:val="center"/>
                </w:tcPr>
                <w:p w14:paraId="7478AFFE">
                  <w:pPr>
                    <w:jc w:val="center"/>
                    <w:rPr>
                      <w:szCs w:val="21"/>
                    </w:rPr>
                  </w:pPr>
                  <w:r>
                    <w:rPr>
                      <w:rFonts w:hint="eastAsia"/>
                      <w:szCs w:val="21"/>
                    </w:rPr>
                    <w:t>100</w:t>
                  </w:r>
                </w:p>
              </w:tc>
              <w:tc>
                <w:tcPr>
                  <w:tcW w:w="508" w:type="pct"/>
                  <w:vAlign w:val="center"/>
                </w:tcPr>
                <w:p w14:paraId="5504A9B2">
                  <w:pPr>
                    <w:jc w:val="center"/>
                    <w:rPr>
                      <w:szCs w:val="21"/>
                    </w:rPr>
                  </w:pPr>
                  <w:r>
                    <w:rPr>
                      <w:rFonts w:hint="eastAsia"/>
                      <w:szCs w:val="21"/>
                    </w:rPr>
                    <w:t>102</w:t>
                  </w:r>
                </w:p>
              </w:tc>
              <w:tc>
                <w:tcPr>
                  <w:tcW w:w="508" w:type="pct"/>
                  <w:vAlign w:val="center"/>
                </w:tcPr>
                <w:p w14:paraId="2EEEE669">
                  <w:pPr>
                    <w:jc w:val="center"/>
                    <w:rPr>
                      <w:szCs w:val="21"/>
                    </w:rPr>
                  </w:pPr>
                  <w:r>
                    <w:rPr>
                      <w:rFonts w:hint="eastAsia"/>
                      <w:szCs w:val="21"/>
                    </w:rPr>
                    <w:t>110</w:t>
                  </w:r>
                </w:p>
              </w:tc>
              <w:tc>
                <w:tcPr>
                  <w:tcW w:w="508" w:type="pct"/>
                  <w:vAlign w:val="center"/>
                </w:tcPr>
                <w:p w14:paraId="1E0A0E55">
                  <w:pPr>
                    <w:jc w:val="center"/>
                    <w:rPr>
                      <w:szCs w:val="21"/>
                    </w:rPr>
                  </w:pPr>
                  <w:r>
                    <w:rPr>
                      <w:rFonts w:hint="eastAsia"/>
                      <w:szCs w:val="21"/>
                    </w:rPr>
                    <w:t>105</w:t>
                  </w:r>
                </w:p>
              </w:tc>
              <w:tc>
                <w:tcPr>
                  <w:tcW w:w="645" w:type="pct"/>
                  <w:vAlign w:val="center"/>
                </w:tcPr>
                <w:p w14:paraId="02D49199">
                  <w:pPr>
                    <w:jc w:val="center"/>
                    <w:rPr>
                      <w:szCs w:val="21"/>
                    </w:rPr>
                  </w:pPr>
                  <w:r>
                    <w:rPr>
                      <w:rFonts w:hint="eastAsia"/>
                      <w:szCs w:val="21"/>
                    </w:rPr>
                    <w:t>500</w:t>
                  </w:r>
                </w:p>
              </w:tc>
            </w:tr>
            <w:tr w14:paraId="7602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71B804A1">
                  <w:pPr>
                    <w:jc w:val="center"/>
                    <w:rPr>
                      <w:szCs w:val="21"/>
                    </w:rPr>
                  </w:pPr>
                </w:p>
              </w:tc>
              <w:tc>
                <w:tcPr>
                  <w:tcW w:w="476" w:type="pct"/>
                  <w:vMerge w:val="continue"/>
                  <w:vAlign w:val="center"/>
                </w:tcPr>
                <w:p w14:paraId="3B96888E">
                  <w:pPr>
                    <w:jc w:val="center"/>
                    <w:rPr>
                      <w:szCs w:val="21"/>
                    </w:rPr>
                  </w:pPr>
                </w:p>
              </w:tc>
              <w:tc>
                <w:tcPr>
                  <w:tcW w:w="953" w:type="pct"/>
                  <w:vAlign w:val="center"/>
                </w:tcPr>
                <w:p w14:paraId="19017100">
                  <w:pPr>
                    <w:jc w:val="center"/>
                    <w:rPr>
                      <w:szCs w:val="21"/>
                    </w:rPr>
                  </w:pPr>
                  <w:r>
                    <w:rPr>
                      <w:rFonts w:hint="eastAsia"/>
                      <w:szCs w:val="21"/>
                    </w:rPr>
                    <w:t>五日生化需氧量</w:t>
                  </w:r>
                </w:p>
              </w:tc>
              <w:tc>
                <w:tcPr>
                  <w:tcW w:w="508" w:type="pct"/>
                  <w:vAlign w:val="center"/>
                </w:tcPr>
                <w:p w14:paraId="6758D66D">
                  <w:pPr>
                    <w:jc w:val="center"/>
                    <w:rPr>
                      <w:szCs w:val="21"/>
                    </w:rPr>
                  </w:pPr>
                  <w:r>
                    <w:rPr>
                      <w:rFonts w:hint="eastAsia"/>
                      <w:szCs w:val="21"/>
                    </w:rPr>
                    <w:t>32.4</w:t>
                  </w:r>
                </w:p>
              </w:tc>
              <w:tc>
                <w:tcPr>
                  <w:tcW w:w="508" w:type="pct"/>
                  <w:vAlign w:val="center"/>
                </w:tcPr>
                <w:p w14:paraId="56271419">
                  <w:pPr>
                    <w:jc w:val="center"/>
                    <w:rPr>
                      <w:szCs w:val="21"/>
                    </w:rPr>
                  </w:pPr>
                  <w:r>
                    <w:rPr>
                      <w:rFonts w:hint="eastAsia"/>
                      <w:szCs w:val="21"/>
                    </w:rPr>
                    <w:t>30.4</w:t>
                  </w:r>
                </w:p>
              </w:tc>
              <w:tc>
                <w:tcPr>
                  <w:tcW w:w="508" w:type="pct"/>
                  <w:vAlign w:val="center"/>
                </w:tcPr>
                <w:p w14:paraId="343AF0A1">
                  <w:pPr>
                    <w:jc w:val="center"/>
                    <w:rPr>
                      <w:szCs w:val="21"/>
                    </w:rPr>
                  </w:pPr>
                  <w:r>
                    <w:rPr>
                      <w:rFonts w:hint="eastAsia"/>
                      <w:szCs w:val="21"/>
                    </w:rPr>
                    <w:t>31.4</w:t>
                  </w:r>
                </w:p>
              </w:tc>
              <w:tc>
                <w:tcPr>
                  <w:tcW w:w="508" w:type="pct"/>
                  <w:vAlign w:val="center"/>
                </w:tcPr>
                <w:p w14:paraId="542E1965">
                  <w:pPr>
                    <w:jc w:val="center"/>
                    <w:rPr>
                      <w:szCs w:val="21"/>
                    </w:rPr>
                  </w:pPr>
                  <w:r>
                    <w:rPr>
                      <w:rFonts w:hint="eastAsia"/>
                      <w:szCs w:val="21"/>
                    </w:rPr>
                    <w:t>30.9</w:t>
                  </w:r>
                </w:p>
              </w:tc>
              <w:tc>
                <w:tcPr>
                  <w:tcW w:w="508" w:type="pct"/>
                  <w:vAlign w:val="center"/>
                </w:tcPr>
                <w:p w14:paraId="0791076B">
                  <w:pPr>
                    <w:jc w:val="center"/>
                    <w:rPr>
                      <w:szCs w:val="21"/>
                    </w:rPr>
                  </w:pPr>
                  <w:r>
                    <w:rPr>
                      <w:rFonts w:hint="eastAsia"/>
                      <w:szCs w:val="21"/>
                    </w:rPr>
                    <w:t>31.3</w:t>
                  </w:r>
                </w:p>
              </w:tc>
              <w:tc>
                <w:tcPr>
                  <w:tcW w:w="645" w:type="pct"/>
                  <w:vAlign w:val="center"/>
                </w:tcPr>
                <w:p w14:paraId="61D65189">
                  <w:pPr>
                    <w:jc w:val="center"/>
                    <w:rPr>
                      <w:szCs w:val="21"/>
                    </w:rPr>
                  </w:pPr>
                  <w:r>
                    <w:rPr>
                      <w:rFonts w:hint="eastAsia"/>
                      <w:szCs w:val="21"/>
                    </w:rPr>
                    <w:t>300</w:t>
                  </w:r>
                </w:p>
              </w:tc>
            </w:tr>
            <w:tr w14:paraId="7793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28CE48C7">
                  <w:pPr>
                    <w:jc w:val="center"/>
                    <w:rPr>
                      <w:szCs w:val="21"/>
                    </w:rPr>
                  </w:pPr>
                </w:p>
              </w:tc>
              <w:tc>
                <w:tcPr>
                  <w:tcW w:w="476" w:type="pct"/>
                  <w:vMerge w:val="continue"/>
                  <w:vAlign w:val="center"/>
                </w:tcPr>
                <w:p w14:paraId="0CCAD4BC">
                  <w:pPr>
                    <w:jc w:val="center"/>
                    <w:rPr>
                      <w:szCs w:val="21"/>
                    </w:rPr>
                  </w:pPr>
                </w:p>
              </w:tc>
              <w:tc>
                <w:tcPr>
                  <w:tcW w:w="953" w:type="pct"/>
                  <w:vAlign w:val="center"/>
                </w:tcPr>
                <w:p w14:paraId="5C4FECFD">
                  <w:pPr>
                    <w:jc w:val="center"/>
                    <w:rPr>
                      <w:szCs w:val="21"/>
                    </w:rPr>
                  </w:pPr>
                  <w:r>
                    <w:rPr>
                      <w:rFonts w:hint="eastAsia"/>
                      <w:szCs w:val="21"/>
                    </w:rPr>
                    <w:t>氨氮</w:t>
                  </w:r>
                </w:p>
              </w:tc>
              <w:tc>
                <w:tcPr>
                  <w:tcW w:w="508" w:type="pct"/>
                  <w:vAlign w:val="center"/>
                </w:tcPr>
                <w:p w14:paraId="014384B3">
                  <w:pPr>
                    <w:jc w:val="center"/>
                    <w:rPr>
                      <w:szCs w:val="21"/>
                    </w:rPr>
                  </w:pPr>
                  <w:r>
                    <w:rPr>
                      <w:rFonts w:hint="eastAsia"/>
                      <w:szCs w:val="21"/>
                    </w:rPr>
                    <w:t>42.1</w:t>
                  </w:r>
                </w:p>
              </w:tc>
              <w:tc>
                <w:tcPr>
                  <w:tcW w:w="508" w:type="pct"/>
                  <w:vAlign w:val="center"/>
                </w:tcPr>
                <w:p w14:paraId="164671E4">
                  <w:pPr>
                    <w:jc w:val="center"/>
                    <w:rPr>
                      <w:szCs w:val="21"/>
                    </w:rPr>
                  </w:pPr>
                  <w:r>
                    <w:rPr>
                      <w:rFonts w:hint="eastAsia"/>
                      <w:szCs w:val="21"/>
                    </w:rPr>
                    <w:t>43.3</w:t>
                  </w:r>
                </w:p>
              </w:tc>
              <w:tc>
                <w:tcPr>
                  <w:tcW w:w="508" w:type="pct"/>
                  <w:vAlign w:val="center"/>
                </w:tcPr>
                <w:p w14:paraId="278BE769">
                  <w:pPr>
                    <w:jc w:val="center"/>
                    <w:rPr>
                      <w:szCs w:val="21"/>
                    </w:rPr>
                  </w:pPr>
                  <w:r>
                    <w:rPr>
                      <w:rFonts w:hint="eastAsia"/>
                      <w:szCs w:val="21"/>
                    </w:rPr>
                    <w:t>44.4</w:t>
                  </w:r>
                </w:p>
              </w:tc>
              <w:tc>
                <w:tcPr>
                  <w:tcW w:w="508" w:type="pct"/>
                  <w:vAlign w:val="center"/>
                </w:tcPr>
                <w:p w14:paraId="3D39733C">
                  <w:pPr>
                    <w:jc w:val="center"/>
                    <w:rPr>
                      <w:szCs w:val="21"/>
                    </w:rPr>
                  </w:pPr>
                  <w:r>
                    <w:rPr>
                      <w:rFonts w:hint="eastAsia"/>
                      <w:szCs w:val="21"/>
                    </w:rPr>
                    <w:t>43.2</w:t>
                  </w:r>
                </w:p>
              </w:tc>
              <w:tc>
                <w:tcPr>
                  <w:tcW w:w="508" w:type="pct"/>
                  <w:vAlign w:val="center"/>
                </w:tcPr>
                <w:p w14:paraId="60069CF3">
                  <w:pPr>
                    <w:jc w:val="center"/>
                    <w:rPr>
                      <w:szCs w:val="21"/>
                    </w:rPr>
                  </w:pPr>
                  <w:r>
                    <w:rPr>
                      <w:rFonts w:hint="eastAsia"/>
                      <w:szCs w:val="21"/>
                    </w:rPr>
                    <w:t>43.2</w:t>
                  </w:r>
                </w:p>
              </w:tc>
              <w:tc>
                <w:tcPr>
                  <w:tcW w:w="645" w:type="pct"/>
                  <w:vAlign w:val="center"/>
                </w:tcPr>
                <w:p w14:paraId="78BFF7D5">
                  <w:pPr>
                    <w:jc w:val="center"/>
                    <w:rPr>
                      <w:szCs w:val="21"/>
                    </w:rPr>
                  </w:pPr>
                  <w:r>
                    <w:rPr>
                      <w:rFonts w:hint="eastAsia"/>
                      <w:szCs w:val="21"/>
                    </w:rPr>
                    <w:t>45</w:t>
                  </w:r>
                </w:p>
              </w:tc>
            </w:tr>
            <w:tr w14:paraId="2D75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59BB9830">
                  <w:pPr>
                    <w:jc w:val="center"/>
                    <w:rPr>
                      <w:szCs w:val="21"/>
                    </w:rPr>
                  </w:pPr>
                </w:p>
              </w:tc>
              <w:tc>
                <w:tcPr>
                  <w:tcW w:w="476" w:type="pct"/>
                  <w:vMerge w:val="continue"/>
                  <w:vAlign w:val="center"/>
                </w:tcPr>
                <w:p w14:paraId="0CCA51E4">
                  <w:pPr>
                    <w:jc w:val="center"/>
                    <w:rPr>
                      <w:szCs w:val="21"/>
                    </w:rPr>
                  </w:pPr>
                </w:p>
              </w:tc>
              <w:tc>
                <w:tcPr>
                  <w:tcW w:w="953" w:type="pct"/>
                  <w:vAlign w:val="center"/>
                </w:tcPr>
                <w:p w14:paraId="48B4533F">
                  <w:pPr>
                    <w:jc w:val="center"/>
                    <w:rPr>
                      <w:szCs w:val="21"/>
                    </w:rPr>
                  </w:pPr>
                  <w:r>
                    <w:rPr>
                      <w:rFonts w:hint="eastAsia"/>
                      <w:szCs w:val="21"/>
                    </w:rPr>
                    <w:t>悬浮物</w:t>
                  </w:r>
                </w:p>
              </w:tc>
              <w:tc>
                <w:tcPr>
                  <w:tcW w:w="508" w:type="pct"/>
                  <w:vAlign w:val="center"/>
                </w:tcPr>
                <w:p w14:paraId="48EA734D">
                  <w:pPr>
                    <w:jc w:val="center"/>
                    <w:rPr>
                      <w:szCs w:val="21"/>
                    </w:rPr>
                  </w:pPr>
                  <w:r>
                    <w:rPr>
                      <w:rFonts w:hint="eastAsia"/>
                      <w:szCs w:val="21"/>
                    </w:rPr>
                    <w:t>63</w:t>
                  </w:r>
                </w:p>
              </w:tc>
              <w:tc>
                <w:tcPr>
                  <w:tcW w:w="508" w:type="pct"/>
                  <w:vAlign w:val="center"/>
                </w:tcPr>
                <w:p w14:paraId="65561B86">
                  <w:pPr>
                    <w:jc w:val="center"/>
                    <w:rPr>
                      <w:szCs w:val="21"/>
                    </w:rPr>
                  </w:pPr>
                  <w:r>
                    <w:rPr>
                      <w:rFonts w:hint="eastAsia"/>
                      <w:szCs w:val="21"/>
                    </w:rPr>
                    <w:t>64</w:t>
                  </w:r>
                </w:p>
              </w:tc>
              <w:tc>
                <w:tcPr>
                  <w:tcW w:w="508" w:type="pct"/>
                  <w:vAlign w:val="center"/>
                </w:tcPr>
                <w:p w14:paraId="336AD99E">
                  <w:pPr>
                    <w:jc w:val="center"/>
                    <w:rPr>
                      <w:szCs w:val="21"/>
                    </w:rPr>
                  </w:pPr>
                  <w:r>
                    <w:rPr>
                      <w:rFonts w:hint="eastAsia"/>
                      <w:szCs w:val="21"/>
                    </w:rPr>
                    <w:t>65</w:t>
                  </w:r>
                </w:p>
              </w:tc>
              <w:tc>
                <w:tcPr>
                  <w:tcW w:w="508" w:type="pct"/>
                  <w:vAlign w:val="center"/>
                </w:tcPr>
                <w:p w14:paraId="252B587E">
                  <w:pPr>
                    <w:jc w:val="center"/>
                    <w:rPr>
                      <w:szCs w:val="21"/>
                    </w:rPr>
                  </w:pPr>
                  <w:r>
                    <w:rPr>
                      <w:rFonts w:hint="eastAsia"/>
                      <w:szCs w:val="21"/>
                    </w:rPr>
                    <w:t>63</w:t>
                  </w:r>
                </w:p>
              </w:tc>
              <w:tc>
                <w:tcPr>
                  <w:tcW w:w="508" w:type="pct"/>
                  <w:vAlign w:val="center"/>
                </w:tcPr>
                <w:p w14:paraId="0AEEA84D">
                  <w:pPr>
                    <w:jc w:val="center"/>
                    <w:rPr>
                      <w:szCs w:val="21"/>
                    </w:rPr>
                  </w:pPr>
                  <w:r>
                    <w:rPr>
                      <w:rFonts w:hint="eastAsia"/>
                      <w:szCs w:val="21"/>
                    </w:rPr>
                    <w:t>64</w:t>
                  </w:r>
                </w:p>
              </w:tc>
              <w:tc>
                <w:tcPr>
                  <w:tcW w:w="645" w:type="pct"/>
                  <w:vAlign w:val="center"/>
                </w:tcPr>
                <w:p w14:paraId="00BB533D">
                  <w:pPr>
                    <w:jc w:val="center"/>
                    <w:rPr>
                      <w:szCs w:val="21"/>
                    </w:rPr>
                  </w:pPr>
                  <w:r>
                    <w:rPr>
                      <w:rFonts w:hint="eastAsia"/>
                      <w:szCs w:val="21"/>
                    </w:rPr>
                    <w:t>400</w:t>
                  </w:r>
                </w:p>
              </w:tc>
            </w:tr>
            <w:tr w14:paraId="302BF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42B79225">
                  <w:pPr>
                    <w:jc w:val="center"/>
                    <w:rPr>
                      <w:szCs w:val="21"/>
                    </w:rPr>
                  </w:pPr>
                </w:p>
              </w:tc>
              <w:tc>
                <w:tcPr>
                  <w:tcW w:w="476" w:type="pct"/>
                  <w:vMerge w:val="continue"/>
                  <w:vAlign w:val="center"/>
                </w:tcPr>
                <w:p w14:paraId="176E7521">
                  <w:pPr>
                    <w:jc w:val="center"/>
                    <w:rPr>
                      <w:szCs w:val="21"/>
                    </w:rPr>
                  </w:pPr>
                </w:p>
              </w:tc>
              <w:tc>
                <w:tcPr>
                  <w:tcW w:w="953" w:type="pct"/>
                  <w:vAlign w:val="center"/>
                </w:tcPr>
                <w:p w14:paraId="039024BF">
                  <w:pPr>
                    <w:jc w:val="center"/>
                    <w:rPr>
                      <w:szCs w:val="21"/>
                    </w:rPr>
                  </w:pPr>
                  <w:r>
                    <w:rPr>
                      <w:rFonts w:hint="eastAsia"/>
                      <w:szCs w:val="21"/>
                    </w:rPr>
                    <w:t>总磷</w:t>
                  </w:r>
                </w:p>
              </w:tc>
              <w:tc>
                <w:tcPr>
                  <w:tcW w:w="508" w:type="pct"/>
                  <w:vAlign w:val="center"/>
                </w:tcPr>
                <w:p w14:paraId="4BDE57E0">
                  <w:pPr>
                    <w:jc w:val="center"/>
                    <w:rPr>
                      <w:szCs w:val="21"/>
                    </w:rPr>
                  </w:pPr>
                  <w:r>
                    <w:rPr>
                      <w:rFonts w:hint="eastAsia"/>
                      <w:szCs w:val="21"/>
                    </w:rPr>
                    <w:t>2.05</w:t>
                  </w:r>
                </w:p>
              </w:tc>
              <w:tc>
                <w:tcPr>
                  <w:tcW w:w="508" w:type="pct"/>
                  <w:vAlign w:val="center"/>
                </w:tcPr>
                <w:p w14:paraId="2BDE17D3">
                  <w:pPr>
                    <w:jc w:val="center"/>
                    <w:rPr>
                      <w:szCs w:val="21"/>
                    </w:rPr>
                  </w:pPr>
                  <w:r>
                    <w:rPr>
                      <w:rFonts w:hint="eastAsia"/>
                      <w:szCs w:val="21"/>
                    </w:rPr>
                    <w:t>2.07</w:t>
                  </w:r>
                </w:p>
              </w:tc>
              <w:tc>
                <w:tcPr>
                  <w:tcW w:w="508" w:type="pct"/>
                  <w:vAlign w:val="center"/>
                </w:tcPr>
                <w:p w14:paraId="0244BF44">
                  <w:pPr>
                    <w:jc w:val="center"/>
                    <w:rPr>
                      <w:szCs w:val="21"/>
                    </w:rPr>
                  </w:pPr>
                  <w:r>
                    <w:rPr>
                      <w:rFonts w:hint="eastAsia"/>
                      <w:szCs w:val="21"/>
                    </w:rPr>
                    <w:t>2.03</w:t>
                  </w:r>
                </w:p>
              </w:tc>
              <w:tc>
                <w:tcPr>
                  <w:tcW w:w="508" w:type="pct"/>
                  <w:vAlign w:val="center"/>
                </w:tcPr>
                <w:p w14:paraId="226A3D5E">
                  <w:pPr>
                    <w:jc w:val="center"/>
                    <w:rPr>
                      <w:szCs w:val="21"/>
                    </w:rPr>
                  </w:pPr>
                  <w:r>
                    <w:rPr>
                      <w:rFonts w:hint="eastAsia"/>
                      <w:szCs w:val="21"/>
                    </w:rPr>
                    <w:t>2.08</w:t>
                  </w:r>
                </w:p>
              </w:tc>
              <w:tc>
                <w:tcPr>
                  <w:tcW w:w="508" w:type="pct"/>
                  <w:vAlign w:val="center"/>
                </w:tcPr>
                <w:p w14:paraId="60C0F253">
                  <w:pPr>
                    <w:jc w:val="center"/>
                    <w:rPr>
                      <w:szCs w:val="21"/>
                    </w:rPr>
                  </w:pPr>
                  <w:r>
                    <w:rPr>
                      <w:rFonts w:hint="eastAsia"/>
                      <w:szCs w:val="21"/>
                    </w:rPr>
                    <w:t>2.06</w:t>
                  </w:r>
                </w:p>
              </w:tc>
              <w:tc>
                <w:tcPr>
                  <w:tcW w:w="645" w:type="pct"/>
                  <w:vAlign w:val="center"/>
                </w:tcPr>
                <w:p w14:paraId="651D4D51">
                  <w:pPr>
                    <w:jc w:val="center"/>
                    <w:rPr>
                      <w:szCs w:val="21"/>
                    </w:rPr>
                  </w:pPr>
                  <w:r>
                    <w:rPr>
                      <w:rFonts w:hint="eastAsia"/>
                      <w:szCs w:val="21"/>
                    </w:rPr>
                    <w:t>8</w:t>
                  </w:r>
                </w:p>
              </w:tc>
            </w:tr>
            <w:tr w14:paraId="5741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87" w:type="pct"/>
                  <w:vMerge w:val="continue"/>
                  <w:vAlign w:val="center"/>
                </w:tcPr>
                <w:p w14:paraId="43E42AF6">
                  <w:pPr>
                    <w:jc w:val="center"/>
                    <w:rPr>
                      <w:szCs w:val="21"/>
                    </w:rPr>
                  </w:pPr>
                </w:p>
              </w:tc>
              <w:tc>
                <w:tcPr>
                  <w:tcW w:w="476" w:type="pct"/>
                  <w:vMerge w:val="continue"/>
                  <w:vAlign w:val="center"/>
                </w:tcPr>
                <w:p w14:paraId="2351007A">
                  <w:pPr>
                    <w:jc w:val="center"/>
                    <w:rPr>
                      <w:szCs w:val="21"/>
                    </w:rPr>
                  </w:pPr>
                </w:p>
              </w:tc>
              <w:tc>
                <w:tcPr>
                  <w:tcW w:w="953" w:type="pct"/>
                  <w:vAlign w:val="center"/>
                </w:tcPr>
                <w:p w14:paraId="758C0B61">
                  <w:pPr>
                    <w:jc w:val="center"/>
                    <w:rPr>
                      <w:szCs w:val="21"/>
                    </w:rPr>
                  </w:pPr>
                  <w:r>
                    <w:rPr>
                      <w:rFonts w:hint="eastAsia"/>
                      <w:szCs w:val="21"/>
                    </w:rPr>
                    <w:t>动植物油</w:t>
                  </w:r>
                </w:p>
              </w:tc>
              <w:tc>
                <w:tcPr>
                  <w:tcW w:w="508" w:type="pct"/>
                  <w:vAlign w:val="center"/>
                </w:tcPr>
                <w:p w14:paraId="189D77E2">
                  <w:pPr>
                    <w:jc w:val="center"/>
                    <w:rPr>
                      <w:szCs w:val="21"/>
                    </w:rPr>
                  </w:pPr>
                  <w:r>
                    <w:rPr>
                      <w:rFonts w:hint="eastAsia"/>
                      <w:szCs w:val="21"/>
                    </w:rPr>
                    <w:t>0.90</w:t>
                  </w:r>
                </w:p>
              </w:tc>
              <w:tc>
                <w:tcPr>
                  <w:tcW w:w="508" w:type="pct"/>
                  <w:vAlign w:val="center"/>
                </w:tcPr>
                <w:p w14:paraId="6C0CE573">
                  <w:pPr>
                    <w:jc w:val="center"/>
                    <w:rPr>
                      <w:szCs w:val="21"/>
                    </w:rPr>
                  </w:pPr>
                  <w:r>
                    <w:rPr>
                      <w:rFonts w:hint="eastAsia"/>
                      <w:szCs w:val="21"/>
                    </w:rPr>
                    <w:t>0.89</w:t>
                  </w:r>
                </w:p>
              </w:tc>
              <w:tc>
                <w:tcPr>
                  <w:tcW w:w="508" w:type="pct"/>
                  <w:vAlign w:val="center"/>
                </w:tcPr>
                <w:p w14:paraId="45CB7080">
                  <w:pPr>
                    <w:jc w:val="center"/>
                    <w:rPr>
                      <w:szCs w:val="21"/>
                    </w:rPr>
                  </w:pPr>
                  <w:r>
                    <w:rPr>
                      <w:rFonts w:hint="eastAsia"/>
                      <w:szCs w:val="21"/>
                    </w:rPr>
                    <w:t>1.00</w:t>
                  </w:r>
                </w:p>
              </w:tc>
              <w:tc>
                <w:tcPr>
                  <w:tcW w:w="508" w:type="pct"/>
                  <w:vAlign w:val="center"/>
                </w:tcPr>
                <w:p w14:paraId="28A7C4EE">
                  <w:pPr>
                    <w:jc w:val="center"/>
                    <w:rPr>
                      <w:szCs w:val="21"/>
                    </w:rPr>
                  </w:pPr>
                  <w:r>
                    <w:rPr>
                      <w:rFonts w:hint="eastAsia"/>
                      <w:szCs w:val="21"/>
                    </w:rPr>
                    <w:t>1.07</w:t>
                  </w:r>
                </w:p>
              </w:tc>
              <w:tc>
                <w:tcPr>
                  <w:tcW w:w="508" w:type="pct"/>
                  <w:vAlign w:val="center"/>
                </w:tcPr>
                <w:p w14:paraId="473A9D8D">
                  <w:pPr>
                    <w:jc w:val="center"/>
                    <w:rPr>
                      <w:szCs w:val="21"/>
                    </w:rPr>
                  </w:pPr>
                  <w:r>
                    <w:rPr>
                      <w:rFonts w:hint="eastAsia"/>
                      <w:szCs w:val="21"/>
                    </w:rPr>
                    <w:t>0.96</w:t>
                  </w:r>
                </w:p>
              </w:tc>
              <w:tc>
                <w:tcPr>
                  <w:tcW w:w="645" w:type="pct"/>
                  <w:vAlign w:val="center"/>
                </w:tcPr>
                <w:p w14:paraId="2EBB01D1">
                  <w:pPr>
                    <w:jc w:val="center"/>
                    <w:rPr>
                      <w:szCs w:val="21"/>
                    </w:rPr>
                  </w:pPr>
                  <w:r>
                    <w:rPr>
                      <w:rFonts w:hint="eastAsia"/>
                      <w:szCs w:val="21"/>
                    </w:rPr>
                    <w:t>100</w:t>
                  </w:r>
                </w:p>
              </w:tc>
            </w:tr>
          </w:tbl>
          <w:p w14:paraId="1EEFA836">
            <w:pPr>
              <w:spacing w:line="360" w:lineRule="auto"/>
              <w:ind w:firstLine="480" w:firstLineChars="200"/>
              <w:rPr>
                <w:rFonts w:cs="Times New Roman"/>
                <w:sz w:val="24"/>
                <w:szCs w:val="24"/>
              </w:rPr>
            </w:pPr>
            <w:r>
              <w:rPr>
                <w:rFonts w:hint="eastAsia"/>
                <w:sz w:val="24"/>
              </w:rPr>
              <w:t>监测结果表明</w:t>
            </w:r>
            <w:r>
              <w:rPr>
                <w:sz w:val="24"/>
              </w:rPr>
              <w:t>，</w:t>
            </w:r>
            <w:r>
              <w:rPr>
                <w:rFonts w:hint="eastAsia"/>
                <w:sz w:val="24"/>
              </w:rPr>
              <w:t>现有工程</w:t>
            </w:r>
            <w:r>
              <w:rPr>
                <w:rFonts w:hint="eastAsia" w:cs="Times New Roman"/>
                <w:sz w:val="24"/>
                <w:szCs w:val="24"/>
              </w:rPr>
              <w:t>废水总排口所测污染物pH值、悬浮物、化学需氧量、五日生化需氧量、动植物油排放浓度均满足《污水综合排放标准》（GB8978-1996）表4中三级标准，氨氮、总磷排放浓度满足《污水排入城镇下水道水质标准》（GB/T31962-2015）表1中B级标准。</w:t>
            </w:r>
          </w:p>
          <w:p w14:paraId="4B9E1A50">
            <w:pPr>
              <w:spacing w:line="360" w:lineRule="auto"/>
              <w:ind w:firstLine="482" w:firstLineChars="200"/>
              <w:rPr>
                <w:b/>
                <w:sz w:val="24"/>
              </w:rPr>
            </w:pPr>
            <w:r>
              <w:rPr>
                <w:rFonts w:hint="eastAsia"/>
                <w:b/>
                <w:sz w:val="24"/>
              </w:rPr>
              <w:t>（</w:t>
            </w:r>
            <w:r>
              <w:rPr>
                <w:b/>
                <w:sz w:val="24"/>
              </w:rPr>
              <w:t>3</w:t>
            </w:r>
            <w:r>
              <w:rPr>
                <w:rFonts w:hint="eastAsia"/>
                <w:b/>
                <w:sz w:val="24"/>
              </w:rPr>
              <w:t>）噪声</w:t>
            </w:r>
          </w:p>
          <w:p w14:paraId="0B643D84">
            <w:pPr>
              <w:spacing w:line="360" w:lineRule="auto"/>
              <w:ind w:firstLine="482" w:firstLineChars="200"/>
              <w:rPr>
                <w:b/>
                <w:bCs/>
                <w:sz w:val="24"/>
              </w:rPr>
            </w:pPr>
            <w:r>
              <w:rPr>
                <w:rFonts w:hint="eastAsia"/>
                <w:b/>
                <w:bCs/>
                <w:sz w:val="24"/>
              </w:rPr>
              <w:t>1）治理措施</w:t>
            </w:r>
          </w:p>
          <w:p w14:paraId="1F98AB40">
            <w:pPr>
              <w:spacing w:line="360" w:lineRule="auto"/>
              <w:ind w:firstLine="480" w:firstLineChars="200"/>
              <w:rPr>
                <w:rFonts w:cs="Times New Roman"/>
                <w:sz w:val="24"/>
                <w:szCs w:val="24"/>
              </w:rPr>
            </w:pPr>
            <w:r>
              <w:rPr>
                <w:rFonts w:hint="eastAsia" w:cs="Times New Roman"/>
                <w:sz w:val="24"/>
                <w:szCs w:val="24"/>
              </w:rPr>
              <w:t>现有工程噪声主要来源于冷却塔、空压机、涂装流水线、UV光固机、真空镀膜机、镭雕机等生产设备产生的噪声，根据现场调查，主要采取以下噪声治理措施：</w:t>
            </w:r>
          </w:p>
          <w:p w14:paraId="3EEE75DD">
            <w:pPr>
              <w:spacing w:line="360" w:lineRule="auto"/>
              <w:ind w:firstLine="480" w:firstLineChars="200"/>
              <w:rPr>
                <w:rFonts w:cs="Times New Roman"/>
                <w:sz w:val="24"/>
                <w:szCs w:val="24"/>
              </w:rPr>
            </w:pPr>
            <w:r>
              <w:rPr>
                <w:rFonts w:hint="eastAsia" w:cs="Times New Roman"/>
                <w:sz w:val="24"/>
                <w:szCs w:val="24"/>
              </w:rPr>
              <w:t>①选用符合国家标准的低噪声设备，定期进行设备检修，保证设备正常运行。</w:t>
            </w:r>
          </w:p>
          <w:p w14:paraId="5D2C814A">
            <w:pPr>
              <w:spacing w:line="360" w:lineRule="auto"/>
              <w:ind w:firstLine="480" w:firstLineChars="200"/>
              <w:rPr>
                <w:rFonts w:cs="Times New Roman"/>
                <w:sz w:val="24"/>
                <w:szCs w:val="24"/>
              </w:rPr>
            </w:pPr>
            <w:r>
              <w:rPr>
                <w:rFonts w:hint="eastAsia" w:cs="Times New Roman"/>
                <w:sz w:val="24"/>
                <w:szCs w:val="24"/>
              </w:rPr>
              <w:t>②合理布局车间平面，设备放置于密闭生产车间内，底部采用基础减振措施，空压机置于独立空压机房内，风机安装消声器等。</w:t>
            </w:r>
          </w:p>
          <w:p w14:paraId="0F68E434">
            <w:pPr>
              <w:spacing w:line="360" w:lineRule="auto"/>
              <w:ind w:firstLine="480" w:firstLineChars="200"/>
              <w:rPr>
                <w:rFonts w:cs="Times New Roman"/>
                <w:sz w:val="24"/>
                <w:szCs w:val="24"/>
              </w:rPr>
            </w:pPr>
            <w:r>
              <w:rPr>
                <w:rFonts w:hint="eastAsia" w:cs="Times New Roman"/>
                <w:sz w:val="24"/>
                <w:szCs w:val="24"/>
              </w:rPr>
              <w:t>③合理安排生产时间，夜间禁止生产。</w:t>
            </w:r>
          </w:p>
          <w:p w14:paraId="46075D15">
            <w:pPr>
              <w:spacing w:line="360" w:lineRule="auto"/>
              <w:ind w:firstLine="482" w:firstLineChars="200"/>
              <w:rPr>
                <w:b/>
                <w:bCs/>
                <w:sz w:val="24"/>
              </w:rPr>
            </w:pPr>
            <w:r>
              <w:rPr>
                <w:b/>
                <w:bCs/>
                <w:sz w:val="24"/>
              </w:rPr>
              <w:t>2</w:t>
            </w:r>
            <w:r>
              <w:rPr>
                <w:rFonts w:hint="eastAsia"/>
                <w:b/>
                <w:bCs/>
                <w:sz w:val="24"/>
              </w:rPr>
              <w:t>）达标情况</w:t>
            </w:r>
          </w:p>
          <w:p w14:paraId="238ABF54">
            <w:pPr>
              <w:spacing w:line="360" w:lineRule="auto"/>
              <w:ind w:firstLine="480" w:firstLineChars="200"/>
              <w:rPr>
                <w:sz w:val="24"/>
              </w:rPr>
            </w:pPr>
            <w:r>
              <w:rPr>
                <w:sz w:val="24"/>
              </w:rPr>
              <w:t>根据</w:t>
            </w:r>
            <w:r>
              <w:rPr>
                <w:rFonts w:hint="eastAsia"/>
                <w:sz w:val="24"/>
                <w:szCs w:val="24"/>
              </w:rPr>
              <w:t>四川圣拉斯包装制品有限公司验收监测报告</w:t>
            </w:r>
            <w:r>
              <w:rPr>
                <w:rFonts w:hint="eastAsia"/>
                <w:sz w:val="24"/>
              </w:rPr>
              <w:t>（铁环检字（2024）第07123号），现有厂界噪声</w:t>
            </w:r>
            <w:r>
              <w:rPr>
                <w:rFonts w:hint="eastAsia" w:cs="Times New Roman"/>
                <w:sz w:val="24"/>
                <w:szCs w:val="24"/>
              </w:rPr>
              <w:t>监测结果见下表</w:t>
            </w:r>
            <w:r>
              <w:rPr>
                <w:rFonts w:hint="eastAsia"/>
                <w:sz w:val="24"/>
              </w:rPr>
              <w:t>。</w:t>
            </w:r>
          </w:p>
          <w:p w14:paraId="75D80EBA">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现有工程厂界噪声监测结果</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447"/>
              <w:gridCol w:w="1793"/>
              <w:gridCol w:w="1795"/>
              <w:gridCol w:w="1372"/>
            </w:tblGrid>
            <w:tr w14:paraId="7863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05" w:type="pct"/>
                  <w:vMerge w:val="restart"/>
                  <w:vAlign w:val="center"/>
                </w:tcPr>
                <w:p w14:paraId="5BCD6CDC">
                  <w:pPr>
                    <w:jc w:val="center"/>
                    <w:rPr>
                      <w:rFonts w:cstheme="minorHAnsi"/>
                      <w:szCs w:val="21"/>
                    </w:rPr>
                  </w:pPr>
                  <w:r>
                    <w:rPr>
                      <w:rFonts w:cstheme="minorHAnsi"/>
                      <w:szCs w:val="21"/>
                    </w:rPr>
                    <w:t>编号</w:t>
                  </w:r>
                </w:p>
              </w:tc>
              <w:tc>
                <w:tcPr>
                  <w:tcW w:w="1884" w:type="pct"/>
                  <w:vMerge w:val="restart"/>
                  <w:vAlign w:val="center"/>
                </w:tcPr>
                <w:p w14:paraId="72D60BE3">
                  <w:pPr>
                    <w:jc w:val="center"/>
                    <w:rPr>
                      <w:rFonts w:cstheme="minorHAnsi"/>
                      <w:szCs w:val="21"/>
                    </w:rPr>
                  </w:pPr>
                  <w:r>
                    <w:rPr>
                      <w:rFonts w:hint="eastAsia" w:cstheme="minorHAnsi"/>
                      <w:szCs w:val="21"/>
                    </w:rPr>
                    <w:t>监测点位</w:t>
                  </w:r>
                </w:p>
              </w:tc>
              <w:tc>
                <w:tcPr>
                  <w:tcW w:w="1961" w:type="pct"/>
                  <w:gridSpan w:val="2"/>
                  <w:vAlign w:val="center"/>
                </w:tcPr>
                <w:p w14:paraId="1892E6BF">
                  <w:pPr>
                    <w:jc w:val="center"/>
                    <w:rPr>
                      <w:rFonts w:cstheme="minorHAnsi"/>
                      <w:szCs w:val="21"/>
                    </w:rPr>
                  </w:pPr>
                  <w:r>
                    <w:rPr>
                      <w:rFonts w:hint="eastAsia" w:cstheme="minorHAnsi"/>
                      <w:szCs w:val="21"/>
                    </w:rPr>
                    <w:t>昼间监测结果</w:t>
                  </w:r>
                  <w:r>
                    <w:rPr>
                      <w:rFonts w:cstheme="minorHAnsi"/>
                      <w:szCs w:val="21"/>
                    </w:rPr>
                    <w:t>[dB（A）]</w:t>
                  </w:r>
                </w:p>
              </w:tc>
              <w:tc>
                <w:tcPr>
                  <w:tcW w:w="750" w:type="pct"/>
                  <w:vMerge w:val="restart"/>
                  <w:vAlign w:val="center"/>
                </w:tcPr>
                <w:p w14:paraId="56AAFAC9">
                  <w:pPr>
                    <w:jc w:val="center"/>
                    <w:rPr>
                      <w:rFonts w:cstheme="minorHAnsi"/>
                      <w:szCs w:val="21"/>
                    </w:rPr>
                  </w:pPr>
                  <w:r>
                    <w:rPr>
                      <w:rFonts w:cstheme="minorHAnsi"/>
                      <w:szCs w:val="21"/>
                    </w:rPr>
                    <w:t>标准限值[dB（A）]</w:t>
                  </w:r>
                </w:p>
              </w:tc>
            </w:tr>
            <w:tr w14:paraId="7EA9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05" w:type="pct"/>
                  <w:vMerge w:val="continue"/>
                  <w:vAlign w:val="center"/>
                </w:tcPr>
                <w:p w14:paraId="2B106190">
                  <w:pPr>
                    <w:jc w:val="center"/>
                    <w:rPr>
                      <w:rFonts w:cstheme="minorHAnsi"/>
                      <w:szCs w:val="21"/>
                    </w:rPr>
                  </w:pPr>
                </w:p>
              </w:tc>
              <w:tc>
                <w:tcPr>
                  <w:tcW w:w="1884" w:type="pct"/>
                  <w:vMerge w:val="continue"/>
                  <w:vAlign w:val="center"/>
                </w:tcPr>
                <w:p w14:paraId="2E7BAE26">
                  <w:pPr>
                    <w:jc w:val="center"/>
                    <w:rPr>
                      <w:rFonts w:cstheme="minorHAnsi"/>
                      <w:szCs w:val="21"/>
                    </w:rPr>
                  </w:pPr>
                </w:p>
              </w:tc>
              <w:tc>
                <w:tcPr>
                  <w:tcW w:w="980" w:type="pct"/>
                  <w:vAlign w:val="center"/>
                </w:tcPr>
                <w:p w14:paraId="59D4C3AA">
                  <w:pPr>
                    <w:jc w:val="center"/>
                    <w:rPr>
                      <w:rFonts w:cstheme="minorHAnsi"/>
                      <w:szCs w:val="21"/>
                    </w:rPr>
                  </w:pPr>
                  <w:r>
                    <w:rPr>
                      <w:rFonts w:hint="eastAsia" w:cstheme="minorHAnsi"/>
                      <w:szCs w:val="21"/>
                    </w:rPr>
                    <w:t>2024.8.1</w:t>
                  </w:r>
                </w:p>
              </w:tc>
              <w:tc>
                <w:tcPr>
                  <w:tcW w:w="981" w:type="pct"/>
                  <w:vAlign w:val="center"/>
                </w:tcPr>
                <w:p w14:paraId="5263451F">
                  <w:pPr>
                    <w:jc w:val="center"/>
                    <w:rPr>
                      <w:rFonts w:cstheme="minorHAnsi"/>
                      <w:szCs w:val="21"/>
                    </w:rPr>
                  </w:pPr>
                  <w:r>
                    <w:rPr>
                      <w:rFonts w:hint="eastAsia" w:cstheme="minorHAnsi"/>
                      <w:szCs w:val="21"/>
                    </w:rPr>
                    <w:t>2024.8.2</w:t>
                  </w:r>
                </w:p>
              </w:tc>
              <w:tc>
                <w:tcPr>
                  <w:tcW w:w="750" w:type="pct"/>
                  <w:vMerge w:val="continue"/>
                  <w:vAlign w:val="center"/>
                </w:tcPr>
                <w:p w14:paraId="455F9379">
                  <w:pPr>
                    <w:jc w:val="center"/>
                    <w:rPr>
                      <w:rFonts w:cstheme="minorHAnsi"/>
                      <w:szCs w:val="21"/>
                    </w:rPr>
                  </w:pPr>
                </w:p>
              </w:tc>
            </w:tr>
            <w:tr w14:paraId="4276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05" w:type="pct"/>
                  <w:vAlign w:val="center"/>
                </w:tcPr>
                <w:p w14:paraId="37009870">
                  <w:pPr>
                    <w:jc w:val="center"/>
                    <w:rPr>
                      <w:rFonts w:cstheme="minorHAnsi"/>
                      <w:szCs w:val="21"/>
                    </w:rPr>
                  </w:pPr>
                  <w:r>
                    <w:rPr>
                      <w:rFonts w:cstheme="minorHAnsi"/>
                      <w:szCs w:val="21"/>
                    </w:rPr>
                    <w:t>1#</w:t>
                  </w:r>
                </w:p>
              </w:tc>
              <w:tc>
                <w:tcPr>
                  <w:tcW w:w="1884" w:type="pct"/>
                  <w:vAlign w:val="center"/>
                </w:tcPr>
                <w:p w14:paraId="2CE4CC4B">
                  <w:pPr>
                    <w:jc w:val="center"/>
                    <w:rPr>
                      <w:rFonts w:cstheme="minorHAnsi"/>
                      <w:kern w:val="0"/>
                      <w:szCs w:val="21"/>
                    </w:rPr>
                  </w:pPr>
                  <w:r>
                    <w:rPr>
                      <w:rFonts w:hint="eastAsia" w:cs="Times New Roman"/>
                      <w:szCs w:val="21"/>
                    </w:rPr>
                    <w:t>项目地厂界外东侧1m高1.5m</w:t>
                  </w:r>
                </w:p>
              </w:tc>
              <w:tc>
                <w:tcPr>
                  <w:tcW w:w="980" w:type="pct"/>
                  <w:vAlign w:val="center"/>
                </w:tcPr>
                <w:p w14:paraId="605034A4">
                  <w:pPr>
                    <w:jc w:val="center"/>
                    <w:rPr>
                      <w:rFonts w:cstheme="minorHAnsi"/>
                      <w:szCs w:val="21"/>
                    </w:rPr>
                  </w:pPr>
                  <w:r>
                    <w:rPr>
                      <w:rFonts w:hint="eastAsia" w:cstheme="minorHAnsi"/>
                      <w:kern w:val="0"/>
                      <w:szCs w:val="21"/>
                    </w:rPr>
                    <w:t>53.2</w:t>
                  </w:r>
                </w:p>
              </w:tc>
              <w:tc>
                <w:tcPr>
                  <w:tcW w:w="981" w:type="pct"/>
                  <w:vAlign w:val="center"/>
                </w:tcPr>
                <w:p w14:paraId="2C172FCE">
                  <w:pPr>
                    <w:jc w:val="center"/>
                    <w:rPr>
                      <w:rFonts w:cstheme="minorHAnsi"/>
                      <w:szCs w:val="21"/>
                    </w:rPr>
                  </w:pPr>
                  <w:r>
                    <w:rPr>
                      <w:rFonts w:hint="eastAsia" w:cstheme="minorHAnsi"/>
                      <w:szCs w:val="21"/>
                    </w:rPr>
                    <w:t>55.4</w:t>
                  </w:r>
                </w:p>
              </w:tc>
              <w:tc>
                <w:tcPr>
                  <w:tcW w:w="750" w:type="pct"/>
                  <w:vMerge w:val="restart"/>
                  <w:vAlign w:val="center"/>
                </w:tcPr>
                <w:p w14:paraId="1091BFC4">
                  <w:pPr>
                    <w:jc w:val="center"/>
                    <w:rPr>
                      <w:rFonts w:cstheme="minorHAnsi"/>
                      <w:szCs w:val="21"/>
                    </w:rPr>
                  </w:pPr>
                  <w:r>
                    <w:rPr>
                      <w:rFonts w:hint="eastAsia" w:cstheme="minorHAnsi"/>
                      <w:szCs w:val="21"/>
                    </w:rPr>
                    <w:t>65</w:t>
                  </w:r>
                </w:p>
              </w:tc>
            </w:tr>
            <w:tr w14:paraId="773A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405" w:type="pct"/>
                  <w:vAlign w:val="center"/>
                </w:tcPr>
                <w:p w14:paraId="5714544B">
                  <w:pPr>
                    <w:jc w:val="center"/>
                    <w:rPr>
                      <w:rFonts w:cstheme="minorHAnsi"/>
                      <w:szCs w:val="21"/>
                    </w:rPr>
                  </w:pPr>
                  <w:r>
                    <w:rPr>
                      <w:rFonts w:cstheme="minorHAnsi"/>
                      <w:szCs w:val="21"/>
                    </w:rPr>
                    <w:t>2#</w:t>
                  </w:r>
                </w:p>
              </w:tc>
              <w:tc>
                <w:tcPr>
                  <w:tcW w:w="1884" w:type="pct"/>
                  <w:vAlign w:val="center"/>
                </w:tcPr>
                <w:p w14:paraId="41F2A99F">
                  <w:pPr>
                    <w:jc w:val="center"/>
                    <w:rPr>
                      <w:rFonts w:cstheme="minorHAnsi"/>
                      <w:kern w:val="0"/>
                      <w:szCs w:val="21"/>
                    </w:rPr>
                  </w:pPr>
                  <w:r>
                    <w:rPr>
                      <w:rFonts w:hint="eastAsia" w:cs="Times New Roman"/>
                      <w:szCs w:val="21"/>
                    </w:rPr>
                    <w:t>项目地厂界外东北侧1m高1.5m</w:t>
                  </w:r>
                </w:p>
              </w:tc>
              <w:tc>
                <w:tcPr>
                  <w:tcW w:w="980" w:type="pct"/>
                  <w:vAlign w:val="center"/>
                </w:tcPr>
                <w:p w14:paraId="6E95CDEF">
                  <w:pPr>
                    <w:jc w:val="center"/>
                    <w:rPr>
                      <w:rFonts w:cstheme="minorHAnsi"/>
                      <w:szCs w:val="21"/>
                    </w:rPr>
                  </w:pPr>
                  <w:r>
                    <w:rPr>
                      <w:rFonts w:hint="eastAsia" w:cstheme="minorHAnsi"/>
                      <w:kern w:val="0"/>
                      <w:szCs w:val="21"/>
                    </w:rPr>
                    <w:t>55.6</w:t>
                  </w:r>
                </w:p>
              </w:tc>
              <w:tc>
                <w:tcPr>
                  <w:tcW w:w="981" w:type="pct"/>
                  <w:vAlign w:val="center"/>
                </w:tcPr>
                <w:p w14:paraId="176DFB66">
                  <w:pPr>
                    <w:jc w:val="center"/>
                    <w:rPr>
                      <w:rFonts w:cstheme="minorHAnsi"/>
                      <w:szCs w:val="21"/>
                    </w:rPr>
                  </w:pPr>
                  <w:r>
                    <w:rPr>
                      <w:rFonts w:hint="eastAsia" w:cstheme="minorHAnsi"/>
                      <w:szCs w:val="21"/>
                    </w:rPr>
                    <w:t>53.5</w:t>
                  </w:r>
                </w:p>
              </w:tc>
              <w:tc>
                <w:tcPr>
                  <w:tcW w:w="750" w:type="pct"/>
                  <w:vMerge w:val="continue"/>
                  <w:vAlign w:val="center"/>
                </w:tcPr>
                <w:p w14:paraId="715223F6">
                  <w:pPr>
                    <w:jc w:val="center"/>
                    <w:rPr>
                      <w:rFonts w:cstheme="minorHAnsi"/>
                      <w:szCs w:val="21"/>
                    </w:rPr>
                  </w:pPr>
                </w:p>
              </w:tc>
            </w:tr>
            <w:tr w14:paraId="3DAD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05" w:type="pct"/>
                  <w:vAlign w:val="center"/>
                </w:tcPr>
                <w:p w14:paraId="1A2C5BC7">
                  <w:pPr>
                    <w:jc w:val="center"/>
                    <w:rPr>
                      <w:rFonts w:cstheme="minorHAnsi"/>
                      <w:szCs w:val="21"/>
                    </w:rPr>
                  </w:pPr>
                  <w:r>
                    <w:rPr>
                      <w:rFonts w:cstheme="minorHAnsi"/>
                      <w:szCs w:val="21"/>
                    </w:rPr>
                    <w:t>3#</w:t>
                  </w:r>
                </w:p>
              </w:tc>
              <w:tc>
                <w:tcPr>
                  <w:tcW w:w="1884" w:type="pct"/>
                  <w:vAlign w:val="center"/>
                </w:tcPr>
                <w:p w14:paraId="32C990B9">
                  <w:pPr>
                    <w:jc w:val="center"/>
                    <w:rPr>
                      <w:rFonts w:cstheme="minorHAnsi"/>
                      <w:kern w:val="0"/>
                      <w:szCs w:val="21"/>
                    </w:rPr>
                  </w:pPr>
                  <w:r>
                    <w:rPr>
                      <w:rFonts w:hint="eastAsia" w:cs="Times New Roman"/>
                      <w:szCs w:val="21"/>
                    </w:rPr>
                    <w:t>项目地厂界外西北侧1m高1.5m</w:t>
                  </w:r>
                </w:p>
              </w:tc>
              <w:tc>
                <w:tcPr>
                  <w:tcW w:w="980" w:type="pct"/>
                  <w:vAlign w:val="center"/>
                </w:tcPr>
                <w:p w14:paraId="1E107675">
                  <w:pPr>
                    <w:jc w:val="center"/>
                    <w:rPr>
                      <w:rFonts w:cstheme="minorHAnsi"/>
                      <w:szCs w:val="21"/>
                    </w:rPr>
                  </w:pPr>
                  <w:r>
                    <w:rPr>
                      <w:rFonts w:hint="eastAsia" w:cstheme="minorHAnsi"/>
                      <w:kern w:val="0"/>
                      <w:szCs w:val="21"/>
                    </w:rPr>
                    <w:t>55.5</w:t>
                  </w:r>
                </w:p>
              </w:tc>
              <w:tc>
                <w:tcPr>
                  <w:tcW w:w="981" w:type="pct"/>
                  <w:vAlign w:val="center"/>
                </w:tcPr>
                <w:p w14:paraId="3EF7787A">
                  <w:pPr>
                    <w:jc w:val="center"/>
                    <w:rPr>
                      <w:rFonts w:cstheme="minorHAnsi"/>
                      <w:szCs w:val="21"/>
                    </w:rPr>
                  </w:pPr>
                  <w:r>
                    <w:rPr>
                      <w:rFonts w:hint="eastAsia" w:cstheme="minorHAnsi"/>
                      <w:szCs w:val="21"/>
                    </w:rPr>
                    <w:t>56.1</w:t>
                  </w:r>
                </w:p>
              </w:tc>
              <w:tc>
                <w:tcPr>
                  <w:tcW w:w="750" w:type="pct"/>
                  <w:vMerge w:val="continue"/>
                  <w:vAlign w:val="center"/>
                </w:tcPr>
                <w:p w14:paraId="36D5A87A">
                  <w:pPr>
                    <w:jc w:val="center"/>
                    <w:rPr>
                      <w:rFonts w:cstheme="minorHAnsi"/>
                      <w:szCs w:val="21"/>
                    </w:rPr>
                  </w:pPr>
                </w:p>
              </w:tc>
            </w:tr>
            <w:tr w14:paraId="127D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5" w:type="pct"/>
                  <w:vAlign w:val="center"/>
                </w:tcPr>
                <w:p w14:paraId="36C15DDF">
                  <w:pPr>
                    <w:jc w:val="center"/>
                    <w:rPr>
                      <w:rFonts w:cstheme="minorHAnsi"/>
                      <w:szCs w:val="21"/>
                    </w:rPr>
                  </w:pPr>
                  <w:r>
                    <w:rPr>
                      <w:rFonts w:cstheme="minorHAnsi"/>
                      <w:szCs w:val="21"/>
                    </w:rPr>
                    <w:t>4#</w:t>
                  </w:r>
                </w:p>
              </w:tc>
              <w:tc>
                <w:tcPr>
                  <w:tcW w:w="1884" w:type="pct"/>
                  <w:vAlign w:val="center"/>
                </w:tcPr>
                <w:p w14:paraId="333AF68D">
                  <w:pPr>
                    <w:jc w:val="center"/>
                    <w:rPr>
                      <w:rFonts w:cstheme="minorHAnsi"/>
                      <w:kern w:val="0"/>
                      <w:szCs w:val="21"/>
                    </w:rPr>
                  </w:pPr>
                  <w:r>
                    <w:rPr>
                      <w:rFonts w:hint="eastAsia" w:cs="Times New Roman"/>
                      <w:szCs w:val="21"/>
                    </w:rPr>
                    <w:t>项目地厂界外西侧1m高1.5m</w:t>
                  </w:r>
                </w:p>
              </w:tc>
              <w:tc>
                <w:tcPr>
                  <w:tcW w:w="980" w:type="pct"/>
                  <w:vAlign w:val="center"/>
                </w:tcPr>
                <w:p w14:paraId="4887BB0B">
                  <w:pPr>
                    <w:jc w:val="center"/>
                    <w:rPr>
                      <w:rFonts w:cstheme="minorHAnsi"/>
                      <w:szCs w:val="21"/>
                    </w:rPr>
                  </w:pPr>
                  <w:r>
                    <w:rPr>
                      <w:rFonts w:hint="eastAsia" w:cstheme="minorHAnsi"/>
                      <w:kern w:val="0"/>
                      <w:szCs w:val="21"/>
                    </w:rPr>
                    <w:t>54.7</w:t>
                  </w:r>
                </w:p>
              </w:tc>
              <w:tc>
                <w:tcPr>
                  <w:tcW w:w="981" w:type="pct"/>
                  <w:vAlign w:val="center"/>
                </w:tcPr>
                <w:p w14:paraId="40FD6FA9">
                  <w:pPr>
                    <w:jc w:val="center"/>
                    <w:rPr>
                      <w:rFonts w:cstheme="minorHAnsi"/>
                      <w:szCs w:val="21"/>
                    </w:rPr>
                  </w:pPr>
                  <w:r>
                    <w:rPr>
                      <w:rFonts w:hint="eastAsia" w:cstheme="minorHAnsi"/>
                      <w:szCs w:val="21"/>
                    </w:rPr>
                    <w:t>54.7</w:t>
                  </w:r>
                </w:p>
              </w:tc>
              <w:tc>
                <w:tcPr>
                  <w:tcW w:w="750" w:type="pct"/>
                  <w:vMerge w:val="continue"/>
                  <w:vAlign w:val="center"/>
                </w:tcPr>
                <w:p w14:paraId="55B16BB4">
                  <w:pPr>
                    <w:jc w:val="center"/>
                    <w:rPr>
                      <w:rFonts w:cstheme="minorHAnsi"/>
                      <w:szCs w:val="21"/>
                    </w:rPr>
                  </w:pPr>
                </w:p>
              </w:tc>
            </w:tr>
          </w:tbl>
          <w:p w14:paraId="26C56CFF">
            <w:pPr>
              <w:spacing w:line="360" w:lineRule="auto"/>
              <w:ind w:firstLine="480" w:firstLineChars="200"/>
              <w:rPr>
                <w:rFonts w:cs="Times New Roman"/>
                <w:sz w:val="24"/>
                <w:szCs w:val="24"/>
              </w:rPr>
            </w:pPr>
            <w:r>
              <w:rPr>
                <w:rFonts w:hint="eastAsia" w:cs="Times New Roman"/>
                <w:sz w:val="24"/>
                <w:szCs w:val="24"/>
              </w:rPr>
              <w:t>监测结果表明，现有工程厂界昼间噪声监测值满足《工业企业厂界环境噪声排放标准》（GB12348-2008）3类标准。</w:t>
            </w:r>
          </w:p>
          <w:p w14:paraId="7156F91B">
            <w:pPr>
              <w:spacing w:line="360" w:lineRule="auto"/>
              <w:ind w:firstLine="482" w:firstLineChars="200"/>
              <w:rPr>
                <w:rFonts w:cs="Times New Roman"/>
                <w:b/>
                <w:sz w:val="24"/>
                <w:szCs w:val="24"/>
              </w:rPr>
            </w:pPr>
            <w:r>
              <w:rPr>
                <w:rFonts w:hint="eastAsia" w:cs="Times New Roman"/>
                <w:b/>
                <w:sz w:val="24"/>
                <w:szCs w:val="24"/>
              </w:rPr>
              <w:t>（4）固体废物</w:t>
            </w:r>
          </w:p>
          <w:p w14:paraId="0D0DBF6C">
            <w:pPr>
              <w:spacing w:line="360" w:lineRule="auto"/>
              <w:ind w:firstLine="480" w:firstLineChars="200"/>
              <w:rPr>
                <w:rFonts w:cs="Times New Roman"/>
                <w:sz w:val="24"/>
                <w:szCs w:val="24"/>
              </w:rPr>
            </w:pPr>
            <w:r>
              <w:rPr>
                <w:rFonts w:hint="eastAsia" w:cs="Times New Roman"/>
                <w:sz w:val="24"/>
                <w:szCs w:val="24"/>
              </w:rPr>
              <w:t>现有工程产生的固体废物包括废包装、残次品、除尘器收灰、废铝粉、废水性漆桶、水性漆渣、生活垃圾、预处理池污泥、餐厨垃圾（含隔油池浮油）等一般固体废物，废机油及油桶、废油性漆桶、油性漆渣、废抹布、废过滤棉、废UV灯管、废催化剂、废活性炭、废稀释剂清洗液、水帘更换废水等危险废物。根据现场调查，现有工程针对各类固体废物处置措施见下表。</w:t>
            </w:r>
          </w:p>
          <w:p w14:paraId="0DD9EE76">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现有工程固体废物处置措施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1"/>
              <w:gridCol w:w="2373"/>
              <w:gridCol w:w="2625"/>
              <w:gridCol w:w="2638"/>
            </w:tblGrid>
            <w:tr w14:paraId="5AF4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Align w:val="center"/>
                </w:tcPr>
                <w:p w14:paraId="2670183D">
                  <w:pPr>
                    <w:jc w:val="center"/>
                    <w:rPr>
                      <w:szCs w:val="21"/>
                    </w:rPr>
                  </w:pPr>
                  <w:r>
                    <w:rPr>
                      <w:rFonts w:hint="eastAsia"/>
                      <w:szCs w:val="21"/>
                    </w:rPr>
                    <w:t>固废</w:t>
                  </w:r>
                  <w:r>
                    <w:rPr>
                      <w:szCs w:val="21"/>
                    </w:rPr>
                    <w:t>属性</w:t>
                  </w:r>
                </w:p>
              </w:tc>
              <w:tc>
                <w:tcPr>
                  <w:tcW w:w="1297" w:type="pct"/>
                  <w:vAlign w:val="center"/>
                </w:tcPr>
                <w:p w14:paraId="355E98C7">
                  <w:pPr>
                    <w:jc w:val="center"/>
                    <w:rPr>
                      <w:szCs w:val="21"/>
                    </w:rPr>
                  </w:pPr>
                  <w:r>
                    <w:rPr>
                      <w:rFonts w:hint="eastAsia"/>
                      <w:szCs w:val="21"/>
                    </w:rPr>
                    <w:t>废物名称</w:t>
                  </w:r>
                </w:p>
              </w:tc>
              <w:tc>
                <w:tcPr>
                  <w:tcW w:w="1435" w:type="pct"/>
                  <w:vAlign w:val="center"/>
                </w:tcPr>
                <w:p w14:paraId="0917E21D">
                  <w:pPr>
                    <w:jc w:val="center"/>
                    <w:rPr>
                      <w:szCs w:val="21"/>
                    </w:rPr>
                  </w:pPr>
                  <w:r>
                    <w:rPr>
                      <w:rFonts w:hint="eastAsia"/>
                      <w:szCs w:val="21"/>
                    </w:rPr>
                    <w:t>产生量（t</w:t>
                  </w:r>
                  <w:r>
                    <w:rPr>
                      <w:szCs w:val="21"/>
                    </w:rPr>
                    <w:t>/a</w:t>
                  </w:r>
                  <w:r>
                    <w:rPr>
                      <w:rFonts w:hint="eastAsia"/>
                      <w:szCs w:val="21"/>
                    </w:rPr>
                    <w:t>）</w:t>
                  </w:r>
                </w:p>
              </w:tc>
              <w:tc>
                <w:tcPr>
                  <w:tcW w:w="1442" w:type="pct"/>
                  <w:vAlign w:val="center"/>
                </w:tcPr>
                <w:p w14:paraId="744A2183">
                  <w:pPr>
                    <w:jc w:val="center"/>
                    <w:rPr>
                      <w:szCs w:val="21"/>
                    </w:rPr>
                  </w:pPr>
                  <w:r>
                    <w:rPr>
                      <w:rFonts w:hint="eastAsia"/>
                      <w:szCs w:val="21"/>
                    </w:rPr>
                    <w:t>处置方式</w:t>
                  </w:r>
                </w:p>
              </w:tc>
            </w:tr>
            <w:tr w14:paraId="7A73A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restart"/>
                  <w:vAlign w:val="center"/>
                </w:tcPr>
                <w:p w14:paraId="74D8CAF0">
                  <w:pPr>
                    <w:jc w:val="center"/>
                    <w:rPr>
                      <w:szCs w:val="21"/>
                    </w:rPr>
                  </w:pPr>
                  <w:r>
                    <w:rPr>
                      <w:szCs w:val="21"/>
                    </w:rPr>
                    <w:t>一般固体废物</w:t>
                  </w:r>
                </w:p>
              </w:tc>
              <w:tc>
                <w:tcPr>
                  <w:tcW w:w="1297" w:type="pct"/>
                  <w:vAlign w:val="center"/>
                </w:tcPr>
                <w:p w14:paraId="3BEE453C">
                  <w:pPr>
                    <w:jc w:val="center"/>
                    <w:rPr>
                      <w:szCs w:val="21"/>
                    </w:rPr>
                  </w:pPr>
                  <w:r>
                    <w:rPr>
                      <w:rFonts w:hint="eastAsia"/>
                      <w:szCs w:val="21"/>
                    </w:rPr>
                    <w:t>废包装</w:t>
                  </w:r>
                </w:p>
              </w:tc>
              <w:tc>
                <w:tcPr>
                  <w:tcW w:w="1435" w:type="pct"/>
                  <w:vAlign w:val="center"/>
                </w:tcPr>
                <w:p w14:paraId="3EE2E5F0">
                  <w:pPr>
                    <w:jc w:val="center"/>
                    <w:rPr>
                      <w:szCs w:val="21"/>
                    </w:rPr>
                  </w:pPr>
                  <w:r>
                    <w:rPr>
                      <w:rFonts w:hint="eastAsia"/>
                      <w:szCs w:val="21"/>
                    </w:rPr>
                    <w:t>10.5</w:t>
                  </w:r>
                </w:p>
              </w:tc>
              <w:tc>
                <w:tcPr>
                  <w:tcW w:w="1442" w:type="pct"/>
                </w:tcPr>
                <w:p w14:paraId="219C0B8B">
                  <w:pPr>
                    <w:jc w:val="center"/>
                    <w:rPr>
                      <w:szCs w:val="21"/>
                    </w:rPr>
                  </w:pPr>
                  <w:r>
                    <w:rPr>
                      <w:rFonts w:hint="eastAsia"/>
                      <w:szCs w:val="21"/>
                    </w:rPr>
                    <w:t>外售废旧资源回收站</w:t>
                  </w:r>
                </w:p>
              </w:tc>
            </w:tr>
            <w:tr w14:paraId="66A3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41F8D77C">
                  <w:pPr>
                    <w:jc w:val="center"/>
                    <w:rPr>
                      <w:szCs w:val="21"/>
                    </w:rPr>
                  </w:pPr>
                </w:p>
              </w:tc>
              <w:tc>
                <w:tcPr>
                  <w:tcW w:w="1297" w:type="pct"/>
                  <w:vAlign w:val="center"/>
                </w:tcPr>
                <w:p w14:paraId="026F877E">
                  <w:pPr>
                    <w:jc w:val="center"/>
                    <w:rPr>
                      <w:szCs w:val="21"/>
                    </w:rPr>
                  </w:pPr>
                  <w:r>
                    <w:rPr>
                      <w:rFonts w:hint="eastAsia"/>
                      <w:szCs w:val="21"/>
                    </w:rPr>
                    <w:t>残次品</w:t>
                  </w:r>
                </w:p>
              </w:tc>
              <w:tc>
                <w:tcPr>
                  <w:tcW w:w="1435" w:type="pct"/>
                  <w:vAlign w:val="center"/>
                </w:tcPr>
                <w:p w14:paraId="0BAD9F47">
                  <w:pPr>
                    <w:jc w:val="center"/>
                    <w:rPr>
                      <w:szCs w:val="21"/>
                    </w:rPr>
                  </w:pPr>
                  <w:r>
                    <w:rPr>
                      <w:rFonts w:hint="eastAsia"/>
                      <w:szCs w:val="21"/>
                    </w:rPr>
                    <w:t>4.5</w:t>
                  </w:r>
                </w:p>
              </w:tc>
              <w:tc>
                <w:tcPr>
                  <w:tcW w:w="1442" w:type="pct"/>
                </w:tcPr>
                <w:p w14:paraId="1EC42A9C">
                  <w:pPr>
                    <w:jc w:val="center"/>
                    <w:rPr>
                      <w:szCs w:val="21"/>
                    </w:rPr>
                  </w:pPr>
                  <w:r>
                    <w:rPr>
                      <w:rFonts w:hint="eastAsia"/>
                      <w:szCs w:val="21"/>
                    </w:rPr>
                    <w:t>外售废旧资源回收站</w:t>
                  </w:r>
                </w:p>
              </w:tc>
            </w:tr>
            <w:tr w14:paraId="3FE6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2315668A">
                  <w:pPr>
                    <w:jc w:val="center"/>
                    <w:rPr>
                      <w:szCs w:val="21"/>
                    </w:rPr>
                  </w:pPr>
                </w:p>
              </w:tc>
              <w:tc>
                <w:tcPr>
                  <w:tcW w:w="1297" w:type="pct"/>
                  <w:vAlign w:val="center"/>
                </w:tcPr>
                <w:p w14:paraId="070B7E60">
                  <w:pPr>
                    <w:jc w:val="center"/>
                    <w:rPr>
                      <w:szCs w:val="21"/>
                    </w:rPr>
                  </w:pPr>
                  <w:r>
                    <w:rPr>
                      <w:rFonts w:hint="eastAsia"/>
                      <w:szCs w:val="21"/>
                    </w:rPr>
                    <w:t>除尘器收灰</w:t>
                  </w:r>
                </w:p>
              </w:tc>
              <w:tc>
                <w:tcPr>
                  <w:tcW w:w="1435" w:type="pct"/>
                  <w:vAlign w:val="center"/>
                </w:tcPr>
                <w:p w14:paraId="5EFBCBDD">
                  <w:pPr>
                    <w:jc w:val="center"/>
                    <w:rPr>
                      <w:szCs w:val="21"/>
                    </w:rPr>
                  </w:pPr>
                  <w:r>
                    <w:rPr>
                      <w:rFonts w:hint="eastAsia"/>
                      <w:szCs w:val="21"/>
                    </w:rPr>
                    <w:t>0.02</w:t>
                  </w:r>
                </w:p>
              </w:tc>
              <w:tc>
                <w:tcPr>
                  <w:tcW w:w="1442" w:type="pct"/>
                  <w:vAlign w:val="center"/>
                </w:tcPr>
                <w:p w14:paraId="7CC8D6D1">
                  <w:pPr>
                    <w:jc w:val="center"/>
                    <w:rPr>
                      <w:szCs w:val="21"/>
                    </w:rPr>
                  </w:pPr>
                  <w:r>
                    <w:rPr>
                      <w:rFonts w:hint="eastAsia"/>
                      <w:szCs w:val="21"/>
                    </w:rPr>
                    <w:t>外售废旧资源回收站</w:t>
                  </w:r>
                </w:p>
              </w:tc>
            </w:tr>
            <w:tr w14:paraId="79C4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75D7ECD2">
                  <w:pPr>
                    <w:jc w:val="center"/>
                    <w:rPr>
                      <w:szCs w:val="21"/>
                    </w:rPr>
                  </w:pPr>
                </w:p>
              </w:tc>
              <w:tc>
                <w:tcPr>
                  <w:tcW w:w="1297" w:type="pct"/>
                  <w:vAlign w:val="center"/>
                </w:tcPr>
                <w:p w14:paraId="77A534DD">
                  <w:pPr>
                    <w:jc w:val="center"/>
                    <w:rPr>
                      <w:szCs w:val="21"/>
                    </w:rPr>
                  </w:pPr>
                  <w:r>
                    <w:rPr>
                      <w:rFonts w:hint="eastAsia"/>
                      <w:szCs w:val="21"/>
                    </w:rPr>
                    <w:t>废铝粉</w:t>
                  </w:r>
                </w:p>
              </w:tc>
              <w:tc>
                <w:tcPr>
                  <w:tcW w:w="1435" w:type="pct"/>
                  <w:vAlign w:val="center"/>
                </w:tcPr>
                <w:p w14:paraId="17E9F6CD">
                  <w:pPr>
                    <w:jc w:val="center"/>
                    <w:rPr>
                      <w:szCs w:val="21"/>
                    </w:rPr>
                  </w:pPr>
                  <w:r>
                    <w:rPr>
                      <w:rFonts w:hint="eastAsia"/>
                      <w:szCs w:val="21"/>
                    </w:rPr>
                    <w:t>0.005</w:t>
                  </w:r>
                </w:p>
              </w:tc>
              <w:tc>
                <w:tcPr>
                  <w:tcW w:w="1442" w:type="pct"/>
                  <w:vAlign w:val="center"/>
                </w:tcPr>
                <w:p w14:paraId="05ADDB56">
                  <w:pPr>
                    <w:jc w:val="center"/>
                    <w:rPr>
                      <w:szCs w:val="21"/>
                    </w:rPr>
                  </w:pPr>
                  <w:r>
                    <w:rPr>
                      <w:rFonts w:hint="eastAsia"/>
                      <w:szCs w:val="21"/>
                    </w:rPr>
                    <w:t>外售废旧资源回收站</w:t>
                  </w:r>
                </w:p>
              </w:tc>
            </w:tr>
            <w:tr w14:paraId="7981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747D7A4C">
                  <w:pPr>
                    <w:jc w:val="center"/>
                    <w:rPr>
                      <w:szCs w:val="21"/>
                    </w:rPr>
                  </w:pPr>
                </w:p>
              </w:tc>
              <w:tc>
                <w:tcPr>
                  <w:tcW w:w="1297" w:type="pct"/>
                  <w:vAlign w:val="center"/>
                </w:tcPr>
                <w:p w14:paraId="0CC9B477">
                  <w:pPr>
                    <w:jc w:val="center"/>
                    <w:rPr>
                      <w:szCs w:val="21"/>
                    </w:rPr>
                  </w:pPr>
                  <w:r>
                    <w:rPr>
                      <w:rFonts w:hint="eastAsia"/>
                      <w:szCs w:val="21"/>
                    </w:rPr>
                    <w:t>废水性漆桶</w:t>
                  </w:r>
                </w:p>
              </w:tc>
              <w:tc>
                <w:tcPr>
                  <w:tcW w:w="1435" w:type="pct"/>
                  <w:vAlign w:val="center"/>
                </w:tcPr>
                <w:p w14:paraId="311D00A3">
                  <w:pPr>
                    <w:jc w:val="center"/>
                    <w:rPr>
                      <w:szCs w:val="21"/>
                    </w:rPr>
                  </w:pPr>
                  <w:r>
                    <w:rPr>
                      <w:rFonts w:hint="eastAsia"/>
                      <w:szCs w:val="21"/>
                    </w:rPr>
                    <w:t>3.75</w:t>
                  </w:r>
                </w:p>
              </w:tc>
              <w:tc>
                <w:tcPr>
                  <w:tcW w:w="1442" w:type="pct"/>
                  <w:vAlign w:val="center"/>
                </w:tcPr>
                <w:p w14:paraId="40AE4B06">
                  <w:pPr>
                    <w:jc w:val="center"/>
                    <w:rPr>
                      <w:szCs w:val="21"/>
                    </w:rPr>
                  </w:pPr>
                  <w:r>
                    <w:rPr>
                      <w:rFonts w:hint="eastAsia"/>
                      <w:szCs w:val="21"/>
                    </w:rPr>
                    <w:t>交厂商回收利用</w:t>
                  </w:r>
                </w:p>
              </w:tc>
            </w:tr>
            <w:tr w14:paraId="2ABD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67259912">
                  <w:pPr>
                    <w:jc w:val="center"/>
                    <w:rPr>
                      <w:szCs w:val="21"/>
                    </w:rPr>
                  </w:pPr>
                </w:p>
              </w:tc>
              <w:tc>
                <w:tcPr>
                  <w:tcW w:w="1297" w:type="pct"/>
                  <w:vAlign w:val="center"/>
                </w:tcPr>
                <w:p w14:paraId="286E29C6">
                  <w:pPr>
                    <w:jc w:val="center"/>
                    <w:rPr>
                      <w:szCs w:val="21"/>
                    </w:rPr>
                  </w:pPr>
                  <w:r>
                    <w:rPr>
                      <w:rFonts w:hint="eastAsia"/>
                      <w:szCs w:val="21"/>
                    </w:rPr>
                    <w:t>水性漆渣</w:t>
                  </w:r>
                </w:p>
              </w:tc>
              <w:tc>
                <w:tcPr>
                  <w:tcW w:w="1435" w:type="pct"/>
                  <w:vAlign w:val="center"/>
                </w:tcPr>
                <w:p w14:paraId="2545496D">
                  <w:pPr>
                    <w:jc w:val="center"/>
                    <w:rPr>
                      <w:szCs w:val="21"/>
                    </w:rPr>
                  </w:pPr>
                  <w:r>
                    <w:rPr>
                      <w:rFonts w:hint="eastAsia"/>
                      <w:szCs w:val="21"/>
                    </w:rPr>
                    <w:t>5.4</w:t>
                  </w:r>
                </w:p>
              </w:tc>
              <w:tc>
                <w:tcPr>
                  <w:tcW w:w="1442" w:type="pct"/>
                  <w:vAlign w:val="center"/>
                </w:tcPr>
                <w:p w14:paraId="6E1EB2C9">
                  <w:pPr>
                    <w:jc w:val="center"/>
                    <w:rPr>
                      <w:szCs w:val="21"/>
                    </w:rPr>
                  </w:pPr>
                  <w:r>
                    <w:rPr>
                      <w:rFonts w:hint="eastAsia"/>
                      <w:szCs w:val="21"/>
                    </w:rPr>
                    <w:t>交工业固废处置单位处理</w:t>
                  </w:r>
                </w:p>
              </w:tc>
            </w:tr>
            <w:tr w14:paraId="49D52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4CA9CF37">
                  <w:pPr>
                    <w:jc w:val="center"/>
                    <w:rPr>
                      <w:szCs w:val="21"/>
                    </w:rPr>
                  </w:pPr>
                </w:p>
              </w:tc>
              <w:tc>
                <w:tcPr>
                  <w:tcW w:w="1297" w:type="pct"/>
                  <w:vAlign w:val="center"/>
                </w:tcPr>
                <w:p w14:paraId="297F5D54">
                  <w:pPr>
                    <w:jc w:val="center"/>
                    <w:rPr>
                      <w:szCs w:val="21"/>
                    </w:rPr>
                  </w:pPr>
                  <w:r>
                    <w:rPr>
                      <w:rFonts w:hint="eastAsia"/>
                      <w:szCs w:val="21"/>
                    </w:rPr>
                    <w:t>生活垃圾</w:t>
                  </w:r>
                </w:p>
              </w:tc>
              <w:tc>
                <w:tcPr>
                  <w:tcW w:w="1435" w:type="pct"/>
                  <w:vAlign w:val="center"/>
                </w:tcPr>
                <w:p w14:paraId="162C2C05">
                  <w:pPr>
                    <w:jc w:val="center"/>
                    <w:rPr>
                      <w:szCs w:val="21"/>
                    </w:rPr>
                  </w:pPr>
                  <w:r>
                    <w:rPr>
                      <w:rFonts w:hint="eastAsia"/>
                      <w:szCs w:val="21"/>
                    </w:rPr>
                    <w:t>12.6</w:t>
                  </w:r>
                </w:p>
              </w:tc>
              <w:tc>
                <w:tcPr>
                  <w:tcW w:w="1442" w:type="pct"/>
                  <w:vAlign w:val="center"/>
                </w:tcPr>
                <w:p w14:paraId="37A180C0">
                  <w:pPr>
                    <w:jc w:val="center"/>
                    <w:rPr>
                      <w:szCs w:val="21"/>
                    </w:rPr>
                  </w:pPr>
                  <w:r>
                    <w:rPr>
                      <w:rFonts w:hint="eastAsia"/>
                      <w:szCs w:val="21"/>
                    </w:rPr>
                    <w:t>交由环卫部门清运处理</w:t>
                  </w:r>
                </w:p>
              </w:tc>
            </w:tr>
            <w:tr w14:paraId="60DDB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10CAAE4A">
                  <w:pPr>
                    <w:jc w:val="center"/>
                    <w:rPr>
                      <w:szCs w:val="21"/>
                    </w:rPr>
                  </w:pPr>
                </w:p>
              </w:tc>
              <w:tc>
                <w:tcPr>
                  <w:tcW w:w="1297" w:type="pct"/>
                  <w:vAlign w:val="center"/>
                </w:tcPr>
                <w:p w14:paraId="4A8CFF4F">
                  <w:pPr>
                    <w:jc w:val="center"/>
                    <w:rPr>
                      <w:szCs w:val="21"/>
                    </w:rPr>
                  </w:pPr>
                  <w:r>
                    <w:rPr>
                      <w:rFonts w:hint="eastAsia"/>
                      <w:szCs w:val="21"/>
                    </w:rPr>
                    <w:t>预处理池污泥</w:t>
                  </w:r>
                </w:p>
              </w:tc>
              <w:tc>
                <w:tcPr>
                  <w:tcW w:w="1435" w:type="pct"/>
                  <w:vAlign w:val="center"/>
                </w:tcPr>
                <w:p w14:paraId="1E2B5CE8">
                  <w:pPr>
                    <w:jc w:val="center"/>
                    <w:rPr>
                      <w:szCs w:val="21"/>
                    </w:rPr>
                  </w:pPr>
                  <w:r>
                    <w:rPr>
                      <w:rFonts w:hint="eastAsia"/>
                      <w:szCs w:val="21"/>
                    </w:rPr>
                    <w:t>0.3</w:t>
                  </w:r>
                </w:p>
              </w:tc>
              <w:tc>
                <w:tcPr>
                  <w:tcW w:w="1442" w:type="pct"/>
                  <w:vAlign w:val="center"/>
                </w:tcPr>
                <w:p w14:paraId="0097F6A5">
                  <w:pPr>
                    <w:jc w:val="center"/>
                    <w:rPr>
                      <w:szCs w:val="21"/>
                    </w:rPr>
                  </w:pPr>
                  <w:r>
                    <w:rPr>
                      <w:rFonts w:hint="eastAsia"/>
                      <w:szCs w:val="21"/>
                    </w:rPr>
                    <w:t>交由环卫部门清掏处理</w:t>
                  </w:r>
                </w:p>
              </w:tc>
            </w:tr>
            <w:tr w14:paraId="3088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pct"/>
                  <w:vMerge w:val="continue"/>
                  <w:vAlign w:val="center"/>
                </w:tcPr>
                <w:p w14:paraId="354AD6A5">
                  <w:pPr>
                    <w:jc w:val="center"/>
                    <w:rPr>
                      <w:szCs w:val="21"/>
                    </w:rPr>
                  </w:pPr>
                </w:p>
              </w:tc>
              <w:tc>
                <w:tcPr>
                  <w:tcW w:w="1297" w:type="pct"/>
                  <w:vAlign w:val="center"/>
                </w:tcPr>
                <w:p w14:paraId="431DEFEF">
                  <w:pPr>
                    <w:jc w:val="center"/>
                    <w:rPr>
                      <w:szCs w:val="21"/>
                    </w:rPr>
                  </w:pPr>
                  <w:r>
                    <w:rPr>
                      <w:rFonts w:hint="eastAsia"/>
                      <w:szCs w:val="21"/>
                    </w:rPr>
                    <w:t>餐厨垃圾</w:t>
                  </w:r>
                </w:p>
                <w:p w14:paraId="13193CF4">
                  <w:pPr>
                    <w:jc w:val="center"/>
                    <w:rPr>
                      <w:szCs w:val="21"/>
                    </w:rPr>
                  </w:pPr>
                  <w:r>
                    <w:rPr>
                      <w:rFonts w:hint="eastAsia"/>
                      <w:szCs w:val="21"/>
                    </w:rPr>
                    <w:t>（含隔油池浮油）</w:t>
                  </w:r>
                </w:p>
              </w:tc>
              <w:tc>
                <w:tcPr>
                  <w:tcW w:w="1435" w:type="pct"/>
                  <w:vAlign w:val="center"/>
                </w:tcPr>
                <w:p w14:paraId="4A441B48">
                  <w:pPr>
                    <w:jc w:val="center"/>
                    <w:rPr>
                      <w:szCs w:val="21"/>
                    </w:rPr>
                  </w:pPr>
                  <w:r>
                    <w:rPr>
                      <w:rFonts w:hint="eastAsia"/>
                      <w:szCs w:val="21"/>
                    </w:rPr>
                    <w:t>2.1</w:t>
                  </w:r>
                </w:p>
              </w:tc>
              <w:tc>
                <w:tcPr>
                  <w:tcW w:w="1442" w:type="pct"/>
                  <w:vAlign w:val="center"/>
                </w:tcPr>
                <w:p w14:paraId="31D76D4D">
                  <w:pPr>
                    <w:jc w:val="center"/>
                    <w:rPr>
                      <w:szCs w:val="21"/>
                    </w:rPr>
                  </w:pPr>
                  <w:r>
                    <w:rPr>
                      <w:rFonts w:hint="eastAsia"/>
                      <w:szCs w:val="21"/>
                    </w:rPr>
                    <w:t>交由餐厨垃圾处置单位清运处理</w:t>
                  </w:r>
                </w:p>
              </w:tc>
            </w:tr>
            <w:tr w14:paraId="7F9E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restart"/>
                  <w:vAlign w:val="center"/>
                </w:tcPr>
                <w:p w14:paraId="123DAA67">
                  <w:pPr>
                    <w:jc w:val="center"/>
                    <w:rPr>
                      <w:szCs w:val="21"/>
                    </w:rPr>
                  </w:pPr>
                  <w:r>
                    <w:rPr>
                      <w:szCs w:val="21"/>
                    </w:rPr>
                    <w:t>危险废物</w:t>
                  </w:r>
                </w:p>
              </w:tc>
              <w:tc>
                <w:tcPr>
                  <w:tcW w:w="1297" w:type="pct"/>
                  <w:vAlign w:val="center"/>
                </w:tcPr>
                <w:p w14:paraId="62BEE32B">
                  <w:pPr>
                    <w:jc w:val="center"/>
                    <w:rPr>
                      <w:szCs w:val="21"/>
                    </w:rPr>
                  </w:pPr>
                  <w:r>
                    <w:rPr>
                      <w:rFonts w:hint="eastAsia"/>
                      <w:szCs w:val="21"/>
                    </w:rPr>
                    <w:t>废机油及油桶</w:t>
                  </w:r>
                </w:p>
              </w:tc>
              <w:tc>
                <w:tcPr>
                  <w:tcW w:w="1435" w:type="pct"/>
                  <w:vAlign w:val="center"/>
                </w:tcPr>
                <w:p w14:paraId="501DD9D6">
                  <w:pPr>
                    <w:jc w:val="center"/>
                    <w:rPr>
                      <w:szCs w:val="21"/>
                    </w:rPr>
                  </w:pPr>
                  <w:r>
                    <w:rPr>
                      <w:rFonts w:hint="eastAsia"/>
                      <w:szCs w:val="21"/>
                    </w:rPr>
                    <w:t>0.1</w:t>
                  </w:r>
                </w:p>
              </w:tc>
              <w:tc>
                <w:tcPr>
                  <w:tcW w:w="1442" w:type="pct"/>
                  <w:vMerge w:val="restart"/>
                  <w:vAlign w:val="center"/>
                </w:tcPr>
                <w:p w14:paraId="243AD231">
                  <w:pPr>
                    <w:jc w:val="center"/>
                    <w:rPr>
                      <w:szCs w:val="21"/>
                    </w:rPr>
                  </w:pPr>
                  <w:r>
                    <w:rPr>
                      <w:rFonts w:hint="eastAsia"/>
                      <w:szCs w:val="21"/>
                    </w:rPr>
                    <w:t>经分类收集后暂存于危废暂存间，定期交由有资质单位清运处置</w:t>
                  </w:r>
                </w:p>
              </w:tc>
            </w:tr>
            <w:tr w14:paraId="25C4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7AF1F72A">
                  <w:pPr>
                    <w:jc w:val="center"/>
                    <w:rPr>
                      <w:szCs w:val="21"/>
                    </w:rPr>
                  </w:pPr>
                </w:p>
              </w:tc>
              <w:tc>
                <w:tcPr>
                  <w:tcW w:w="1297" w:type="pct"/>
                  <w:vAlign w:val="center"/>
                </w:tcPr>
                <w:p w14:paraId="2FA40629">
                  <w:pPr>
                    <w:jc w:val="center"/>
                    <w:rPr>
                      <w:szCs w:val="21"/>
                    </w:rPr>
                  </w:pPr>
                  <w:r>
                    <w:rPr>
                      <w:rFonts w:hint="eastAsia"/>
                      <w:szCs w:val="21"/>
                    </w:rPr>
                    <w:t>废油性漆桶</w:t>
                  </w:r>
                </w:p>
              </w:tc>
              <w:tc>
                <w:tcPr>
                  <w:tcW w:w="1435" w:type="pct"/>
                  <w:vAlign w:val="center"/>
                </w:tcPr>
                <w:p w14:paraId="428D2F22">
                  <w:pPr>
                    <w:jc w:val="center"/>
                    <w:rPr>
                      <w:szCs w:val="21"/>
                    </w:rPr>
                  </w:pPr>
                  <w:r>
                    <w:rPr>
                      <w:rFonts w:hint="eastAsia"/>
                      <w:szCs w:val="21"/>
                    </w:rPr>
                    <w:t>0.82</w:t>
                  </w:r>
                </w:p>
              </w:tc>
              <w:tc>
                <w:tcPr>
                  <w:tcW w:w="1442" w:type="pct"/>
                  <w:vMerge w:val="continue"/>
                  <w:vAlign w:val="center"/>
                </w:tcPr>
                <w:p w14:paraId="3D55F5D5">
                  <w:pPr>
                    <w:jc w:val="center"/>
                    <w:rPr>
                      <w:szCs w:val="21"/>
                    </w:rPr>
                  </w:pPr>
                </w:p>
              </w:tc>
            </w:tr>
            <w:tr w14:paraId="3C48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066001C4">
                  <w:pPr>
                    <w:jc w:val="center"/>
                    <w:rPr>
                      <w:szCs w:val="21"/>
                    </w:rPr>
                  </w:pPr>
                </w:p>
              </w:tc>
              <w:tc>
                <w:tcPr>
                  <w:tcW w:w="1297" w:type="pct"/>
                  <w:vAlign w:val="center"/>
                </w:tcPr>
                <w:p w14:paraId="2C3063FE">
                  <w:pPr>
                    <w:jc w:val="center"/>
                    <w:rPr>
                      <w:szCs w:val="21"/>
                    </w:rPr>
                  </w:pPr>
                  <w:r>
                    <w:rPr>
                      <w:rFonts w:hint="eastAsia"/>
                      <w:szCs w:val="21"/>
                    </w:rPr>
                    <w:t>油性漆渣</w:t>
                  </w:r>
                </w:p>
              </w:tc>
              <w:tc>
                <w:tcPr>
                  <w:tcW w:w="1435" w:type="pct"/>
                  <w:vAlign w:val="center"/>
                </w:tcPr>
                <w:p w14:paraId="5778CC0E">
                  <w:pPr>
                    <w:jc w:val="center"/>
                    <w:rPr>
                      <w:szCs w:val="21"/>
                    </w:rPr>
                  </w:pPr>
                  <w:r>
                    <w:rPr>
                      <w:rFonts w:hint="eastAsia"/>
                      <w:szCs w:val="21"/>
                    </w:rPr>
                    <w:t>3.7</w:t>
                  </w:r>
                </w:p>
              </w:tc>
              <w:tc>
                <w:tcPr>
                  <w:tcW w:w="1442" w:type="pct"/>
                  <w:vMerge w:val="continue"/>
                  <w:vAlign w:val="center"/>
                </w:tcPr>
                <w:p w14:paraId="50392B8C">
                  <w:pPr>
                    <w:jc w:val="center"/>
                    <w:rPr>
                      <w:szCs w:val="21"/>
                    </w:rPr>
                  </w:pPr>
                </w:p>
              </w:tc>
            </w:tr>
            <w:tr w14:paraId="75DD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4A70D238">
                  <w:pPr>
                    <w:jc w:val="center"/>
                    <w:rPr>
                      <w:szCs w:val="21"/>
                    </w:rPr>
                  </w:pPr>
                </w:p>
              </w:tc>
              <w:tc>
                <w:tcPr>
                  <w:tcW w:w="1297" w:type="pct"/>
                  <w:vAlign w:val="center"/>
                </w:tcPr>
                <w:p w14:paraId="653D8602">
                  <w:pPr>
                    <w:jc w:val="center"/>
                    <w:rPr>
                      <w:szCs w:val="21"/>
                    </w:rPr>
                  </w:pPr>
                  <w:r>
                    <w:rPr>
                      <w:rFonts w:hint="eastAsia"/>
                      <w:szCs w:val="21"/>
                    </w:rPr>
                    <w:t>废抹布</w:t>
                  </w:r>
                </w:p>
              </w:tc>
              <w:tc>
                <w:tcPr>
                  <w:tcW w:w="1435" w:type="pct"/>
                  <w:vAlign w:val="center"/>
                </w:tcPr>
                <w:p w14:paraId="044AE880">
                  <w:pPr>
                    <w:jc w:val="center"/>
                    <w:rPr>
                      <w:szCs w:val="21"/>
                    </w:rPr>
                  </w:pPr>
                  <w:r>
                    <w:rPr>
                      <w:rFonts w:hint="eastAsia"/>
                      <w:szCs w:val="21"/>
                    </w:rPr>
                    <w:t>0.2</w:t>
                  </w:r>
                </w:p>
              </w:tc>
              <w:tc>
                <w:tcPr>
                  <w:tcW w:w="1442" w:type="pct"/>
                  <w:vMerge w:val="continue"/>
                  <w:vAlign w:val="center"/>
                </w:tcPr>
                <w:p w14:paraId="48C62DF2">
                  <w:pPr>
                    <w:jc w:val="center"/>
                    <w:rPr>
                      <w:szCs w:val="21"/>
                    </w:rPr>
                  </w:pPr>
                </w:p>
              </w:tc>
            </w:tr>
            <w:tr w14:paraId="088A7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13F228EB">
                  <w:pPr>
                    <w:jc w:val="center"/>
                    <w:rPr>
                      <w:szCs w:val="21"/>
                    </w:rPr>
                  </w:pPr>
                </w:p>
              </w:tc>
              <w:tc>
                <w:tcPr>
                  <w:tcW w:w="1297" w:type="pct"/>
                  <w:vAlign w:val="center"/>
                </w:tcPr>
                <w:p w14:paraId="4C186EA7">
                  <w:pPr>
                    <w:jc w:val="center"/>
                    <w:rPr>
                      <w:szCs w:val="21"/>
                    </w:rPr>
                  </w:pPr>
                  <w:r>
                    <w:rPr>
                      <w:rFonts w:hint="eastAsia"/>
                      <w:szCs w:val="21"/>
                    </w:rPr>
                    <w:t>废过滤棉</w:t>
                  </w:r>
                </w:p>
              </w:tc>
              <w:tc>
                <w:tcPr>
                  <w:tcW w:w="1435" w:type="pct"/>
                  <w:vAlign w:val="center"/>
                </w:tcPr>
                <w:p w14:paraId="6059C7BF">
                  <w:pPr>
                    <w:jc w:val="center"/>
                    <w:rPr>
                      <w:szCs w:val="21"/>
                    </w:rPr>
                  </w:pPr>
                  <w:r>
                    <w:rPr>
                      <w:rFonts w:hint="eastAsia"/>
                      <w:szCs w:val="21"/>
                    </w:rPr>
                    <w:t>3.184</w:t>
                  </w:r>
                </w:p>
              </w:tc>
              <w:tc>
                <w:tcPr>
                  <w:tcW w:w="1442" w:type="pct"/>
                  <w:vMerge w:val="continue"/>
                  <w:vAlign w:val="center"/>
                </w:tcPr>
                <w:p w14:paraId="6F50C45F">
                  <w:pPr>
                    <w:jc w:val="center"/>
                    <w:rPr>
                      <w:szCs w:val="21"/>
                    </w:rPr>
                  </w:pPr>
                </w:p>
              </w:tc>
            </w:tr>
            <w:tr w14:paraId="77D9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7AE4A42C">
                  <w:pPr>
                    <w:jc w:val="center"/>
                    <w:rPr>
                      <w:szCs w:val="21"/>
                    </w:rPr>
                  </w:pPr>
                </w:p>
              </w:tc>
              <w:tc>
                <w:tcPr>
                  <w:tcW w:w="1297" w:type="pct"/>
                  <w:vAlign w:val="center"/>
                </w:tcPr>
                <w:p w14:paraId="307B30C2">
                  <w:pPr>
                    <w:jc w:val="center"/>
                    <w:rPr>
                      <w:szCs w:val="21"/>
                    </w:rPr>
                  </w:pPr>
                  <w:r>
                    <w:rPr>
                      <w:rFonts w:hint="eastAsia"/>
                      <w:szCs w:val="21"/>
                    </w:rPr>
                    <w:t>废UV灯管</w:t>
                  </w:r>
                </w:p>
              </w:tc>
              <w:tc>
                <w:tcPr>
                  <w:tcW w:w="1435" w:type="pct"/>
                  <w:vAlign w:val="center"/>
                </w:tcPr>
                <w:p w14:paraId="010A573A">
                  <w:pPr>
                    <w:jc w:val="center"/>
                    <w:rPr>
                      <w:szCs w:val="21"/>
                    </w:rPr>
                  </w:pPr>
                  <w:r>
                    <w:rPr>
                      <w:rFonts w:hint="eastAsia"/>
                      <w:szCs w:val="21"/>
                    </w:rPr>
                    <w:t>0.2</w:t>
                  </w:r>
                </w:p>
              </w:tc>
              <w:tc>
                <w:tcPr>
                  <w:tcW w:w="1442" w:type="pct"/>
                  <w:vMerge w:val="continue"/>
                  <w:vAlign w:val="center"/>
                </w:tcPr>
                <w:p w14:paraId="04C0E9E5">
                  <w:pPr>
                    <w:jc w:val="center"/>
                    <w:rPr>
                      <w:szCs w:val="21"/>
                    </w:rPr>
                  </w:pPr>
                </w:p>
              </w:tc>
            </w:tr>
            <w:tr w14:paraId="5B11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311CA209">
                  <w:pPr>
                    <w:jc w:val="center"/>
                    <w:rPr>
                      <w:szCs w:val="21"/>
                    </w:rPr>
                  </w:pPr>
                </w:p>
              </w:tc>
              <w:tc>
                <w:tcPr>
                  <w:tcW w:w="1297" w:type="pct"/>
                  <w:vAlign w:val="center"/>
                </w:tcPr>
                <w:p w14:paraId="3280F37C">
                  <w:pPr>
                    <w:jc w:val="center"/>
                    <w:rPr>
                      <w:szCs w:val="21"/>
                    </w:rPr>
                  </w:pPr>
                  <w:r>
                    <w:rPr>
                      <w:rFonts w:hint="eastAsia"/>
                      <w:szCs w:val="21"/>
                    </w:rPr>
                    <w:t>废催化剂</w:t>
                  </w:r>
                </w:p>
              </w:tc>
              <w:tc>
                <w:tcPr>
                  <w:tcW w:w="1435" w:type="pct"/>
                  <w:vAlign w:val="center"/>
                </w:tcPr>
                <w:p w14:paraId="1809A913">
                  <w:pPr>
                    <w:jc w:val="center"/>
                    <w:rPr>
                      <w:szCs w:val="21"/>
                    </w:rPr>
                  </w:pPr>
                  <w:r>
                    <w:rPr>
                      <w:rFonts w:hint="eastAsia"/>
                      <w:szCs w:val="21"/>
                    </w:rPr>
                    <w:t>0.3（3a）</w:t>
                  </w:r>
                </w:p>
              </w:tc>
              <w:tc>
                <w:tcPr>
                  <w:tcW w:w="1442" w:type="pct"/>
                  <w:vMerge w:val="continue"/>
                  <w:vAlign w:val="center"/>
                </w:tcPr>
                <w:p w14:paraId="45A80D40">
                  <w:pPr>
                    <w:jc w:val="center"/>
                    <w:rPr>
                      <w:szCs w:val="21"/>
                    </w:rPr>
                  </w:pPr>
                </w:p>
              </w:tc>
            </w:tr>
            <w:tr w14:paraId="37D6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2906309C">
                  <w:pPr>
                    <w:jc w:val="center"/>
                    <w:rPr>
                      <w:szCs w:val="21"/>
                    </w:rPr>
                  </w:pPr>
                </w:p>
              </w:tc>
              <w:tc>
                <w:tcPr>
                  <w:tcW w:w="1297" w:type="pct"/>
                  <w:vAlign w:val="center"/>
                </w:tcPr>
                <w:p w14:paraId="6D83A2F1">
                  <w:pPr>
                    <w:jc w:val="center"/>
                    <w:rPr>
                      <w:szCs w:val="21"/>
                    </w:rPr>
                  </w:pPr>
                  <w:r>
                    <w:rPr>
                      <w:rFonts w:hint="eastAsia"/>
                      <w:szCs w:val="21"/>
                    </w:rPr>
                    <w:t>废活性炭</w:t>
                  </w:r>
                </w:p>
              </w:tc>
              <w:tc>
                <w:tcPr>
                  <w:tcW w:w="1435" w:type="pct"/>
                  <w:vAlign w:val="center"/>
                </w:tcPr>
                <w:p w14:paraId="6E0EE252">
                  <w:pPr>
                    <w:jc w:val="center"/>
                    <w:rPr>
                      <w:szCs w:val="21"/>
                    </w:rPr>
                  </w:pPr>
                  <w:r>
                    <w:rPr>
                      <w:rFonts w:hint="eastAsia"/>
                      <w:szCs w:val="21"/>
                    </w:rPr>
                    <w:t>41.81</w:t>
                  </w:r>
                </w:p>
              </w:tc>
              <w:tc>
                <w:tcPr>
                  <w:tcW w:w="1442" w:type="pct"/>
                  <w:vMerge w:val="continue"/>
                  <w:vAlign w:val="center"/>
                </w:tcPr>
                <w:p w14:paraId="4C0D5DD9">
                  <w:pPr>
                    <w:jc w:val="center"/>
                    <w:rPr>
                      <w:szCs w:val="21"/>
                    </w:rPr>
                  </w:pPr>
                </w:p>
              </w:tc>
            </w:tr>
            <w:tr w14:paraId="4C1C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1A061A52">
                  <w:pPr>
                    <w:jc w:val="center"/>
                    <w:rPr>
                      <w:szCs w:val="21"/>
                    </w:rPr>
                  </w:pPr>
                </w:p>
              </w:tc>
              <w:tc>
                <w:tcPr>
                  <w:tcW w:w="1297" w:type="pct"/>
                  <w:vAlign w:val="center"/>
                </w:tcPr>
                <w:p w14:paraId="772C7482">
                  <w:pPr>
                    <w:jc w:val="center"/>
                    <w:rPr>
                      <w:szCs w:val="21"/>
                    </w:rPr>
                  </w:pPr>
                  <w:r>
                    <w:rPr>
                      <w:rFonts w:hint="eastAsia"/>
                      <w:szCs w:val="21"/>
                    </w:rPr>
                    <w:t>废稀释剂清洗液</w:t>
                  </w:r>
                </w:p>
              </w:tc>
              <w:tc>
                <w:tcPr>
                  <w:tcW w:w="1435" w:type="pct"/>
                  <w:vAlign w:val="center"/>
                </w:tcPr>
                <w:p w14:paraId="7F7E97D2">
                  <w:pPr>
                    <w:jc w:val="center"/>
                    <w:rPr>
                      <w:szCs w:val="21"/>
                    </w:rPr>
                  </w:pPr>
                  <w:r>
                    <w:rPr>
                      <w:rFonts w:hint="eastAsia"/>
                      <w:szCs w:val="21"/>
                    </w:rPr>
                    <w:t>0.09</w:t>
                  </w:r>
                </w:p>
              </w:tc>
              <w:tc>
                <w:tcPr>
                  <w:tcW w:w="1442" w:type="pct"/>
                  <w:vMerge w:val="continue"/>
                  <w:vAlign w:val="center"/>
                </w:tcPr>
                <w:p w14:paraId="36934DCC">
                  <w:pPr>
                    <w:jc w:val="center"/>
                    <w:rPr>
                      <w:szCs w:val="21"/>
                    </w:rPr>
                  </w:pPr>
                </w:p>
              </w:tc>
            </w:tr>
            <w:tr w14:paraId="1CE14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6" w:type="pct"/>
                  <w:vMerge w:val="continue"/>
                  <w:vAlign w:val="center"/>
                </w:tcPr>
                <w:p w14:paraId="18B2E05E">
                  <w:pPr>
                    <w:jc w:val="center"/>
                    <w:rPr>
                      <w:szCs w:val="21"/>
                    </w:rPr>
                  </w:pPr>
                </w:p>
              </w:tc>
              <w:tc>
                <w:tcPr>
                  <w:tcW w:w="1297" w:type="pct"/>
                  <w:vAlign w:val="center"/>
                </w:tcPr>
                <w:p w14:paraId="21562C8C">
                  <w:pPr>
                    <w:jc w:val="center"/>
                    <w:rPr>
                      <w:szCs w:val="21"/>
                    </w:rPr>
                  </w:pPr>
                  <w:r>
                    <w:rPr>
                      <w:rFonts w:hint="eastAsia"/>
                      <w:szCs w:val="21"/>
                    </w:rPr>
                    <w:t>水帘更换废水</w:t>
                  </w:r>
                </w:p>
              </w:tc>
              <w:tc>
                <w:tcPr>
                  <w:tcW w:w="1435" w:type="pct"/>
                  <w:vAlign w:val="center"/>
                </w:tcPr>
                <w:p w14:paraId="01F7CBC2">
                  <w:pPr>
                    <w:jc w:val="center"/>
                    <w:rPr>
                      <w:szCs w:val="21"/>
                    </w:rPr>
                  </w:pPr>
                  <w:r>
                    <w:rPr>
                      <w:rFonts w:hint="eastAsia"/>
                      <w:szCs w:val="21"/>
                    </w:rPr>
                    <w:t>2</w:t>
                  </w:r>
                </w:p>
              </w:tc>
              <w:tc>
                <w:tcPr>
                  <w:tcW w:w="1442" w:type="pct"/>
                  <w:vMerge w:val="continue"/>
                  <w:vAlign w:val="center"/>
                </w:tcPr>
                <w:p w14:paraId="1A507D3D">
                  <w:pPr>
                    <w:jc w:val="center"/>
                    <w:rPr>
                      <w:szCs w:val="21"/>
                    </w:rPr>
                  </w:pPr>
                </w:p>
              </w:tc>
            </w:tr>
          </w:tbl>
          <w:p w14:paraId="771D9278">
            <w:pPr>
              <w:spacing w:line="360" w:lineRule="auto"/>
              <w:ind w:firstLine="480" w:firstLineChars="200"/>
              <w:rPr>
                <w:rFonts w:cs="Times New Roman"/>
                <w:sz w:val="24"/>
                <w:szCs w:val="24"/>
              </w:rPr>
            </w:pPr>
            <w:r>
              <w:rPr>
                <w:rFonts w:hint="eastAsia" w:cs="Times New Roman"/>
                <w:sz w:val="24"/>
                <w:szCs w:val="24"/>
              </w:rPr>
              <w:t>根据现场调查，现有工程已建有1间固废暂存间（90m</w:t>
            </w:r>
            <w:r>
              <w:rPr>
                <w:rFonts w:cs="Times New Roman"/>
                <w:sz w:val="24"/>
                <w:szCs w:val="24"/>
                <w:vertAlign w:val="superscript"/>
              </w:rPr>
              <w:t>2</w:t>
            </w:r>
            <w:r>
              <w:rPr>
                <w:rFonts w:cs="Times New Roman"/>
                <w:sz w:val="24"/>
                <w:szCs w:val="24"/>
              </w:rPr>
              <w:t>）</w:t>
            </w:r>
            <w:r>
              <w:rPr>
                <w:rFonts w:hint="eastAsia" w:cs="Times New Roman"/>
                <w:sz w:val="24"/>
                <w:szCs w:val="24"/>
              </w:rPr>
              <w:t>和1间</w:t>
            </w:r>
            <w:r>
              <w:rPr>
                <w:rFonts w:cs="Times New Roman"/>
                <w:sz w:val="24"/>
                <w:szCs w:val="24"/>
              </w:rPr>
              <w:t>危废暂存间</w:t>
            </w:r>
            <w:r>
              <w:rPr>
                <w:rFonts w:hint="eastAsia" w:cs="Times New Roman"/>
                <w:sz w:val="24"/>
                <w:szCs w:val="24"/>
              </w:rPr>
              <w:t>（50m</w:t>
            </w:r>
            <w:r>
              <w:rPr>
                <w:rFonts w:cs="Times New Roman"/>
                <w:sz w:val="24"/>
                <w:szCs w:val="24"/>
                <w:vertAlign w:val="superscript"/>
              </w:rPr>
              <w:t>2</w:t>
            </w:r>
            <w:r>
              <w:rPr>
                <w:rFonts w:cs="Times New Roman"/>
                <w:sz w:val="24"/>
                <w:szCs w:val="24"/>
              </w:rPr>
              <w:t>），</w:t>
            </w:r>
            <w:r>
              <w:rPr>
                <w:rFonts w:hint="eastAsia" w:cs="Times New Roman"/>
                <w:sz w:val="24"/>
                <w:szCs w:val="24"/>
              </w:rPr>
              <w:t>其中：固废暂存间设于生产车间西南侧，已落实防渗漏、防雨淋、防扬尘的要求；危废暂存间已按照《危险废物贮存污染控制标准》（GB18597-2023）中相关要求，地面及10cm高墙裙采用防渗混凝土+2mmHDPE防渗膜进行防渗、防腐处理，采取了防风、防晒、防雨、防漏、防渗、防腐等环境污染防治措施，液态危废采用专用容器盛装且下设防渗托盘（托盘边缘高度不低于10cm）；已按照《危险废物识别标志设置技术规范》（HJ1276-2022）设立了标识标牌。目前，建设单位已与四川省兴茂石化有限责任公司签订了《危险废物委托处置合同》，建立了危险废物管理台账，落实了危险废物转移联单制度。</w:t>
            </w:r>
          </w:p>
          <w:p w14:paraId="6FC91CFF">
            <w:pPr>
              <w:spacing w:line="360" w:lineRule="auto"/>
              <w:ind w:firstLine="482" w:firstLineChars="200"/>
              <w:rPr>
                <w:rFonts w:cs="Times New Roman"/>
                <w:b/>
                <w:sz w:val="24"/>
                <w:szCs w:val="24"/>
              </w:rPr>
            </w:pPr>
            <w:r>
              <w:rPr>
                <w:rFonts w:hint="eastAsia" w:cs="Times New Roman"/>
                <w:b/>
                <w:sz w:val="24"/>
                <w:szCs w:val="24"/>
              </w:rPr>
              <w:t>（5）地下水污染防治措施</w:t>
            </w:r>
          </w:p>
          <w:p w14:paraId="116A68D6">
            <w:pPr>
              <w:spacing w:line="360" w:lineRule="auto"/>
              <w:ind w:firstLine="480" w:firstLineChars="200"/>
              <w:rPr>
                <w:rFonts w:cs="Times New Roman"/>
                <w:sz w:val="24"/>
                <w:szCs w:val="24"/>
              </w:rPr>
            </w:pPr>
            <w:r>
              <w:rPr>
                <w:rFonts w:hint="eastAsia" w:cs="Times New Roman"/>
                <w:sz w:val="24"/>
                <w:szCs w:val="24"/>
              </w:rPr>
              <w:t>根据《环境影响评价技术导则 地下水环境》（HJ610-2016），现有工程主要建（构）筑物分为重点防渗区、一般防渗区和简单防渗区，各防渗区已采取的地下水污染防渗措施见下表。</w:t>
            </w:r>
          </w:p>
          <w:p w14:paraId="0422A02A">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现有工程地下水污染防治措施</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985"/>
              <w:gridCol w:w="2032"/>
              <w:gridCol w:w="3009"/>
              <w:gridCol w:w="1226"/>
            </w:tblGrid>
            <w:tr w14:paraId="69F1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489" w:type="pct"/>
                  <w:vAlign w:val="center"/>
                </w:tcPr>
                <w:p w14:paraId="74C1D9CE">
                  <w:pPr>
                    <w:jc w:val="center"/>
                    <w:rPr>
                      <w:szCs w:val="21"/>
                    </w:rPr>
                  </w:pPr>
                  <w:r>
                    <w:rPr>
                      <w:szCs w:val="21"/>
                    </w:rPr>
                    <w:t>分区</w:t>
                  </w:r>
                </w:p>
              </w:tc>
              <w:tc>
                <w:tcPr>
                  <w:tcW w:w="1085" w:type="pct"/>
                  <w:vAlign w:val="center"/>
                </w:tcPr>
                <w:p w14:paraId="4BCD9BE9">
                  <w:pPr>
                    <w:jc w:val="center"/>
                    <w:rPr>
                      <w:szCs w:val="21"/>
                    </w:rPr>
                  </w:pPr>
                  <w:r>
                    <w:rPr>
                      <w:szCs w:val="21"/>
                    </w:rPr>
                    <w:t>工程区域</w:t>
                  </w:r>
                </w:p>
              </w:tc>
              <w:tc>
                <w:tcPr>
                  <w:tcW w:w="1111" w:type="pct"/>
                  <w:vAlign w:val="center"/>
                </w:tcPr>
                <w:p w14:paraId="29E31F06">
                  <w:pPr>
                    <w:jc w:val="center"/>
                    <w:rPr>
                      <w:szCs w:val="21"/>
                    </w:rPr>
                  </w:pPr>
                  <w:r>
                    <w:rPr>
                      <w:szCs w:val="21"/>
                    </w:rPr>
                    <w:t>防渗要求</w:t>
                  </w:r>
                </w:p>
              </w:tc>
              <w:tc>
                <w:tcPr>
                  <w:tcW w:w="1645" w:type="pct"/>
                  <w:vAlign w:val="center"/>
                </w:tcPr>
                <w:p w14:paraId="0929F9CE">
                  <w:pPr>
                    <w:jc w:val="center"/>
                    <w:rPr>
                      <w:szCs w:val="21"/>
                    </w:rPr>
                  </w:pPr>
                  <w:r>
                    <w:rPr>
                      <w:szCs w:val="21"/>
                    </w:rPr>
                    <w:t>已采取防渗措施</w:t>
                  </w:r>
                </w:p>
              </w:tc>
              <w:tc>
                <w:tcPr>
                  <w:tcW w:w="670" w:type="pct"/>
                  <w:vAlign w:val="center"/>
                </w:tcPr>
                <w:p w14:paraId="2A611866">
                  <w:pPr>
                    <w:jc w:val="center"/>
                    <w:rPr>
                      <w:szCs w:val="21"/>
                    </w:rPr>
                  </w:pPr>
                  <w:r>
                    <w:rPr>
                      <w:szCs w:val="21"/>
                    </w:rPr>
                    <w:t>是否满足防渗要求</w:t>
                  </w:r>
                </w:p>
              </w:tc>
            </w:tr>
            <w:tr w14:paraId="171D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9" w:type="pct"/>
                  <w:vAlign w:val="center"/>
                </w:tcPr>
                <w:p w14:paraId="79CFA9C1">
                  <w:pPr>
                    <w:jc w:val="center"/>
                    <w:rPr>
                      <w:szCs w:val="21"/>
                    </w:rPr>
                  </w:pPr>
                  <w:r>
                    <w:rPr>
                      <w:szCs w:val="21"/>
                    </w:rPr>
                    <w:t>重点防渗区</w:t>
                  </w:r>
                </w:p>
              </w:tc>
              <w:tc>
                <w:tcPr>
                  <w:tcW w:w="1085" w:type="pct"/>
                  <w:vAlign w:val="center"/>
                </w:tcPr>
                <w:p w14:paraId="2EB04E65">
                  <w:pPr>
                    <w:rPr>
                      <w:szCs w:val="21"/>
                    </w:rPr>
                  </w:pPr>
                  <w:r>
                    <w:rPr>
                      <w:rFonts w:hint="eastAsia"/>
                      <w:szCs w:val="21"/>
                    </w:rPr>
                    <w:t>危废暂存间、油漆存储间、喷涂生产车间</w:t>
                  </w:r>
                </w:p>
              </w:tc>
              <w:tc>
                <w:tcPr>
                  <w:tcW w:w="1111" w:type="pct"/>
                  <w:vAlign w:val="center"/>
                </w:tcPr>
                <w:p w14:paraId="3CBC4724">
                  <w:pPr>
                    <w:rPr>
                      <w:rFonts w:cstheme="minorHAnsi"/>
                      <w:szCs w:val="21"/>
                    </w:rPr>
                  </w:pPr>
                  <w:r>
                    <w:rPr>
                      <w:rFonts w:hint="eastAsia" w:cs="Times New Roman"/>
                      <w:szCs w:val="21"/>
                    </w:rPr>
                    <w:t>至少1m厚粘土层</w:t>
                  </w:r>
                  <w:r>
                    <w:rPr>
                      <w:rFonts w:cs="Times New Roman"/>
                      <w:szCs w:val="21"/>
                    </w:rPr>
                    <w:t>（K≤10</w:t>
                  </w:r>
                  <w:r>
                    <w:rPr>
                      <w:rFonts w:cs="Times New Roman"/>
                      <w:szCs w:val="21"/>
                      <w:vertAlign w:val="superscript"/>
                    </w:rPr>
                    <w:t>-7</w:t>
                  </w:r>
                  <w:r>
                    <w:rPr>
                      <w:rFonts w:cs="Times New Roman"/>
                      <w:szCs w:val="21"/>
                    </w:rPr>
                    <w:t>cm/s），或2</w:t>
                  </w:r>
                  <w:r>
                    <w:rPr>
                      <w:rFonts w:hint="eastAsia" w:cs="Times New Roman"/>
                      <w:szCs w:val="21"/>
                    </w:rPr>
                    <w:t>mm</w:t>
                  </w:r>
                  <w:r>
                    <w:rPr>
                      <w:rFonts w:cs="Times New Roman"/>
                      <w:szCs w:val="21"/>
                    </w:rPr>
                    <w:t>厚高密度聚乙烯，或至少2</w:t>
                  </w:r>
                  <w:r>
                    <w:rPr>
                      <w:rFonts w:hint="eastAsia" w:cs="Times New Roman"/>
                      <w:szCs w:val="21"/>
                    </w:rPr>
                    <w:t>mm</w:t>
                  </w:r>
                  <w:r>
                    <w:rPr>
                      <w:rFonts w:cs="Times New Roman"/>
                      <w:szCs w:val="21"/>
                    </w:rPr>
                    <w:t>厚的</w:t>
                  </w:r>
                  <w:r>
                    <w:rPr>
                      <w:rFonts w:hint="eastAsia" w:cs="Times New Roman"/>
                      <w:szCs w:val="21"/>
                      <w:lang w:eastAsia="zh-CN"/>
                    </w:rPr>
                    <w:t>其他</w:t>
                  </w:r>
                  <w:r>
                    <w:rPr>
                      <w:rFonts w:cs="Times New Roman"/>
                      <w:szCs w:val="21"/>
                    </w:rPr>
                    <w:t>人工材料，K≤10</w:t>
                  </w:r>
                  <w:r>
                    <w:rPr>
                      <w:rFonts w:cs="Times New Roman"/>
                      <w:szCs w:val="21"/>
                      <w:vertAlign w:val="superscript"/>
                    </w:rPr>
                    <w:t>-10</w:t>
                  </w:r>
                  <w:r>
                    <w:rPr>
                      <w:rFonts w:cs="Times New Roman"/>
                      <w:szCs w:val="21"/>
                    </w:rPr>
                    <w:t>cm/s</w:t>
                  </w:r>
                  <w:r>
                    <w:rPr>
                      <w:rFonts w:hint="eastAsia" w:cs="Times New Roman"/>
                      <w:szCs w:val="21"/>
                    </w:rPr>
                    <w:t>。</w:t>
                  </w:r>
                </w:p>
              </w:tc>
              <w:tc>
                <w:tcPr>
                  <w:tcW w:w="1645" w:type="pct"/>
                  <w:vAlign w:val="center"/>
                </w:tcPr>
                <w:p w14:paraId="1E0210BD">
                  <w:pPr>
                    <w:rPr>
                      <w:rFonts w:cs="Times New Roman"/>
                      <w:szCs w:val="21"/>
                    </w:rPr>
                  </w:pPr>
                  <w:r>
                    <w:rPr>
                      <w:szCs w:val="21"/>
                    </w:rPr>
                    <w:t>采取防渗混凝土+2mm厚HDPE防渗层进行防渗、防腐处理，确保防渗性能与6.0m厚黏土防渗层，其中危废暂存间防渗系数满足K≤1×10</w:t>
                  </w:r>
                  <w:r>
                    <w:rPr>
                      <w:szCs w:val="21"/>
                      <w:vertAlign w:val="superscript"/>
                    </w:rPr>
                    <w:t>-10</w:t>
                  </w:r>
                  <w:r>
                    <w:rPr>
                      <w:szCs w:val="21"/>
                    </w:rPr>
                    <w:t>cm/s，其他防渗系数满足K≤1×10</w:t>
                  </w:r>
                  <w:r>
                    <w:rPr>
                      <w:szCs w:val="21"/>
                      <w:vertAlign w:val="superscript"/>
                    </w:rPr>
                    <w:t>-7</w:t>
                  </w:r>
                  <w:r>
                    <w:rPr>
                      <w:szCs w:val="21"/>
                    </w:rPr>
                    <w:t>cm/s。同时，危废暂存间</w:t>
                  </w:r>
                  <w:r>
                    <w:rPr>
                      <w:rFonts w:hint="eastAsia"/>
                      <w:szCs w:val="21"/>
                    </w:rPr>
                    <w:t>、油漆存储间地面设置10~20cm防渗围堰。危废暂存间</w:t>
                  </w:r>
                  <w:r>
                    <w:rPr>
                      <w:szCs w:val="21"/>
                    </w:rPr>
                    <w:t>危险废物下方设置托盘</w:t>
                  </w:r>
                  <w:r>
                    <w:rPr>
                      <w:rFonts w:hint="eastAsia"/>
                      <w:szCs w:val="21"/>
                    </w:rPr>
                    <w:t>。</w:t>
                  </w:r>
                </w:p>
              </w:tc>
              <w:tc>
                <w:tcPr>
                  <w:tcW w:w="670" w:type="pct"/>
                  <w:vAlign w:val="center"/>
                </w:tcPr>
                <w:p w14:paraId="5048E246">
                  <w:pPr>
                    <w:jc w:val="center"/>
                    <w:rPr>
                      <w:szCs w:val="21"/>
                    </w:rPr>
                  </w:pPr>
                  <w:r>
                    <w:rPr>
                      <w:rFonts w:hint="eastAsia"/>
                      <w:szCs w:val="21"/>
                    </w:rPr>
                    <w:t>满足</w:t>
                  </w:r>
                </w:p>
              </w:tc>
            </w:tr>
            <w:tr w14:paraId="1669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89" w:type="pct"/>
                  <w:vAlign w:val="center"/>
                </w:tcPr>
                <w:p w14:paraId="60C887A4">
                  <w:pPr>
                    <w:jc w:val="center"/>
                    <w:rPr>
                      <w:szCs w:val="21"/>
                    </w:rPr>
                  </w:pPr>
                  <w:r>
                    <w:rPr>
                      <w:rFonts w:hint="eastAsia"/>
                      <w:szCs w:val="21"/>
                    </w:rPr>
                    <w:t>一般防渗区</w:t>
                  </w:r>
                </w:p>
              </w:tc>
              <w:tc>
                <w:tcPr>
                  <w:tcW w:w="1085" w:type="pct"/>
                  <w:vAlign w:val="center"/>
                </w:tcPr>
                <w:p w14:paraId="08088323">
                  <w:pPr>
                    <w:rPr>
                      <w:rFonts w:cstheme="minorHAnsi"/>
                      <w:szCs w:val="21"/>
                    </w:rPr>
                  </w:pPr>
                  <w:r>
                    <w:rPr>
                      <w:rFonts w:hint="eastAsia" w:cstheme="minorHAnsi"/>
                      <w:szCs w:val="21"/>
                    </w:rPr>
                    <w:t>其余生产车间、预处理池、隔油池、固废暂存间、</w:t>
                  </w:r>
                  <w:r>
                    <w:rPr>
                      <w:rFonts w:hint="eastAsia" w:cs="Times New Roman"/>
                      <w:szCs w:val="21"/>
                    </w:rPr>
                    <w:t>成</w:t>
                  </w:r>
                  <w:r>
                    <w:rPr>
                      <w:rFonts w:hint="eastAsia"/>
                      <w:szCs w:val="21"/>
                    </w:rPr>
                    <w:t>品仓库、预处理池、隔油池、厕所、公共厕所</w:t>
                  </w:r>
                </w:p>
              </w:tc>
              <w:tc>
                <w:tcPr>
                  <w:tcW w:w="1111" w:type="pct"/>
                  <w:vAlign w:val="center"/>
                </w:tcPr>
                <w:p w14:paraId="499B800D">
                  <w:pPr>
                    <w:rPr>
                      <w:rFonts w:cs="Times New Roman"/>
                      <w:szCs w:val="21"/>
                    </w:rPr>
                  </w:pPr>
                  <w:r>
                    <w:rPr>
                      <w:rFonts w:cs="Times New Roman"/>
                      <w:szCs w:val="21"/>
                    </w:rPr>
                    <w:t>等效黏土防渗层Mb≥1.5m，防渗系数K≤10</w:t>
                  </w:r>
                  <w:r>
                    <w:rPr>
                      <w:rFonts w:cs="Times New Roman"/>
                      <w:szCs w:val="21"/>
                      <w:vertAlign w:val="superscript"/>
                    </w:rPr>
                    <w:t>-7</w:t>
                  </w:r>
                  <w:r>
                    <w:rPr>
                      <w:rFonts w:cs="Times New Roman"/>
                      <w:szCs w:val="21"/>
                    </w:rPr>
                    <w:t>cm/s</w:t>
                  </w:r>
                  <w:r>
                    <w:rPr>
                      <w:rFonts w:hint="eastAsia" w:cs="Times New Roman"/>
                      <w:szCs w:val="21"/>
                    </w:rPr>
                    <w:t>。</w:t>
                  </w:r>
                </w:p>
              </w:tc>
              <w:tc>
                <w:tcPr>
                  <w:tcW w:w="1645" w:type="pct"/>
                  <w:vAlign w:val="center"/>
                </w:tcPr>
                <w:p w14:paraId="6D8C3E3F">
                  <w:pPr>
                    <w:rPr>
                      <w:rFonts w:cs="Times New Roman"/>
                      <w:szCs w:val="21"/>
                    </w:rPr>
                  </w:pPr>
                  <w:r>
                    <w:rPr>
                      <w:szCs w:val="21"/>
                    </w:rPr>
                    <w:t>夯实粘土层+15cm厚P8抗渗混凝土硬化</w:t>
                  </w:r>
                  <w:r>
                    <w:rPr>
                      <w:rFonts w:hint="eastAsia"/>
                      <w:szCs w:val="21"/>
                    </w:rPr>
                    <w:t>。</w:t>
                  </w:r>
                </w:p>
              </w:tc>
              <w:tc>
                <w:tcPr>
                  <w:tcW w:w="670" w:type="pct"/>
                  <w:vAlign w:val="center"/>
                </w:tcPr>
                <w:p w14:paraId="383CFAB0">
                  <w:pPr>
                    <w:jc w:val="center"/>
                    <w:rPr>
                      <w:szCs w:val="21"/>
                    </w:rPr>
                  </w:pPr>
                  <w:r>
                    <w:rPr>
                      <w:szCs w:val="21"/>
                    </w:rPr>
                    <w:t>满足</w:t>
                  </w:r>
                </w:p>
              </w:tc>
            </w:tr>
            <w:tr w14:paraId="1302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89" w:type="pct"/>
                  <w:vAlign w:val="center"/>
                </w:tcPr>
                <w:p w14:paraId="7A7E438D">
                  <w:pPr>
                    <w:jc w:val="center"/>
                    <w:rPr>
                      <w:szCs w:val="21"/>
                    </w:rPr>
                  </w:pPr>
                  <w:r>
                    <w:rPr>
                      <w:rFonts w:hint="eastAsia"/>
                      <w:szCs w:val="21"/>
                    </w:rPr>
                    <w:t>简单防渗区</w:t>
                  </w:r>
                </w:p>
              </w:tc>
              <w:tc>
                <w:tcPr>
                  <w:tcW w:w="1085" w:type="pct"/>
                  <w:vAlign w:val="center"/>
                </w:tcPr>
                <w:p w14:paraId="58F27AAC">
                  <w:pPr>
                    <w:rPr>
                      <w:rFonts w:cstheme="minorHAnsi"/>
                      <w:szCs w:val="21"/>
                    </w:rPr>
                  </w:pPr>
                  <w:r>
                    <w:rPr>
                      <w:rFonts w:hint="eastAsia" w:cs="Times New Roman"/>
                      <w:szCs w:val="21"/>
                    </w:rPr>
                    <w:t>办公区、食堂（隔油池除外）、员工活动室及员工倒班房</w:t>
                  </w:r>
                </w:p>
              </w:tc>
              <w:tc>
                <w:tcPr>
                  <w:tcW w:w="1111" w:type="pct"/>
                  <w:vAlign w:val="center"/>
                </w:tcPr>
                <w:p w14:paraId="6958FB76">
                  <w:pPr>
                    <w:rPr>
                      <w:rFonts w:cstheme="minorHAnsi"/>
                      <w:szCs w:val="21"/>
                    </w:rPr>
                  </w:pPr>
                  <w:r>
                    <w:rPr>
                      <w:rFonts w:cstheme="minorHAnsi"/>
                      <w:szCs w:val="21"/>
                    </w:rPr>
                    <w:t>一般地面硬化</w:t>
                  </w:r>
                  <w:r>
                    <w:rPr>
                      <w:rFonts w:hint="eastAsia" w:cstheme="minorHAnsi"/>
                      <w:szCs w:val="21"/>
                    </w:rPr>
                    <w:t>。</w:t>
                  </w:r>
                </w:p>
              </w:tc>
              <w:tc>
                <w:tcPr>
                  <w:tcW w:w="1645" w:type="pct"/>
                  <w:vAlign w:val="center"/>
                </w:tcPr>
                <w:p w14:paraId="15B3DC0D">
                  <w:pPr>
                    <w:rPr>
                      <w:szCs w:val="21"/>
                    </w:rPr>
                  </w:pPr>
                  <w:r>
                    <w:rPr>
                      <w:szCs w:val="21"/>
                    </w:rPr>
                    <w:t>水泥硬化</w:t>
                  </w:r>
                  <w:r>
                    <w:rPr>
                      <w:rFonts w:hint="eastAsia"/>
                      <w:szCs w:val="21"/>
                    </w:rPr>
                    <w:t>。</w:t>
                  </w:r>
                </w:p>
              </w:tc>
              <w:tc>
                <w:tcPr>
                  <w:tcW w:w="670" w:type="pct"/>
                  <w:vAlign w:val="center"/>
                </w:tcPr>
                <w:p w14:paraId="300D8DB4">
                  <w:pPr>
                    <w:jc w:val="center"/>
                    <w:rPr>
                      <w:szCs w:val="21"/>
                    </w:rPr>
                  </w:pPr>
                  <w:r>
                    <w:rPr>
                      <w:szCs w:val="21"/>
                    </w:rPr>
                    <w:t>满足</w:t>
                  </w:r>
                </w:p>
              </w:tc>
            </w:tr>
          </w:tbl>
          <w:p w14:paraId="4FF82C7A">
            <w:pPr>
              <w:spacing w:line="360" w:lineRule="auto"/>
              <w:ind w:firstLine="482" w:firstLineChars="200"/>
              <w:rPr>
                <w:rFonts w:cs="Times New Roman"/>
                <w:b/>
                <w:sz w:val="24"/>
                <w:szCs w:val="24"/>
              </w:rPr>
            </w:pPr>
            <w:r>
              <w:rPr>
                <w:rFonts w:hint="eastAsia" w:cs="Times New Roman"/>
                <w:b/>
                <w:sz w:val="24"/>
                <w:szCs w:val="24"/>
              </w:rPr>
              <w:t>（6）环境风险防范措施</w:t>
            </w:r>
          </w:p>
          <w:p w14:paraId="7ECF226D">
            <w:pPr>
              <w:spacing w:line="360" w:lineRule="auto"/>
              <w:ind w:firstLine="480" w:firstLineChars="200"/>
              <w:rPr>
                <w:sz w:val="24"/>
                <w:szCs w:val="24"/>
              </w:rPr>
            </w:pPr>
            <w:r>
              <w:rPr>
                <w:rFonts w:hint="eastAsia"/>
                <w:sz w:val="24"/>
                <w:szCs w:val="24"/>
              </w:rPr>
              <w:t>现有</w:t>
            </w:r>
            <w:r>
              <w:rPr>
                <w:sz w:val="24"/>
                <w:szCs w:val="24"/>
              </w:rPr>
              <w:t>工程采取环境风险防范措施包括</w:t>
            </w:r>
            <w:r>
              <w:rPr>
                <w:rFonts w:hint="eastAsia"/>
                <w:sz w:val="24"/>
                <w:szCs w:val="24"/>
              </w:rPr>
              <w:t>：①严格按照消防设计规范进行建设，设置消防警示标识，配备灭火器材；②危废暂存间</w:t>
            </w:r>
            <w:r>
              <w:rPr>
                <w:rFonts w:hint="eastAsia"/>
                <w:bCs/>
                <w:sz w:val="24"/>
                <w:szCs w:val="24"/>
              </w:rPr>
              <w:t>、油漆存储间</w:t>
            </w:r>
            <w:r>
              <w:rPr>
                <w:rFonts w:hint="eastAsia"/>
                <w:sz w:val="24"/>
                <w:szCs w:val="24"/>
              </w:rPr>
              <w:t>地面及墙裙防渗措施，设置有防渗墙裙和备用收容设施；③建立危险废物管理制度和台账，加强环保设施运营管理；④制定了环境风险应急预案。</w:t>
            </w:r>
          </w:p>
          <w:p w14:paraId="6B68B531">
            <w:pPr>
              <w:spacing w:line="360" w:lineRule="auto"/>
              <w:ind w:firstLine="482" w:firstLineChars="200"/>
              <w:rPr>
                <w:b/>
                <w:sz w:val="24"/>
              </w:rPr>
            </w:pPr>
            <w:r>
              <w:rPr>
                <w:b/>
                <w:sz w:val="24"/>
              </w:rPr>
              <w:t>4</w:t>
            </w:r>
            <w:r>
              <w:rPr>
                <w:rFonts w:hint="eastAsia"/>
                <w:b/>
                <w:sz w:val="24"/>
              </w:rPr>
              <w:t>、现有工程污染物实际排放量</w:t>
            </w:r>
          </w:p>
          <w:p w14:paraId="2AFC13E9">
            <w:pPr>
              <w:spacing w:line="360" w:lineRule="auto"/>
              <w:ind w:firstLine="480" w:firstLineChars="200"/>
              <w:rPr>
                <w:rFonts w:cs="Times New Roman"/>
                <w:sz w:val="24"/>
                <w:szCs w:val="24"/>
              </w:rPr>
            </w:pPr>
            <w:r>
              <w:rPr>
                <w:rFonts w:hint="eastAsia" w:cs="Times New Roman"/>
                <w:sz w:val="24"/>
                <w:szCs w:val="24"/>
              </w:rPr>
              <w:t>根据现有工程《环境影响报告表》及验收监测资料，经测算现有工程主要污染物实际排放量见下表：</w:t>
            </w:r>
          </w:p>
          <w:p w14:paraId="0126C54B">
            <w:pPr>
              <w:pStyle w:val="51"/>
              <w:numPr>
                <w:ilvl w:val="0"/>
                <w:numId w:val="3"/>
              </w:numPr>
              <w:spacing w:line="360" w:lineRule="auto"/>
              <w:ind w:firstLineChars="0"/>
              <w:jc w:val="center"/>
              <w:rPr>
                <w:rFonts w:eastAsia="黑体" w:cs="Times New Roman"/>
                <w:szCs w:val="21"/>
              </w:rPr>
            </w:pPr>
            <w:r>
              <w:rPr>
                <w:rFonts w:hint="eastAsia" w:eastAsia="黑体" w:cs="Times New Roman"/>
                <w:szCs w:val="21"/>
              </w:rPr>
              <w:t>现有工程主要污染物实际排放量</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2720"/>
              <w:gridCol w:w="2759"/>
              <w:gridCol w:w="2783"/>
            </w:tblGrid>
            <w:tr w14:paraId="60C0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Align w:val="center"/>
                </w:tcPr>
                <w:p w14:paraId="1647AAF8">
                  <w:pPr>
                    <w:jc w:val="center"/>
                    <w:rPr>
                      <w:szCs w:val="21"/>
                    </w:rPr>
                  </w:pPr>
                  <w:r>
                    <w:rPr>
                      <w:szCs w:val="21"/>
                    </w:rPr>
                    <w:t>类型</w:t>
                  </w:r>
                </w:p>
              </w:tc>
              <w:tc>
                <w:tcPr>
                  <w:tcW w:w="1487" w:type="pct"/>
                  <w:vAlign w:val="center"/>
                </w:tcPr>
                <w:p w14:paraId="56769CB9">
                  <w:pPr>
                    <w:jc w:val="center"/>
                    <w:rPr>
                      <w:szCs w:val="21"/>
                    </w:rPr>
                  </w:pPr>
                  <w:r>
                    <w:rPr>
                      <w:rFonts w:hint="eastAsia"/>
                      <w:szCs w:val="21"/>
                    </w:rPr>
                    <w:t>污染物</w:t>
                  </w:r>
                </w:p>
              </w:tc>
              <w:tc>
                <w:tcPr>
                  <w:tcW w:w="1508" w:type="pct"/>
                  <w:vAlign w:val="center"/>
                </w:tcPr>
                <w:p w14:paraId="5640E8A9">
                  <w:pPr>
                    <w:jc w:val="center"/>
                    <w:rPr>
                      <w:szCs w:val="21"/>
                    </w:rPr>
                  </w:pPr>
                  <w:r>
                    <w:rPr>
                      <w:rFonts w:hint="eastAsia"/>
                      <w:szCs w:val="21"/>
                    </w:rPr>
                    <w:t>实际</w:t>
                  </w:r>
                  <w:r>
                    <w:rPr>
                      <w:szCs w:val="21"/>
                    </w:rPr>
                    <w:t>排放量</w:t>
                  </w:r>
                  <w:r>
                    <w:rPr>
                      <w:rFonts w:hint="eastAsia"/>
                      <w:szCs w:val="21"/>
                    </w:rPr>
                    <w:t>（</w:t>
                  </w:r>
                  <w:r>
                    <w:rPr>
                      <w:szCs w:val="21"/>
                    </w:rPr>
                    <w:t>t/a</w:t>
                  </w:r>
                  <w:r>
                    <w:rPr>
                      <w:rFonts w:hint="eastAsia"/>
                      <w:szCs w:val="21"/>
                    </w:rPr>
                    <w:t>）</w:t>
                  </w:r>
                </w:p>
              </w:tc>
              <w:tc>
                <w:tcPr>
                  <w:tcW w:w="1521" w:type="pct"/>
                  <w:vAlign w:val="center"/>
                </w:tcPr>
                <w:p w14:paraId="132A81C0">
                  <w:pPr>
                    <w:jc w:val="center"/>
                    <w:rPr>
                      <w:szCs w:val="21"/>
                    </w:rPr>
                  </w:pPr>
                  <w:r>
                    <w:rPr>
                      <w:szCs w:val="21"/>
                    </w:rPr>
                    <w:t>备注</w:t>
                  </w:r>
                </w:p>
              </w:tc>
            </w:tr>
            <w:tr w14:paraId="145F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restart"/>
                  <w:vAlign w:val="center"/>
                </w:tcPr>
                <w:p w14:paraId="4E6AF8B9">
                  <w:pPr>
                    <w:jc w:val="center"/>
                    <w:rPr>
                      <w:szCs w:val="21"/>
                    </w:rPr>
                  </w:pPr>
                  <w:r>
                    <w:rPr>
                      <w:szCs w:val="21"/>
                    </w:rPr>
                    <w:t>废气</w:t>
                  </w:r>
                </w:p>
              </w:tc>
              <w:tc>
                <w:tcPr>
                  <w:tcW w:w="1487" w:type="pct"/>
                  <w:vAlign w:val="center"/>
                </w:tcPr>
                <w:p w14:paraId="78D4B7A2">
                  <w:pPr>
                    <w:jc w:val="center"/>
                    <w:rPr>
                      <w:szCs w:val="21"/>
                    </w:rPr>
                  </w:pPr>
                  <w:r>
                    <w:rPr>
                      <w:rFonts w:hint="eastAsia"/>
                      <w:szCs w:val="21"/>
                    </w:rPr>
                    <w:t>颗粒物</w:t>
                  </w:r>
                </w:p>
              </w:tc>
              <w:tc>
                <w:tcPr>
                  <w:tcW w:w="1508" w:type="pct"/>
                  <w:vAlign w:val="center"/>
                </w:tcPr>
                <w:p w14:paraId="6F403313">
                  <w:pPr>
                    <w:jc w:val="center"/>
                    <w:rPr>
                      <w:szCs w:val="21"/>
                    </w:rPr>
                  </w:pPr>
                  <w:r>
                    <w:rPr>
                      <w:rFonts w:hint="eastAsia"/>
                      <w:szCs w:val="21"/>
                    </w:rPr>
                    <w:t>1.2252</w:t>
                  </w:r>
                </w:p>
              </w:tc>
              <w:tc>
                <w:tcPr>
                  <w:tcW w:w="1521" w:type="pct"/>
                  <w:vMerge w:val="restart"/>
                  <w:vAlign w:val="center"/>
                </w:tcPr>
                <w:p w14:paraId="0CF454A5">
                  <w:pPr>
                    <w:jc w:val="center"/>
                    <w:rPr>
                      <w:szCs w:val="21"/>
                    </w:rPr>
                  </w:pPr>
                  <w:r>
                    <w:rPr>
                      <w:szCs w:val="21"/>
                    </w:rPr>
                    <w:t>排入大气</w:t>
                  </w:r>
                </w:p>
              </w:tc>
            </w:tr>
            <w:tr w14:paraId="4DEF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3FBD678B">
                  <w:pPr>
                    <w:jc w:val="center"/>
                    <w:rPr>
                      <w:szCs w:val="21"/>
                    </w:rPr>
                  </w:pPr>
                </w:p>
              </w:tc>
              <w:tc>
                <w:tcPr>
                  <w:tcW w:w="1487" w:type="pct"/>
                  <w:vAlign w:val="center"/>
                </w:tcPr>
                <w:p w14:paraId="603A18E2">
                  <w:pPr>
                    <w:jc w:val="center"/>
                    <w:rPr>
                      <w:szCs w:val="21"/>
                    </w:rPr>
                  </w:pPr>
                  <w:r>
                    <w:rPr>
                      <w:rFonts w:hint="eastAsia"/>
                      <w:szCs w:val="21"/>
                    </w:rPr>
                    <w:t>VOCs</w:t>
                  </w:r>
                </w:p>
              </w:tc>
              <w:tc>
                <w:tcPr>
                  <w:tcW w:w="1508" w:type="pct"/>
                  <w:vAlign w:val="center"/>
                </w:tcPr>
                <w:p w14:paraId="47AA740E">
                  <w:pPr>
                    <w:jc w:val="center"/>
                    <w:rPr>
                      <w:szCs w:val="21"/>
                    </w:rPr>
                  </w:pPr>
                  <w:r>
                    <w:rPr>
                      <w:rFonts w:hint="eastAsia"/>
                      <w:szCs w:val="21"/>
                    </w:rPr>
                    <w:t>2.1171</w:t>
                  </w:r>
                </w:p>
              </w:tc>
              <w:tc>
                <w:tcPr>
                  <w:tcW w:w="1521" w:type="pct"/>
                  <w:vMerge w:val="continue"/>
                  <w:vAlign w:val="center"/>
                </w:tcPr>
                <w:p w14:paraId="71330910">
                  <w:pPr>
                    <w:jc w:val="center"/>
                    <w:rPr>
                      <w:szCs w:val="21"/>
                    </w:rPr>
                  </w:pPr>
                </w:p>
              </w:tc>
            </w:tr>
            <w:tr w14:paraId="28D6A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0E603317">
                  <w:pPr>
                    <w:jc w:val="center"/>
                    <w:rPr>
                      <w:szCs w:val="21"/>
                    </w:rPr>
                  </w:pPr>
                </w:p>
              </w:tc>
              <w:tc>
                <w:tcPr>
                  <w:tcW w:w="1487" w:type="pct"/>
                  <w:vAlign w:val="center"/>
                </w:tcPr>
                <w:p w14:paraId="1B94B1C7">
                  <w:pPr>
                    <w:jc w:val="center"/>
                    <w:rPr>
                      <w:szCs w:val="21"/>
                    </w:rPr>
                  </w:pPr>
                  <w:r>
                    <w:rPr>
                      <w:rFonts w:hint="eastAsia"/>
                      <w:szCs w:val="21"/>
                    </w:rPr>
                    <w:t>乙酸乙酯</w:t>
                  </w:r>
                </w:p>
              </w:tc>
              <w:tc>
                <w:tcPr>
                  <w:tcW w:w="1508" w:type="pct"/>
                  <w:vAlign w:val="center"/>
                </w:tcPr>
                <w:p w14:paraId="4B3BCDE5">
                  <w:pPr>
                    <w:jc w:val="center"/>
                    <w:rPr>
                      <w:szCs w:val="21"/>
                    </w:rPr>
                  </w:pPr>
                  <w:r>
                    <w:rPr>
                      <w:rFonts w:hint="eastAsia"/>
                      <w:szCs w:val="21"/>
                    </w:rPr>
                    <w:t>0.3585</w:t>
                  </w:r>
                </w:p>
              </w:tc>
              <w:tc>
                <w:tcPr>
                  <w:tcW w:w="1521" w:type="pct"/>
                  <w:vMerge w:val="continue"/>
                  <w:vAlign w:val="center"/>
                </w:tcPr>
                <w:p w14:paraId="5056B124">
                  <w:pPr>
                    <w:jc w:val="center"/>
                    <w:rPr>
                      <w:szCs w:val="21"/>
                    </w:rPr>
                  </w:pPr>
                </w:p>
              </w:tc>
            </w:tr>
            <w:tr w14:paraId="1A4B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7F1EDD79">
                  <w:pPr>
                    <w:jc w:val="center"/>
                    <w:rPr>
                      <w:szCs w:val="21"/>
                    </w:rPr>
                  </w:pPr>
                </w:p>
              </w:tc>
              <w:tc>
                <w:tcPr>
                  <w:tcW w:w="1487" w:type="pct"/>
                  <w:vAlign w:val="center"/>
                </w:tcPr>
                <w:p w14:paraId="5E2376D9">
                  <w:pPr>
                    <w:jc w:val="center"/>
                    <w:rPr>
                      <w:szCs w:val="21"/>
                    </w:rPr>
                  </w:pPr>
                  <w:r>
                    <w:rPr>
                      <w:rFonts w:hint="eastAsia"/>
                      <w:szCs w:val="21"/>
                    </w:rPr>
                    <w:t>乙酸丁酯</w:t>
                  </w:r>
                </w:p>
              </w:tc>
              <w:tc>
                <w:tcPr>
                  <w:tcW w:w="1508" w:type="pct"/>
                  <w:vAlign w:val="center"/>
                </w:tcPr>
                <w:p w14:paraId="59435BE1">
                  <w:pPr>
                    <w:jc w:val="center"/>
                    <w:rPr>
                      <w:szCs w:val="21"/>
                    </w:rPr>
                  </w:pPr>
                  <w:r>
                    <w:rPr>
                      <w:rFonts w:hint="eastAsia"/>
                      <w:szCs w:val="21"/>
                    </w:rPr>
                    <w:t>0.3585</w:t>
                  </w:r>
                </w:p>
              </w:tc>
              <w:tc>
                <w:tcPr>
                  <w:tcW w:w="1521" w:type="pct"/>
                  <w:vMerge w:val="continue"/>
                  <w:vAlign w:val="center"/>
                </w:tcPr>
                <w:p w14:paraId="0828A4ED">
                  <w:pPr>
                    <w:jc w:val="center"/>
                    <w:rPr>
                      <w:szCs w:val="21"/>
                    </w:rPr>
                  </w:pPr>
                </w:p>
              </w:tc>
            </w:tr>
            <w:tr w14:paraId="5CC6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79CF0041">
                  <w:pPr>
                    <w:jc w:val="center"/>
                    <w:rPr>
                      <w:szCs w:val="21"/>
                    </w:rPr>
                  </w:pPr>
                </w:p>
              </w:tc>
              <w:tc>
                <w:tcPr>
                  <w:tcW w:w="1487" w:type="pct"/>
                  <w:vAlign w:val="center"/>
                </w:tcPr>
                <w:p w14:paraId="1549C097">
                  <w:pPr>
                    <w:jc w:val="center"/>
                    <w:rPr>
                      <w:szCs w:val="21"/>
                    </w:rPr>
                  </w:pPr>
                  <w:r>
                    <w:rPr>
                      <w:rFonts w:hint="eastAsia"/>
                      <w:szCs w:val="21"/>
                    </w:rPr>
                    <w:t>食堂油烟</w:t>
                  </w:r>
                </w:p>
              </w:tc>
              <w:tc>
                <w:tcPr>
                  <w:tcW w:w="1508" w:type="pct"/>
                  <w:vAlign w:val="center"/>
                </w:tcPr>
                <w:p w14:paraId="21FA30EE">
                  <w:pPr>
                    <w:jc w:val="center"/>
                    <w:rPr>
                      <w:szCs w:val="21"/>
                    </w:rPr>
                  </w:pPr>
                  <w:r>
                    <w:rPr>
                      <w:rFonts w:hint="eastAsia"/>
                      <w:szCs w:val="21"/>
                    </w:rPr>
                    <w:t>0.0038</w:t>
                  </w:r>
                </w:p>
              </w:tc>
              <w:tc>
                <w:tcPr>
                  <w:tcW w:w="1521" w:type="pct"/>
                  <w:vMerge w:val="continue"/>
                  <w:vAlign w:val="center"/>
                </w:tcPr>
                <w:p w14:paraId="1633D030">
                  <w:pPr>
                    <w:jc w:val="center"/>
                    <w:rPr>
                      <w:szCs w:val="21"/>
                    </w:rPr>
                  </w:pPr>
                </w:p>
              </w:tc>
            </w:tr>
            <w:tr w14:paraId="5C93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restart"/>
                  <w:vAlign w:val="center"/>
                </w:tcPr>
                <w:p w14:paraId="45DBD708">
                  <w:pPr>
                    <w:jc w:val="center"/>
                    <w:rPr>
                      <w:szCs w:val="21"/>
                    </w:rPr>
                  </w:pPr>
                  <w:r>
                    <w:rPr>
                      <w:szCs w:val="21"/>
                    </w:rPr>
                    <w:t>废水</w:t>
                  </w:r>
                </w:p>
              </w:tc>
              <w:tc>
                <w:tcPr>
                  <w:tcW w:w="1487" w:type="pct"/>
                  <w:vAlign w:val="center"/>
                </w:tcPr>
                <w:p w14:paraId="1DD5275F">
                  <w:pPr>
                    <w:jc w:val="center"/>
                    <w:rPr>
                      <w:szCs w:val="21"/>
                    </w:rPr>
                  </w:pPr>
                  <w:r>
                    <w:rPr>
                      <w:szCs w:val="21"/>
                    </w:rPr>
                    <w:t>废水量</w:t>
                  </w:r>
                </w:p>
              </w:tc>
              <w:tc>
                <w:tcPr>
                  <w:tcW w:w="1508" w:type="pct"/>
                  <w:vAlign w:val="center"/>
                </w:tcPr>
                <w:p w14:paraId="5BA9B362">
                  <w:pPr>
                    <w:jc w:val="center"/>
                    <w:rPr>
                      <w:szCs w:val="21"/>
                    </w:rPr>
                  </w:pPr>
                  <w:r>
                    <w:rPr>
                      <w:rFonts w:hint="eastAsia"/>
                      <w:szCs w:val="21"/>
                    </w:rPr>
                    <w:t>3164</w:t>
                  </w:r>
                </w:p>
              </w:tc>
              <w:tc>
                <w:tcPr>
                  <w:tcW w:w="1521" w:type="pct"/>
                  <w:vMerge w:val="restart"/>
                  <w:vAlign w:val="center"/>
                </w:tcPr>
                <w:p w14:paraId="1853A952">
                  <w:pPr>
                    <w:jc w:val="center"/>
                    <w:rPr>
                      <w:szCs w:val="21"/>
                    </w:rPr>
                  </w:pPr>
                  <w:r>
                    <w:rPr>
                      <w:szCs w:val="21"/>
                    </w:rPr>
                    <w:t>排入园区污水管网</w:t>
                  </w:r>
                </w:p>
              </w:tc>
            </w:tr>
            <w:tr w14:paraId="4C32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1DB4B64D">
                  <w:pPr>
                    <w:jc w:val="center"/>
                    <w:rPr>
                      <w:szCs w:val="21"/>
                    </w:rPr>
                  </w:pPr>
                </w:p>
              </w:tc>
              <w:tc>
                <w:tcPr>
                  <w:tcW w:w="1487" w:type="pct"/>
                  <w:vAlign w:val="center"/>
                </w:tcPr>
                <w:p w14:paraId="38C25920">
                  <w:pPr>
                    <w:jc w:val="center"/>
                    <w:rPr>
                      <w:szCs w:val="21"/>
                    </w:rPr>
                  </w:pPr>
                  <w:r>
                    <w:rPr>
                      <w:szCs w:val="21"/>
                    </w:rPr>
                    <w:t>COD</w:t>
                  </w:r>
                </w:p>
              </w:tc>
              <w:tc>
                <w:tcPr>
                  <w:tcW w:w="1508" w:type="pct"/>
                  <w:vAlign w:val="center"/>
                </w:tcPr>
                <w:p w14:paraId="03386E8F">
                  <w:pPr>
                    <w:jc w:val="center"/>
                    <w:rPr>
                      <w:szCs w:val="21"/>
                    </w:rPr>
                  </w:pPr>
                  <w:r>
                    <w:rPr>
                      <w:rFonts w:hint="eastAsia"/>
                      <w:szCs w:val="21"/>
                    </w:rPr>
                    <w:t>0.3322</w:t>
                  </w:r>
                </w:p>
              </w:tc>
              <w:tc>
                <w:tcPr>
                  <w:tcW w:w="1521" w:type="pct"/>
                  <w:vMerge w:val="continue"/>
                  <w:vAlign w:val="center"/>
                </w:tcPr>
                <w:p w14:paraId="26F62690">
                  <w:pPr>
                    <w:jc w:val="center"/>
                    <w:rPr>
                      <w:szCs w:val="21"/>
                    </w:rPr>
                  </w:pPr>
                </w:p>
              </w:tc>
            </w:tr>
            <w:tr w14:paraId="35DB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trPr>
              <w:tc>
                <w:tcPr>
                  <w:tcW w:w="484" w:type="pct"/>
                  <w:vMerge w:val="continue"/>
                  <w:vAlign w:val="center"/>
                </w:tcPr>
                <w:p w14:paraId="3B3B0F60">
                  <w:pPr>
                    <w:jc w:val="center"/>
                    <w:rPr>
                      <w:szCs w:val="21"/>
                    </w:rPr>
                  </w:pPr>
                </w:p>
              </w:tc>
              <w:tc>
                <w:tcPr>
                  <w:tcW w:w="1487" w:type="pct"/>
                  <w:vAlign w:val="center"/>
                </w:tcPr>
                <w:p w14:paraId="63C999FC">
                  <w:pPr>
                    <w:jc w:val="center"/>
                    <w:rPr>
                      <w:szCs w:val="21"/>
                    </w:rPr>
                  </w:pPr>
                  <w:r>
                    <w:rPr>
                      <w:szCs w:val="21"/>
                    </w:rPr>
                    <w:t>NH</w:t>
                  </w:r>
                  <w:r>
                    <w:rPr>
                      <w:szCs w:val="21"/>
                      <w:vertAlign w:val="subscript"/>
                    </w:rPr>
                    <w:t>3</w:t>
                  </w:r>
                  <w:r>
                    <w:rPr>
                      <w:rFonts w:hint="eastAsia"/>
                      <w:szCs w:val="21"/>
                    </w:rPr>
                    <w:t>-</w:t>
                  </w:r>
                  <w:r>
                    <w:rPr>
                      <w:szCs w:val="21"/>
                    </w:rPr>
                    <w:t>N</w:t>
                  </w:r>
                </w:p>
              </w:tc>
              <w:tc>
                <w:tcPr>
                  <w:tcW w:w="1508" w:type="pct"/>
                  <w:vAlign w:val="center"/>
                </w:tcPr>
                <w:p w14:paraId="56AEAA44">
                  <w:pPr>
                    <w:jc w:val="center"/>
                    <w:rPr>
                      <w:szCs w:val="21"/>
                    </w:rPr>
                  </w:pPr>
                  <w:r>
                    <w:rPr>
                      <w:rFonts w:hint="eastAsia"/>
                      <w:szCs w:val="21"/>
                    </w:rPr>
                    <w:t>0.1373</w:t>
                  </w:r>
                </w:p>
              </w:tc>
              <w:tc>
                <w:tcPr>
                  <w:tcW w:w="1521" w:type="pct"/>
                  <w:vMerge w:val="continue"/>
                  <w:vAlign w:val="center"/>
                </w:tcPr>
                <w:p w14:paraId="05C6C760">
                  <w:pPr>
                    <w:jc w:val="center"/>
                    <w:rPr>
                      <w:szCs w:val="21"/>
                    </w:rPr>
                  </w:pPr>
                </w:p>
              </w:tc>
            </w:tr>
            <w:tr w14:paraId="5631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84" w:type="pct"/>
                  <w:vMerge w:val="continue"/>
                  <w:vAlign w:val="center"/>
                </w:tcPr>
                <w:p w14:paraId="3DA83A8E">
                  <w:pPr>
                    <w:jc w:val="center"/>
                    <w:rPr>
                      <w:szCs w:val="21"/>
                    </w:rPr>
                  </w:pPr>
                </w:p>
              </w:tc>
              <w:tc>
                <w:tcPr>
                  <w:tcW w:w="1487" w:type="pct"/>
                  <w:vAlign w:val="center"/>
                </w:tcPr>
                <w:p w14:paraId="79DB3452">
                  <w:pPr>
                    <w:jc w:val="center"/>
                    <w:rPr>
                      <w:szCs w:val="21"/>
                    </w:rPr>
                  </w:pPr>
                  <w:r>
                    <w:rPr>
                      <w:rFonts w:hint="eastAsia"/>
                      <w:szCs w:val="21"/>
                    </w:rPr>
                    <w:t>TP</w:t>
                  </w:r>
                </w:p>
              </w:tc>
              <w:tc>
                <w:tcPr>
                  <w:tcW w:w="1508" w:type="pct"/>
                  <w:vAlign w:val="center"/>
                </w:tcPr>
                <w:p w14:paraId="02875D4C">
                  <w:pPr>
                    <w:jc w:val="center"/>
                    <w:rPr>
                      <w:szCs w:val="21"/>
                    </w:rPr>
                  </w:pPr>
                  <w:r>
                    <w:rPr>
                      <w:rFonts w:hint="eastAsia"/>
                      <w:szCs w:val="21"/>
                    </w:rPr>
                    <w:t>0.0065</w:t>
                  </w:r>
                </w:p>
              </w:tc>
              <w:tc>
                <w:tcPr>
                  <w:tcW w:w="1521" w:type="pct"/>
                  <w:vMerge w:val="continue"/>
                  <w:vAlign w:val="center"/>
                </w:tcPr>
                <w:p w14:paraId="1E12E6E8">
                  <w:pPr>
                    <w:jc w:val="center"/>
                    <w:rPr>
                      <w:szCs w:val="21"/>
                    </w:rPr>
                  </w:pPr>
                </w:p>
              </w:tc>
            </w:tr>
            <w:tr w14:paraId="36D8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484" w:type="pct"/>
                  <w:vMerge w:val="restart"/>
                  <w:vAlign w:val="center"/>
                </w:tcPr>
                <w:p w14:paraId="33887734">
                  <w:pPr>
                    <w:jc w:val="center"/>
                    <w:rPr>
                      <w:szCs w:val="21"/>
                    </w:rPr>
                  </w:pPr>
                  <w:r>
                    <w:rPr>
                      <w:szCs w:val="21"/>
                    </w:rPr>
                    <w:t>一般固体固废</w:t>
                  </w:r>
                </w:p>
              </w:tc>
              <w:tc>
                <w:tcPr>
                  <w:tcW w:w="1487" w:type="pct"/>
                  <w:vAlign w:val="center"/>
                </w:tcPr>
                <w:p w14:paraId="1551C6C8">
                  <w:pPr>
                    <w:jc w:val="center"/>
                    <w:rPr>
                      <w:szCs w:val="21"/>
                    </w:rPr>
                  </w:pPr>
                  <w:r>
                    <w:rPr>
                      <w:rFonts w:hint="eastAsia"/>
                      <w:szCs w:val="21"/>
                    </w:rPr>
                    <w:t>废包装</w:t>
                  </w:r>
                </w:p>
              </w:tc>
              <w:tc>
                <w:tcPr>
                  <w:tcW w:w="1508" w:type="pct"/>
                  <w:vAlign w:val="center"/>
                </w:tcPr>
                <w:p w14:paraId="2737881C">
                  <w:pPr>
                    <w:jc w:val="center"/>
                    <w:rPr>
                      <w:szCs w:val="21"/>
                      <w:highlight w:val="yellow"/>
                    </w:rPr>
                  </w:pPr>
                  <w:r>
                    <w:rPr>
                      <w:rFonts w:hint="eastAsia"/>
                      <w:szCs w:val="21"/>
                    </w:rPr>
                    <w:t>10.5</w:t>
                  </w:r>
                </w:p>
              </w:tc>
              <w:tc>
                <w:tcPr>
                  <w:tcW w:w="1521" w:type="pct"/>
                </w:tcPr>
                <w:p w14:paraId="186D5EBC">
                  <w:pPr>
                    <w:jc w:val="center"/>
                    <w:rPr>
                      <w:szCs w:val="21"/>
                    </w:rPr>
                  </w:pPr>
                  <w:r>
                    <w:rPr>
                      <w:rFonts w:hint="eastAsia"/>
                      <w:szCs w:val="21"/>
                    </w:rPr>
                    <w:t>外售废旧资源回收站</w:t>
                  </w:r>
                </w:p>
              </w:tc>
            </w:tr>
            <w:tr w14:paraId="471A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198A6149">
                  <w:pPr>
                    <w:jc w:val="center"/>
                    <w:rPr>
                      <w:szCs w:val="21"/>
                    </w:rPr>
                  </w:pPr>
                </w:p>
              </w:tc>
              <w:tc>
                <w:tcPr>
                  <w:tcW w:w="1487" w:type="pct"/>
                  <w:vAlign w:val="center"/>
                </w:tcPr>
                <w:p w14:paraId="6CC2DE12">
                  <w:pPr>
                    <w:jc w:val="center"/>
                    <w:rPr>
                      <w:szCs w:val="21"/>
                    </w:rPr>
                  </w:pPr>
                  <w:r>
                    <w:rPr>
                      <w:rFonts w:hint="eastAsia"/>
                      <w:szCs w:val="21"/>
                    </w:rPr>
                    <w:t>残次品</w:t>
                  </w:r>
                </w:p>
              </w:tc>
              <w:tc>
                <w:tcPr>
                  <w:tcW w:w="1508" w:type="pct"/>
                  <w:vAlign w:val="center"/>
                </w:tcPr>
                <w:p w14:paraId="277A566E">
                  <w:pPr>
                    <w:jc w:val="center"/>
                    <w:rPr>
                      <w:szCs w:val="21"/>
                    </w:rPr>
                  </w:pPr>
                  <w:r>
                    <w:rPr>
                      <w:rFonts w:hint="eastAsia"/>
                      <w:szCs w:val="21"/>
                    </w:rPr>
                    <w:t>4.5</w:t>
                  </w:r>
                </w:p>
              </w:tc>
              <w:tc>
                <w:tcPr>
                  <w:tcW w:w="1521" w:type="pct"/>
                </w:tcPr>
                <w:p w14:paraId="1B52808C">
                  <w:pPr>
                    <w:jc w:val="center"/>
                    <w:rPr>
                      <w:szCs w:val="21"/>
                    </w:rPr>
                  </w:pPr>
                  <w:r>
                    <w:rPr>
                      <w:rFonts w:hint="eastAsia"/>
                      <w:szCs w:val="21"/>
                    </w:rPr>
                    <w:t>外售废旧资源回收站</w:t>
                  </w:r>
                </w:p>
              </w:tc>
            </w:tr>
            <w:tr w14:paraId="75CF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530BA3EE">
                  <w:pPr>
                    <w:jc w:val="center"/>
                    <w:rPr>
                      <w:szCs w:val="21"/>
                    </w:rPr>
                  </w:pPr>
                </w:p>
              </w:tc>
              <w:tc>
                <w:tcPr>
                  <w:tcW w:w="1487" w:type="pct"/>
                  <w:vAlign w:val="center"/>
                </w:tcPr>
                <w:p w14:paraId="009CC27F">
                  <w:pPr>
                    <w:jc w:val="center"/>
                    <w:rPr>
                      <w:szCs w:val="21"/>
                    </w:rPr>
                  </w:pPr>
                  <w:r>
                    <w:rPr>
                      <w:rFonts w:hint="eastAsia"/>
                      <w:szCs w:val="21"/>
                    </w:rPr>
                    <w:t>除尘器收灰</w:t>
                  </w:r>
                </w:p>
              </w:tc>
              <w:tc>
                <w:tcPr>
                  <w:tcW w:w="1508" w:type="pct"/>
                  <w:vAlign w:val="center"/>
                </w:tcPr>
                <w:p w14:paraId="21062AD7">
                  <w:pPr>
                    <w:jc w:val="center"/>
                    <w:rPr>
                      <w:szCs w:val="21"/>
                      <w:highlight w:val="yellow"/>
                    </w:rPr>
                  </w:pPr>
                  <w:r>
                    <w:rPr>
                      <w:rFonts w:hint="eastAsia"/>
                      <w:szCs w:val="21"/>
                    </w:rPr>
                    <w:t>0.02</w:t>
                  </w:r>
                </w:p>
              </w:tc>
              <w:tc>
                <w:tcPr>
                  <w:tcW w:w="1521" w:type="pct"/>
                  <w:vAlign w:val="center"/>
                </w:tcPr>
                <w:p w14:paraId="04A62B13">
                  <w:pPr>
                    <w:jc w:val="center"/>
                    <w:rPr>
                      <w:szCs w:val="21"/>
                    </w:rPr>
                  </w:pPr>
                  <w:r>
                    <w:rPr>
                      <w:rFonts w:hint="eastAsia"/>
                      <w:szCs w:val="21"/>
                    </w:rPr>
                    <w:t>外售废旧资源回收站</w:t>
                  </w:r>
                </w:p>
              </w:tc>
            </w:tr>
            <w:tr w14:paraId="1BE6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28E97C87">
                  <w:pPr>
                    <w:jc w:val="center"/>
                    <w:rPr>
                      <w:szCs w:val="21"/>
                    </w:rPr>
                  </w:pPr>
                </w:p>
              </w:tc>
              <w:tc>
                <w:tcPr>
                  <w:tcW w:w="1487" w:type="pct"/>
                  <w:vAlign w:val="center"/>
                </w:tcPr>
                <w:p w14:paraId="205B08C2">
                  <w:pPr>
                    <w:jc w:val="center"/>
                    <w:rPr>
                      <w:szCs w:val="21"/>
                    </w:rPr>
                  </w:pPr>
                  <w:r>
                    <w:rPr>
                      <w:rFonts w:hint="eastAsia"/>
                      <w:szCs w:val="21"/>
                    </w:rPr>
                    <w:t>废铝粉</w:t>
                  </w:r>
                </w:p>
              </w:tc>
              <w:tc>
                <w:tcPr>
                  <w:tcW w:w="1508" w:type="pct"/>
                  <w:vAlign w:val="center"/>
                </w:tcPr>
                <w:p w14:paraId="42B50787">
                  <w:pPr>
                    <w:jc w:val="center"/>
                    <w:rPr>
                      <w:szCs w:val="21"/>
                      <w:highlight w:val="yellow"/>
                    </w:rPr>
                  </w:pPr>
                  <w:r>
                    <w:rPr>
                      <w:rFonts w:hint="eastAsia"/>
                      <w:szCs w:val="21"/>
                    </w:rPr>
                    <w:t>0.005</w:t>
                  </w:r>
                </w:p>
              </w:tc>
              <w:tc>
                <w:tcPr>
                  <w:tcW w:w="1521" w:type="pct"/>
                  <w:vAlign w:val="center"/>
                </w:tcPr>
                <w:p w14:paraId="35EE8EB9">
                  <w:pPr>
                    <w:jc w:val="center"/>
                    <w:rPr>
                      <w:szCs w:val="21"/>
                    </w:rPr>
                  </w:pPr>
                  <w:r>
                    <w:rPr>
                      <w:rFonts w:hint="eastAsia"/>
                      <w:szCs w:val="21"/>
                    </w:rPr>
                    <w:t>外售废旧资源回收站</w:t>
                  </w:r>
                </w:p>
              </w:tc>
            </w:tr>
            <w:tr w14:paraId="67D4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68DB365B">
                  <w:pPr>
                    <w:jc w:val="center"/>
                    <w:rPr>
                      <w:szCs w:val="21"/>
                    </w:rPr>
                  </w:pPr>
                </w:p>
              </w:tc>
              <w:tc>
                <w:tcPr>
                  <w:tcW w:w="1487" w:type="pct"/>
                  <w:vAlign w:val="center"/>
                </w:tcPr>
                <w:p w14:paraId="3CC12C95">
                  <w:pPr>
                    <w:jc w:val="center"/>
                    <w:rPr>
                      <w:szCs w:val="21"/>
                    </w:rPr>
                  </w:pPr>
                  <w:r>
                    <w:rPr>
                      <w:rFonts w:hint="eastAsia"/>
                      <w:szCs w:val="21"/>
                    </w:rPr>
                    <w:t>废水性漆桶</w:t>
                  </w:r>
                </w:p>
              </w:tc>
              <w:tc>
                <w:tcPr>
                  <w:tcW w:w="1508" w:type="pct"/>
                  <w:vAlign w:val="center"/>
                </w:tcPr>
                <w:p w14:paraId="52D217A8">
                  <w:pPr>
                    <w:jc w:val="center"/>
                    <w:rPr>
                      <w:szCs w:val="21"/>
                      <w:highlight w:val="yellow"/>
                    </w:rPr>
                  </w:pPr>
                  <w:r>
                    <w:rPr>
                      <w:rFonts w:hint="eastAsia"/>
                      <w:szCs w:val="21"/>
                    </w:rPr>
                    <w:t>3.75</w:t>
                  </w:r>
                </w:p>
              </w:tc>
              <w:tc>
                <w:tcPr>
                  <w:tcW w:w="1521" w:type="pct"/>
                  <w:vAlign w:val="center"/>
                </w:tcPr>
                <w:p w14:paraId="60E261F2">
                  <w:pPr>
                    <w:jc w:val="center"/>
                    <w:rPr>
                      <w:szCs w:val="21"/>
                    </w:rPr>
                  </w:pPr>
                  <w:r>
                    <w:rPr>
                      <w:rFonts w:hint="eastAsia"/>
                      <w:szCs w:val="21"/>
                    </w:rPr>
                    <w:t>交厂商回收利用</w:t>
                  </w:r>
                </w:p>
              </w:tc>
            </w:tr>
            <w:tr w14:paraId="1A45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587C71DA">
                  <w:pPr>
                    <w:jc w:val="center"/>
                    <w:rPr>
                      <w:szCs w:val="21"/>
                    </w:rPr>
                  </w:pPr>
                </w:p>
              </w:tc>
              <w:tc>
                <w:tcPr>
                  <w:tcW w:w="1487" w:type="pct"/>
                  <w:vAlign w:val="center"/>
                </w:tcPr>
                <w:p w14:paraId="3928AD29">
                  <w:pPr>
                    <w:jc w:val="center"/>
                    <w:rPr>
                      <w:szCs w:val="21"/>
                    </w:rPr>
                  </w:pPr>
                  <w:r>
                    <w:rPr>
                      <w:rFonts w:hint="eastAsia"/>
                      <w:szCs w:val="21"/>
                    </w:rPr>
                    <w:t>水性漆渣</w:t>
                  </w:r>
                </w:p>
              </w:tc>
              <w:tc>
                <w:tcPr>
                  <w:tcW w:w="1508" w:type="pct"/>
                  <w:vAlign w:val="center"/>
                </w:tcPr>
                <w:p w14:paraId="3BC8975C">
                  <w:pPr>
                    <w:jc w:val="center"/>
                    <w:rPr>
                      <w:szCs w:val="21"/>
                      <w:highlight w:val="yellow"/>
                    </w:rPr>
                  </w:pPr>
                  <w:r>
                    <w:rPr>
                      <w:rFonts w:hint="eastAsia"/>
                      <w:szCs w:val="21"/>
                    </w:rPr>
                    <w:t>5.4</w:t>
                  </w:r>
                </w:p>
              </w:tc>
              <w:tc>
                <w:tcPr>
                  <w:tcW w:w="1521" w:type="pct"/>
                  <w:vAlign w:val="center"/>
                </w:tcPr>
                <w:p w14:paraId="1963872E">
                  <w:pPr>
                    <w:jc w:val="center"/>
                    <w:rPr>
                      <w:szCs w:val="21"/>
                    </w:rPr>
                  </w:pPr>
                  <w:r>
                    <w:rPr>
                      <w:rFonts w:hint="eastAsia"/>
                      <w:szCs w:val="21"/>
                    </w:rPr>
                    <w:t>交工业固废处置单位处理</w:t>
                  </w:r>
                </w:p>
              </w:tc>
            </w:tr>
            <w:tr w14:paraId="6725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7EE25F77">
                  <w:pPr>
                    <w:jc w:val="center"/>
                    <w:rPr>
                      <w:szCs w:val="21"/>
                    </w:rPr>
                  </w:pPr>
                </w:p>
              </w:tc>
              <w:tc>
                <w:tcPr>
                  <w:tcW w:w="1487" w:type="pct"/>
                  <w:vAlign w:val="center"/>
                </w:tcPr>
                <w:p w14:paraId="4D75530A">
                  <w:pPr>
                    <w:jc w:val="center"/>
                    <w:rPr>
                      <w:szCs w:val="21"/>
                    </w:rPr>
                  </w:pPr>
                  <w:r>
                    <w:rPr>
                      <w:rFonts w:hint="eastAsia"/>
                      <w:szCs w:val="21"/>
                    </w:rPr>
                    <w:t>生活垃圾</w:t>
                  </w:r>
                </w:p>
              </w:tc>
              <w:tc>
                <w:tcPr>
                  <w:tcW w:w="1508" w:type="pct"/>
                  <w:vAlign w:val="center"/>
                </w:tcPr>
                <w:p w14:paraId="6B4706C4">
                  <w:pPr>
                    <w:jc w:val="center"/>
                    <w:rPr>
                      <w:szCs w:val="21"/>
                      <w:highlight w:val="yellow"/>
                    </w:rPr>
                  </w:pPr>
                  <w:r>
                    <w:rPr>
                      <w:rFonts w:hint="eastAsia"/>
                      <w:szCs w:val="21"/>
                    </w:rPr>
                    <w:t>12.6</w:t>
                  </w:r>
                </w:p>
              </w:tc>
              <w:tc>
                <w:tcPr>
                  <w:tcW w:w="1521" w:type="pct"/>
                  <w:vAlign w:val="center"/>
                </w:tcPr>
                <w:p w14:paraId="1EDB8910">
                  <w:pPr>
                    <w:jc w:val="center"/>
                    <w:rPr>
                      <w:szCs w:val="21"/>
                    </w:rPr>
                  </w:pPr>
                  <w:r>
                    <w:rPr>
                      <w:rFonts w:hint="eastAsia"/>
                      <w:szCs w:val="21"/>
                    </w:rPr>
                    <w:t>交由环卫部门清运处理</w:t>
                  </w:r>
                </w:p>
              </w:tc>
            </w:tr>
            <w:tr w14:paraId="781D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34433DBE">
                  <w:pPr>
                    <w:jc w:val="center"/>
                    <w:rPr>
                      <w:szCs w:val="21"/>
                    </w:rPr>
                  </w:pPr>
                </w:p>
              </w:tc>
              <w:tc>
                <w:tcPr>
                  <w:tcW w:w="1487" w:type="pct"/>
                  <w:vAlign w:val="center"/>
                </w:tcPr>
                <w:p w14:paraId="12A47CC4">
                  <w:pPr>
                    <w:jc w:val="center"/>
                    <w:rPr>
                      <w:szCs w:val="21"/>
                    </w:rPr>
                  </w:pPr>
                  <w:r>
                    <w:rPr>
                      <w:rFonts w:hint="eastAsia"/>
                      <w:szCs w:val="21"/>
                    </w:rPr>
                    <w:t>预处理池污泥</w:t>
                  </w:r>
                </w:p>
              </w:tc>
              <w:tc>
                <w:tcPr>
                  <w:tcW w:w="1508" w:type="pct"/>
                  <w:vAlign w:val="center"/>
                </w:tcPr>
                <w:p w14:paraId="4E9BED15">
                  <w:pPr>
                    <w:jc w:val="center"/>
                    <w:rPr>
                      <w:szCs w:val="21"/>
                    </w:rPr>
                  </w:pPr>
                  <w:r>
                    <w:rPr>
                      <w:rFonts w:hint="eastAsia"/>
                      <w:szCs w:val="21"/>
                    </w:rPr>
                    <w:t>0.3</w:t>
                  </w:r>
                </w:p>
              </w:tc>
              <w:tc>
                <w:tcPr>
                  <w:tcW w:w="1521" w:type="pct"/>
                  <w:vAlign w:val="center"/>
                </w:tcPr>
                <w:p w14:paraId="4EE31159">
                  <w:pPr>
                    <w:jc w:val="center"/>
                    <w:rPr>
                      <w:szCs w:val="21"/>
                    </w:rPr>
                  </w:pPr>
                  <w:r>
                    <w:rPr>
                      <w:rFonts w:hint="eastAsia"/>
                      <w:szCs w:val="21"/>
                    </w:rPr>
                    <w:t>交由环卫部门清掏处理</w:t>
                  </w:r>
                </w:p>
              </w:tc>
            </w:tr>
            <w:tr w14:paraId="0D91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1C9A0F7B">
                  <w:pPr>
                    <w:jc w:val="center"/>
                    <w:rPr>
                      <w:szCs w:val="21"/>
                    </w:rPr>
                  </w:pPr>
                </w:p>
              </w:tc>
              <w:tc>
                <w:tcPr>
                  <w:tcW w:w="1487" w:type="pct"/>
                  <w:vAlign w:val="center"/>
                </w:tcPr>
                <w:p w14:paraId="2CCAC81E">
                  <w:pPr>
                    <w:jc w:val="center"/>
                    <w:rPr>
                      <w:szCs w:val="21"/>
                    </w:rPr>
                  </w:pPr>
                  <w:r>
                    <w:rPr>
                      <w:rFonts w:hint="eastAsia"/>
                      <w:szCs w:val="21"/>
                    </w:rPr>
                    <w:t>餐厨垃圾</w:t>
                  </w:r>
                </w:p>
                <w:p w14:paraId="5D50B2D4">
                  <w:pPr>
                    <w:jc w:val="center"/>
                    <w:rPr>
                      <w:szCs w:val="21"/>
                    </w:rPr>
                  </w:pPr>
                  <w:r>
                    <w:rPr>
                      <w:rFonts w:hint="eastAsia"/>
                      <w:szCs w:val="21"/>
                    </w:rPr>
                    <w:t>（含隔油池浮油）</w:t>
                  </w:r>
                </w:p>
              </w:tc>
              <w:tc>
                <w:tcPr>
                  <w:tcW w:w="1508" w:type="pct"/>
                  <w:vAlign w:val="center"/>
                </w:tcPr>
                <w:p w14:paraId="43BBBBC5">
                  <w:pPr>
                    <w:jc w:val="center"/>
                    <w:rPr>
                      <w:szCs w:val="21"/>
                    </w:rPr>
                  </w:pPr>
                  <w:r>
                    <w:rPr>
                      <w:rFonts w:hint="eastAsia"/>
                      <w:szCs w:val="21"/>
                    </w:rPr>
                    <w:t>2.1</w:t>
                  </w:r>
                </w:p>
              </w:tc>
              <w:tc>
                <w:tcPr>
                  <w:tcW w:w="1521" w:type="pct"/>
                  <w:vAlign w:val="center"/>
                </w:tcPr>
                <w:p w14:paraId="141F3DC6">
                  <w:pPr>
                    <w:jc w:val="center"/>
                    <w:rPr>
                      <w:szCs w:val="21"/>
                    </w:rPr>
                  </w:pPr>
                  <w:r>
                    <w:rPr>
                      <w:rFonts w:hint="eastAsia"/>
                      <w:szCs w:val="21"/>
                    </w:rPr>
                    <w:t>交由餐厨垃圾处置单位清运处理</w:t>
                  </w:r>
                </w:p>
              </w:tc>
            </w:tr>
            <w:tr w14:paraId="6E1BB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restart"/>
                  <w:vAlign w:val="center"/>
                </w:tcPr>
                <w:p w14:paraId="25D410CE">
                  <w:pPr>
                    <w:jc w:val="center"/>
                    <w:rPr>
                      <w:szCs w:val="21"/>
                    </w:rPr>
                  </w:pPr>
                  <w:r>
                    <w:rPr>
                      <w:szCs w:val="21"/>
                    </w:rPr>
                    <w:t>危险废物</w:t>
                  </w:r>
                </w:p>
              </w:tc>
              <w:tc>
                <w:tcPr>
                  <w:tcW w:w="1487" w:type="pct"/>
                  <w:vAlign w:val="center"/>
                </w:tcPr>
                <w:p w14:paraId="5395769E">
                  <w:pPr>
                    <w:jc w:val="center"/>
                    <w:rPr>
                      <w:szCs w:val="21"/>
                    </w:rPr>
                  </w:pPr>
                  <w:r>
                    <w:rPr>
                      <w:rFonts w:hint="eastAsia"/>
                      <w:szCs w:val="21"/>
                    </w:rPr>
                    <w:t>废机油及油桶</w:t>
                  </w:r>
                </w:p>
              </w:tc>
              <w:tc>
                <w:tcPr>
                  <w:tcW w:w="1508" w:type="pct"/>
                  <w:vAlign w:val="center"/>
                </w:tcPr>
                <w:p w14:paraId="65EDE60E">
                  <w:pPr>
                    <w:jc w:val="center"/>
                    <w:rPr>
                      <w:szCs w:val="21"/>
                    </w:rPr>
                  </w:pPr>
                  <w:r>
                    <w:rPr>
                      <w:rFonts w:hint="eastAsia"/>
                      <w:szCs w:val="21"/>
                    </w:rPr>
                    <w:t>0.1</w:t>
                  </w:r>
                </w:p>
              </w:tc>
              <w:tc>
                <w:tcPr>
                  <w:tcW w:w="1521" w:type="pct"/>
                  <w:vMerge w:val="restart"/>
                  <w:vAlign w:val="center"/>
                </w:tcPr>
                <w:p w14:paraId="729F8E1C">
                  <w:pPr>
                    <w:jc w:val="center"/>
                    <w:rPr>
                      <w:szCs w:val="21"/>
                    </w:rPr>
                  </w:pPr>
                  <w:r>
                    <w:rPr>
                      <w:rFonts w:hint="eastAsia"/>
                      <w:szCs w:val="21"/>
                    </w:rPr>
                    <w:t>经分类收集后暂存于危废暂存间，定期交由有资质单位清运处置</w:t>
                  </w:r>
                </w:p>
              </w:tc>
            </w:tr>
            <w:tr w14:paraId="1783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397B8CDD">
                  <w:pPr>
                    <w:jc w:val="center"/>
                    <w:rPr>
                      <w:szCs w:val="21"/>
                    </w:rPr>
                  </w:pPr>
                </w:p>
              </w:tc>
              <w:tc>
                <w:tcPr>
                  <w:tcW w:w="1487" w:type="pct"/>
                  <w:vAlign w:val="center"/>
                </w:tcPr>
                <w:p w14:paraId="53D7CBBB">
                  <w:pPr>
                    <w:jc w:val="center"/>
                    <w:rPr>
                      <w:szCs w:val="21"/>
                    </w:rPr>
                  </w:pPr>
                  <w:r>
                    <w:rPr>
                      <w:rFonts w:hint="eastAsia"/>
                      <w:szCs w:val="21"/>
                    </w:rPr>
                    <w:t>废油性漆桶</w:t>
                  </w:r>
                </w:p>
              </w:tc>
              <w:tc>
                <w:tcPr>
                  <w:tcW w:w="1508" w:type="pct"/>
                  <w:vAlign w:val="center"/>
                </w:tcPr>
                <w:p w14:paraId="26F7663F">
                  <w:pPr>
                    <w:jc w:val="center"/>
                    <w:rPr>
                      <w:szCs w:val="21"/>
                    </w:rPr>
                  </w:pPr>
                  <w:r>
                    <w:rPr>
                      <w:rFonts w:hint="eastAsia"/>
                      <w:szCs w:val="21"/>
                    </w:rPr>
                    <w:t>0.82</w:t>
                  </w:r>
                </w:p>
              </w:tc>
              <w:tc>
                <w:tcPr>
                  <w:tcW w:w="1521" w:type="pct"/>
                  <w:vMerge w:val="continue"/>
                  <w:vAlign w:val="center"/>
                </w:tcPr>
                <w:p w14:paraId="7C1A4983">
                  <w:pPr>
                    <w:jc w:val="center"/>
                    <w:rPr>
                      <w:szCs w:val="21"/>
                    </w:rPr>
                  </w:pPr>
                </w:p>
              </w:tc>
            </w:tr>
            <w:tr w14:paraId="1372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1CF59130">
                  <w:pPr>
                    <w:jc w:val="center"/>
                    <w:rPr>
                      <w:szCs w:val="21"/>
                    </w:rPr>
                  </w:pPr>
                </w:p>
              </w:tc>
              <w:tc>
                <w:tcPr>
                  <w:tcW w:w="1487" w:type="pct"/>
                  <w:vAlign w:val="center"/>
                </w:tcPr>
                <w:p w14:paraId="13CF8DF2">
                  <w:pPr>
                    <w:jc w:val="center"/>
                    <w:rPr>
                      <w:szCs w:val="21"/>
                    </w:rPr>
                  </w:pPr>
                  <w:r>
                    <w:rPr>
                      <w:rFonts w:hint="eastAsia"/>
                      <w:szCs w:val="21"/>
                    </w:rPr>
                    <w:t>油性漆渣</w:t>
                  </w:r>
                </w:p>
              </w:tc>
              <w:tc>
                <w:tcPr>
                  <w:tcW w:w="1508" w:type="pct"/>
                  <w:vAlign w:val="center"/>
                </w:tcPr>
                <w:p w14:paraId="3D89F365">
                  <w:pPr>
                    <w:jc w:val="center"/>
                    <w:rPr>
                      <w:szCs w:val="21"/>
                    </w:rPr>
                  </w:pPr>
                  <w:r>
                    <w:rPr>
                      <w:rFonts w:hint="eastAsia"/>
                      <w:szCs w:val="21"/>
                    </w:rPr>
                    <w:t>3.7</w:t>
                  </w:r>
                </w:p>
              </w:tc>
              <w:tc>
                <w:tcPr>
                  <w:tcW w:w="1521" w:type="pct"/>
                  <w:vMerge w:val="continue"/>
                  <w:vAlign w:val="center"/>
                </w:tcPr>
                <w:p w14:paraId="704B4A6C">
                  <w:pPr>
                    <w:jc w:val="center"/>
                    <w:rPr>
                      <w:szCs w:val="21"/>
                    </w:rPr>
                  </w:pPr>
                </w:p>
              </w:tc>
            </w:tr>
            <w:tr w14:paraId="081A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186DBFAF">
                  <w:pPr>
                    <w:jc w:val="center"/>
                    <w:rPr>
                      <w:szCs w:val="21"/>
                    </w:rPr>
                  </w:pPr>
                </w:p>
              </w:tc>
              <w:tc>
                <w:tcPr>
                  <w:tcW w:w="1487" w:type="pct"/>
                  <w:vAlign w:val="center"/>
                </w:tcPr>
                <w:p w14:paraId="455F578B">
                  <w:pPr>
                    <w:jc w:val="center"/>
                    <w:rPr>
                      <w:szCs w:val="21"/>
                    </w:rPr>
                  </w:pPr>
                  <w:r>
                    <w:rPr>
                      <w:rFonts w:hint="eastAsia"/>
                      <w:szCs w:val="21"/>
                    </w:rPr>
                    <w:t>废抹布</w:t>
                  </w:r>
                </w:p>
              </w:tc>
              <w:tc>
                <w:tcPr>
                  <w:tcW w:w="1508" w:type="pct"/>
                  <w:vAlign w:val="center"/>
                </w:tcPr>
                <w:p w14:paraId="75AE4775">
                  <w:pPr>
                    <w:jc w:val="center"/>
                    <w:rPr>
                      <w:szCs w:val="21"/>
                    </w:rPr>
                  </w:pPr>
                  <w:r>
                    <w:rPr>
                      <w:rFonts w:hint="eastAsia"/>
                      <w:szCs w:val="21"/>
                    </w:rPr>
                    <w:t>0.2</w:t>
                  </w:r>
                </w:p>
              </w:tc>
              <w:tc>
                <w:tcPr>
                  <w:tcW w:w="1521" w:type="pct"/>
                  <w:vMerge w:val="continue"/>
                  <w:vAlign w:val="center"/>
                </w:tcPr>
                <w:p w14:paraId="39F85D26">
                  <w:pPr>
                    <w:jc w:val="center"/>
                    <w:rPr>
                      <w:szCs w:val="21"/>
                    </w:rPr>
                  </w:pPr>
                </w:p>
              </w:tc>
            </w:tr>
            <w:tr w14:paraId="210E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4" w:type="pct"/>
                  <w:vMerge w:val="continue"/>
                  <w:vAlign w:val="center"/>
                </w:tcPr>
                <w:p w14:paraId="04601387">
                  <w:pPr>
                    <w:jc w:val="center"/>
                    <w:rPr>
                      <w:szCs w:val="21"/>
                    </w:rPr>
                  </w:pPr>
                </w:p>
              </w:tc>
              <w:tc>
                <w:tcPr>
                  <w:tcW w:w="1487" w:type="pct"/>
                  <w:vAlign w:val="center"/>
                </w:tcPr>
                <w:p w14:paraId="74D9CA80">
                  <w:pPr>
                    <w:jc w:val="center"/>
                    <w:rPr>
                      <w:szCs w:val="21"/>
                    </w:rPr>
                  </w:pPr>
                  <w:r>
                    <w:rPr>
                      <w:rFonts w:hint="eastAsia"/>
                      <w:szCs w:val="21"/>
                    </w:rPr>
                    <w:t>废过滤棉</w:t>
                  </w:r>
                </w:p>
              </w:tc>
              <w:tc>
                <w:tcPr>
                  <w:tcW w:w="1508" w:type="pct"/>
                  <w:vAlign w:val="center"/>
                </w:tcPr>
                <w:p w14:paraId="623A93FF">
                  <w:pPr>
                    <w:jc w:val="center"/>
                    <w:rPr>
                      <w:szCs w:val="21"/>
                    </w:rPr>
                  </w:pPr>
                  <w:r>
                    <w:rPr>
                      <w:rFonts w:hint="eastAsia"/>
                      <w:szCs w:val="21"/>
                    </w:rPr>
                    <w:t>3.184</w:t>
                  </w:r>
                </w:p>
              </w:tc>
              <w:tc>
                <w:tcPr>
                  <w:tcW w:w="1521" w:type="pct"/>
                  <w:vMerge w:val="continue"/>
                  <w:vAlign w:val="center"/>
                </w:tcPr>
                <w:p w14:paraId="7C4C9572">
                  <w:pPr>
                    <w:jc w:val="center"/>
                    <w:rPr>
                      <w:szCs w:val="21"/>
                    </w:rPr>
                  </w:pPr>
                </w:p>
              </w:tc>
            </w:tr>
            <w:tr w14:paraId="6645C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6E3DF0DB">
                  <w:pPr>
                    <w:jc w:val="center"/>
                    <w:rPr>
                      <w:szCs w:val="21"/>
                    </w:rPr>
                  </w:pPr>
                </w:p>
              </w:tc>
              <w:tc>
                <w:tcPr>
                  <w:tcW w:w="1487" w:type="pct"/>
                  <w:vAlign w:val="center"/>
                </w:tcPr>
                <w:p w14:paraId="594DE151">
                  <w:pPr>
                    <w:jc w:val="center"/>
                    <w:rPr>
                      <w:szCs w:val="21"/>
                    </w:rPr>
                  </w:pPr>
                  <w:r>
                    <w:rPr>
                      <w:rFonts w:hint="eastAsia"/>
                      <w:szCs w:val="21"/>
                    </w:rPr>
                    <w:t>废UV灯管</w:t>
                  </w:r>
                </w:p>
              </w:tc>
              <w:tc>
                <w:tcPr>
                  <w:tcW w:w="1508" w:type="pct"/>
                  <w:vAlign w:val="center"/>
                </w:tcPr>
                <w:p w14:paraId="1BC9BFAA">
                  <w:pPr>
                    <w:jc w:val="center"/>
                    <w:rPr>
                      <w:szCs w:val="21"/>
                    </w:rPr>
                  </w:pPr>
                  <w:r>
                    <w:rPr>
                      <w:rFonts w:hint="eastAsia"/>
                      <w:szCs w:val="21"/>
                    </w:rPr>
                    <w:t>0.2</w:t>
                  </w:r>
                </w:p>
              </w:tc>
              <w:tc>
                <w:tcPr>
                  <w:tcW w:w="1521" w:type="pct"/>
                  <w:vMerge w:val="continue"/>
                  <w:vAlign w:val="center"/>
                </w:tcPr>
                <w:p w14:paraId="25CA8B11">
                  <w:pPr>
                    <w:jc w:val="center"/>
                    <w:rPr>
                      <w:szCs w:val="21"/>
                    </w:rPr>
                  </w:pPr>
                </w:p>
              </w:tc>
            </w:tr>
            <w:tr w14:paraId="63BE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65137606">
                  <w:pPr>
                    <w:jc w:val="center"/>
                    <w:rPr>
                      <w:szCs w:val="21"/>
                    </w:rPr>
                  </w:pPr>
                </w:p>
              </w:tc>
              <w:tc>
                <w:tcPr>
                  <w:tcW w:w="1487" w:type="pct"/>
                  <w:vAlign w:val="center"/>
                </w:tcPr>
                <w:p w14:paraId="36A3A1FE">
                  <w:pPr>
                    <w:jc w:val="center"/>
                    <w:rPr>
                      <w:szCs w:val="21"/>
                    </w:rPr>
                  </w:pPr>
                  <w:r>
                    <w:rPr>
                      <w:rFonts w:hint="eastAsia"/>
                      <w:szCs w:val="21"/>
                    </w:rPr>
                    <w:t>废催化剂</w:t>
                  </w:r>
                </w:p>
              </w:tc>
              <w:tc>
                <w:tcPr>
                  <w:tcW w:w="1508" w:type="pct"/>
                  <w:vAlign w:val="center"/>
                </w:tcPr>
                <w:p w14:paraId="3E8A50A2">
                  <w:pPr>
                    <w:jc w:val="center"/>
                    <w:rPr>
                      <w:szCs w:val="21"/>
                    </w:rPr>
                  </w:pPr>
                  <w:r>
                    <w:rPr>
                      <w:rFonts w:hint="eastAsia"/>
                      <w:szCs w:val="21"/>
                    </w:rPr>
                    <w:t>0.3（3a）</w:t>
                  </w:r>
                </w:p>
              </w:tc>
              <w:tc>
                <w:tcPr>
                  <w:tcW w:w="1521" w:type="pct"/>
                  <w:vMerge w:val="continue"/>
                  <w:vAlign w:val="center"/>
                </w:tcPr>
                <w:p w14:paraId="5B443C01">
                  <w:pPr>
                    <w:jc w:val="center"/>
                    <w:rPr>
                      <w:szCs w:val="21"/>
                    </w:rPr>
                  </w:pPr>
                </w:p>
              </w:tc>
            </w:tr>
            <w:tr w14:paraId="33AE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29EC5B9C">
                  <w:pPr>
                    <w:jc w:val="center"/>
                    <w:rPr>
                      <w:szCs w:val="21"/>
                    </w:rPr>
                  </w:pPr>
                </w:p>
              </w:tc>
              <w:tc>
                <w:tcPr>
                  <w:tcW w:w="1487" w:type="pct"/>
                  <w:vAlign w:val="center"/>
                </w:tcPr>
                <w:p w14:paraId="6B834098">
                  <w:pPr>
                    <w:jc w:val="center"/>
                    <w:rPr>
                      <w:szCs w:val="21"/>
                    </w:rPr>
                  </w:pPr>
                  <w:r>
                    <w:rPr>
                      <w:rFonts w:hint="eastAsia"/>
                      <w:szCs w:val="21"/>
                    </w:rPr>
                    <w:t>废活性炭</w:t>
                  </w:r>
                </w:p>
              </w:tc>
              <w:tc>
                <w:tcPr>
                  <w:tcW w:w="1508" w:type="pct"/>
                  <w:vAlign w:val="center"/>
                </w:tcPr>
                <w:p w14:paraId="2551E7A7">
                  <w:pPr>
                    <w:jc w:val="center"/>
                    <w:rPr>
                      <w:szCs w:val="21"/>
                    </w:rPr>
                  </w:pPr>
                  <w:r>
                    <w:rPr>
                      <w:rFonts w:hint="eastAsia"/>
                      <w:szCs w:val="21"/>
                    </w:rPr>
                    <w:t>41.81</w:t>
                  </w:r>
                </w:p>
              </w:tc>
              <w:tc>
                <w:tcPr>
                  <w:tcW w:w="1521" w:type="pct"/>
                  <w:vMerge w:val="continue"/>
                  <w:vAlign w:val="center"/>
                </w:tcPr>
                <w:p w14:paraId="5230C2D1">
                  <w:pPr>
                    <w:jc w:val="center"/>
                    <w:rPr>
                      <w:szCs w:val="21"/>
                    </w:rPr>
                  </w:pPr>
                </w:p>
              </w:tc>
            </w:tr>
            <w:tr w14:paraId="3FAD6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6EE9DED4">
                  <w:pPr>
                    <w:jc w:val="center"/>
                    <w:rPr>
                      <w:szCs w:val="21"/>
                    </w:rPr>
                  </w:pPr>
                </w:p>
              </w:tc>
              <w:tc>
                <w:tcPr>
                  <w:tcW w:w="1487" w:type="pct"/>
                  <w:vAlign w:val="center"/>
                </w:tcPr>
                <w:p w14:paraId="1D167077">
                  <w:pPr>
                    <w:jc w:val="center"/>
                    <w:rPr>
                      <w:szCs w:val="21"/>
                    </w:rPr>
                  </w:pPr>
                  <w:r>
                    <w:rPr>
                      <w:rFonts w:hint="eastAsia"/>
                      <w:szCs w:val="21"/>
                    </w:rPr>
                    <w:t>废稀释剂清洗液</w:t>
                  </w:r>
                </w:p>
              </w:tc>
              <w:tc>
                <w:tcPr>
                  <w:tcW w:w="1508" w:type="pct"/>
                  <w:vAlign w:val="center"/>
                </w:tcPr>
                <w:p w14:paraId="00E54C0B">
                  <w:pPr>
                    <w:jc w:val="center"/>
                    <w:rPr>
                      <w:szCs w:val="21"/>
                    </w:rPr>
                  </w:pPr>
                  <w:r>
                    <w:rPr>
                      <w:rFonts w:hint="eastAsia"/>
                      <w:szCs w:val="21"/>
                    </w:rPr>
                    <w:t>0.09</w:t>
                  </w:r>
                </w:p>
              </w:tc>
              <w:tc>
                <w:tcPr>
                  <w:tcW w:w="1521" w:type="pct"/>
                  <w:vMerge w:val="continue"/>
                  <w:vAlign w:val="center"/>
                </w:tcPr>
                <w:p w14:paraId="77A2E80E">
                  <w:pPr>
                    <w:jc w:val="center"/>
                    <w:rPr>
                      <w:szCs w:val="21"/>
                    </w:rPr>
                  </w:pPr>
                </w:p>
              </w:tc>
            </w:tr>
            <w:tr w14:paraId="1A62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 w:type="pct"/>
                  <w:vMerge w:val="continue"/>
                  <w:vAlign w:val="center"/>
                </w:tcPr>
                <w:p w14:paraId="209D00A5">
                  <w:pPr>
                    <w:jc w:val="center"/>
                    <w:rPr>
                      <w:szCs w:val="21"/>
                    </w:rPr>
                  </w:pPr>
                </w:p>
              </w:tc>
              <w:tc>
                <w:tcPr>
                  <w:tcW w:w="1487" w:type="pct"/>
                  <w:vAlign w:val="center"/>
                </w:tcPr>
                <w:p w14:paraId="422E7057">
                  <w:pPr>
                    <w:jc w:val="center"/>
                    <w:rPr>
                      <w:szCs w:val="21"/>
                    </w:rPr>
                  </w:pPr>
                  <w:r>
                    <w:rPr>
                      <w:rFonts w:hint="eastAsia"/>
                      <w:szCs w:val="21"/>
                    </w:rPr>
                    <w:t>水帘更换废水</w:t>
                  </w:r>
                </w:p>
              </w:tc>
              <w:tc>
                <w:tcPr>
                  <w:tcW w:w="1508" w:type="pct"/>
                  <w:vAlign w:val="center"/>
                </w:tcPr>
                <w:p w14:paraId="0A988E81">
                  <w:pPr>
                    <w:jc w:val="center"/>
                    <w:rPr>
                      <w:szCs w:val="21"/>
                    </w:rPr>
                  </w:pPr>
                  <w:r>
                    <w:rPr>
                      <w:rFonts w:hint="eastAsia"/>
                      <w:szCs w:val="21"/>
                    </w:rPr>
                    <w:t>2</w:t>
                  </w:r>
                </w:p>
              </w:tc>
              <w:tc>
                <w:tcPr>
                  <w:tcW w:w="1521" w:type="pct"/>
                  <w:vMerge w:val="continue"/>
                  <w:vAlign w:val="center"/>
                </w:tcPr>
                <w:p w14:paraId="199F96A0">
                  <w:pPr>
                    <w:jc w:val="center"/>
                    <w:rPr>
                      <w:szCs w:val="21"/>
                    </w:rPr>
                  </w:pPr>
                </w:p>
              </w:tc>
            </w:tr>
          </w:tbl>
          <w:p w14:paraId="680E0025">
            <w:pPr>
              <w:spacing w:line="360" w:lineRule="auto"/>
              <w:ind w:firstLine="482" w:firstLineChars="200"/>
              <w:rPr>
                <w:b/>
                <w:sz w:val="24"/>
              </w:rPr>
            </w:pPr>
            <w:r>
              <w:rPr>
                <w:b/>
                <w:sz w:val="24"/>
              </w:rPr>
              <w:t>5</w:t>
            </w:r>
            <w:r>
              <w:rPr>
                <w:rFonts w:hint="eastAsia"/>
                <w:b/>
                <w:sz w:val="24"/>
              </w:rPr>
              <w:t>、主要环境问题及“以新带老”措施</w:t>
            </w:r>
          </w:p>
          <w:p w14:paraId="3EB797F6">
            <w:pPr>
              <w:spacing w:line="360" w:lineRule="auto"/>
              <w:ind w:firstLine="480" w:firstLineChars="200"/>
              <w:rPr>
                <w:sz w:val="24"/>
                <w:szCs w:val="24"/>
              </w:rPr>
            </w:pPr>
            <w:r>
              <w:rPr>
                <w:rFonts w:hint="eastAsia" w:cs="Times New Roman"/>
                <w:sz w:val="24"/>
                <w:szCs w:val="24"/>
              </w:rPr>
              <w:t>根据现场调查和建设单位提供的资料，</w:t>
            </w:r>
            <w:r>
              <w:rPr>
                <w:rFonts w:hint="eastAsia" w:cs="Times New Roman"/>
                <w:b/>
                <w:sz w:val="24"/>
                <w:szCs w:val="24"/>
              </w:rPr>
              <w:t>现有工程运营期间未发生过环境污染事故，也未接到环保相关投诉。</w:t>
            </w:r>
            <w:r>
              <w:rPr>
                <w:rFonts w:hint="eastAsia" w:cs="Times New Roman"/>
                <w:sz w:val="24"/>
                <w:szCs w:val="24"/>
              </w:rPr>
              <w:t>经调查分析，</w:t>
            </w:r>
            <w:r>
              <w:rPr>
                <w:rFonts w:hint="eastAsia"/>
                <w:sz w:val="24"/>
                <w:szCs w:val="24"/>
              </w:rPr>
              <w:t>现有工程各项污染物均实现达标排放，固体废物得到有效处置，不存在遗留环境问题。</w:t>
            </w:r>
          </w:p>
          <w:p w14:paraId="481D68E0">
            <w:pPr>
              <w:spacing w:line="360" w:lineRule="auto"/>
              <w:ind w:firstLine="480" w:firstLineChars="200"/>
              <w:rPr>
                <w:rFonts w:cs="Times New Roman"/>
                <w:sz w:val="24"/>
                <w:szCs w:val="24"/>
              </w:rPr>
            </w:pPr>
          </w:p>
        </w:tc>
      </w:tr>
    </w:tbl>
    <w:p w14:paraId="4F0AE990">
      <w:pPr>
        <w:pStyle w:val="40"/>
        <w:jc w:val="center"/>
        <w:rPr>
          <w:rFonts w:hint="eastAsia" w:ascii="黑体" w:hAnsi="黑体" w:eastAsia="黑体"/>
          <w:b w:val="0"/>
          <w:sz w:val="30"/>
          <w:szCs w:val="30"/>
        </w:rPr>
        <w:sectPr>
          <w:pgSz w:w="11906" w:h="16838"/>
          <w:pgMar w:top="1134" w:right="1134" w:bottom="1134" w:left="1134" w:header="851" w:footer="992" w:gutter="0"/>
          <w:cols w:space="720" w:num="1"/>
          <w:docGrid w:type="lines" w:linePitch="312" w:charSpace="0"/>
        </w:sectPr>
      </w:pPr>
    </w:p>
    <w:p w14:paraId="6C0A80F6">
      <w:pPr>
        <w:pStyle w:val="40"/>
        <w:jc w:val="center"/>
        <w:rPr>
          <w:rFonts w:hint="eastAsia" w:ascii="黑体" w:hAnsi="黑体" w:eastAsia="黑体"/>
          <w:b w:val="0"/>
          <w:sz w:val="30"/>
          <w:szCs w:val="30"/>
        </w:rPr>
      </w:pPr>
      <w:bookmarkStart w:id="5" w:name="_Toc97040275"/>
      <w:r>
        <w:rPr>
          <w:rFonts w:hint="eastAsia" w:ascii="黑体" w:hAnsi="黑体" w:eastAsia="黑体"/>
          <w:b w:val="0"/>
          <w:sz w:val="30"/>
          <w:szCs w:val="30"/>
        </w:rPr>
        <w:t>三、区域环境质量现状、环境保护目标及评价标准</w:t>
      </w:r>
      <w:bookmarkEnd w:id="5"/>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14:paraId="4F2B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6A0255B3">
            <w:pPr>
              <w:spacing w:line="360" w:lineRule="auto"/>
              <w:jc w:val="center"/>
              <w:rPr>
                <w:rFonts w:cs="Times New Roman"/>
                <w:sz w:val="24"/>
                <w:szCs w:val="24"/>
              </w:rPr>
            </w:pPr>
            <w:r>
              <w:rPr>
                <w:rFonts w:hint="eastAsia" w:cs="Times New Roman"/>
                <w:sz w:val="24"/>
                <w:szCs w:val="24"/>
              </w:rPr>
              <w:t>区域环境质量现状</w:t>
            </w:r>
          </w:p>
        </w:tc>
        <w:tc>
          <w:tcPr>
            <w:tcW w:w="4756" w:type="pct"/>
            <w:vAlign w:val="center"/>
          </w:tcPr>
          <w:p w14:paraId="769EA970">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、大气环境质量现状</w:t>
            </w:r>
          </w:p>
          <w:p w14:paraId="3FD71FBB">
            <w:pPr>
              <w:spacing w:line="360" w:lineRule="auto"/>
              <w:ind w:firstLine="480" w:firstLineChars="200"/>
              <w:rPr>
                <w:rFonts w:cs="Times New Roman"/>
                <w:i/>
                <w:sz w:val="24"/>
                <w:szCs w:val="24"/>
              </w:rPr>
            </w:pPr>
            <w:r>
              <w:rPr>
                <w:rFonts w:hint="eastAsia" w:cs="Times New Roman"/>
                <w:sz w:val="24"/>
                <w:szCs w:val="24"/>
              </w:rPr>
              <w:t>本项目位于四川省遂宁市大英县蓬莱镇采和大道261号附1号，为了解区域环境空气质量现状，根据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sz w:val="24"/>
                <w:szCs w:val="24"/>
              </w:rPr>
              <w:t>常规污染物引用与建设项目距离近的有效数据，包括近3年的规划环境影响评价的监测数据，国家、地方空气质量监测网数据或生态环境主管部门公开发布的质量数据等。排放国家、地方环境空气质量标准中有标准限值要求的特征污染物时，引用建设项目周边5千米范围内近3年的现有监测数据</w:t>
            </w:r>
            <w:r>
              <w:rPr>
                <w:rFonts w:hint="eastAsia" w:cs="Times New Roman"/>
                <w:sz w:val="24"/>
                <w:szCs w:val="24"/>
              </w:rPr>
              <w:t>”的规定，本次环评常规污染物采用《遂宁市污染防治攻坚战领导小组办公室关于2023年12月全市地表水和环境空气质量排名情况的通报》（遂污防攻坚办〔2024〕4号）的数据，其他污染物引用四川省天晟源环保股份有限公司</w:t>
            </w:r>
            <w:r>
              <w:rPr>
                <w:rFonts w:cs="Times New Roman"/>
                <w:sz w:val="24"/>
                <w:szCs w:val="24"/>
              </w:rPr>
              <w:t>于</w:t>
            </w:r>
            <w:r>
              <w:rPr>
                <w:rFonts w:hint="eastAsia" w:cs="Times New Roman"/>
                <w:sz w:val="24"/>
                <w:szCs w:val="24"/>
              </w:rPr>
              <w:t>2023年4月22日~28日对四川之江高新材料股份有限公司先进材料项目的监测资料。</w:t>
            </w:r>
          </w:p>
          <w:p w14:paraId="3AE90E18">
            <w:pPr>
              <w:spacing w:line="360" w:lineRule="auto"/>
              <w:ind w:firstLine="482" w:firstLineChars="200"/>
              <w:rPr>
                <w:b/>
                <w:kern w:val="24"/>
                <w:sz w:val="24"/>
                <w:szCs w:val="24"/>
              </w:rPr>
            </w:pPr>
            <w:r>
              <w:rPr>
                <w:rFonts w:hint="eastAsia"/>
                <w:b/>
                <w:kern w:val="24"/>
                <w:sz w:val="24"/>
                <w:szCs w:val="24"/>
              </w:rPr>
              <w:t>（</w:t>
            </w:r>
            <w:r>
              <w:rPr>
                <w:b/>
                <w:kern w:val="24"/>
                <w:sz w:val="24"/>
                <w:szCs w:val="24"/>
              </w:rPr>
              <w:t>1</w:t>
            </w:r>
            <w:r>
              <w:rPr>
                <w:rFonts w:hint="eastAsia"/>
                <w:b/>
                <w:kern w:val="24"/>
                <w:sz w:val="24"/>
                <w:szCs w:val="24"/>
              </w:rPr>
              <w:t>）基本污染物现状评价</w:t>
            </w:r>
          </w:p>
          <w:p w14:paraId="215CDE84">
            <w:pPr>
              <w:spacing w:line="360" w:lineRule="auto"/>
              <w:ind w:firstLine="480" w:firstLineChars="200"/>
              <w:rPr>
                <w:rFonts w:cs="Times New Roman"/>
                <w:sz w:val="24"/>
                <w:szCs w:val="24"/>
              </w:rPr>
            </w:pPr>
            <w:r>
              <w:rPr>
                <w:rFonts w:cs="Times New Roman"/>
                <w:sz w:val="24"/>
                <w:szCs w:val="24"/>
              </w:rPr>
              <w:t>根据</w:t>
            </w:r>
            <w:r>
              <w:rPr>
                <w:rFonts w:hint="eastAsia" w:cs="Times New Roman"/>
                <w:sz w:val="24"/>
                <w:szCs w:val="24"/>
              </w:rPr>
              <w:t>《遂宁市污染防治攻坚战领导小组办公室关于2023年12月全市地表水和环境空气质量排名情况的通报》（遂污防攻坚办〔2024〕4号），大英县2023年度1-12月环境空气质量优良天数率为91.5%，主要污染物PM</w:t>
            </w:r>
            <w:r>
              <w:rPr>
                <w:rFonts w:hint="eastAsia" w:cs="Times New Roman"/>
                <w:sz w:val="24"/>
                <w:szCs w:val="24"/>
                <w:vertAlign w:val="subscript"/>
              </w:rPr>
              <w:t>2.5</w:t>
            </w:r>
            <w:r>
              <w:rPr>
                <w:rFonts w:hint="eastAsia" w:cs="Times New Roman"/>
                <w:sz w:val="24"/>
                <w:szCs w:val="24"/>
              </w:rPr>
              <w:t>、PM</w:t>
            </w:r>
            <w:r>
              <w:rPr>
                <w:rFonts w:hint="eastAsia" w:cs="Times New Roman"/>
                <w:sz w:val="24"/>
                <w:szCs w:val="24"/>
                <w:vertAlign w:val="subscript"/>
              </w:rPr>
              <w:t>10</w:t>
            </w:r>
            <w:r>
              <w:rPr>
                <w:rFonts w:hint="eastAsia" w:cs="Times New Roman"/>
                <w:sz w:val="24"/>
                <w:szCs w:val="24"/>
              </w:rPr>
              <w:t>、SO</w:t>
            </w:r>
            <w:r>
              <w:rPr>
                <w:rFonts w:hint="eastAsia" w:cs="Times New Roman"/>
                <w:sz w:val="24"/>
                <w:szCs w:val="24"/>
                <w:vertAlign w:val="subscript"/>
              </w:rPr>
              <w:t>2</w:t>
            </w:r>
            <w:r>
              <w:rPr>
                <w:rFonts w:hint="eastAsia" w:cs="Times New Roman"/>
                <w:sz w:val="24"/>
                <w:szCs w:val="24"/>
              </w:rPr>
              <w:t>、NO</w:t>
            </w:r>
            <w:r>
              <w:rPr>
                <w:rFonts w:hint="eastAsia" w:cs="Times New Roman"/>
                <w:sz w:val="24"/>
                <w:szCs w:val="24"/>
                <w:vertAlign w:val="subscript"/>
              </w:rPr>
              <w:t>2</w:t>
            </w:r>
            <w:r>
              <w:rPr>
                <w:rFonts w:hint="eastAsia" w:cs="Times New Roman"/>
                <w:sz w:val="24"/>
                <w:szCs w:val="24"/>
              </w:rPr>
              <w:t>、O</w:t>
            </w:r>
            <w:r>
              <w:rPr>
                <w:rFonts w:hint="eastAsia" w:cs="Times New Roman"/>
                <w:sz w:val="24"/>
                <w:szCs w:val="24"/>
                <w:vertAlign w:val="subscript"/>
              </w:rPr>
              <w:t>3</w:t>
            </w:r>
            <w:r>
              <w:rPr>
                <w:rFonts w:hint="eastAsia" w:cs="Times New Roman"/>
                <w:sz w:val="24"/>
                <w:szCs w:val="24"/>
              </w:rPr>
              <w:t>和CO的年均值分别为25.8微克/立方米、39.8微克/立方米、5.6微克/立方米、13.4微克/立方米、141.2毫克/立方米和1.0微克/立方米。同比PM</w:t>
            </w:r>
            <w:r>
              <w:rPr>
                <w:rFonts w:hint="eastAsia" w:cs="Times New Roman"/>
                <w:sz w:val="24"/>
                <w:szCs w:val="24"/>
                <w:vertAlign w:val="subscript"/>
              </w:rPr>
              <w:t>2.5</w:t>
            </w:r>
            <w:r>
              <w:rPr>
                <w:rFonts w:hint="eastAsia" w:cs="Times New Roman"/>
                <w:sz w:val="24"/>
                <w:szCs w:val="24"/>
              </w:rPr>
              <w:t>、PM</w:t>
            </w:r>
            <w:r>
              <w:rPr>
                <w:rFonts w:hint="eastAsia" w:cs="Times New Roman"/>
                <w:sz w:val="24"/>
                <w:szCs w:val="24"/>
                <w:vertAlign w:val="subscript"/>
              </w:rPr>
              <w:t>10</w:t>
            </w:r>
            <w:r>
              <w:rPr>
                <w:rFonts w:hint="eastAsia" w:cs="Times New Roman"/>
                <w:sz w:val="24"/>
                <w:szCs w:val="24"/>
              </w:rPr>
              <w:t>和SO</w:t>
            </w:r>
            <w:r>
              <w:rPr>
                <w:rFonts w:hint="eastAsia" w:cs="Times New Roman"/>
                <w:sz w:val="24"/>
                <w:szCs w:val="24"/>
                <w:vertAlign w:val="subscript"/>
              </w:rPr>
              <w:t>2</w:t>
            </w:r>
            <w:r>
              <w:rPr>
                <w:rFonts w:hint="eastAsia" w:cs="Times New Roman"/>
                <w:sz w:val="24"/>
                <w:szCs w:val="24"/>
              </w:rPr>
              <w:t>浓度分别下降了3.0%、0.5%和9.7%，NO</w:t>
            </w:r>
            <w:r>
              <w:rPr>
                <w:rFonts w:hint="eastAsia" w:cs="Times New Roman"/>
                <w:sz w:val="24"/>
                <w:szCs w:val="24"/>
                <w:vertAlign w:val="subscript"/>
              </w:rPr>
              <w:t>2</w:t>
            </w:r>
            <w:r>
              <w:rPr>
                <w:rFonts w:hint="eastAsia" w:cs="Times New Roman"/>
                <w:sz w:val="24"/>
                <w:szCs w:val="24"/>
              </w:rPr>
              <w:t>、O</w:t>
            </w:r>
            <w:r>
              <w:rPr>
                <w:rFonts w:hint="eastAsia" w:cs="Times New Roman"/>
                <w:sz w:val="24"/>
                <w:szCs w:val="24"/>
                <w:vertAlign w:val="subscript"/>
              </w:rPr>
              <w:t>3</w:t>
            </w:r>
            <w:r>
              <w:rPr>
                <w:rFonts w:hint="eastAsia" w:cs="Times New Roman"/>
                <w:sz w:val="24"/>
                <w:szCs w:val="24"/>
              </w:rPr>
              <w:t>和CO浓度分别上升了20.7%、2.3%和0.0%。</w:t>
            </w:r>
          </w:p>
          <w:p w14:paraId="12292C8D">
            <w:pPr>
              <w:spacing w:line="360" w:lineRule="auto"/>
              <w:ind w:firstLine="480" w:firstLineChars="200"/>
              <w:rPr>
                <w:rFonts w:cs="Times New Roman"/>
                <w:sz w:val="24"/>
                <w:szCs w:val="24"/>
              </w:rPr>
            </w:pPr>
            <w:r>
              <w:rPr>
                <w:rFonts w:hint="eastAsia" w:cs="Times New Roman"/>
                <w:sz w:val="24"/>
                <w:szCs w:val="24"/>
              </w:rPr>
              <w:t>大英县环境空气各评价因子的浓度、标准及达标判定结果见下表。</w:t>
            </w:r>
          </w:p>
          <w:p w14:paraId="2CA668D0">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大英县环境空气质量评价表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2466"/>
              <w:gridCol w:w="1489"/>
              <w:gridCol w:w="1489"/>
              <w:gridCol w:w="1489"/>
              <w:gridCol w:w="1261"/>
            </w:tblGrid>
            <w:tr w14:paraId="22FB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70FC217">
                  <w:pPr>
                    <w:jc w:val="center"/>
                    <w:rPr>
                      <w:rFonts w:cstheme="minorHAnsi"/>
                      <w:szCs w:val="21"/>
                    </w:rPr>
                  </w:pPr>
                  <w:r>
                    <w:rPr>
                      <w:rFonts w:cstheme="minorHAnsi"/>
                      <w:szCs w:val="21"/>
                    </w:rPr>
                    <w:t>污染物</w:t>
                  </w:r>
                </w:p>
              </w:tc>
              <w:tc>
                <w:tcPr>
                  <w:tcW w:w="1348" w:type="pct"/>
                  <w:vAlign w:val="center"/>
                </w:tcPr>
                <w:p w14:paraId="0295AD9F">
                  <w:pPr>
                    <w:jc w:val="center"/>
                    <w:rPr>
                      <w:rFonts w:cstheme="minorHAnsi"/>
                      <w:szCs w:val="21"/>
                    </w:rPr>
                  </w:pPr>
                  <w:r>
                    <w:rPr>
                      <w:rFonts w:cstheme="minorHAnsi"/>
                      <w:szCs w:val="21"/>
                    </w:rPr>
                    <w:t>年评价指标</w:t>
                  </w:r>
                </w:p>
              </w:tc>
              <w:tc>
                <w:tcPr>
                  <w:tcW w:w="814" w:type="pct"/>
                  <w:vAlign w:val="center"/>
                </w:tcPr>
                <w:p w14:paraId="43326841">
                  <w:pPr>
                    <w:jc w:val="center"/>
                    <w:rPr>
                      <w:rFonts w:cstheme="minorHAnsi"/>
                      <w:szCs w:val="21"/>
                    </w:rPr>
                  </w:pPr>
                  <w:r>
                    <w:rPr>
                      <w:rFonts w:cstheme="minorHAnsi"/>
                      <w:szCs w:val="21"/>
                    </w:rPr>
                    <w:t>现状浓度</w:t>
                  </w:r>
                  <w:r>
                    <w:rPr>
                      <w:rFonts w:hint="eastAsia" w:cstheme="minorHAnsi"/>
                      <w:szCs w:val="21"/>
                    </w:rPr>
                    <w:t>（</w:t>
                  </w:r>
                  <w:r>
                    <w:rPr>
                      <w:rFonts w:hint="eastAsia" w:cstheme="minorHAnsi"/>
                      <w:szCs w:val="21"/>
                      <w:lang w:eastAsia="zh-CN"/>
                    </w:rPr>
                    <w:t>μg/m3</w:t>
                  </w:r>
                  <w:r>
                    <w:rPr>
                      <w:rFonts w:hint="eastAsia" w:cstheme="minorHAnsi"/>
                      <w:szCs w:val="21"/>
                    </w:rPr>
                    <w:t>）</w:t>
                  </w:r>
                </w:p>
              </w:tc>
              <w:tc>
                <w:tcPr>
                  <w:tcW w:w="814" w:type="pct"/>
                  <w:vAlign w:val="center"/>
                </w:tcPr>
                <w:p w14:paraId="7FD667FE">
                  <w:pPr>
                    <w:jc w:val="center"/>
                    <w:rPr>
                      <w:rFonts w:cstheme="minorHAnsi"/>
                      <w:szCs w:val="21"/>
                    </w:rPr>
                  </w:pPr>
                  <w:r>
                    <w:rPr>
                      <w:rFonts w:hint="eastAsia" w:cstheme="minorHAnsi"/>
                      <w:szCs w:val="21"/>
                    </w:rPr>
                    <w:t>标准值（</w:t>
                  </w:r>
                  <w:r>
                    <w:rPr>
                      <w:rFonts w:hint="eastAsia" w:cstheme="minorHAnsi"/>
                      <w:szCs w:val="21"/>
                      <w:lang w:eastAsia="zh-CN"/>
                    </w:rPr>
                    <w:t>μg/m3</w:t>
                  </w:r>
                  <w:r>
                    <w:rPr>
                      <w:rFonts w:hint="eastAsia" w:cstheme="minorHAnsi"/>
                      <w:szCs w:val="21"/>
                    </w:rPr>
                    <w:t>）</w:t>
                  </w:r>
                </w:p>
              </w:tc>
              <w:tc>
                <w:tcPr>
                  <w:tcW w:w="814" w:type="pct"/>
                  <w:vAlign w:val="center"/>
                </w:tcPr>
                <w:p w14:paraId="5F607F12">
                  <w:pPr>
                    <w:jc w:val="center"/>
                    <w:rPr>
                      <w:rFonts w:cstheme="minorHAnsi"/>
                      <w:szCs w:val="21"/>
                    </w:rPr>
                  </w:pPr>
                  <w:r>
                    <w:rPr>
                      <w:rFonts w:cstheme="minorHAnsi"/>
                      <w:szCs w:val="21"/>
                    </w:rPr>
                    <w:t>占标率</w:t>
                  </w:r>
                  <w:r>
                    <w:rPr>
                      <w:rFonts w:hint="eastAsia" w:cstheme="minorHAnsi"/>
                      <w:szCs w:val="21"/>
                    </w:rPr>
                    <w:t>（%）</w:t>
                  </w:r>
                </w:p>
              </w:tc>
              <w:tc>
                <w:tcPr>
                  <w:tcW w:w="689" w:type="pct"/>
                  <w:vAlign w:val="center"/>
                </w:tcPr>
                <w:p w14:paraId="13F7C2DD">
                  <w:pPr>
                    <w:jc w:val="center"/>
                    <w:rPr>
                      <w:rFonts w:cstheme="minorHAnsi"/>
                      <w:szCs w:val="21"/>
                    </w:rPr>
                  </w:pPr>
                  <w:r>
                    <w:rPr>
                      <w:rFonts w:hint="eastAsia" w:cstheme="minorHAnsi"/>
                      <w:szCs w:val="21"/>
                    </w:rPr>
                    <w:t>达标情况</w:t>
                  </w:r>
                </w:p>
              </w:tc>
            </w:tr>
            <w:tr w14:paraId="6EDC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DAA689C">
                  <w:pPr>
                    <w:jc w:val="center"/>
                    <w:rPr>
                      <w:rFonts w:cstheme="minorHAnsi"/>
                      <w:szCs w:val="21"/>
                    </w:rPr>
                  </w:pPr>
                  <w:r>
                    <w:rPr>
                      <w:rFonts w:cstheme="minorHAnsi"/>
                      <w:szCs w:val="21"/>
                    </w:rPr>
                    <w:t>SO</w:t>
                  </w:r>
                  <w:r>
                    <w:rPr>
                      <w:rFonts w:cstheme="minorHAnsi"/>
                      <w:szCs w:val="21"/>
                      <w:vertAlign w:val="subscript"/>
                    </w:rPr>
                    <w:t>2</w:t>
                  </w:r>
                </w:p>
              </w:tc>
              <w:tc>
                <w:tcPr>
                  <w:tcW w:w="1348" w:type="pct"/>
                  <w:vAlign w:val="center"/>
                </w:tcPr>
                <w:p w14:paraId="2D7BE537">
                  <w:pPr>
                    <w:jc w:val="center"/>
                    <w:rPr>
                      <w:rFonts w:cstheme="minorHAnsi"/>
                      <w:szCs w:val="21"/>
                    </w:rPr>
                  </w:pPr>
                  <w:r>
                    <w:rPr>
                      <w:rFonts w:cstheme="minorHAnsi"/>
                      <w:szCs w:val="21"/>
                    </w:rPr>
                    <w:t>年平均质量浓度</w:t>
                  </w:r>
                </w:p>
              </w:tc>
              <w:tc>
                <w:tcPr>
                  <w:tcW w:w="814" w:type="pct"/>
                  <w:vAlign w:val="center"/>
                </w:tcPr>
                <w:p w14:paraId="05153FD5">
                  <w:pPr>
                    <w:jc w:val="center"/>
                    <w:rPr>
                      <w:rFonts w:cstheme="minorHAnsi"/>
                      <w:szCs w:val="21"/>
                    </w:rPr>
                  </w:pPr>
                  <w:r>
                    <w:rPr>
                      <w:rFonts w:hint="eastAsia" w:cstheme="minorHAnsi"/>
                      <w:szCs w:val="21"/>
                    </w:rPr>
                    <w:t>5.6</w:t>
                  </w:r>
                </w:p>
              </w:tc>
              <w:tc>
                <w:tcPr>
                  <w:tcW w:w="814" w:type="pct"/>
                  <w:vAlign w:val="center"/>
                </w:tcPr>
                <w:p w14:paraId="1B3E817C">
                  <w:pPr>
                    <w:jc w:val="center"/>
                    <w:rPr>
                      <w:rFonts w:cstheme="minorHAnsi"/>
                      <w:szCs w:val="21"/>
                    </w:rPr>
                  </w:pPr>
                  <w:r>
                    <w:rPr>
                      <w:rFonts w:hint="eastAsia" w:cstheme="minorHAnsi"/>
                      <w:szCs w:val="21"/>
                    </w:rPr>
                    <w:t>60</w:t>
                  </w:r>
                </w:p>
              </w:tc>
              <w:tc>
                <w:tcPr>
                  <w:tcW w:w="814" w:type="pct"/>
                  <w:vAlign w:val="center"/>
                </w:tcPr>
                <w:p w14:paraId="47FA20E0">
                  <w:pPr>
                    <w:widowControl/>
                    <w:jc w:val="center"/>
                    <w:rPr>
                      <w:szCs w:val="21"/>
                    </w:rPr>
                  </w:pPr>
                  <w:r>
                    <w:rPr>
                      <w:rFonts w:hint="eastAsia"/>
                      <w:szCs w:val="21"/>
                    </w:rPr>
                    <w:t>9.3</w:t>
                  </w:r>
                </w:p>
              </w:tc>
              <w:tc>
                <w:tcPr>
                  <w:tcW w:w="689" w:type="pct"/>
                  <w:vAlign w:val="center"/>
                </w:tcPr>
                <w:p w14:paraId="61CC1F5E">
                  <w:pPr>
                    <w:jc w:val="center"/>
                    <w:rPr>
                      <w:rFonts w:cstheme="minorHAnsi"/>
                      <w:szCs w:val="21"/>
                    </w:rPr>
                  </w:pPr>
                  <w:r>
                    <w:rPr>
                      <w:rFonts w:hint="eastAsia" w:cstheme="minorHAnsi"/>
                      <w:szCs w:val="21"/>
                    </w:rPr>
                    <w:t>达标</w:t>
                  </w:r>
                </w:p>
              </w:tc>
            </w:tr>
            <w:tr w14:paraId="58F5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4573AA6">
                  <w:pPr>
                    <w:jc w:val="center"/>
                    <w:rPr>
                      <w:rFonts w:cstheme="minorHAnsi"/>
                      <w:szCs w:val="21"/>
                    </w:rPr>
                  </w:pPr>
                  <w:r>
                    <w:rPr>
                      <w:rFonts w:cstheme="minorHAnsi"/>
                      <w:szCs w:val="21"/>
                    </w:rPr>
                    <w:t>NO</w:t>
                  </w:r>
                  <w:r>
                    <w:rPr>
                      <w:rFonts w:cstheme="minorHAnsi"/>
                      <w:szCs w:val="21"/>
                      <w:vertAlign w:val="subscript"/>
                    </w:rPr>
                    <w:t>2</w:t>
                  </w:r>
                </w:p>
              </w:tc>
              <w:tc>
                <w:tcPr>
                  <w:tcW w:w="1348" w:type="pct"/>
                  <w:vAlign w:val="center"/>
                </w:tcPr>
                <w:p w14:paraId="7171B25E">
                  <w:pPr>
                    <w:jc w:val="center"/>
                    <w:rPr>
                      <w:rFonts w:cstheme="minorHAnsi"/>
                      <w:szCs w:val="21"/>
                    </w:rPr>
                  </w:pPr>
                  <w:r>
                    <w:rPr>
                      <w:rFonts w:cstheme="minorHAnsi"/>
                      <w:szCs w:val="21"/>
                    </w:rPr>
                    <w:t>年平均质量浓度</w:t>
                  </w:r>
                </w:p>
              </w:tc>
              <w:tc>
                <w:tcPr>
                  <w:tcW w:w="814" w:type="pct"/>
                  <w:vAlign w:val="center"/>
                </w:tcPr>
                <w:p w14:paraId="31D4A59A">
                  <w:pPr>
                    <w:jc w:val="center"/>
                    <w:rPr>
                      <w:rFonts w:cstheme="minorHAnsi"/>
                      <w:szCs w:val="21"/>
                    </w:rPr>
                  </w:pPr>
                  <w:r>
                    <w:rPr>
                      <w:rFonts w:hint="eastAsia" w:cstheme="minorHAnsi"/>
                      <w:szCs w:val="21"/>
                    </w:rPr>
                    <w:t>13.4</w:t>
                  </w:r>
                </w:p>
              </w:tc>
              <w:tc>
                <w:tcPr>
                  <w:tcW w:w="814" w:type="pct"/>
                  <w:vAlign w:val="center"/>
                </w:tcPr>
                <w:p w14:paraId="45E1DCB0">
                  <w:pPr>
                    <w:jc w:val="center"/>
                    <w:rPr>
                      <w:rFonts w:cstheme="minorHAnsi"/>
                      <w:szCs w:val="21"/>
                    </w:rPr>
                  </w:pPr>
                  <w:r>
                    <w:rPr>
                      <w:rFonts w:hint="eastAsia" w:cstheme="minorHAnsi"/>
                      <w:szCs w:val="21"/>
                    </w:rPr>
                    <w:t>40</w:t>
                  </w:r>
                </w:p>
              </w:tc>
              <w:tc>
                <w:tcPr>
                  <w:tcW w:w="814" w:type="pct"/>
                  <w:vAlign w:val="center"/>
                </w:tcPr>
                <w:p w14:paraId="04DC1A51">
                  <w:pPr>
                    <w:jc w:val="center"/>
                    <w:rPr>
                      <w:szCs w:val="21"/>
                    </w:rPr>
                  </w:pPr>
                  <w:r>
                    <w:rPr>
                      <w:rFonts w:hint="eastAsia"/>
                      <w:szCs w:val="21"/>
                    </w:rPr>
                    <w:t>33.5</w:t>
                  </w:r>
                </w:p>
              </w:tc>
              <w:tc>
                <w:tcPr>
                  <w:tcW w:w="689" w:type="pct"/>
                  <w:vAlign w:val="center"/>
                </w:tcPr>
                <w:p w14:paraId="0AEA48C1">
                  <w:pPr>
                    <w:jc w:val="center"/>
                    <w:rPr>
                      <w:rFonts w:cstheme="minorHAnsi"/>
                      <w:szCs w:val="21"/>
                    </w:rPr>
                  </w:pPr>
                  <w:r>
                    <w:rPr>
                      <w:rFonts w:hint="eastAsia" w:cstheme="minorHAnsi"/>
                      <w:szCs w:val="21"/>
                    </w:rPr>
                    <w:t>达标</w:t>
                  </w:r>
                </w:p>
              </w:tc>
            </w:tr>
            <w:tr w14:paraId="0B0D7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6A668176">
                  <w:pPr>
                    <w:jc w:val="center"/>
                    <w:rPr>
                      <w:rFonts w:cstheme="minorHAnsi"/>
                      <w:szCs w:val="21"/>
                    </w:rPr>
                  </w:pPr>
                  <w:r>
                    <w:rPr>
                      <w:rFonts w:cstheme="minorHAnsi"/>
                      <w:szCs w:val="21"/>
                    </w:rPr>
                    <w:t>PM</w:t>
                  </w:r>
                  <w:r>
                    <w:rPr>
                      <w:rFonts w:cstheme="minorHAnsi"/>
                      <w:szCs w:val="21"/>
                      <w:vertAlign w:val="subscript"/>
                    </w:rPr>
                    <w:t>10</w:t>
                  </w:r>
                </w:p>
              </w:tc>
              <w:tc>
                <w:tcPr>
                  <w:tcW w:w="1348" w:type="pct"/>
                  <w:vAlign w:val="center"/>
                </w:tcPr>
                <w:p w14:paraId="79817FB4">
                  <w:pPr>
                    <w:jc w:val="center"/>
                    <w:rPr>
                      <w:rFonts w:cstheme="minorHAnsi"/>
                      <w:szCs w:val="21"/>
                    </w:rPr>
                  </w:pPr>
                  <w:r>
                    <w:rPr>
                      <w:rFonts w:cstheme="minorHAnsi"/>
                      <w:szCs w:val="21"/>
                    </w:rPr>
                    <w:t>年平均质量浓度</w:t>
                  </w:r>
                </w:p>
              </w:tc>
              <w:tc>
                <w:tcPr>
                  <w:tcW w:w="814" w:type="pct"/>
                  <w:vAlign w:val="center"/>
                </w:tcPr>
                <w:p w14:paraId="780D158C">
                  <w:pPr>
                    <w:jc w:val="center"/>
                    <w:rPr>
                      <w:rFonts w:cstheme="minorHAnsi"/>
                      <w:szCs w:val="21"/>
                    </w:rPr>
                  </w:pPr>
                  <w:r>
                    <w:rPr>
                      <w:rFonts w:hint="eastAsia" w:cstheme="minorHAnsi"/>
                      <w:szCs w:val="21"/>
                    </w:rPr>
                    <w:t>39.8</w:t>
                  </w:r>
                </w:p>
              </w:tc>
              <w:tc>
                <w:tcPr>
                  <w:tcW w:w="814" w:type="pct"/>
                  <w:vAlign w:val="center"/>
                </w:tcPr>
                <w:p w14:paraId="29009120">
                  <w:pPr>
                    <w:jc w:val="center"/>
                    <w:rPr>
                      <w:rFonts w:cstheme="minorHAnsi"/>
                      <w:szCs w:val="21"/>
                    </w:rPr>
                  </w:pPr>
                  <w:r>
                    <w:rPr>
                      <w:rFonts w:cstheme="minorHAnsi"/>
                      <w:szCs w:val="21"/>
                    </w:rPr>
                    <w:t>70</w:t>
                  </w:r>
                </w:p>
              </w:tc>
              <w:tc>
                <w:tcPr>
                  <w:tcW w:w="814" w:type="pct"/>
                  <w:vAlign w:val="center"/>
                </w:tcPr>
                <w:p w14:paraId="15CC3672">
                  <w:pPr>
                    <w:jc w:val="center"/>
                    <w:rPr>
                      <w:szCs w:val="21"/>
                    </w:rPr>
                  </w:pPr>
                  <w:r>
                    <w:rPr>
                      <w:rFonts w:hint="eastAsia"/>
                      <w:szCs w:val="21"/>
                    </w:rPr>
                    <w:t>56.9</w:t>
                  </w:r>
                </w:p>
              </w:tc>
              <w:tc>
                <w:tcPr>
                  <w:tcW w:w="689" w:type="pct"/>
                  <w:vAlign w:val="center"/>
                </w:tcPr>
                <w:p w14:paraId="56516145">
                  <w:pPr>
                    <w:jc w:val="center"/>
                    <w:rPr>
                      <w:rFonts w:cstheme="minorHAnsi"/>
                      <w:szCs w:val="21"/>
                    </w:rPr>
                  </w:pPr>
                  <w:r>
                    <w:rPr>
                      <w:rFonts w:hint="eastAsia" w:cstheme="minorHAnsi"/>
                      <w:szCs w:val="21"/>
                    </w:rPr>
                    <w:t>达标</w:t>
                  </w:r>
                </w:p>
              </w:tc>
            </w:tr>
            <w:tr w14:paraId="2419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1E2FA418">
                  <w:pPr>
                    <w:jc w:val="center"/>
                    <w:rPr>
                      <w:rFonts w:cstheme="minorHAnsi"/>
                      <w:szCs w:val="21"/>
                    </w:rPr>
                  </w:pPr>
                  <w:r>
                    <w:rPr>
                      <w:rFonts w:cstheme="minorHAnsi"/>
                      <w:szCs w:val="21"/>
                    </w:rPr>
                    <w:t>PM</w:t>
                  </w:r>
                  <w:r>
                    <w:rPr>
                      <w:rFonts w:cstheme="minorHAnsi"/>
                      <w:szCs w:val="21"/>
                      <w:vertAlign w:val="subscript"/>
                    </w:rPr>
                    <w:t>2.5</w:t>
                  </w:r>
                </w:p>
              </w:tc>
              <w:tc>
                <w:tcPr>
                  <w:tcW w:w="1348" w:type="pct"/>
                  <w:vAlign w:val="center"/>
                </w:tcPr>
                <w:p w14:paraId="24B6DED9">
                  <w:pPr>
                    <w:jc w:val="center"/>
                    <w:rPr>
                      <w:rFonts w:cstheme="minorHAnsi"/>
                      <w:szCs w:val="21"/>
                    </w:rPr>
                  </w:pPr>
                  <w:r>
                    <w:rPr>
                      <w:rFonts w:cstheme="minorHAnsi"/>
                      <w:szCs w:val="21"/>
                    </w:rPr>
                    <w:t>年平均质量浓度</w:t>
                  </w:r>
                </w:p>
              </w:tc>
              <w:tc>
                <w:tcPr>
                  <w:tcW w:w="814" w:type="pct"/>
                  <w:vAlign w:val="center"/>
                </w:tcPr>
                <w:p w14:paraId="168FF22B">
                  <w:pPr>
                    <w:jc w:val="center"/>
                    <w:rPr>
                      <w:rFonts w:cstheme="minorHAnsi"/>
                      <w:szCs w:val="21"/>
                    </w:rPr>
                  </w:pPr>
                  <w:r>
                    <w:rPr>
                      <w:rFonts w:hint="eastAsia" w:cstheme="minorHAnsi"/>
                      <w:szCs w:val="21"/>
                    </w:rPr>
                    <w:t>25.8</w:t>
                  </w:r>
                </w:p>
              </w:tc>
              <w:tc>
                <w:tcPr>
                  <w:tcW w:w="814" w:type="pct"/>
                  <w:vAlign w:val="center"/>
                </w:tcPr>
                <w:p w14:paraId="2B4A0C1A">
                  <w:pPr>
                    <w:jc w:val="center"/>
                    <w:rPr>
                      <w:rFonts w:cstheme="minorHAnsi"/>
                      <w:szCs w:val="21"/>
                    </w:rPr>
                  </w:pPr>
                  <w:r>
                    <w:rPr>
                      <w:rFonts w:cstheme="minorHAnsi"/>
                      <w:szCs w:val="21"/>
                    </w:rPr>
                    <w:t>35</w:t>
                  </w:r>
                </w:p>
              </w:tc>
              <w:tc>
                <w:tcPr>
                  <w:tcW w:w="814" w:type="pct"/>
                  <w:vAlign w:val="center"/>
                </w:tcPr>
                <w:p w14:paraId="52BF08ED">
                  <w:pPr>
                    <w:jc w:val="center"/>
                    <w:rPr>
                      <w:szCs w:val="21"/>
                    </w:rPr>
                  </w:pPr>
                  <w:r>
                    <w:rPr>
                      <w:rFonts w:hint="eastAsia"/>
                      <w:szCs w:val="21"/>
                    </w:rPr>
                    <w:t>73.7</w:t>
                  </w:r>
                </w:p>
              </w:tc>
              <w:tc>
                <w:tcPr>
                  <w:tcW w:w="689" w:type="pct"/>
                  <w:vAlign w:val="center"/>
                </w:tcPr>
                <w:p w14:paraId="05C650E1">
                  <w:pPr>
                    <w:jc w:val="center"/>
                    <w:rPr>
                      <w:rFonts w:cstheme="minorHAnsi"/>
                      <w:szCs w:val="21"/>
                    </w:rPr>
                  </w:pPr>
                  <w:r>
                    <w:rPr>
                      <w:rFonts w:hint="eastAsia" w:cstheme="minorHAnsi"/>
                      <w:szCs w:val="21"/>
                    </w:rPr>
                    <w:t>达标</w:t>
                  </w:r>
                </w:p>
              </w:tc>
            </w:tr>
            <w:tr w14:paraId="14AE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25C0A5A">
                  <w:pPr>
                    <w:jc w:val="center"/>
                    <w:rPr>
                      <w:rFonts w:cstheme="minorHAnsi"/>
                      <w:szCs w:val="21"/>
                    </w:rPr>
                  </w:pPr>
                  <w:r>
                    <w:rPr>
                      <w:rFonts w:cstheme="minorHAnsi"/>
                      <w:szCs w:val="21"/>
                    </w:rPr>
                    <w:t>CO</w:t>
                  </w:r>
                </w:p>
              </w:tc>
              <w:tc>
                <w:tcPr>
                  <w:tcW w:w="1348" w:type="pct"/>
                  <w:vAlign w:val="center"/>
                </w:tcPr>
                <w:p w14:paraId="2005D6E5">
                  <w:pPr>
                    <w:jc w:val="center"/>
                    <w:rPr>
                      <w:rFonts w:cstheme="minorHAnsi"/>
                      <w:szCs w:val="21"/>
                    </w:rPr>
                  </w:pPr>
                  <w:r>
                    <w:rPr>
                      <w:rFonts w:hint="eastAsia" w:cstheme="minorHAnsi"/>
                      <w:szCs w:val="21"/>
                    </w:rPr>
                    <w:t>日均值第95百分位数</w:t>
                  </w:r>
                </w:p>
              </w:tc>
              <w:tc>
                <w:tcPr>
                  <w:tcW w:w="814" w:type="pct"/>
                  <w:vAlign w:val="center"/>
                </w:tcPr>
                <w:p w14:paraId="1B11CB83">
                  <w:pPr>
                    <w:jc w:val="center"/>
                    <w:rPr>
                      <w:rFonts w:cstheme="minorHAnsi"/>
                      <w:szCs w:val="21"/>
                    </w:rPr>
                  </w:pPr>
                  <w:r>
                    <w:rPr>
                      <w:rFonts w:hint="eastAsia" w:cstheme="minorHAnsi"/>
                      <w:szCs w:val="21"/>
                    </w:rPr>
                    <w:t>1000</w:t>
                  </w:r>
                </w:p>
              </w:tc>
              <w:tc>
                <w:tcPr>
                  <w:tcW w:w="814" w:type="pct"/>
                  <w:vAlign w:val="center"/>
                </w:tcPr>
                <w:p w14:paraId="14B9338A">
                  <w:pPr>
                    <w:jc w:val="center"/>
                    <w:rPr>
                      <w:rFonts w:cstheme="minorHAnsi"/>
                      <w:szCs w:val="21"/>
                    </w:rPr>
                  </w:pPr>
                  <w:r>
                    <w:rPr>
                      <w:rFonts w:hint="eastAsia" w:cstheme="minorHAnsi"/>
                      <w:szCs w:val="21"/>
                    </w:rPr>
                    <w:t>4000</w:t>
                  </w:r>
                </w:p>
              </w:tc>
              <w:tc>
                <w:tcPr>
                  <w:tcW w:w="814" w:type="pct"/>
                  <w:vAlign w:val="center"/>
                </w:tcPr>
                <w:p w14:paraId="1FFAEB88">
                  <w:pPr>
                    <w:jc w:val="center"/>
                    <w:rPr>
                      <w:szCs w:val="21"/>
                    </w:rPr>
                  </w:pPr>
                  <w:r>
                    <w:rPr>
                      <w:rFonts w:hint="eastAsia"/>
                      <w:szCs w:val="21"/>
                    </w:rPr>
                    <w:t>25.0</w:t>
                  </w:r>
                </w:p>
              </w:tc>
              <w:tc>
                <w:tcPr>
                  <w:tcW w:w="689" w:type="pct"/>
                  <w:vAlign w:val="center"/>
                </w:tcPr>
                <w:p w14:paraId="782A954C">
                  <w:pPr>
                    <w:jc w:val="center"/>
                    <w:rPr>
                      <w:rFonts w:cstheme="minorHAnsi"/>
                      <w:szCs w:val="21"/>
                    </w:rPr>
                  </w:pPr>
                  <w:r>
                    <w:rPr>
                      <w:rFonts w:hint="eastAsia" w:cstheme="minorHAnsi"/>
                      <w:szCs w:val="21"/>
                    </w:rPr>
                    <w:t>达标</w:t>
                  </w:r>
                </w:p>
              </w:tc>
            </w:tr>
            <w:tr w14:paraId="6BEE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pct"/>
                  <w:vAlign w:val="center"/>
                </w:tcPr>
                <w:p w14:paraId="0501DE8F">
                  <w:pPr>
                    <w:jc w:val="center"/>
                    <w:rPr>
                      <w:rFonts w:cstheme="minorHAnsi"/>
                      <w:szCs w:val="21"/>
                    </w:rPr>
                  </w:pPr>
                  <w:r>
                    <w:rPr>
                      <w:rFonts w:cstheme="minorHAnsi"/>
                      <w:szCs w:val="21"/>
                    </w:rPr>
                    <w:t>O</w:t>
                  </w:r>
                  <w:r>
                    <w:rPr>
                      <w:rFonts w:cstheme="minorHAnsi"/>
                      <w:szCs w:val="21"/>
                      <w:vertAlign w:val="subscript"/>
                    </w:rPr>
                    <w:t>3</w:t>
                  </w:r>
                </w:p>
              </w:tc>
              <w:tc>
                <w:tcPr>
                  <w:tcW w:w="1348" w:type="pct"/>
                  <w:vAlign w:val="center"/>
                </w:tcPr>
                <w:p w14:paraId="33C3C973">
                  <w:pPr>
                    <w:jc w:val="center"/>
                    <w:rPr>
                      <w:rFonts w:cstheme="minorHAnsi"/>
                      <w:szCs w:val="21"/>
                    </w:rPr>
                  </w:pPr>
                  <w:r>
                    <w:rPr>
                      <w:rFonts w:hint="eastAsia" w:cstheme="minorHAnsi"/>
                      <w:szCs w:val="21"/>
                    </w:rPr>
                    <w:t>日最大8小时平均第90百分位数</w:t>
                  </w:r>
                </w:p>
              </w:tc>
              <w:tc>
                <w:tcPr>
                  <w:tcW w:w="814" w:type="pct"/>
                  <w:vAlign w:val="center"/>
                </w:tcPr>
                <w:p w14:paraId="79140EC6">
                  <w:pPr>
                    <w:jc w:val="center"/>
                    <w:rPr>
                      <w:rFonts w:cstheme="minorHAnsi"/>
                      <w:szCs w:val="21"/>
                    </w:rPr>
                  </w:pPr>
                  <w:r>
                    <w:rPr>
                      <w:rFonts w:hint="eastAsia" w:cstheme="minorHAnsi"/>
                      <w:szCs w:val="21"/>
                    </w:rPr>
                    <w:t>141.2</w:t>
                  </w:r>
                </w:p>
              </w:tc>
              <w:tc>
                <w:tcPr>
                  <w:tcW w:w="814" w:type="pct"/>
                  <w:vAlign w:val="center"/>
                </w:tcPr>
                <w:p w14:paraId="1187C582">
                  <w:pPr>
                    <w:jc w:val="center"/>
                    <w:rPr>
                      <w:rFonts w:cstheme="minorHAnsi"/>
                      <w:szCs w:val="21"/>
                    </w:rPr>
                  </w:pPr>
                  <w:r>
                    <w:rPr>
                      <w:rFonts w:hint="eastAsia" w:cstheme="minorHAnsi"/>
                      <w:szCs w:val="21"/>
                    </w:rPr>
                    <w:t>160</w:t>
                  </w:r>
                </w:p>
              </w:tc>
              <w:tc>
                <w:tcPr>
                  <w:tcW w:w="814" w:type="pct"/>
                  <w:vAlign w:val="center"/>
                </w:tcPr>
                <w:p w14:paraId="20B0BE35">
                  <w:pPr>
                    <w:jc w:val="center"/>
                    <w:rPr>
                      <w:szCs w:val="21"/>
                    </w:rPr>
                  </w:pPr>
                  <w:r>
                    <w:rPr>
                      <w:rFonts w:hint="eastAsia"/>
                      <w:szCs w:val="21"/>
                    </w:rPr>
                    <w:t>88.3</w:t>
                  </w:r>
                </w:p>
              </w:tc>
              <w:tc>
                <w:tcPr>
                  <w:tcW w:w="689" w:type="pct"/>
                  <w:vAlign w:val="center"/>
                </w:tcPr>
                <w:p w14:paraId="377DB0A6">
                  <w:pPr>
                    <w:jc w:val="center"/>
                    <w:rPr>
                      <w:rFonts w:cstheme="minorHAnsi"/>
                      <w:szCs w:val="21"/>
                    </w:rPr>
                  </w:pPr>
                  <w:r>
                    <w:rPr>
                      <w:rFonts w:hint="eastAsia" w:cstheme="minorHAnsi"/>
                      <w:szCs w:val="21"/>
                    </w:rPr>
                    <w:t>达标</w:t>
                  </w:r>
                </w:p>
              </w:tc>
            </w:tr>
          </w:tbl>
          <w:p w14:paraId="770E6C22">
            <w:pPr>
              <w:spacing w:line="360" w:lineRule="auto"/>
              <w:ind w:firstLine="480" w:firstLineChars="200"/>
              <w:rPr>
                <w:rFonts w:cs="Times New Roman"/>
                <w:sz w:val="24"/>
                <w:szCs w:val="24"/>
              </w:rPr>
            </w:pPr>
            <w:r>
              <w:rPr>
                <w:rFonts w:hint="eastAsia" w:cs="Times New Roman"/>
                <w:sz w:val="24"/>
                <w:szCs w:val="24"/>
              </w:rPr>
              <w:t>根据《环境影响评价技术导则 大气环境》（HJ2.2-2018）中达标判断要求，区域为环境空气质量达标区。</w:t>
            </w:r>
          </w:p>
          <w:p w14:paraId="3B1FEF42">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2</w:t>
            </w:r>
            <w:r>
              <w:rPr>
                <w:rFonts w:hint="eastAsia" w:cs="Times New Roman"/>
                <w:b/>
                <w:bCs/>
                <w:sz w:val="24"/>
                <w:szCs w:val="24"/>
              </w:rPr>
              <w:t>）其他污染物现状评价</w:t>
            </w:r>
          </w:p>
          <w:p w14:paraId="532A7A43">
            <w:pPr>
              <w:spacing w:line="360" w:lineRule="auto"/>
              <w:ind w:firstLine="482" w:firstLineChars="200"/>
              <w:rPr>
                <w:b/>
                <w:sz w:val="24"/>
                <w:szCs w:val="24"/>
              </w:rPr>
            </w:pPr>
            <w:r>
              <w:rPr>
                <w:rFonts w:hint="eastAsia"/>
                <w:b/>
                <w:sz w:val="24"/>
                <w:szCs w:val="24"/>
              </w:rPr>
              <w:t>1）其他污染物现状监测</w:t>
            </w:r>
          </w:p>
          <w:p w14:paraId="1FA13A87">
            <w:pPr>
              <w:spacing w:line="360" w:lineRule="auto"/>
              <w:ind w:firstLine="482" w:firstLineChars="200"/>
              <w:rPr>
                <w:b/>
                <w:sz w:val="24"/>
                <w:szCs w:val="24"/>
              </w:rPr>
            </w:pPr>
            <w:r>
              <w:rPr>
                <w:rFonts w:hint="eastAsia"/>
                <w:b/>
                <w:sz w:val="24"/>
                <w:szCs w:val="24"/>
              </w:rPr>
              <w:t>①监测点位</w:t>
            </w:r>
          </w:p>
          <w:p w14:paraId="074F0CE3">
            <w:pPr>
              <w:spacing w:line="360" w:lineRule="auto"/>
              <w:ind w:firstLine="480" w:firstLineChars="200"/>
              <w:rPr>
                <w:sz w:val="24"/>
                <w:szCs w:val="24"/>
              </w:rPr>
            </w:pPr>
            <w:r>
              <w:rPr>
                <w:rFonts w:hint="eastAsia"/>
                <w:sz w:val="24"/>
                <w:szCs w:val="24"/>
              </w:rPr>
              <w:t>本次环评引用环境空气监测点基本信息</w:t>
            </w:r>
            <w:r>
              <w:rPr>
                <w:rFonts w:cs="Times New Roman"/>
                <w:sz w:val="24"/>
              </w:rPr>
              <w:t>见</w:t>
            </w:r>
            <w:r>
              <w:rPr>
                <w:rFonts w:hint="eastAsia" w:cs="Times New Roman"/>
                <w:sz w:val="24"/>
              </w:rPr>
              <w:t>下表</w:t>
            </w:r>
            <w:r>
              <w:rPr>
                <w:rFonts w:hint="eastAsia"/>
                <w:sz w:val="24"/>
                <w:szCs w:val="24"/>
              </w:rPr>
              <w:t>。</w:t>
            </w:r>
          </w:p>
          <w:p w14:paraId="1DFB8C1E">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其他污染物监测点基本信息表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2956"/>
              <w:gridCol w:w="1515"/>
              <w:gridCol w:w="1515"/>
              <w:gridCol w:w="1098"/>
              <w:gridCol w:w="1323"/>
            </w:tblGrid>
            <w:tr w14:paraId="4406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5" w:type="pct"/>
                  <w:vMerge w:val="restart"/>
                  <w:vAlign w:val="center"/>
                </w:tcPr>
                <w:p w14:paraId="75DB6642">
                  <w:pPr>
                    <w:jc w:val="center"/>
                    <w:rPr>
                      <w:rFonts w:cstheme="minorHAnsi"/>
                      <w:szCs w:val="21"/>
                    </w:rPr>
                  </w:pPr>
                  <w:r>
                    <w:rPr>
                      <w:rFonts w:hint="eastAsia" w:cstheme="minorHAnsi"/>
                      <w:szCs w:val="21"/>
                    </w:rPr>
                    <w:t>编号</w:t>
                  </w:r>
                </w:p>
              </w:tc>
              <w:tc>
                <w:tcPr>
                  <w:tcW w:w="1616" w:type="pct"/>
                  <w:vMerge w:val="restart"/>
                  <w:vAlign w:val="center"/>
                </w:tcPr>
                <w:p w14:paraId="7CEED7CD">
                  <w:pPr>
                    <w:jc w:val="center"/>
                    <w:rPr>
                      <w:rFonts w:cstheme="minorHAnsi"/>
                      <w:szCs w:val="21"/>
                    </w:rPr>
                  </w:pPr>
                  <w:r>
                    <w:rPr>
                      <w:rFonts w:hint="eastAsia" w:cstheme="minorHAnsi"/>
                      <w:szCs w:val="21"/>
                    </w:rPr>
                    <w:t>监测点名称</w:t>
                  </w:r>
                </w:p>
              </w:tc>
              <w:tc>
                <w:tcPr>
                  <w:tcW w:w="1656" w:type="pct"/>
                  <w:gridSpan w:val="2"/>
                  <w:vAlign w:val="center"/>
                </w:tcPr>
                <w:p w14:paraId="71D9CDFA">
                  <w:pPr>
                    <w:jc w:val="center"/>
                    <w:rPr>
                      <w:rFonts w:cstheme="minorHAnsi"/>
                      <w:szCs w:val="21"/>
                    </w:rPr>
                  </w:pPr>
                  <w:r>
                    <w:rPr>
                      <w:rFonts w:hint="eastAsia" w:cstheme="minorHAnsi"/>
                      <w:szCs w:val="21"/>
                    </w:rPr>
                    <w:t>监测点坐标</w:t>
                  </w:r>
                </w:p>
              </w:tc>
              <w:tc>
                <w:tcPr>
                  <w:tcW w:w="600" w:type="pct"/>
                  <w:vMerge w:val="restart"/>
                  <w:vAlign w:val="center"/>
                </w:tcPr>
                <w:p w14:paraId="4BBFEF6C">
                  <w:pPr>
                    <w:jc w:val="center"/>
                    <w:rPr>
                      <w:rFonts w:cstheme="minorHAnsi"/>
                      <w:szCs w:val="21"/>
                    </w:rPr>
                  </w:pPr>
                  <w:r>
                    <w:rPr>
                      <w:rFonts w:hint="eastAsia" w:cstheme="minorHAnsi"/>
                      <w:szCs w:val="21"/>
                    </w:rPr>
                    <w:t>相对厂址方位</w:t>
                  </w:r>
                </w:p>
              </w:tc>
              <w:tc>
                <w:tcPr>
                  <w:tcW w:w="723" w:type="pct"/>
                  <w:vMerge w:val="restart"/>
                  <w:vAlign w:val="center"/>
                </w:tcPr>
                <w:p w14:paraId="1D50E8F7">
                  <w:pPr>
                    <w:jc w:val="center"/>
                    <w:rPr>
                      <w:rFonts w:cstheme="minorHAnsi"/>
                      <w:szCs w:val="21"/>
                    </w:rPr>
                  </w:pPr>
                  <w:r>
                    <w:rPr>
                      <w:rFonts w:hint="eastAsia" w:cstheme="minorHAnsi"/>
                      <w:szCs w:val="21"/>
                    </w:rPr>
                    <w:t>相对厂界距离（m）</w:t>
                  </w:r>
                </w:p>
              </w:tc>
            </w:tr>
            <w:tr w14:paraId="459D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5" w:type="pct"/>
                  <w:vMerge w:val="continue"/>
                  <w:vAlign w:val="center"/>
                </w:tcPr>
                <w:p w14:paraId="354783FD">
                  <w:pPr>
                    <w:jc w:val="center"/>
                    <w:rPr>
                      <w:rFonts w:cstheme="minorHAnsi"/>
                      <w:szCs w:val="21"/>
                    </w:rPr>
                  </w:pPr>
                </w:p>
              </w:tc>
              <w:tc>
                <w:tcPr>
                  <w:tcW w:w="1616" w:type="pct"/>
                  <w:vMerge w:val="continue"/>
                  <w:vAlign w:val="center"/>
                </w:tcPr>
                <w:p w14:paraId="139F42DA">
                  <w:pPr>
                    <w:jc w:val="center"/>
                    <w:rPr>
                      <w:rFonts w:cstheme="minorHAnsi"/>
                      <w:szCs w:val="21"/>
                    </w:rPr>
                  </w:pPr>
                </w:p>
              </w:tc>
              <w:tc>
                <w:tcPr>
                  <w:tcW w:w="828" w:type="pct"/>
                  <w:vAlign w:val="center"/>
                </w:tcPr>
                <w:p w14:paraId="5FD452AD">
                  <w:pPr>
                    <w:jc w:val="center"/>
                    <w:rPr>
                      <w:rFonts w:cs="Times New Roman"/>
                      <w:szCs w:val="21"/>
                    </w:rPr>
                  </w:pPr>
                  <w:r>
                    <w:rPr>
                      <w:rFonts w:cs="Times New Roman"/>
                      <w:szCs w:val="21"/>
                    </w:rPr>
                    <w:t>经度</w:t>
                  </w:r>
                </w:p>
              </w:tc>
              <w:tc>
                <w:tcPr>
                  <w:tcW w:w="828" w:type="pct"/>
                  <w:vAlign w:val="center"/>
                </w:tcPr>
                <w:p w14:paraId="6F749A80">
                  <w:pPr>
                    <w:jc w:val="center"/>
                    <w:rPr>
                      <w:rFonts w:cs="Times New Roman"/>
                      <w:szCs w:val="21"/>
                    </w:rPr>
                  </w:pPr>
                  <w:r>
                    <w:rPr>
                      <w:rFonts w:cs="Times New Roman"/>
                      <w:szCs w:val="21"/>
                    </w:rPr>
                    <w:t>纬度</w:t>
                  </w:r>
                </w:p>
              </w:tc>
              <w:tc>
                <w:tcPr>
                  <w:tcW w:w="600" w:type="pct"/>
                  <w:vMerge w:val="continue"/>
                  <w:vAlign w:val="center"/>
                </w:tcPr>
                <w:p w14:paraId="675810AA">
                  <w:pPr>
                    <w:jc w:val="center"/>
                    <w:rPr>
                      <w:rFonts w:cstheme="minorHAnsi"/>
                      <w:szCs w:val="21"/>
                    </w:rPr>
                  </w:pPr>
                </w:p>
              </w:tc>
              <w:tc>
                <w:tcPr>
                  <w:tcW w:w="723" w:type="pct"/>
                  <w:vMerge w:val="continue"/>
                  <w:vAlign w:val="center"/>
                </w:tcPr>
                <w:p w14:paraId="388446D0">
                  <w:pPr>
                    <w:jc w:val="center"/>
                    <w:rPr>
                      <w:rFonts w:cstheme="minorHAnsi"/>
                      <w:szCs w:val="21"/>
                    </w:rPr>
                  </w:pPr>
                </w:p>
              </w:tc>
            </w:tr>
            <w:tr w14:paraId="18ED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Align w:val="center"/>
                </w:tcPr>
                <w:p w14:paraId="4549DD9D">
                  <w:pPr>
                    <w:jc w:val="center"/>
                    <w:rPr>
                      <w:rFonts w:cstheme="minorHAnsi"/>
                      <w:szCs w:val="21"/>
                    </w:rPr>
                  </w:pPr>
                  <w:r>
                    <w:rPr>
                      <w:rFonts w:cstheme="minorHAnsi"/>
                      <w:szCs w:val="21"/>
                    </w:rPr>
                    <w:t>1#</w:t>
                  </w:r>
                </w:p>
              </w:tc>
              <w:tc>
                <w:tcPr>
                  <w:tcW w:w="1616" w:type="pct"/>
                  <w:vAlign w:val="center"/>
                </w:tcPr>
                <w:p w14:paraId="3DC7B4E4">
                  <w:pPr>
                    <w:jc w:val="center"/>
                    <w:rPr>
                      <w:rFonts w:cstheme="minorHAnsi"/>
                      <w:szCs w:val="21"/>
                    </w:rPr>
                  </w:pPr>
                  <w:r>
                    <w:rPr>
                      <w:rFonts w:hint="eastAsia" w:cstheme="minorHAnsi"/>
                      <w:szCs w:val="21"/>
                    </w:rPr>
                    <w:t>四川之江高新材料股份有限公司先进材料项目所在地</w:t>
                  </w:r>
                </w:p>
              </w:tc>
              <w:tc>
                <w:tcPr>
                  <w:tcW w:w="828" w:type="pct"/>
                  <w:vAlign w:val="center"/>
                </w:tcPr>
                <w:p w14:paraId="3173550A">
                  <w:pPr>
                    <w:jc w:val="center"/>
                    <w:rPr>
                      <w:rFonts w:cs="Times New Roman"/>
                      <w:szCs w:val="21"/>
                    </w:rPr>
                  </w:pPr>
                  <w:r>
                    <w:rPr>
                      <w:rFonts w:cs="Times New Roman"/>
                      <w:szCs w:val="21"/>
                    </w:rPr>
                    <w:t>105.298247</w:t>
                  </w:r>
                </w:p>
              </w:tc>
              <w:tc>
                <w:tcPr>
                  <w:tcW w:w="828" w:type="pct"/>
                  <w:vAlign w:val="center"/>
                </w:tcPr>
                <w:p w14:paraId="30921BAD">
                  <w:pPr>
                    <w:jc w:val="center"/>
                    <w:rPr>
                      <w:rFonts w:cs="Times New Roman"/>
                      <w:szCs w:val="21"/>
                    </w:rPr>
                  </w:pPr>
                  <w:r>
                    <w:rPr>
                      <w:rFonts w:cs="Times New Roman"/>
                      <w:szCs w:val="21"/>
                    </w:rPr>
                    <w:t>30.575914</w:t>
                  </w:r>
                </w:p>
              </w:tc>
              <w:tc>
                <w:tcPr>
                  <w:tcW w:w="600" w:type="pct"/>
                  <w:vAlign w:val="center"/>
                </w:tcPr>
                <w:p w14:paraId="703C9AC7">
                  <w:pPr>
                    <w:jc w:val="center"/>
                    <w:rPr>
                      <w:rFonts w:cstheme="minorHAnsi"/>
                      <w:szCs w:val="21"/>
                    </w:rPr>
                  </w:pPr>
                  <w:r>
                    <w:rPr>
                      <w:rFonts w:hint="eastAsia" w:cstheme="minorHAnsi"/>
                      <w:szCs w:val="21"/>
                    </w:rPr>
                    <w:t>东南</w:t>
                  </w:r>
                </w:p>
              </w:tc>
              <w:tc>
                <w:tcPr>
                  <w:tcW w:w="723" w:type="pct"/>
                  <w:vAlign w:val="center"/>
                </w:tcPr>
                <w:p w14:paraId="600AC9D0">
                  <w:pPr>
                    <w:jc w:val="center"/>
                    <w:rPr>
                      <w:rFonts w:cstheme="minorHAnsi"/>
                      <w:szCs w:val="21"/>
                    </w:rPr>
                  </w:pPr>
                  <w:r>
                    <w:rPr>
                      <w:rFonts w:hint="eastAsia" w:cstheme="minorHAnsi"/>
                      <w:szCs w:val="21"/>
                    </w:rPr>
                    <w:t>2343</w:t>
                  </w:r>
                </w:p>
              </w:tc>
            </w:tr>
            <w:tr w14:paraId="52B2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Align w:val="center"/>
                </w:tcPr>
                <w:p w14:paraId="44DC961D">
                  <w:pPr>
                    <w:jc w:val="center"/>
                    <w:rPr>
                      <w:rFonts w:cstheme="minorHAnsi"/>
                      <w:szCs w:val="21"/>
                    </w:rPr>
                  </w:pPr>
                  <w:r>
                    <w:rPr>
                      <w:rFonts w:hint="eastAsia" w:cstheme="minorHAnsi"/>
                      <w:szCs w:val="21"/>
                    </w:rPr>
                    <w:t>2#</w:t>
                  </w:r>
                </w:p>
              </w:tc>
              <w:tc>
                <w:tcPr>
                  <w:tcW w:w="1616" w:type="pct"/>
                  <w:vAlign w:val="center"/>
                </w:tcPr>
                <w:p w14:paraId="5D77B624">
                  <w:pPr>
                    <w:jc w:val="center"/>
                    <w:rPr>
                      <w:rFonts w:cstheme="minorHAnsi"/>
                      <w:szCs w:val="21"/>
                    </w:rPr>
                  </w:pPr>
                  <w:r>
                    <w:rPr>
                      <w:rFonts w:hint="eastAsia" w:cstheme="minorHAnsi"/>
                      <w:szCs w:val="21"/>
                    </w:rPr>
                    <w:t>红旗村</w:t>
                  </w:r>
                </w:p>
              </w:tc>
              <w:tc>
                <w:tcPr>
                  <w:tcW w:w="828" w:type="pct"/>
                  <w:vAlign w:val="center"/>
                </w:tcPr>
                <w:p w14:paraId="54937A96">
                  <w:pPr>
                    <w:jc w:val="center"/>
                    <w:rPr>
                      <w:rFonts w:cs="Times New Roman"/>
                      <w:szCs w:val="21"/>
                    </w:rPr>
                  </w:pPr>
                  <w:r>
                    <w:rPr>
                      <w:rFonts w:cs="Times New Roman"/>
                      <w:szCs w:val="21"/>
                    </w:rPr>
                    <w:t>105.293226</w:t>
                  </w:r>
                </w:p>
              </w:tc>
              <w:tc>
                <w:tcPr>
                  <w:tcW w:w="828" w:type="pct"/>
                  <w:vAlign w:val="center"/>
                </w:tcPr>
                <w:p w14:paraId="38D2C1D5">
                  <w:pPr>
                    <w:jc w:val="center"/>
                    <w:rPr>
                      <w:rFonts w:cs="Times New Roman"/>
                      <w:szCs w:val="21"/>
                    </w:rPr>
                  </w:pPr>
                  <w:r>
                    <w:rPr>
                      <w:rFonts w:cs="Times New Roman"/>
                      <w:szCs w:val="21"/>
                    </w:rPr>
                    <w:t>30.572681</w:t>
                  </w:r>
                </w:p>
              </w:tc>
              <w:tc>
                <w:tcPr>
                  <w:tcW w:w="600" w:type="pct"/>
                  <w:vAlign w:val="center"/>
                </w:tcPr>
                <w:p w14:paraId="0862CD18">
                  <w:pPr>
                    <w:jc w:val="center"/>
                    <w:rPr>
                      <w:rFonts w:cstheme="minorHAnsi"/>
                      <w:szCs w:val="21"/>
                    </w:rPr>
                  </w:pPr>
                  <w:r>
                    <w:rPr>
                      <w:rFonts w:hint="eastAsia" w:cstheme="minorHAnsi"/>
                      <w:szCs w:val="21"/>
                    </w:rPr>
                    <w:t>东南</w:t>
                  </w:r>
                </w:p>
              </w:tc>
              <w:tc>
                <w:tcPr>
                  <w:tcW w:w="723" w:type="pct"/>
                  <w:vAlign w:val="center"/>
                </w:tcPr>
                <w:p w14:paraId="5162B47C">
                  <w:pPr>
                    <w:jc w:val="center"/>
                    <w:rPr>
                      <w:rFonts w:cstheme="minorHAnsi"/>
                      <w:szCs w:val="21"/>
                    </w:rPr>
                  </w:pPr>
                  <w:r>
                    <w:rPr>
                      <w:rFonts w:hint="eastAsia" w:cstheme="minorHAnsi"/>
                      <w:szCs w:val="21"/>
                    </w:rPr>
                    <w:t>2303</w:t>
                  </w:r>
                </w:p>
              </w:tc>
            </w:tr>
          </w:tbl>
          <w:p w14:paraId="5CA8B591">
            <w:pPr>
              <w:spacing w:line="360" w:lineRule="auto"/>
              <w:ind w:firstLine="482" w:firstLineChars="200"/>
              <w:rPr>
                <w:rFonts w:cs="Times New Roman"/>
                <w:b/>
                <w:sz w:val="24"/>
              </w:rPr>
            </w:pPr>
            <w:r>
              <w:rPr>
                <w:rFonts w:hint="eastAsia" w:cs="Times New Roman"/>
                <w:b/>
                <w:sz w:val="24"/>
              </w:rPr>
              <w:t>②监测因子</w:t>
            </w:r>
          </w:p>
          <w:p w14:paraId="4F4A5C42">
            <w:pPr>
              <w:spacing w:line="360" w:lineRule="auto"/>
              <w:ind w:firstLine="480" w:firstLineChars="200"/>
              <w:rPr>
                <w:sz w:val="24"/>
                <w:szCs w:val="24"/>
              </w:rPr>
            </w:pPr>
            <w:r>
              <w:rPr>
                <w:rFonts w:hint="eastAsia"/>
                <w:sz w:val="24"/>
                <w:szCs w:val="24"/>
              </w:rPr>
              <w:t>TVOC。</w:t>
            </w:r>
          </w:p>
          <w:p w14:paraId="72C22EFC">
            <w:pPr>
              <w:spacing w:line="360" w:lineRule="auto"/>
              <w:ind w:firstLine="482" w:firstLineChars="200"/>
              <w:rPr>
                <w:rFonts w:cs="Times New Roman"/>
                <w:b/>
                <w:sz w:val="24"/>
              </w:rPr>
            </w:pPr>
            <w:r>
              <w:rPr>
                <w:rFonts w:hint="eastAsia" w:cs="Times New Roman"/>
                <w:b/>
                <w:sz w:val="24"/>
              </w:rPr>
              <w:t>③监测时段</w:t>
            </w:r>
          </w:p>
          <w:p w14:paraId="1E915FAD">
            <w:pPr>
              <w:spacing w:line="360" w:lineRule="auto"/>
              <w:ind w:firstLine="480"/>
              <w:rPr>
                <w:sz w:val="24"/>
                <w:szCs w:val="24"/>
              </w:rPr>
            </w:pPr>
            <w:r>
              <w:rPr>
                <w:rFonts w:hint="eastAsia" w:cs="Times New Roman"/>
                <w:sz w:val="24"/>
                <w:szCs w:val="24"/>
              </w:rPr>
              <w:t>2023年4月22日~28日</w:t>
            </w:r>
            <w:r>
              <w:rPr>
                <w:rFonts w:hint="eastAsia"/>
                <w:sz w:val="24"/>
                <w:szCs w:val="24"/>
              </w:rPr>
              <w:t>，共</w:t>
            </w:r>
            <w:r>
              <w:rPr>
                <w:sz w:val="24"/>
                <w:szCs w:val="24"/>
              </w:rPr>
              <w:t>7</w:t>
            </w:r>
            <w:r>
              <w:rPr>
                <w:rFonts w:hint="eastAsia"/>
                <w:sz w:val="24"/>
                <w:szCs w:val="24"/>
              </w:rPr>
              <w:t>天。</w:t>
            </w:r>
          </w:p>
          <w:p w14:paraId="4A103980">
            <w:pPr>
              <w:spacing w:line="360" w:lineRule="auto"/>
              <w:ind w:firstLine="482" w:firstLineChars="200"/>
              <w:rPr>
                <w:rFonts w:cs="Times New Roman"/>
                <w:b/>
                <w:sz w:val="24"/>
              </w:rPr>
            </w:pPr>
            <w:r>
              <w:rPr>
                <w:rFonts w:hint="eastAsia" w:cs="Times New Roman"/>
                <w:b/>
                <w:sz w:val="24"/>
              </w:rPr>
              <w:t>④监测结果</w:t>
            </w:r>
          </w:p>
          <w:p w14:paraId="6B7AD28B">
            <w:pPr>
              <w:spacing w:line="360" w:lineRule="auto"/>
              <w:ind w:firstLine="480" w:firstLineChars="200"/>
              <w:rPr>
                <w:sz w:val="24"/>
                <w:szCs w:val="24"/>
              </w:rPr>
            </w:pPr>
            <w:r>
              <w:rPr>
                <w:sz w:val="24"/>
                <w:szCs w:val="24"/>
              </w:rPr>
              <w:t>区域</w:t>
            </w:r>
            <w:r>
              <w:rPr>
                <w:rFonts w:hint="eastAsia"/>
                <w:sz w:val="24"/>
                <w:szCs w:val="24"/>
              </w:rPr>
              <w:t>其他</w:t>
            </w:r>
            <w:r>
              <w:rPr>
                <w:sz w:val="24"/>
                <w:szCs w:val="24"/>
              </w:rPr>
              <w:t>污染物现状监测结果</w:t>
            </w:r>
            <w:r>
              <w:rPr>
                <w:rFonts w:cs="Times New Roman"/>
                <w:sz w:val="24"/>
              </w:rPr>
              <w:t>见</w:t>
            </w:r>
            <w:r>
              <w:rPr>
                <w:rFonts w:hint="eastAsia" w:cs="Times New Roman"/>
                <w:sz w:val="24"/>
              </w:rPr>
              <w:t>下表</w:t>
            </w:r>
            <w:r>
              <w:rPr>
                <w:rFonts w:hint="eastAsia"/>
                <w:sz w:val="24"/>
                <w:szCs w:val="24"/>
              </w:rPr>
              <w:t>。</w:t>
            </w:r>
          </w:p>
          <w:p w14:paraId="3F41D7F7">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其他污染物现状监测结果</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196"/>
              <w:gridCol w:w="1008"/>
              <w:gridCol w:w="1010"/>
              <w:gridCol w:w="1008"/>
              <w:gridCol w:w="1010"/>
              <w:gridCol w:w="1008"/>
              <w:gridCol w:w="1010"/>
              <w:gridCol w:w="1006"/>
            </w:tblGrid>
            <w:tr w14:paraId="5583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restart"/>
                  <w:vAlign w:val="center"/>
                </w:tcPr>
                <w:p w14:paraId="35BC8051">
                  <w:pPr>
                    <w:jc w:val="center"/>
                    <w:rPr>
                      <w:rFonts w:cs="Times New Roman"/>
                      <w:szCs w:val="21"/>
                    </w:rPr>
                  </w:pPr>
                  <w:r>
                    <w:rPr>
                      <w:rFonts w:cs="Times New Roman"/>
                      <w:szCs w:val="21"/>
                    </w:rPr>
                    <w:t>监测点位</w:t>
                  </w:r>
                </w:p>
              </w:tc>
              <w:tc>
                <w:tcPr>
                  <w:tcW w:w="654" w:type="pct"/>
                  <w:vMerge w:val="restart"/>
                  <w:vAlign w:val="center"/>
                </w:tcPr>
                <w:p w14:paraId="1B936F8E">
                  <w:pPr>
                    <w:jc w:val="center"/>
                    <w:rPr>
                      <w:rFonts w:cs="Times New Roman"/>
                      <w:szCs w:val="21"/>
                    </w:rPr>
                  </w:pPr>
                  <w:r>
                    <w:rPr>
                      <w:rFonts w:hint="eastAsia" w:cs="Times New Roman"/>
                      <w:szCs w:val="21"/>
                    </w:rPr>
                    <w:t>监测因子</w:t>
                  </w:r>
                </w:p>
              </w:tc>
              <w:tc>
                <w:tcPr>
                  <w:tcW w:w="3859" w:type="pct"/>
                  <w:gridSpan w:val="7"/>
                  <w:vAlign w:val="center"/>
                </w:tcPr>
                <w:p w14:paraId="022B630C">
                  <w:pPr>
                    <w:jc w:val="center"/>
                    <w:rPr>
                      <w:rFonts w:cs="Times New Roman"/>
                      <w:szCs w:val="21"/>
                    </w:rPr>
                  </w:pPr>
                  <w:r>
                    <w:rPr>
                      <w:rFonts w:cs="Times New Roman"/>
                      <w:szCs w:val="21"/>
                    </w:rPr>
                    <w:t>监测结果（</w:t>
                  </w:r>
                  <w:r>
                    <w:rPr>
                      <w:rFonts w:hint="eastAsia" w:cs="Times New Roman"/>
                      <w:szCs w:val="21"/>
                      <w:lang w:eastAsia="zh-CN"/>
                    </w:rPr>
                    <w:t>μg/m3</w:t>
                  </w:r>
                  <w:r>
                    <w:rPr>
                      <w:rFonts w:cs="Times New Roman"/>
                      <w:szCs w:val="21"/>
                    </w:rPr>
                    <w:t>）</w:t>
                  </w:r>
                </w:p>
              </w:tc>
            </w:tr>
            <w:tr w14:paraId="45D22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87" w:type="pct"/>
                  <w:vMerge w:val="continue"/>
                  <w:vAlign w:val="center"/>
                </w:tcPr>
                <w:p w14:paraId="2D6A78D3">
                  <w:pPr>
                    <w:jc w:val="center"/>
                    <w:rPr>
                      <w:rFonts w:cs="Times New Roman"/>
                      <w:szCs w:val="21"/>
                    </w:rPr>
                  </w:pPr>
                </w:p>
              </w:tc>
              <w:tc>
                <w:tcPr>
                  <w:tcW w:w="654" w:type="pct"/>
                  <w:vMerge w:val="continue"/>
                  <w:vAlign w:val="center"/>
                </w:tcPr>
                <w:p w14:paraId="68AA11B0">
                  <w:pPr>
                    <w:jc w:val="center"/>
                    <w:rPr>
                      <w:rFonts w:cs="Times New Roman"/>
                      <w:szCs w:val="21"/>
                    </w:rPr>
                  </w:pPr>
                </w:p>
              </w:tc>
              <w:tc>
                <w:tcPr>
                  <w:tcW w:w="551" w:type="pct"/>
                  <w:vAlign w:val="center"/>
                </w:tcPr>
                <w:p w14:paraId="5F758160">
                  <w:pPr>
                    <w:jc w:val="center"/>
                    <w:rPr>
                      <w:rFonts w:cs="Times New Roman"/>
                      <w:szCs w:val="21"/>
                    </w:rPr>
                  </w:pPr>
                  <w:r>
                    <w:rPr>
                      <w:rFonts w:hint="eastAsia" w:cs="Times New Roman"/>
                      <w:szCs w:val="21"/>
                    </w:rPr>
                    <w:t>4.22</w:t>
                  </w:r>
                </w:p>
              </w:tc>
              <w:tc>
                <w:tcPr>
                  <w:tcW w:w="552" w:type="pct"/>
                  <w:vAlign w:val="center"/>
                </w:tcPr>
                <w:p w14:paraId="39F1240E">
                  <w:pPr>
                    <w:jc w:val="center"/>
                    <w:rPr>
                      <w:rFonts w:cs="Times New Roman"/>
                      <w:szCs w:val="21"/>
                    </w:rPr>
                  </w:pPr>
                  <w:r>
                    <w:rPr>
                      <w:rFonts w:hint="eastAsia" w:cs="Times New Roman"/>
                      <w:szCs w:val="21"/>
                    </w:rPr>
                    <w:t>4.23</w:t>
                  </w:r>
                </w:p>
              </w:tc>
              <w:tc>
                <w:tcPr>
                  <w:tcW w:w="551" w:type="pct"/>
                  <w:vAlign w:val="center"/>
                </w:tcPr>
                <w:p w14:paraId="7301014D">
                  <w:pPr>
                    <w:jc w:val="center"/>
                    <w:rPr>
                      <w:rFonts w:cs="Times New Roman"/>
                      <w:szCs w:val="21"/>
                    </w:rPr>
                  </w:pPr>
                  <w:r>
                    <w:rPr>
                      <w:rFonts w:hint="eastAsia" w:cs="Times New Roman"/>
                      <w:szCs w:val="21"/>
                    </w:rPr>
                    <w:t>4.24</w:t>
                  </w:r>
                </w:p>
              </w:tc>
              <w:tc>
                <w:tcPr>
                  <w:tcW w:w="552" w:type="pct"/>
                  <w:vAlign w:val="center"/>
                </w:tcPr>
                <w:p w14:paraId="089BED79">
                  <w:pPr>
                    <w:jc w:val="center"/>
                    <w:rPr>
                      <w:rFonts w:cs="Times New Roman"/>
                      <w:szCs w:val="21"/>
                    </w:rPr>
                  </w:pPr>
                  <w:r>
                    <w:rPr>
                      <w:rFonts w:hint="eastAsia" w:cs="Times New Roman"/>
                      <w:szCs w:val="21"/>
                    </w:rPr>
                    <w:t>4.25</w:t>
                  </w:r>
                </w:p>
              </w:tc>
              <w:tc>
                <w:tcPr>
                  <w:tcW w:w="551" w:type="pct"/>
                  <w:vAlign w:val="center"/>
                </w:tcPr>
                <w:p w14:paraId="60F1F03B">
                  <w:pPr>
                    <w:jc w:val="center"/>
                    <w:rPr>
                      <w:rFonts w:cs="Times New Roman"/>
                      <w:szCs w:val="21"/>
                    </w:rPr>
                  </w:pPr>
                  <w:r>
                    <w:rPr>
                      <w:rFonts w:hint="eastAsia" w:cs="Times New Roman"/>
                      <w:szCs w:val="21"/>
                    </w:rPr>
                    <w:t>4.26</w:t>
                  </w:r>
                </w:p>
              </w:tc>
              <w:tc>
                <w:tcPr>
                  <w:tcW w:w="552" w:type="pct"/>
                  <w:vAlign w:val="center"/>
                </w:tcPr>
                <w:p w14:paraId="3C99E6E5">
                  <w:pPr>
                    <w:jc w:val="center"/>
                    <w:rPr>
                      <w:rFonts w:cs="Times New Roman"/>
                      <w:szCs w:val="21"/>
                    </w:rPr>
                  </w:pPr>
                  <w:r>
                    <w:rPr>
                      <w:rFonts w:hint="eastAsia" w:cs="Times New Roman"/>
                      <w:szCs w:val="21"/>
                    </w:rPr>
                    <w:t>4.27</w:t>
                  </w:r>
                </w:p>
              </w:tc>
              <w:tc>
                <w:tcPr>
                  <w:tcW w:w="550" w:type="pct"/>
                  <w:vAlign w:val="center"/>
                </w:tcPr>
                <w:p w14:paraId="773BA266">
                  <w:pPr>
                    <w:jc w:val="center"/>
                    <w:rPr>
                      <w:rFonts w:cs="Times New Roman"/>
                      <w:szCs w:val="21"/>
                    </w:rPr>
                  </w:pPr>
                  <w:r>
                    <w:rPr>
                      <w:rFonts w:hint="eastAsia" w:cs="Times New Roman"/>
                      <w:szCs w:val="21"/>
                    </w:rPr>
                    <w:t>4.28</w:t>
                  </w:r>
                </w:p>
              </w:tc>
            </w:tr>
            <w:tr w14:paraId="3F17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293AD12D">
                  <w:pPr>
                    <w:jc w:val="center"/>
                    <w:rPr>
                      <w:rFonts w:cs="Times New Roman"/>
                      <w:szCs w:val="21"/>
                    </w:rPr>
                  </w:pPr>
                  <w:r>
                    <w:rPr>
                      <w:rFonts w:cs="Times New Roman"/>
                      <w:szCs w:val="21"/>
                    </w:rPr>
                    <w:t>1#</w:t>
                  </w:r>
                </w:p>
              </w:tc>
              <w:tc>
                <w:tcPr>
                  <w:tcW w:w="654" w:type="pct"/>
                  <w:vAlign w:val="center"/>
                </w:tcPr>
                <w:p w14:paraId="50777B85">
                  <w:pPr>
                    <w:jc w:val="center"/>
                    <w:rPr>
                      <w:rFonts w:cs="Times New Roman"/>
                      <w:szCs w:val="21"/>
                    </w:rPr>
                  </w:pPr>
                  <w:r>
                    <w:rPr>
                      <w:rFonts w:hint="eastAsia" w:cs="Times New Roman"/>
                      <w:szCs w:val="21"/>
                    </w:rPr>
                    <w:t>TVOC</w:t>
                  </w:r>
                </w:p>
              </w:tc>
              <w:tc>
                <w:tcPr>
                  <w:tcW w:w="551" w:type="pct"/>
                  <w:vAlign w:val="center"/>
                </w:tcPr>
                <w:p w14:paraId="12CA84CC">
                  <w:pPr>
                    <w:jc w:val="center"/>
                    <w:rPr>
                      <w:rFonts w:cs="Times New Roman"/>
                      <w:szCs w:val="21"/>
                    </w:rPr>
                  </w:pPr>
                  <w:r>
                    <w:rPr>
                      <w:rFonts w:hint="eastAsia" w:cs="Times New Roman"/>
                      <w:szCs w:val="21"/>
                    </w:rPr>
                    <w:t>未检出</w:t>
                  </w:r>
                </w:p>
              </w:tc>
              <w:tc>
                <w:tcPr>
                  <w:tcW w:w="552" w:type="pct"/>
                  <w:vAlign w:val="center"/>
                </w:tcPr>
                <w:p w14:paraId="7E5533AA">
                  <w:pPr>
                    <w:jc w:val="center"/>
                    <w:rPr>
                      <w:rFonts w:cs="Times New Roman"/>
                      <w:szCs w:val="21"/>
                    </w:rPr>
                  </w:pPr>
                  <w:r>
                    <w:rPr>
                      <w:rFonts w:hint="eastAsia" w:cs="Times New Roman"/>
                      <w:szCs w:val="21"/>
                    </w:rPr>
                    <w:t>未检出</w:t>
                  </w:r>
                </w:p>
              </w:tc>
              <w:tc>
                <w:tcPr>
                  <w:tcW w:w="551" w:type="pct"/>
                  <w:vAlign w:val="center"/>
                </w:tcPr>
                <w:p w14:paraId="25ABEB62">
                  <w:pPr>
                    <w:jc w:val="center"/>
                    <w:rPr>
                      <w:rFonts w:cs="Times New Roman"/>
                      <w:szCs w:val="21"/>
                    </w:rPr>
                  </w:pPr>
                  <w:r>
                    <w:rPr>
                      <w:rFonts w:hint="eastAsia" w:cs="Times New Roman"/>
                      <w:szCs w:val="21"/>
                    </w:rPr>
                    <w:t>40.3</w:t>
                  </w:r>
                </w:p>
              </w:tc>
              <w:tc>
                <w:tcPr>
                  <w:tcW w:w="552" w:type="pct"/>
                  <w:vAlign w:val="center"/>
                </w:tcPr>
                <w:p w14:paraId="4F71D45C">
                  <w:pPr>
                    <w:jc w:val="center"/>
                    <w:rPr>
                      <w:rFonts w:cs="Times New Roman"/>
                      <w:szCs w:val="21"/>
                    </w:rPr>
                  </w:pPr>
                  <w:r>
                    <w:rPr>
                      <w:rFonts w:hint="eastAsia" w:cs="Times New Roman"/>
                      <w:szCs w:val="21"/>
                    </w:rPr>
                    <w:t>27.7</w:t>
                  </w:r>
                </w:p>
              </w:tc>
              <w:tc>
                <w:tcPr>
                  <w:tcW w:w="551" w:type="pct"/>
                </w:tcPr>
                <w:p w14:paraId="5CECAB61">
                  <w:pPr>
                    <w:jc w:val="center"/>
                    <w:rPr>
                      <w:rFonts w:cs="Times New Roman"/>
                      <w:szCs w:val="21"/>
                    </w:rPr>
                  </w:pPr>
                  <w:r>
                    <w:rPr>
                      <w:rFonts w:hint="eastAsia" w:cs="Times New Roman"/>
                      <w:szCs w:val="21"/>
                    </w:rPr>
                    <w:t>未检出</w:t>
                  </w:r>
                </w:p>
              </w:tc>
              <w:tc>
                <w:tcPr>
                  <w:tcW w:w="552" w:type="pct"/>
                </w:tcPr>
                <w:p w14:paraId="7E779FE5">
                  <w:pPr>
                    <w:jc w:val="center"/>
                    <w:rPr>
                      <w:rFonts w:cs="Times New Roman"/>
                      <w:szCs w:val="21"/>
                    </w:rPr>
                  </w:pPr>
                  <w:r>
                    <w:rPr>
                      <w:rFonts w:hint="eastAsia" w:cs="Times New Roman"/>
                      <w:szCs w:val="21"/>
                    </w:rPr>
                    <w:t>未检出</w:t>
                  </w:r>
                </w:p>
              </w:tc>
              <w:tc>
                <w:tcPr>
                  <w:tcW w:w="550" w:type="pct"/>
                </w:tcPr>
                <w:p w14:paraId="4E3E1777">
                  <w:pPr>
                    <w:jc w:val="center"/>
                    <w:rPr>
                      <w:rFonts w:cs="Times New Roman"/>
                      <w:szCs w:val="21"/>
                    </w:rPr>
                  </w:pPr>
                  <w:r>
                    <w:rPr>
                      <w:rFonts w:hint="eastAsia" w:cs="Times New Roman"/>
                      <w:szCs w:val="21"/>
                    </w:rPr>
                    <w:t>未检出</w:t>
                  </w:r>
                </w:p>
              </w:tc>
            </w:tr>
            <w:tr w14:paraId="1DD7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7" w:type="pct"/>
                  <w:vAlign w:val="center"/>
                </w:tcPr>
                <w:p w14:paraId="734316B0">
                  <w:pPr>
                    <w:jc w:val="center"/>
                    <w:rPr>
                      <w:rFonts w:cs="Times New Roman"/>
                      <w:szCs w:val="21"/>
                    </w:rPr>
                  </w:pPr>
                  <w:r>
                    <w:rPr>
                      <w:rFonts w:hint="eastAsia" w:cs="Times New Roman"/>
                      <w:szCs w:val="21"/>
                    </w:rPr>
                    <w:t>2#</w:t>
                  </w:r>
                </w:p>
              </w:tc>
              <w:tc>
                <w:tcPr>
                  <w:tcW w:w="654" w:type="pct"/>
                  <w:vAlign w:val="center"/>
                </w:tcPr>
                <w:p w14:paraId="6FCA61E2">
                  <w:pPr>
                    <w:jc w:val="center"/>
                    <w:rPr>
                      <w:rFonts w:cs="Times New Roman"/>
                      <w:szCs w:val="21"/>
                    </w:rPr>
                  </w:pPr>
                  <w:r>
                    <w:rPr>
                      <w:rFonts w:hint="eastAsia" w:cs="Times New Roman"/>
                      <w:szCs w:val="21"/>
                    </w:rPr>
                    <w:t>TVOC</w:t>
                  </w:r>
                </w:p>
              </w:tc>
              <w:tc>
                <w:tcPr>
                  <w:tcW w:w="551" w:type="pct"/>
                  <w:vAlign w:val="center"/>
                </w:tcPr>
                <w:p w14:paraId="421A165C">
                  <w:pPr>
                    <w:jc w:val="center"/>
                    <w:rPr>
                      <w:rFonts w:cs="Times New Roman"/>
                      <w:szCs w:val="21"/>
                    </w:rPr>
                  </w:pPr>
                  <w:r>
                    <w:rPr>
                      <w:rFonts w:hint="eastAsia" w:cs="Times New Roman"/>
                      <w:szCs w:val="21"/>
                    </w:rPr>
                    <w:t>未检出</w:t>
                  </w:r>
                </w:p>
              </w:tc>
              <w:tc>
                <w:tcPr>
                  <w:tcW w:w="552" w:type="pct"/>
                  <w:vAlign w:val="center"/>
                </w:tcPr>
                <w:p w14:paraId="7DD8999D">
                  <w:pPr>
                    <w:jc w:val="center"/>
                    <w:rPr>
                      <w:rFonts w:cs="Times New Roman"/>
                      <w:szCs w:val="21"/>
                    </w:rPr>
                  </w:pPr>
                  <w:r>
                    <w:rPr>
                      <w:rFonts w:hint="eastAsia" w:cs="Times New Roman"/>
                      <w:szCs w:val="21"/>
                    </w:rPr>
                    <w:t>23.4</w:t>
                  </w:r>
                </w:p>
              </w:tc>
              <w:tc>
                <w:tcPr>
                  <w:tcW w:w="551" w:type="pct"/>
                  <w:vAlign w:val="center"/>
                </w:tcPr>
                <w:p w14:paraId="798A2633">
                  <w:pPr>
                    <w:jc w:val="center"/>
                    <w:rPr>
                      <w:rFonts w:cs="Times New Roman"/>
                      <w:szCs w:val="21"/>
                    </w:rPr>
                  </w:pPr>
                  <w:r>
                    <w:rPr>
                      <w:rFonts w:hint="eastAsia" w:cs="Times New Roman"/>
                      <w:szCs w:val="21"/>
                    </w:rPr>
                    <w:t>65.3</w:t>
                  </w:r>
                </w:p>
              </w:tc>
              <w:tc>
                <w:tcPr>
                  <w:tcW w:w="552" w:type="pct"/>
                  <w:vAlign w:val="center"/>
                </w:tcPr>
                <w:p w14:paraId="43E870A2">
                  <w:pPr>
                    <w:jc w:val="center"/>
                    <w:rPr>
                      <w:rFonts w:cs="Times New Roman"/>
                      <w:szCs w:val="21"/>
                    </w:rPr>
                  </w:pPr>
                  <w:r>
                    <w:rPr>
                      <w:rFonts w:hint="eastAsia" w:cs="Times New Roman"/>
                      <w:szCs w:val="21"/>
                    </w:rPr>
                    <w:t>9.4</w:t>
                  </w:r>
                </w:p>
              </w:tc>
              <w:tc>
                <w:tcPr>
                  <w:tcW w:w="551" w:type="pct"/>
                </w:tcPr>
                <w:p w14:paraId="4735C54D">
                  <w:pPr>
                    <w:jc w:val="center"/>
                    <w:rPr>
                      <w:rFonts w:cs="Times New Roman"/>
                      <w:szCs w:val="21"/>
                    </w:rPr>
                  </w:pPr>
                  <w:r>
                    <w:rPr>
                      <w:rFonts w:hint="eastAsia" w:cs="Times New Roman"/>
                      <w:szCs w:val="21"/>
                    </w:rPr>
                    <w:t>未检出</w:t>
                  </w:r>
                </w:p>
              </w:tc>
              <w:tc>
                <w:tcPr>
                  <w:tcW w:w="552" w:type="pct"/>
                </w:tcPr>
                <w:p w14:paraId="74DEFBA1">
                  <w:pPr>
                    <w:jc w:val="center"/>
                    <w:rPr>
                      <w:rFonts w:cs="Times New Roman"/>
                      <w:szCs w:val="21"/>
                    </w:rPr>
                  </w:pPr>
                  <w:r>
                    <w:rPr>
                      <w:rFonts w:hint="eastAsia" w:cs="Times New Roman"/>
                      <w:szCs w:val="21"/>
                    </w:rPr>
                    <w:t>未检出</w:t>
                  </w:r>
                </w:p>
              </w:tc>
              <w:tc>
                <w:tcPr>
                  <w:tcW w:w="550" w:type="pct"/>
                </w:tcPr>
                <w:p w14:paraId="29683578">
                  <w:pPr>
                    <w:jc w:val="center"/>
                    <w:rPr>
                      <w:rFonts w:cs="Times New Roman"/>
                      <w:szCs w:val="21"/>
                    </w:rPr>
                  </w:pPr>
                  <w:r>
                    <w:rPr>
                      <w:rFonts w:hint="eastAsia" w:cs="Times New Roman"/>
                      <w:szCs w:val="21"/>
                    </w:rPr>
                    <w:t>未检出</w:t>
                  </w:r>
                </w:p>
              </w:tc>
            </w:tr>
          </w:tbl>
          <w:p w14:paraId="015DE5FD">
            <w:pPr>
              <w:spacing w:line="360" w:lineRule="auto"/>
              <w:ind w:firstLine="482" w:firstLineChars="200"/>
              <w:rPr>
                <w:b/>
                <w:sz w:val="24"/>
                <w:szCs w:val="24"/>
              </w:rPr>
            </w:pPr>
            <w:r>
              <w:rPr>
                <w:b/>
                <w:sz w:val="24"/>
                <w:szCs w:val="24"/>
              </w:rPr>
              <w:t>2</w:t>
            </w:r>
            <w:r>
              <w:rPr>
                <w:rFonts w:hint="eastAsia"/>
                <w:b/>
                <w:sz w:val="24"/>
                <w:szCs w:val="24"/>
              </w:rPr>
              <w:t>）其他污染物现状评价</w:t>
            </w:r>
          </w:p>
          <w:p w14:paraId="0A4CD4FC">
            <w:pPr>
              <w:spacing w:line="360" w:lineRule="auto"/>
              <w:ind w:firstLine="482" w:firstLineChars="200"/>
              <w:rPr>
                <w:b/>
                <w:sz w:val="24"/>
                <w:szCs w:val="24"/>
              </w:rPr>
            </w:pPr>
            <w:r>
              <w:rPr>
                <w:rFonts w:hint="eastAsia"/>
                <w:b/>
                <w:sz w:val="24"/>
                <w:szCs w:val="24"/>
              </w:rPr>
              <w:t>①评价因子</w:t>
            </w:r>
          </w:p>
          <w:p w14:paraId="40937242">
            <w:pPr>
              <w:spacing w:line="360" w:lineRule="auto"/>
              <w:ind w:firstLine="480" w:firstLineChars="200"/>
              <w:rPr>
                <w:sz w:val="24"/>
                <w:szCs w:val="24"/>
              </w:rPr>
            </w:pPr>
            <w:r>
              <w:rPr>
                <w:rFonts w:hint="eastAsia"/>
                <w:sz w:val="24"/>
                <w:szCs w:val="24"/>
              </w:rPr>
              <w:t>TVOC。</w:t>
            </w:r>
          </w:p>
          <w:p w14:paraId="7393217B">
            <w:pPr>
              <w:spacing w:line="360" w:lineRule="auto"/>
              <w:ind w:firstLine="482" w:firstLineChars="200"/>
              <w:rPr>
                <w:rFonts w:cs="Times New Roman"/>
                <w:b/>
                <w:sz w:val="24"/>
              </w:rPr>
            </w:pPr>
            <w:r>
              <w:rPr>
                <w:rFonts w:hint="eastAsia" w:cs="Times New Roman"/>
                <w:b/>
                <w:sz w:val="24"/>
              </w:rPr>
              <w:t>②评价标准</w:t>
            </w:r>
          </w:p>
          <w:p w14:paraId="6E786990">
            <w:pPr>
              <w:spacing w:line="360" w:lineRule="auto"/>
              <w:ind w:firstLine="480" w:firstLineChars="200"/>
              <w:rPr>
                <w:sz w:val="24"/>
                <w:szCs w:val="24"/>
              </w:rPr>
            </w:pPr>
            <w:r>
              <w:rPr>
                <w:rFonts w:hint="eastAsia"/>
                <w:sz w:val="24"/>
                <w:szCs w:val="24"/>
              </w:rPr>
              <w:t>执行《环境影响评价技术导则 大气环境》（HJ2.2-2018）附录D中限值。</w:t>
            </w:r>
          </w:p>
          <w:p w14:paraId="1C769926">
            <w:pPr>
              <w:spacing w:line="360" w:lineRule="auto"/>
              <w:ind w:firstLine="482" w:firstLineChars="200"/>
              <w:rPr>
                <w:rFonts w:cs="Times New Roman"/>
                <w:b/>
                <w:sz w:val="24"/>
              </w:rPr>
            </w:pPr>
            <w:r>
              <w:rPr>
                <w:rFonts w:hint="eastAsia" w:cs="Times New Roman"/>
                <w:b/>
                <w:sz w:val="24"/>
              </w:rPr>
              <w:t>③</w:t>
            </w:r>
            <w:r>
              <w:rPr>
                <w:rFonts w:cs="Times New Roman"/>
                <w:b/>
                <w:sz w:val="24"/>
              </w:rPr>
              <w:t>评价方法</w:t>
            </w:r>
          </w:p>
          <w:p w14:paraId="0CDE0692">
            <w:pPr>
              <w:spacing w:line="360" w:lineRule="auto"/>
              <w:ind w:firstLine="480" w:firstLineChars="200"/>
              <w:rPr>
                <w:sz w:val="24"/>
              </w:rPr>
            </w:pPr>
            <w:r>
              <w:rPr>
                <w:rFonts w:hint="eastAsia"/>
                <w:sz w:val="24"/>
                <w:szCs w:val="24"/>
              </w:rPr>
              <w:t>采用</w:t>
            </w:r>
            <w:r>
              <w:rPr>
                <w:sz w:val="24"/>
              </w:rPr>
              <w:t>单项质量指数法</w:t>
            </w:r>
            <w:r>
              <w:rPr>
                <w:rFonts w:hint="eastAsia"/>
                <w:sz w:val="24"/>
              </w:rPr>
              <w:t>，</w:t>
            </w:r>
            <w:r>
              <w:rPr>
                <w:sz w:val="24"/>
              </w:rPr>
              <w:t>公式为：</w:t>
            </w:r>
          </w:p>
          <w:p w14:paraId="3CAED89F">
            <w:pPr>
              <w:spacing w:line="360" w:lineRule="auto"/>
              <w:jc w:val="center"/>
              <w:rPr>
                <w:i/>
                <w:sz w:val="24"/>
              </w:rPr>
            </w:pPr>
            <w:r>
              <w:rPr>
                <w:i/>
                <w:sz w:val="24"/>
                <w:szCs w:val="24"/>
              </w:rPr>
              <w:t>P</w:t>
            </w:r>
            <w:r>
              <w:rPr>
                <w:i/>
                <w:sz w:val="24"/>
                <w:szCs w:val="24"/>
                <w:vertAlign w:val="subscript"/>
              </w:rPr>
              <w:t>i</w:t>
            </w:r>
            <w:r>
              <w:rPr>
                <w:sz w:val="24"/>
                <w:szCs w:val="24"/>
              </w:rPr>
              <w:t xml:space="preserve"> = </w:t>
            </w:r>
            <w:r>
              <w:rPr>
                <w:i/>
                <w:sz w:val="24"/>
                <w:szCs w:val="24"/>
              </w:rPr>
              <w:t>C</w:t>
            </w:r>
            <w:r>
              <w:rPr>
                <w:i/>
                <w:sz w:val="24"/>
                <w:szCs w:val="24"/>
                <w:vertAlign w:val="subscript"/>
              </w:rPr>
              <w:t>i</w:t>
            </w:r>
            <w:r>
              <w:rPr>
                <w:sz w:val="24"/>
                <w:szCs w:val="24"/>
              </w:rPr>
              <w:t xml:space="preserve"> / </w:t>
            </w:r>
            <w:r>
              <w:rPr>
                <w:i/>
                <w:sz w:val="24"/>
                <w:szCs w:val="24"/>
              </w:rPr>
              <w:t>S</w:t>
            </w:r>
            <w:r>
              <w:rPr>
                <w:i/>
                <w:sz w:val="24"/>
                <w:szCs w:val="24"/>
                <w:vertAlign w:val="subscript"/>
              </w:rPr>
              <w:t>i</w:t>
            </w:r>
          </w:p>
          <w:p w14:paraId="1AB90D7A">
            <w:pPr>
              <w:pStyle w:val="6"/>
              <w:spacing w:after="0" w:line="360" w:lineRule="auto"/>
              <w:ind w:firstLine="480" w:firstLineChars="200"/>
              <w:rPr>
                <w:sz w:val="24"/>
              </w:rPr>
            </w:pPr>
            <w:r>
              <w:rPr>
                <w:sz w:val="24"/>
              </w:rPr>
              <w:t>式中，</w:t>
            </w:r>
            <w:r>
              <w:rPr>
                <w:i/>
                <w:sz w:val="24"/>
              </w:rPr>
              <w:t>P</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w:t>
            </w:r>
            <w:r>
              <w:rPr>
                <w:rFonts w:hint="eastAsia"/>
                <w:sz w:val="24"/>
              </w:rPr>
              <w:t>标准</w:t>
            </w:r>
            <w:r>
              <w:rPr>
                <w:sz w:val="24"/>
              </w:rPr>
              <w:t>指数</w:t>
            </w:r>
            <w:r>
              <w:rPr>
                <w:rFonts w:hint="eastAsia"/>
                <w:sz w:val="24"/>
              </w:rPr>
              <w:t>值；</w:t>
            </w:r>
          </w:p>
          <w:p w14:paraId="4846C043">
            <w:pPr>
              <w:pStyle w:val="6"/>
              <w:spacing w:after="0" w:line="360" w:lineRule="auto"/>
              <w:ind w:firstLine="1200" w:firstLineChars="500"/>
              <w:rPr>
                <w:sz w:val="24"/>
              </w:rPr>
            </w:pPr>
            <w:r>
              <w:rPr>
                <w:i/>
                <w:sz w:val="24"/>
              </w:rPr>
              <w:t>C</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污染物实测浓度值</w:t>
            </w:r>
            <w:r>
              <w:rPr>
                <w:rFonts w:hint="eastAsia"/>
                <w:sz w:val="24"/>
              </w:rPr>
              <w:t>，</w:t>
            </w:r>
            <w:r>
              <w:rPr>
                <w:sz w:val="24"/>
              </w:rPr>
              <w:t>mg/m</w:t>
            </w:r>
            <w:r>
              <w:rPr>
                <w:sz w:val="24"/>
                <w:vertAlign w:val="superscript"/>
              </w:rPr>
              <w:t>3</w:t>
            </w:r>
            <w:r>
              <w:rPr>
                <w:rFonts w:hint="eastAsia"/>
                <w:sz w:val="24"/>
              </w:rPr>
              <w:t>；</w:t>
            </w:r>
          </w:p>
          <w:p w14:paraId="5D4A93FE">
            <w:pPr>
              <w:pStyle w:val="6"/>
              <w:spacing w:after="0" w:line="360" w:lineRule="auto"/>
              <w:ind w:firstLine="1200" w:firstLineChars="500"/>
              <w:rPr>
                <w:sz w:val="24"/>
              </w:rPr>
            </w:pPr>
            <w:r>
              <w:rPr>
                <w:i/>
                <w:sz w:val="24"/>
              </w:rPr>
              <w:t>S</w:t>
            </w:r>
            <w:r>
              <w:rPr>
                <w:i/>
                <w:sz w:val="24"/>
                <w:vertAlign w:val="subscript"/>
              </w:rPr>
              <w:t>i</w:t>
            </w:r>
            <w:r>
              <w:rPr>
                <w:sz w:val="24"/>
              </w:rPr>
              <w:t>——</w:t>
            </w:r>
            <w:r>
              <w:rPr>
                <w:rFonts w:hint="eastAsia"/>
                <w:sz w:val="24"/>
              </w:rPr>
              <w:t>第</w:t>
            </w:r>
            <w:r>
              <w:rPr>
                <w:i/>
                <w:sz w:val="24"/>
              </w:rPr>
              <w:t>i</w:t>
            </w:r>
            <w:r>
              <w:rPr>
                <w:rFonts w:hint="eastAsia"/>
                <w:sz w:val="24"/>
              </w:rPr>
              <w:t>个</w:t>
            </w:r>
            <w:r>
              <w:rPr>
                <w:sz w:val="24"/>
              </w:rPr>
              <w:t>污染物评价标准</w:t>
            </w:r>
            <w:r>
              <w:rPr>
                <w:rFonts w:hint="eastAsia"/>
                <w:sz w:val="24"/>
              </w:rPr>
              <w:t>限值，</w:t>
            </w:r>
            <w:r>
              <w:rPr>
                <w:sz w:val="24"/>
              </w:rPr>
              <w:t>mg/m</w:t>
            </w:r>
            <w:r>
              <w:rPr>
                <w:sz w:val="24"/>
                <w:vertAlign w:val="superscript"/>
              </w:rPr>
              <w:t>3</w:t>
            </w:r>
            <w:r>
              <w:rPr>
                <w:sz w:val="24"/>
              </w:rPr>
              <w:t>。</w:t>
            </w:r>
          </w:p>
          <w:p w14:paraId="111C6652">
            <w:pPr>
              <w:pStyle w:val="6"/>
              <w:spacing w:after="0" w:line="360" w:lineRule="auto"/>
              <w:ind w:firstLine="1200" w:firstLineChars="500"/>
              <w:rPr>
                <w:sz w:val="24"/>
              </w:rPr>
            </w:pPr>
            <w:r>
              <w:rPr>
                <w:sz w:val="24"/>
              </w:rPr>
              <w:t>当</w:t>
            </w:r>
            <w:r>
              <w:rPr>
                <w:i/>
                <w:sz w:val="24"/>
              </w:rPr>
              <w:t>P</w:t>
            </w:r>
            <w:r>
              <w:rPr>
                <w:i/>
                <w:sz w:val="24"/>
                <w:vertAlign w:val="subscript"/>
              </w:rPr>
              <w:t>i</w:t>
            </w:r>
            <w:r>
              <w:rPr>
                <w:sz w:val="24"/>
              </w:rPr>
              <w:t>值大于1.0时，表明大气环境已受到该项评价因子所表征的污染物的污染</w:t>
            </w:r>
            <w:r>
              <w:rPr>
                <w:rFonts w:hint="eastAsia"/>
                <w:sz w:val="24"/>
              </w:rPr>
              <w:t>。</w:t>
            </w:r>
            <w:r>
              <w:rPr>
                <w:i/>
                <w:sz w:val="24"/>
              </w:rPr>
              <w:t>P</w:t>
            </w:r>
            <w:r>
              <w:rPr>
                <w:i/>
                <w:sz w:val="24"/>
                <w:vertAlign w:val="subscript"/>
              </w:rPr>
              <w:t>i</w:t>
            </w:r>
            <w:r>
              <w:rPr>
                <w:sz w:val="24"/>
              </w:rPr>
              <w:t>值越大，受污染程度越重</w:t>
            </w:r>
            <w:r>
              <w:rPr>
                <w:rFonts w:hint="eastAsia"/>
                <w:sz w:val="24"/>
              </w:rPr>
              <w:t>；</w:t>
            </w:r>
            <w:r>
              <w:rPr>
                <w:i/>
                <w:sz w:val="24"/>
              </w:rPr>
              <w:t>P</w:t>
            </w:r>
            <w:r>
              <w:rPr>
                <w:i/>
                <w:sz w:val="24"/>
                <w:vertAlign w:val="subscript"/>
              </w:rPr>
              <w:t>i</w:t>
            </w:r>
            <w:r>
              <w:rPr>
                <w:sz w:val="24"/>
              </w:rPr>
              <w:t>值越</w:t>
            </w:r>
            <w:r>
              <w:rPr>
                <w:rFonts w:hint="eastAsia"/>
                <w:sz w:val="24"/>
              </w:rPr>
              <w:t>小</w:t>
            </w:r>
            <w:r>
              <w:rPr>
                <w:sz w:val="24"/>
              </w:rPr>
              <w:t>，受污染程度越</w:t>
            </w:r>
            <w:r>
              <w:rPr>
                <w:rFonts w:hint="eastAsia"/>
                <w:sz w:val="24"/>
              </w:rPr>
              <w:t>轻。</w:t>
            </w:r>
          </w:p>
          <w:p w14:paraId="098E129D">
            <w:pPr>
              <w:spacing w:line="360" w:lineRule="auto"/>
              <w:ind w:firstLine="482" w:firstLineChars="200"/>
              <w:rPr>
                <w:rFonts w:cs="Times New Roman"/>
                <w:b/>
                <w:sz w:val="24"/>
              </w:rPr>
            </w:pPr>
            <w:r>
              <w:rPr>
                <w:rFonts w:hint="eastAsia" w:cs="Times New Roman"/>
                <w:b/>
                <w:sz w:val="24"/>
              </w:rPr>
              <w:t>④</w:t>
            </w:r>
            <w:r>
              <w:rPr>
                <w:rFonts w:cs="Times New Roman"/>
                <w:b/>
                <w:sz w:val="24"/>
              </w:rPr>
              <w:t>评价结果</w:t>
            </w:r>
          </w:p>
          <w:p w14:paraId="2A6CB4B4">
            <w:pPr>
              <w:spacing w:line="360" w:lineRule="auto"/>
              <w:ind w:firstLine="480" w:firstLineChars="200"/>
              <w:rPr>
                <w:rFonts w:cs="Times New Roman"/>
                <w:sz w:val="24"/>
              </w:rPr>
            </w:pPr>
            <w:r>
              <w:rPr>
                <w:rFonts w:cs="Times New Roman"/>
                <w:sz w:val="24"/>
              </w:rPr>
              <w:t>区域</w:t>
            </w:r>
            <w:r>
              <w:rPr>
                <w:rFonts w:hint="eastAsia" w:cs="Times New Roman"/>
                <w:sz w:val="24"/>
              </w:rPr>
              <w:t>其他污染物</w:t>
            </w:r>
            <w:r>
              <w:rPr>
                <w:rFonts w:cs="Times New Roman"/>
                <w:sz w:val="24"/>
              </w:rPr>
              <w:t>现状评价结果见</w:t>
            </w:r>
            <w:r>
              <w:rPr>
                <w:rFonts w:hint="eastAsia" w:cs="Times New Roman"/>
                <w:sz w:val="24"/>
              </w:rPr>
              <w:t>下表。</w:t>
            </w:r>
          </w:p>
          <w:p w14:paraId="58ED23F8">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其他污染物现状评价结果</w:t>
            </w:r>
          </w:p>
          <w:tbl>
            <w:tblPr>
              <w:tblStyle w:val="17"/>
              <w:tblW w:w="49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7"/>
              <w:gridCol w:w="1234"/>
              <w:gridCol w:w="1265"/>
              <w:gridCol w:w="1668"/>
              <w:gridCol w:w="1531"/>
              <w:gridCol w:w="1193"/>
              <w:gridCol w:w="1160"/>
            </w:tblGrid>
            <w:tr w14:paraId="6A9F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551" w:type="pct"/>
                  <w:vAlign w:val="center"/>
                </w:tcPr>
                <w:p w14:paraId="3B0347CD">
                  <w:pPr>
                    <w:jc w:val="center"/>
                    <w:rPr>
                      <w:rFonts w:cstheme="minorHAnsi"/>
                      <w:szCs w:val="21"/>
                    </w:rPr>
                  </w:pPr>
                  <w:r>
                    <w:rPr>
                      <w:rFonts w:hint="eastAsia" w:cstheme="minorHAnsi"/>
                      <w:szCs w:val="21"/>
                    </w:rPr>
                    <w:t>污染物</w:t>
                  </w:r>
                </w:p>
              </w:tc>
              <w:tc>
                <w:tcPr>
                  <w:tcW w:w="682" w:type="pct"/>
                  <w:vAlign w:val="center"/>
                </w:tcPr>
                <w:p w14:paraId="07E64F61">
                  <w:pPr>
                    <w:jc w:val="center"/>
                    <w:rPr>
                      <w:rFonts w:cstheme="minorHAnsi"/>
                      <w:szCs w:val="21"/>
                    </w:rPr>
                  </w:pPr>
                  <w:r>
                    <w:rPr>
                      <w:rFonts w:hint="eastAsia" w:cstheme="minorHAnsi"/>
                      <w:szCs w:val="21"/>
                    </w:rPr>
                    <w:t>平均时间</w:t>
                  </w:r>
                </w:p>
              </w:tc>
              <w:tc>
                <w:tcPr>
                  <w:tcW w:w="699" w:type="pct"/>
                  <w:vAlign w:val="center"/>
                </w:tcPr>
                <w:p w14:paraId="297FEFCA">
                  <w:pPr>
                    <w:jc w:val="center"/>
                    <w:rPr>
                      <w:rFonts w:cstheme="minorHAnsi"/>
                      <w:szCs w:val="21"/>
                    </w:rPr>
                  </w:pPr>
                  <w:r>
                    <w:rPr>
                      <w:rFonts w:hint="eastAsia" w:cstheme="minorHAnsi"/>
                      <w:szCs w:val="21"/>
                    </w:rPr>
                    <w:t>评价</w:t>
                  </w:r>
                  <w:r>
                    <w:rPr>
                      <w:rFonts w:cstheme="minorHAnsi"/>
                      <w:szCs w:val="21"/>
                    </w:rPr>
                    <w:t>标准（</w:t>
                  </w:r>
                  <w:r>
                    <w:rPr>
                      <w:rFonts w:hint="eastAsia" w:cstheme="minorHAnsi"/>
                      <w:szCs w:val="21"/>
                      <w:lang w:eastAsia="zh-CN"/>
                    </w:rPr>
                    <w:t>μg/m3</w:t>
                  </w:r>
                  <w:r>
                    <w:rPr>
                      <w:rFonts w:cstheme="minorHAnsi"/>
                      <w:szCs w:val="21"/>
                    </w:rPr>
                    <w:t>）</w:t>
                  </w:r>
                </w:p>
              </w:tc>
              <w:tc>
                <w:tcPr>
                  <w:tcW w:w="922" w:type="pct"/>
                  <w:vAlign w:val="center"/>
                </w:tcPr>
                <w:p w14:paraId="2C1EF106">
                  <w:pPr>
                    <w:jc w:val="center"/>
                    <w:rPr>
                      <w:rFonts w:cstheme="minorHAnsi"/>
                      <w:szCs w:val="21"/>
                    </w:rPr>
                  </w:pPr>
                  <w:r>
                    <w:rPr>
                      <w:rFonts w:hint="eastAsia" w:cstheme="minorHAnsi"/>
                      <w:szCs w:val="21"/>
                    </w:rPr>
                    <w:t>监测浓度范围</w:t>
                  </w:r>
                  <w:r>
                    <w:rPr>
                      <w:rFonts w:cstheme="minorHAnsi"/>
                      <w:szCs w:val="21"/>
                    </w:rPr>
                    <w:t>（</w:t>
                  </w:r>
                  <w:r>
                    <w:rPr>
                      <w:rFonts w:hint="eastAsia" w:cstheme="minorHAnsi"/>
                      <w:szCs w:val="21"/>
                      <w:lang w:eastAsia="zh-CN"/>
                    </w:rPr>
                    <w:t>μg/m3</w:t>
                  </w:r>
                  <w:r>
                    <w:rPr>
                      <w:rFonts w:cstheme="minorHAnsi"/>
                      <w:szCs w:val="21"/>
                    </w:rPr>
                    <w:t>）</w:t>
                  </w:r>
                </w:p>
              </w:tc>
              <w:tc>
                <w:tcPr>
                  <w:tcW w:w="846" w:type="pct"/>
                  <w:vAlign w:val="center"/>
                </w:tcPr>
                <w:p w14:paraId="3A114873">
                  <w:pPr>
                    <w:jc w:val="center"/>
                    <w:rPr>
                      <w:rFonts w:cstheme="minorHAnsi"/>
                      <w:szCs w:val="21"/>
                    </w:rPr>
                  </w:pPr>
                  <w:r>
                    <w:rPr>
                      <w:rFonts w:hint="eastAsia" w:cstheme="minorHAnsi"/>
                      <w:szCs w:val="21"/>
                    </w:rPr>
                    <w:t>最大浓度占标率（%）</w:t>
                  </w:r>
                </w:p>
              </w:tc>
              <w:tc>
                <w:tcPr>
                  <w:tcW w:w="659" w:type="pct"/>
                  <w:vAlign w:val="center"/>
                </w:tcPr>
                <w:p w14:paraId="44153261">
                  <w:pPr>
                    <w:jc w:val="center"/>
                    <w:rPr>
                      <w:rFonts w:cstheme="minorHAnsi"/>
                      <w:szCs w:val="21"/>
                    </w:rPr>
                  </w:pPr>
                  <w:r>
                    <w:rPr>
                      <w:rFonts w:hint="eastAsia" w:cstheme="minorHAnsi"/>
                      <w:szCs w:val="21"/>
                    </w:rPr>
                    <w:t>超标率（%）</w:t>
                  </w:r>
                </w:p>
              </w:tc>
              <w:tc>
                <w:tcPr>
                  <w:tcW w:w="641" w:type="pct"/>
                  <w:vAlign w:val="center"/>
                </w:tcPr>
                <w:p w14:paraId="7C3A7B77">
                  <w:pPr>
                    <w:jc w:val="center"/>
                    <w:rPr>
                      <w:rFonts w:cstheme="minorHAnsi"/>
                      <w:szCs w:val="21"/>
                    </w:rPr>
                  </w:pPr>
                  <w:r>
                    <w:rPr>
                      <w:rFonts w:hint="eastAsia" w:cstheme="minorHAnsi"/>
                      <w:szCs w:val="21"/>
                    </w:rPr>
                    <w:t>达标情况</w:t>
                  </w:r>
                </w:p>
              </w:tc>
            </w:tr>
            <w:tr w14:paraId="5F22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72D14AE7">
                  <w:pPr>
                    <w:jc w:val="center"/>
                    <w:rPr>
                      <w:rFonts w:cstheme="minorHAnsi"/>
                      <w:szCs w:val="21"/>
                    </w:rPr>
                  </w:pPr>
                  <w:r>
                    <w:rPr>
                      <w:rFonts w:hint="eastAsia" w:cstheme="minorHAnsi"/>
                      <w:szCs w:val="21"/>
                    </w:rPr>
                    <w:t>TVOC</w:t>
                  </w:r>
                </w:p>
              </w:tc>
              <w:tc>
                <w:tcPr>
                  <w:tcW w:w="682" w:type="pct"/>
                  <w:vAlign w:val="center"/>
                </w:tcPr>
                <w:p w14:paraId="62337D6C">
                  <w:pPr>
                    <w:jc w:val="center"/>
                    <w:rPr>
                      <w:rFonts w:cstheme="minorHAnsi"/>
                      <w:szCs w:val="21"/>
                    </w:rPr>
                  </w:pPr>
                  <w:r>
                    <w:rPr>
                      <w:rFonts w:hint="eastAsia" w:cstheme="minorHAnsi"/>
                      <w:szCs w:val="21"/>
                    </w:rPr>
                    <w:t>8h平均</w:t>
                  </w:r>
                </w:p>
              </w:tc>
              <w:tc>
                <w:tcPr>
                  <w:tcW w:w="699" w:type="pct"/>
                  <w:vAlign w:val="center"/>
                </w:tcPr>
                <w:p w14:paraId="6C5F7BA9">
                  <w:pPr>
                    <w:jc w:val="center"/>
                    <w:rPr>
                      <w:rFonts w:cstheme="minorHAnsi"/>
                      <w:szCs w:val="21"/>
                    </w:rPr>
                  </w:pPr>
                  <w:r>
                    <w:rPr>
                      <w:rFonts w:cstheme="minorHAnsi"/>
                      <w:szCs w:val="21"/>
                    </w:rPr>
                    <w:t>600</w:t>
                  </w:r>
                </w:p>
              </w:tc>
              <w:tc>
                <w:tcPr>
                  <w:tcW w:w="922" w:type="pct"/>
                  <w:vAlign w:val="center"/>
                </w:tcPr>
                <w:p w14:paraId="26180406">
                  <w:pPr>
                    <w:jc w:val="center"/>
                    <w:rPr>
                      <w:rFonts w:cstheme="minorHAnsi"/>
                      <w:szCs w:val="21"/>
                    </w:rPr>
                  </w:pPr>
                  <w:r>
                    <w:rPr>
                      <w:rFonts w:hint="eastAsia" w:cstheme="minorHAnsi"/>
                      <w:szCs w:val="21"/>
                    </w:rPr>
                    <w:t>9.4~65.3</w:t>
                  </w:r>
                </w:p>
              </w:tc>
              <w:tc>
                <w:tcPr>
                  <w:tcW w:w="846" w:type="pct"/>
                  <w:vAlign w:val="center"/>
                </w:tcPr>
                <w:p w14:paraId="025F16F3">
                  <w:pPr>
                    <w:jc w:val="center"/>
                    <w:rPr>
                      <w:rFonts w:cstheme="minorHAnsi"/>
                      <w:szCs w:val="21"/>
                    </w:rPr>
                  </w:pPr>
                  <w:r>
                    <w:rPr>
                      <w:rFonts w:hint="eastAsia" w:cstheme="minorHAnsi"/>
                      <w:szCs w:val="21"/>
                    </w:rPr>
                    <w:t>10.9</w:t>
                  </w:r>
                </w:p>
              </w:tc>
              <w:tc>
                <w:tcPr>
                  <w:tcW w:w="659" w:type="pct"/>
                  <w:vAlign w:val="center"/>
                </w:tcPr>
                <w:p w14:paraId="150027AB">
                  <w:pPr>
                    <w:jc w:val="center"/>
                    <w:rPr>
                      <w:rFonts w:cstheme="minorHAnsi"/>
                      <w:szCs w:val="21"/>
                    </w:rPr>
                  </w:pPr>
                  <w:r>
                    <w:rPr>
                      <w:rFonts w:hint="eastAsia" w:cstheme="minorHAnsi"/>
                      <w:szCs w:val="21"/>
                    </w:rPr>
                    <w:t>0</w:t>
                  </w:r>
                </w:p>
              </w:tc>
              <w:tc>
                <w:tcPr>
                  <w:tcW w:w="641" w:type="pct"/>
                  <w:vAlign w:val="center"/>
                </w:tcPr>
                <w:p w14:paraId="41FE983A">
                  <w:pPr>
                    <w:jc w:val="center"/>
                    <w:rPr>
                      <w:rFonts w:cstheme="minorHAnsi"/>
                      <w:szCs w:val="21"/>
                    </w:rPr>
                  </w:pPr>
                  <w:r>
                    <w:rPr>
                      <w:rFonts w:hint="eastAsia" w:cstheme="minorHAnsi"/>
                      <w:szCs w:val="21"/>
                    </w:rPr>
                    <w:t>达标</w:t>
                  </w:r>
                </w:p>
              </w:tc>
            </w:tr>
          </w:tbl>
          <w:p w14:paraId="50C7D6E8">
            <w:pPr>
              <w:spacing w:line="360" w:lineRule="auto"/>
              <w:ind w:firstLine="480" w:firstLineChars="200"/>
              <w:rPr>
                <w:rFonts w:cs="Times New Roman"/>
                <w:sz w:val="24"/>
                <w:szCs w:val="24"/>
              </w:rPr>
            </w:pPr>
            <w:r>
              <w:rPr>
                <w:rFonts w:hint="eastAsia"/>
                <w:sz w:val="24"/>
                <w:szCs w:val="24"/>
              </w:rPr>
              <w:t>由</w:t>
            </w:r>
            <w:r>
              <w:rPr>
                <w:sz w:val="24"/>
                <w:szCs w:val="24"/>
              </w:rPr>
              <w:t>上表可知，评价区域环境空气中</w:t>
            </w:r>
            <w:r>
              <w:rPr>
                <w:rFonts w:hint="eastAsia"/>
                <w:sz w:val="24"/>
                <w:szCs w:val="24"/>
              </w:rPr>
              <w:t>TVOC浓度满足《环境影响评价技术导则 大气环境》（HJ2.2-2018）附录D中限值。</w:t>
            </w:r>
          </w:p>
          <w:p w14:paraId="1D8C5E5F">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、地表水环境质量现状</w:t>
            </w:r>
          </w:p>
          <w:p w14:paraId="2D0D1F0E">
            <w:pPr>
              <w:spacing w:line="360" w:lineRule="auto"/>
              <w:ind w:firstLine="480" w:firstLineChars="200"/>
              <w:rPr>
                <w:rFonts w:cs="Times New Roman"/>
                <w:sz w:val="24"/>
                <w:szCs w:val="24"/>
              </w:rPr>
            </w:pPr>
            <w:r>
              <w:rPr>
                <w:rFonts w:hint="eastAsia" w:cs="Times New Roman"/>
                <w:sz w:val="24"/>
                <w:szCs w:val="24"/>
              </w:rPr>
              <w:t>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sz w:val="24"/>
                <w:szCs w:val="24"/>
              </w:rPr>
              <w:t>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s="Times New Roman"/>
                <w:sz w:val="24"/>
                <w:szCs w:val="24"/>
              </w:rPr>
              <w:t>”的规定，本次环评引用遂宁市生态环境局公开发布的《2023年遂宁市环境质量公告》中地表水环境质量结论。</w:t>
            </w:r>
          </w:p>
          <w:p w14:paraId="5661A64A">
            <w:pPr>
              <w:spacing w:line="360" w:lineRule="auto"/>
              <w:ind w:firstLine="480" w:firstLineChars="200"/>
              <w:rPr>
                <w:rFonts w:cs="Times New Roman"/>
                <w:sz w:val="24"/>
                <w:szCs w:val="24"/>
              </w:rPr>
            </w:pPr>
            <w:r>
              <w:rPr>
                <w:rFonts w:cs="Times New Roman"/>
                <w:sz w:val="24"/>
                <w:szCs w:val="24"/>
              </w:rPr>
              <w:t>根据</w:t>
            </w:r>
            <w:r>
              <w:rPr>
                <w:rFonts w:hint="eastAsia" w:cs="Times New Roman"/>
                <w:sz w:val="24"/>
                <w:szCs w:val="24"/>
              </w:rPr>
              <w:t>《2023年遂宁市环境质量公告》，遂宁市9个国、省控地表水监测断面（含2个长江经济带断面）水环境质量状况、主要污染指标、环比和同比情况见下表。</w:t>
            </w:r>
          </w:p>
          <w:p w14:paraId="367E75EE">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2023年遂宁市河流水质评价结果表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85"/>
              <w:gridCol w:w="1367"/>
              <w:gridCol w:w="2279"/>
              <w:gridCol w:w="609"/>
              <w:gridCol w:w="911"/>
              <w:gridCol w:w="913"/>
              <w:gridCol w:w="1383"/>
            </w:tblGrid>
            <w:tr w14:paraId="074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791C8293">
                  <w:pPr>
                    <w:pStyle w:val="31"/>
                  </w:pPr>
                  <w:r>
                    <w:t>断面名称</w:t>
                  </w:r>
                </w:p>
              </w:tc>
              <w:tc>
                <w:tcPr>
                  <w:tcW w:w="747" w:type="pct"/>
                  <w:vAlign w:val="center"/>
                </w:tcPr>
                <w:p w14:paraId="55CA273B">
                  <w:pPr>
                    <w:pStyle w:val="31"/>
                  </w:pPr>
                  <w:r>
                    <w:t>所在地</w:t>
                  </w:r>
                </w:p>
              </w:tc>
              <w:tc>
                <w:tcPr>
                  <w:tcW w:w="1246" w:type="pct"/>
                  <w:vAlign w:val="center"/>
                </w:tcPr>
                <w:p w14:paraId="474FD694">
                  <w:pPr>
                    <w:pStyle w:val="31"/>
                  </w:pPr>
                  <w:r>
                    <w:t>断面类别</w:t>
                  </w:r>
                </w:p>
              </w:tc>
              <w:tc>
                <w:tcPr>
                  <w:tcW w:w="333" w:type="pct"/>
                  <w:vAlign w:val="center"/>
                </w:tcPr>
                <w:p w14:paraId="5CE7C4EE">
                  <w:pPr>
                    <w:pStyle w:val="31"/>
                  </w:pPr>
                  <w:r>
                    <w:t>规定类别</w:t>
                  </w:r>
                </w:p>
              </w:tc>
              <w:tc>
                <w:tcPr>
                  <w:tcW w:w="498" w:type="pct"/>
                  <w:vAlign w:val="center"/>
                </w:tcPr>
                <w:p w14:paraId="427ABE25">
                  <w:pPr>
                    <w:pStyle w:val="31"/>
                  </w:pPr>
                  <w:r>
                    <w:t>上年度类别</w:t>
                  </w:r>
                </w:p>
              </w:tc>
              <w:tc>
                <w:tcPr>
                  <w:tcW w:w="499" w:type="pct"/>
                  <w:vAlign w:val="center"/>
                </w:tcPr>
                <w:p w14:paraId="79DD698E">
                  <w:pPr>
                    <w:pStyle w:val="31"/>
                  </w:pPr>
                  <w:r>
                    <w:t>本年度类别</w:t>
                  </w:r>
                </w:p>
              </w:tc>
              <w:tc>
                <w:tcPr>
                  <w:tcW w:w="756" w:type="pct"/>
                  <w:vAlign w:val="center"/>
                </w:tcPr>
                <w:p w14:paraId="3E275DCE">
                  <w:pPr>
                    <w:pStyle w:val="31"/>
                  </w:pPr>
                  <w:r>
                    <w:t>主要污染指标/超标倍数</w:t>
                  </w:r>
                </w:p>
              </w:tc>
            </w:tr>
            <w:tr w14:paraId="4615D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33D03F37">
                  <w:pPr>
                    <w:pStyle w:val="31"/>
                  </w:pPr>
                  <w:r>
                    <w:t>红江渡口</w:t>
                  </w:r>
                </w:p>
              </w:tc>
              <w:tc>
                <w:tcPr>
                  <w:tcW w:w="747" w:type="pct"/>
                  <w:vAlign w:val="center"/>
                </w:tcPr>
                <w:p w14:paraId="5715ECE2">
                  <w:pPr>
                    <w:pStyle w:val="31"/>
                  </w:pPr>
                  <w:r>
                    <w:t>蓬溪县</w:t>
                  </w:r>
                </w:p>
              </w:tc>
              <w:tc>
                <w:tcPr>
                  <w:tcW w:w="1246" w:type="pct"/>
                  <w:vAlign w:val="center"/>
                </w:tcPr>
                <w:p w14:paraId="7F2D7403">
                  <w:pPr>
                    <w:pStyle w:val="31"/>
                  </w:pPr>
                  <w:r>
                    <w:t>国控</w:t>
                  </w:r>
                </w:p>
              </w:tc>
              <w:tc>
                <w:tcPr>
                  <w:tcW w:w="333" w:type="pct"/>
                  <w:vAlign w:val="center"/>
                </w:tcPr>
                <w:p w14:paraId="0DC89619">
                  <w:pPr>
                    <w:pStyle w:val="31"/>
                  </w:pPr>
                  <w:r>
                    <w:t>II</w:t>
                  </w:r>
                </w:p>
              </w:tc>
              <w:tc>
                <w:tcPr>
                  <w:tcW w:w="498" w:type="pct"/>
                  <w:vAlign w:val="center"/>
                </w:tcPr>
                <w:p w14:paraId="6332EC0F">
                  <w:pPr>
                    <w:pStyle w:val="31"/>
                  </w:pPr>
                  <w:r>
                    <w:t>II</w:t>
                  </w:r>
                </w:p>
              </w:tc>
              <w:tc>
                <w:tcPr>
                  <w:tcW w:w="499" w:type="pct"/>
                  <w:vAlign w:val="center"/>
                </w:tcPr>
                <w:p w14:paraId="3396F762">
                  <w:pPr>
                    <w:pStyle w:val="31"/>
                  </w:pPr>
                  <w:r>
                    <w:t>II</w:t>
                  </w:r>
                </w:p>
              </w:tc>
              <w:tc>
                <w:tcPr>
                  <w:tcW w:w="756" w:type="pct"/>
                  <w:vAlign w:val="center"/>
                </w:tcPr>
                <w:p w14:paraId="419D2EB6">
                  <w:pPr>
                    <w:pStyle w:val="31"/>
                  </w:pPr>
                  <w:r>
                    <w:t>/</w:t>
                  </w:r>
                </w:p>
              </w:tc>
            </w:tr>
            <w:tr w14:paraId="6ECA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4F61C24E">
                  <w:pPr>
                    <w:pStyle w:val="31"/>
                  </w:pPr>
                  <w:r>
                    <w:t>玉溪</w:t>
                  </w:r>
                </w:p>
              </w:tc>
              <w:tc>
                <w:tcPr>
                  <w:tcW w:w="747" w:type="pct"/>
                  <w:vAlign w:val="center"/>
                </w:tcPr>
                <w:p w14:paraId="7467FF01">
                  <w:pPr>
                    <w:pStyle w:val="31"/>
                  </w:pPr>
                  <w:r>
                    <w:t>重庆潼南</w:t>
                  </w:r>
                </w:p>
              </w:tc>
              <w:tc>
                <w:tcPr>
                  <w:tcW w:w="1246" w:type="pct"/>
                  <w:vAlign w:val="center"/>
                </w:tcPr>
                <w:p w14:paraId="54AEACF1">
                  <w:pPr>
                    <w:pStyle w:val="31"/>
                  </w:pPr>
                  <w:r>
                    <w:t>国控</w:t>
                  </w:r>
                </w:p>
              </w:tc>
              <w:tc>
                <w:tcPr>
                  <w:tcW w:w="333" w:type="pct"/>
                  <w:vAlign w:val="center"/>
                </w:tcPr>
                <w:p w14:paraId="4C2D82D3">
                  <w:pPr>
                    <w:pStyle w:val="31"/>
                  </w:pPr>
                  <w:r>
                    <w:t>II</w:t>
                  </w:r>
                </w:p>
              </w:tc>
              <w:tc>
                <w:tcPr>
                  <w:tcW w:w="498" w:type="pct"/>
                  <w:vAlign w:val="center"/>
                </w:tcPr>
                <w:p w14:paraId="0900BA5D">
                  <w:pPr>
                    <w:pStyle w:val="31"/>
                  </w:pPr>
                  <w:r>
                    <w:t>II</w:t>
                  </w:r>
                </w:p>
              </w:tc>
              <w:tc>
                <w:tcPr>
                  <w:tcW w:w="499" w:type="pct"/>
                  <w:vAlign w:val="center"/>
                </w:tcPr>
                <w:p w14:paraId="7BFA2FDD">
                  <w:pPr>
                    <w:pStyle w:val="31"/>
                  </w:pPr>
                  <w:r>
                    <w:t>II</w:t>
                  </w:r>
                </w:p>
              </w:tc>
              <w:tc>
                <w:tcPr>
                  <w:tcW w:w="756" w:type="pct"/>
                  <w:vAlign w:val="center"/>
                </w:tcPr>
                <w:p w14:paraId="480B2653">
                  <w:pPr>
                    <w:pStyle w:val="31"/>
                  </w:pPr>
                  <w:r>
                    <w:t>/</w:t>
                  </w:r>
                </w:p>
              </w:tc>
            </w:tr>
            <w:tr w14:paraId="5C0B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5874CF0D">
                  <w:pPr>
                    <w:pStyle w:val="31"/>
                  </w:pPr>
                  <w:r>
                    <w:t>跑马滩</w:t>
                  </w:r>
                </w:p>
              </w:tc>
              <w:tc>
                <w:tcPr>
                  <w:tcW w:w="747" w:type="pct"/>
                  <w:vAlign w:val="center"/>
                </w:tcPr>
                <w:p w14:paraId="143800C3">
                  <w:pPr>
                    <w:pStyle w:val="31"/>
                  </w:pPr>
                  <w:r>
                    <w:t>安居区</w:t>
                  </w:r>
                </w:p>
              </w:tc>
              <w:tc>
                <w:tcPr>
                  <w:tcW w:w="1246" w:type="pct"/>
                  <w:vAlign w:val="center"/>
                </w:tcPr>
                <w:p w14:paraId="438206EA">
                  <w:pPr>
                    <w:pStyle w:val="31"/>
                  </w:pPr>
                  <w:r>
                    <w:t>国控</w:t>
                  </w:r>
                </w:p>
              </w:tc>
              <w:tc>
                <w:tcPr>
                  <w:tcW w:w="333" w:type="pct"/>
                  <w:vAlign w:val="center"/>
                </w:tcPr>
                <w:p w14:paraId="6E50232F">
                  <w:pPr>
                    <w:pStyle w:val="31"/>
                  </w:pPr>
                  <w:r>
                    <w:t>III</w:t>
                  </w:r>
                </w:p>
              </w:tc>
              <w:tc>
                <w:tcPr>
                  <w:tcW w:w="498" w:type="pct"/>
                  <w:vAlign w:val="center"/>
                </w:tcPr>
                <w:p w14:paraId="1362BCA9">
                  <w:pPr>
                    <w:pStyle w:val="31"/>
                  </w:pPr>
                  <w:r>
                    <w:t>III</w:t>
                  </w:r>
                </w:p>
              </w:tc>
              <w:tc>
                <w:tcPr>
                  <w:tcW w:w="499" w:type="pct"/>
                  <w:vAlign w:val="center"/>
                </w:tcPr>
                <w:p w14:paraId="4DEC592A">
                  <w:pPr>
                    <w:pStyle w:val="31"/>
                  </w:pPr>
                  <w:r>
                    <w:t>III</w:t>
                  </w:r>
                </w:p>
              </w:tc>
              <w:tc>
                <w:tcPr>
                  <w:tcW w:w="756" w:type="pct"/>
                  <w:vAlign w:val="center"/>
                </w:tcPr>
                <w:p w14:paraId="7F257BD1">
                  <w:pPr>
                    <w:pStyle w:val="31"/>
                  </w:pPr>
                  <w:r>
                    <w:t>/</w:t>
                  </w:r>
                </w:p>
              </w:tc>
            </w:tr>
            <w:tr w14:paraId="58D5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53606310">
                  <w:pPr>
                    <w:pStyle w:val="31"/>
                  </w:pPr>
                  <w:r>
                    <w:t>大安</w:t>
                  </w:r>
                </w:p>
              </w:tc>
              <w:tc>
                <w:tcPr>
                  <w:tcW w:w="747" w:type="pct"/>
                  <w:vAlign w:val="center"/>
                </w:tcPr>
                <w:p w14:paraId="33C53AA0">
                  <w:pPr>
                    <w:pStyle w:val="31"/>
                  </w:pPr>
                  <w:r>
                    <w:t>安居区</w:t>
                  </w:r>
                </w:p>
              </w:tc>
              <w:tc>
                <w:tcPr>
                  <w:tcW w:w="1246" w:type="pct"/>
                  <w:vAlign w:val="center"/>
                </w:tcPr>
                <w:p w14:paraId="3066CF7D">
                  <w:pPr>
                    <w:pStyle w:val="31"/>
                  </w:pPr>
                  <w:r>
                    <w:t>国控</w:t>
                  </w:r>
                </w:p>
              </w:tc>
              <w:tc>
                <w:tcPr>
                  <w:tcW w:w="333" w:type="pct"/>
                  <w:vAlign w:val="center"/>
                </w:tcPr>
                <w:p w14:paraId="7332AD33">
                  <w:pPr>
                    <w:pStyle w:val="31"/>
                  </w:pPr>
                  <w:r>
                    <w:t>III</w:t>
                  </w:r>
                </w:p>
              </w:tc>
              <w:tc>
                <w:tcPr>
                  <w:tcW w:w="498" w:type="pct"/>
                  <w:vAlign w:val="center"/>
                </w:tcPr>
                <w:p w14:paraId="7A2B5F9B">
                  <w:pPr>
                    <w:pStyle w:val="31"/>
                  </w:pPr>
                  <w:r>
                    <w:t>III</w:t>
                  </w:r>
                </w:p>
              </w:tc>
              <w:tc>
                <w:tcPr>
                  <w:tcW w:w="499" w:type="pct"/>
                  <w:vAlign w:val="center"/>
                </w:tcPr>
                <w:p w14:paraId="6CFFB4AB">
                  <w:pPr>
                    <w:pStyle w:val="31"/>
                  </w:pPr>
                  <w:r>
                    <w:t>III</w:t>
                  </w:r>
                </w:p>
              </w:tc>
              <w:tc>
                <w:tcPr>
                  <w:tcW w:w="756" w:type="pct"/>
                  <w:vAlign w:val="center"/>
                </w:tcPr>
                <w:p w14:paraId="28C2EB99">
                  <w:pPr>
                    <w:pStyle w:val="31"/>
                  </w:pPr>
                  <w:r>
                    <w:t>/</w:t>
                  </w:r>
                </w:p>
              </w:tc>
            </w:tr>
            <w:tr w14:paraId="1AA3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shd w:val="clear" w:color="auto" w:fill="D8D8D8" w:themeFill="background1" w:themeFillShade="D9"/>
                  <w:vAlign w:val="center"/>
                </w:tcPr>
                <w:p w14:paraId="034F98FF">
                  <w:pPr>
                    <w:pStyle w:val="31"/>
                    <w:rPr>
                      <w:b/>
                      <w:bCs/>
                    </w:rPr>
                  </w:pPr>
                  <w:r>
                    <w:rPr>
                      <w:b/>
                      <w:bCs/>
                    </w:rPr>
                    <w:t>郪江口</w:t>
                  </w:r>
                </w:p>
              </w:tc>
              <w:tc>
                <w:tcPr>
                  <w:tcW w:w="747" w:type="pct"/>
                  <w:shd w:val="clear" w:color="auto" w:fill="D8D8D8" w:themeFill="background1" w:themeFillShade="D9"/>
                  <w:vAlign w:val="center"/>
                </w:tcPr>
                <w:p w14:paraId="1FAD3034">
                  <w:pPr>
                    <w:pStyle w:val="31"/>
                    <w:rPr>
                      <w:b/>
                      <w:bCs/>
                    </w:rPr>
                  </w:pPr>
                  <w:r>
                    <w:rPr>
                      <w:b/>
                      <w:bCs/>
                    </w:rPr>
                    <w:t>大英县</w:t>
                  </w:r>
                </w:p>
              </w:tc>
              <w:tc>
                <w:tcPr>
                  <w:tcW w:w="1246" w:type="pct"/>
                  <w:shd w:val="clear" w:color="auto" w:fill="D8D8D8" w:themeFill="background1" w:themeFillShade="D9"/>
                  <w:vAlign w:val="center"/>
                </w:tcPr>
                <w:p w14:paraId="521EEBE5">
                  <w:pPr>
                    <w:pStyle w:val="31"/>
                    <w:rPr>
                      <w:b/>
                      <w:bCs/>
                    </w:rPr>
                  </w:pPr>
                  <w:r>
                    <w:rPr>
                      <w:b/>
                      <w:bCs/>
                    </w:rPr>
                    <w:t>国控</w:t>
                  </w:r>
                </w:p>
              </w:tc>
              <w:tc>
                <w:tcPr>
                  <w:tcW w:w="333" w:type="pct"/>
                  <w:shd w:val="clear" w:color="auto" w:fill="D8D8D8" w:themeFill="background1" w:themeFillShade="D9"/>
                  <w:vAlign w:val="center"/>
                </w:tcPr>
                <w:p w14:paraId="074C9918">
                  <w:pPr>
                    <w:pStyle w:val="31"/>
                    <w:rPr>
                      <w:b/>
                      <w:bCs/>
                    </w:rPr>
                  </w:pPr>
                  <w:r>
                    <w:rPr>
                      <w:b/>
                      <w:bCs/>
                    </w:rPr>
                    <w:t>III</w:t>
                  </w:r>
                </w:p>
              </w:tc>
              <w:tc>
                <w:tcPr>
                  <w:tcW w:w="498" w:type="pct"/>
                  <w:shd w:val="clear" w:color="auto" w:fill="D8D8D8" w:themeFill="background1" w:themeFillShade="D9"/>
                  <w:vAlign w:val="center"/>
                </w:tcPr>
                <w:p w14:paraId="2099EC96">
                  <w:pPr>
                    <w:pStyle w:val="31"/>
                    <w:rPr>
                      <w:b/>
                      <w:bCs/>
                    </w:rPr>
                  </w:pPr>
                  <w:r>
                    <w:rPr>
                      <w:b/>
                      <w:bCs/>
                    </w:rPr>
                    <w:t>III</w:t>
                  </w:r>
                </w:p>
              </w:tc>
              <w:tc>
                <w:tcPr>
                  <w:tcW w:w="499" w:type="pct"/>
                  <w:shd w:val="clear" w:color="auto" w:fill="D8D8D8" w:themeFill="background1" w:themeFillShade="D9"/>
                  <w:vAlign w:val="center"/>
                </w:tcPr>
                <w:p w14:paraId="4C15F92E">
                  <w:pPr>
                    <w:pStyle w:val="31"/>
                    <w:rPr>
                      <w:b/>
                      <w:bCs/>
                    </w:rPr>
                  </w:pPr>
                  <w:r>
                    <w:rPr>
                      <w:b/>
                      <w:bCs/>
                    </w:rPr>
                    <w:t>III</w:t>
                  </w:r>
                </w:p>
              </w:tc>
              <w:tc>
                <w:tcPr>
                  <w:tcW w:w="756" w:type="pct"/>
                  <w:shd w:val="clear" w:color="auto" w:fill="D8D8D8" w:themeFill="background1" w:themeFillShade="D9"/>
                  <w:vAlign w:val="center"/>
                </w:tcPr>
                <w:p w14:paraId="02052684">
                  <w:pPr>
                    <w:pStyle w:val="31"/>
                    <w:rPr>
                      <w:b/>
                      <w:bCs/>
                    </w:rPr>
                  </w:pPr>
                  <w:r>
                    <w:rPr>
                      <w:b/>
                      <w:bCs/>
                    </w:rPr>
                    <w:t>/</w:t>
                  </w:r>
                </w:p>
              </w:tc>
            </w:tr>
            <w:tr w14:paraId="1E1D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0650269D">
                  <w:pPr>
                    <w:pStyle w:val="31"/>
                  </w:pPr>
                  <w:r>
                    <w:t>梓江大桥</w:t>
                  </w:r>
                </w:p>
              </w:tc>
              <w:tc>
                <w:tcPr>
                  <w:tcW w:w="747" w:type="pct"/>
                  <w:vAlign w:val="center"/>
                </w:tcPr>
                <w:p w14:paraId="4BE5F913">
                  <w:pPr>
                    <w:pStyle w:val="31"/>
                  </w:pPr>
                  <w:r>
                    <w:t>射洪市</w:t>
                  </w:r>
                </w:p>
              </w:tc>
              <w:tc>
                <w:tcPr>
                  <w:tcW w:w="1246" w:type="pct"/>
                  <w:vAlign w:val="center"/>
                </w:tcPr>
                <w:p w14:paraId="509135E7">
                  <w:pPr>
                    <w:pStyle w:val="31"/>
                  </w:pPr>
                  <w:r>
                    <w:t>国控</w:t>
                  </w:r>
                </w:p>
              </w:tc>
              <w:tc>
                <w:tcPr>
                  <w:tcW w:w="333" w:type="pct"/>
                  <w:vAlign w:val="center"/>
                </w:tcPr>
                <w:p w14:paraId="6DCDBD40">
                  <w:pPr>
                    <w:pStyle w:val="31"/>
                  </w:pPr>
                  <w:r>
                    <w:t>II</w:t>
                  </w:r>
                </w:p>
              </w:tc>
              <w:tc>
                <w:tcPr>
                  <w:tcW w:w="498" w:type="pct"/>
                  <w:vAlign w:val="center"/>
                </w:tcPr>
                <w:p w14:paraId="08E23464">
                  <w:pPr>
                    <w:pStyle w:val="31"/>
                  </w:pPr>
                  <w:r>
                    <w:t>II</w:t>
                  </w:r>
                </w:p>
              </w:tc>
              <w:tc>
                <w:tcPr>
                  <w:tcW w:w="499" w:type="pct"/>
                  <w:vAlign w:val="center"/>
                </w:tcPr>
                <w:p w14:paraId="6900A8C8">
                  <w:pPr>
                    <w:pStyle w:val="31"/>
                  </w:pPr>
                  <w:r>
                    <w:t>II</w:t>
                  </w:r>
                </w:p>
              </w:tc>
              <w:tc>
                <w:tcPr>
                  <w:tcW w:w="756" w:type="pct"/>
                  <w:vAlign w:val="center"/>
                </w:tcPr>
                <w:p w14:paraId="5957F34C">
                  <w:pPr>
                    <w:pStyle w:val="31"/>
                  </w:pPr>
                  <w:r>
                    <w:t>/</w:t>
                  </w:r>
                </w:p>
              </w:tc>
            </w:tr>
            <w:tr w14:paraId="1BEB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6CEAC765">
                  <w:pPr>
                    <w:pStyle w:val="31"/>
                  </w:pPr>
                  <w:r>
                    <w:t>白鹤桥</w:t>
                  </w:r>
                </w:p>
              </w:tc>
              <w:tc>
                <w:tcPr>
                  <w:tcW w:w="747" w:type="pct"/>
                  <w:vAlign w:val="center"/>
                </w:tcPr>
                <w:p w14:paraId="05F06B33">
                  <w:pPr>
                    <w:pStyle w:val="31"/>
                  </w:pPr>
                  <w:r>
                    <w:t>安居区</w:t>
                  </w:r>
                </w:p>
              </w:tc>
              <w:tc>
                <w:tcPr>
                  <w:tcW w:w="1246" w:type="pct"/>
                  <w:vAlign w:val="center"/>
                </w:tcPr>
                <w:p w14:paraId="734D4097">
                  <w:pPr>
                    <w:pStyle w:val="31"/>
                  </w:pPr>
                  <w:r>
                    <w:t>省控（长江经济带）</w:t>
                  </w:r>
                </w:p>
              </w:tc>
              <w:tc>
                <w:tcPr>
                  <w:tcW w:w="333" w:type="pct"/>
                  <w:vAlign w:val="center"/>
                </w:tcPr>
                <w:p w14:paraId="75B3E27A">
                  <w:pPr>
                    <w:pStyle w:val="31"/>
                  </w:pPr>
                  <w:r>
                    <w:t>III</w:t>
                  </w:r>
                </w:p>
              </w:tc>
              <w:tc>
                <w:tcPr>
                  <w:tcW w:w="498" w:type="pct"/>
                  <w:vAlign w:val="center"/>
                </w:tcPr>
                <w:p w14:paraId="11046BD1">
                  <w:pPr>
                    <w:pStyle w:val="31"/>
                  </w:pPr>
                  <w:r>
                    <w:t>IV</w:t>
                  </w:r>
                </w:p>
              </w:tc>
              <w:tc>
                <w:tcPr>
                  <w:tcW w:w="499" w:type="pct"/>
                  <w:vAlign w:val="center"/>
                </w:tcPr>
                <w:p w14:paraId="71A8F063">
                  <w:pPr>
                    <w:pStyle w:val="31"/>
                  </w:pPr>
                  <w:r>
                    <w:t>III</w:t>
                  </w:r>
                </w:p>
              </w:tc>
              <w:tc>
                <w:tcPr>
                  <w:tcW w:w="756" w:type="pct"/>
                  <w:vAlign w:val="center"/>
                </w:tcPr>
                <w:p w14:paraId="791B0065">
                  <w:pPr>
                    <w:pStyle w:val="31"/>
                  </w:pPr>
                  <w:r>
                    <w:t>/</w:t>
                  </w:r>
                </w:p>
              </w:tc>
            </w:tr>
            <w:tr w14:paraId="05C59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258709DF">
                  <w:pPr>
                    <w:pStyle w:val="31"/>
                  </w:pPr>
                  <w:r>
                    <w:t>涪山坝</w:t>
                  </w:r>
                </w:p>
              </w:tc>
              <w:tc>
                <w:tcPr>
                  <w:tcW w:w="747" w:type="pct"/>
                  <w:vAlign w:val="center"/>
                </w:tcPr>
                <w:p w14:paraId="4892867B">
                  <w:pPr>
                    <w:pStyle w:val="31"/>
                  </w:pPr>
                  <w:r>
                    <w:t>蓬溪县</w:t>
                  </w:r>
                </w:p>
              </w:tc>
              <w:tc>
                <w:tcPr>
                  <w:tcW w:w="1246" w:type="pct"/>
                  <w:vAlign w:val="center"/>
                </w:tcPr>
                <w:p w14:paraId="383DE7B0">
                  <w:pPr>
                    <w:pStyle w:val="31"/>
                  </w:pPr>
                  <w:r>
                    <w:t>省控（长江经济带）</w:t>
                  </w:r>
                </w:p>
              </w:tc>
              <w:tc>
                <w:tcPr>
                  <w:tcW w:w="333" w:type="pct"/>
                  <w:vAlign w:val="center"/>
                </w:tcPr>
                <w:p w14:paraId="39EE1DF5">
                  <w:pPr>
                    <w:pStyle w:val="31"/>
                  </w:pPr>
                  <w:r>
                    <w:t>III</w:t>
                  </w:r>
                </w:p>
              </w:tc>
              <w:tc>
                <w:tcPr>
                  <w:tcW w:w="498" w:type="pct"/>
                  <w:vAlign w:val="center"/>
                </w:tcPr>
                <w:p w14:paraId="7F0023BB">
                  <w:pPr>
                    <w:pStyle w:val="31"/>
                  </w:pPr>
                  <w:r>
                    <w:t>III</w:t>
                  </w:r>
                </w:p>
              </w:tc>
              <w:tc>
                <w:tcPr>
                  <w:tcW w:w="499" w:type="pct"/>
                  <w:vAlign w:val="center"/>
                </w:tcPr>
                <w:p w14:paraId="4367B412">
                  <w:pPr>
                    <w:pStyle w:val="31"/>
                  </w:pPr>
                  <w:r>
                    <w:t>III</w:t>
                  </w:r>
                </w:p>
              </w:tc>
              <w:tc>
                <w:tcPr>
                  <w:tcW w:w="756" w:type="pct"/>
                  <w:vAlign w:val="center"/>
                </w:tcPr>
                <w:p w14:paraId="7C73E92E">
                  <w:pPr>
                    <w:pStyle w:val="31"/>
                  </w:pPr>
                  <w:r>
                    <w:t>/</w:t>
                  </w:r>
                </w:p>
              </w:tc>
            </w:tr>
            <w:tr w14:paraId="2311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vAlign w:val="center"/>
                </w:tcPr>
                <w:p w14:paraId="084B30AF">
                  <w:pPr>
                    <w:pStyle w:val="31"/>
                  </w:pPr>
                  <w:r>
                    <w:t>米家桥</w:t>
                  </w:r>
                </w:p>
              </w:tc>
              <w:tc>
                <w:tcPr>
                  <w:tcW w:w="747" w:type="pct"/>
                  <w:vAlign w:val="center"/>
                </w:tcPr>
                <w:p w14:paraId="479761C5">
                  <w:pPr>
                    <w:pStyle w:val="31"/>
                  </w:pPr>
                  <w:r>
                    <w:t>船山区</w:t>
                  </w:r>
                </w:p>
              </w:tc>
              <w:tc>
                <w:tcPr>
                  <w:tcW w:w="1246" w:type="pct"/>
                  <w:vAlign w:val="center"/>
                </w:tcPr>
                <w:p w14:paraId="158EA540">
                  <w:pPr>
                    <w:pStyle w:val="31"/>
                  </w:pPr>
                  <w:r>
                    <w:t>省控（长江经济带）</w:t>
                  </w:r>
                </w:p>
              </w:tc>
              <w:tc>
                <w:tcPr>
                  <w:tcW w:w="333" w:type="pct"/>
                  <w:vAlign w:val="center"/>
                </w:tcPr>
                <w:p w14:paraId="1C664432">
                  <w:pPr>
                    <w:pStyle w:val="31"/>
                  </w:pPr>
                  <w:r>
                    <w:t>II</w:t>
                  </w:r>
                </w:p>
              </w:tc>
              <w:tc>
                <w:tcPr>
                  <w:tcW w:w="498" w:type="pct"/>
                  <w:vAlign w:val="center"/>
                </w:tcPr>
                <w:p w14:paraId="1A52F1A2">
                  <w:pPr>
                    <w:pStyle w:val="31"/>
                  </w:pPr>
                  <w:r>
                    <w:t>II</w:t>
                  </w:r>
                </w:p>
              </w:tc>
              <w:tc>
                <w:tcPr>
                  <w:tcW w:w="499" w:type="pct"/>
                  <w:vAlign w:val="center"/>
                </w:tcPr>
                <w:p w14:paraId="7B0C818E">
                  <w:pPr>
                    <w:pStyle w:val="31"/>
                  </w:pPr>
                  <w:r>
                    <w:t>II</w:t>
                  </w:r>
                </w:p>
              </w:tc>
              <w:tc>
                <w:tcPr>
                  <w:tcW w:w="756" w:type="pct"/>
                  <w:vAlign w:val="center"/>
                </w:tcPr>
                <w:p w14:paraId="29D31D26">
                  <w:pPr>
                    <w:pStyle w:val="31"/>
                  </w:pPr>
                  <w:r>
                    <w:t>/</w:t>
                  </w:r>
                </w:p>
              </w:tc>
            </w:tr>
            <w:tr w14:paraId="2269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5000" w:type="pct"/>
                  <w:gridSpan w:val="7"/>
                  <w:vAlign w:val="center"/>
                </w:tcPr>
                <w:p w14:paraId="03704081">
                  <w:pPr>
                    <w:pStyle w:val="31"/>
                    <w:jc w:val="both"/>
                  </w:pPr>
                  <w:r>
                    <w:t>注：1.地表水环境评价执行《地表水环境质量标准》（GB3838-2002）和《地表水环境质量评价办法（试行）》（环办〔2011〕22号）。</w:t>
                  </w:r>
                </w:p>
                <w:p w14:paraId="046738C2">
                  <w:pPr>
                    <w:pStyle w:val="31"/>
                    <w:ind w:firstLine="420" w:firstLineChars="200"/>
                    <w:jc w:val="both"/>
                  </w:pPr>
                  <w:r>
                    <w:t>2. 21项评价指标为：pH、溶解氧、高锰酸盐指数、五日生化需氧量、氨氮、石油类、酚、汞、铅、镉、阴离子表面活性剂、铬（六价）、氟化物、总磷、氰化物、硫化物、砷、化学需氧量、铜、锌、硒。</w:t>
                  </w:r>
                </w:p>
                <w:p w14:paraId="06F91E2E">
                  <w:pPr>
                    <w:pStyle w:val="31"/>
                    <w:ind w:firstLine="420" w:firstLineChars="200"/>
                    <w:jc w:val="both"/>
                  </w:pPr>
                  <w:r>
                    <w:t>3.超过III类水质标准的指标为断面污染指标，取超标倍数最大的前三项为主要污染指标。</w:t>
                  </w:r>
                </w:p>
                <w:p w14:paraId="1E078AED">
                  <w:pPr>
                    <w:pStyle w:val="31"/>
                    <w:ind w:firstLine="420" w:firstLineChars="200"/>
                    <w:jc w:val="both"/>
                  </w:pPr>
                  <w:r>
                    <w:t>4.红江渡口、玉溪、跑马滩、大安、郪江口和梓江大桥6个国控断面采用国家反馈的采测分离数据（含部分市级监测数据）进行评价。</w:t>
                  </w:r>
                </w:p>
              </w:tc>
            </w:tr>
          </w:tbl>
          <w:p w14:paraId="754056CE">
            <w:pPr>
              <w:spacing w:line="360" w:lineRule="auto"/>
              <w:ind w:firstLine="480" w:firstLineChars="200"/>
              <w:rPr>
                <w:rFonts w:cs="Times New Roman"/>
                <w:sz w:val="24"/>
                <w:szCs w:val="24"/>
              </w:rPr>
            </w:pPr>
            <w:r>
              <w:rPr>
                <w:rFonts w:hint="eastAsia" w:cs="Times New Roman"/>
                <w:sz w:val="24"/>
                <w:szCs w:val="24"/>
              </w:rPr>
              <w:t>本项目受纳水体为郪江，属于地表水III类水域，2023年年度平均水质类别达到III类水域标准，水环境质量达标。</w:t>
            </w:r>
          </w:p>
          <w:p w14:paraId="440798A3">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、声环境质量现状</w:t>
            </w:r>
          </w:p>
          <w:p w14:paraId="04CFAF75">
            <w:pPr>
              <w:spacing w:line="360" w:lineRule="auto"/>
              <w:ind w:firstLine="480" w:firstLineChars="200"/>
              <w:rPr>
                <w:rFonts w:cs="Times New Roman"/>
                <w:sz w:val="24"/>
                <w:szCs w:val="24"/>
              </w:rPr>
            </w:pPr>
            <w:r>
              <w:rPr>
                <w:rFonts w:hint="eastAsia" w:cs="Times New Roman"/>
                <w:sz w:val="24"/>
                <w:szCs w:val="24"/>
              </w:rPr>
              <w:t>为了解区域声环境质量现状，本次环评引用四川铁环检测技术有限公司于2024年8月1日~2日对厂界噪声的监测数据。</w:t>
            </w:r>
          </w:p>
          <w:p w14:paraId="669E3E87">
            <w:pPr>
              <w:spacing w:line="360" w:lineRule="auto"/>
              <w:ind w:firstLine="482" w:firstLineChars="200"/>
              <w:rPr>
                <w:b/>
                <w:kern w:val="24"/>
                <w:sz w:val="24"/>
                <w:szCs w:val="24"/>
              </w:rPr>
            </w:pPr>
            <w:r>
              <w:rPr>
                <w:rFonts w:hint="eastAsia"/>
                <w:b/>
                <w:kern w:val="24"/>
                <w:sz w:val="24"/>
                <w:szCs w:val="24"/>
              </w:rPr>
              <w:t>（</w:t>
            </w:r>
            <w:r>
              <w:rPr>
                <w:b/>
                <w:kern w:val="24"/>
                <w:sz w:val="24"/>
                <w:szCs w:val="24"/>
              </w:rPr>
              <w:t>1</w:t>
            </w:r>
            <w:r>
              <w:rPr>
                <w:rFonts w:hint="eastAsia"/>
                <w:b/>
                <w:kern w:val="24"/>
                <w:sz w:val="24"/>
                <w:szCs w:val="24"/>
              </w:rPr>
              <w:t>）监测点位</w:t>
            </w:r>
          </w:p>
          <w:p w14:paraId="5FD1A6DE">
            <w:pPr>
              <w:spacing w:line="360" w:lineRule="auto"/>
              <w:ind w:firstLine="480" w:firstLineChars="200"/>
              <w:rPr>
                <w:sz w:val="24"/>
                <w:szCs w:val="24"/>
              </w:rPr>
            </w:pPr>
            <w:r>
              <w:rPr>
                <w:rFonts w:hint="eastAsia"/>
                <w:sz w:val="24"/>
                <w:szCs w:val="24"/>
              </w:rPr>
              <w:t>项目共设噪声监测点</w:t>
            </w:r>
            <w:r>
              <w:rPr>
                <w:sz w:val="24"/>
                <w:szCs w:val="24"/>
              </w:rPr>
              <w:t>4</w:t>
            </w:r>
            <w:r>
              <w:rPr>
                <w:rFonts w:hint="eastAsia"/>
                <w:sz w:val="24"/>
                <w:szCs w:val="24"/>
              </w:rPr>
              <w:t>个，监测点位置</w:t>
            </w:r>
            <w:r>
              <w:rPr>
                <w:rFonts w:cs="Times New Roman"/>
                <w:sz w:val="24"/>
              </w:rPr>
              <w:t>见</w:t>
            </w:r>
            <w:r>
              <w:rPr>
                <w:rFonts w:hint="eastAsia" w:cs="Times New Roman"/>
                <w:sz w:val="24"/>
              </w:rPr>
              <w:t>下表</w:t>
            </w:r>
            <w:r>
              <w:rPr>
                <w:rFonts w:hint="eastAsia"/>
                <w:sz w:val="24"/>
                <w:szCs w:val="24"/>
              </w:rPr>
              <w:t>。</w:t>
            </w:r>
          </w:p>
          <w:p w14:paraId="3E63BD47">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噪声监测点位表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7"/>
              <w:gridCol w:w="7060"/>
            </w:tblGrid>
            <w:tr w14:paraId="518B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41" w:type="pct"/>
                  <w:vAlign w:val="center"/>
                </w:tcPr>
                <w:p w14:paraId="356030D4">
                  <w:pPr>
                    <w:jc w:val="center"/>
                    <w:rPr>
                      <w:rFonts w:cstheme="minorHAnsi"/>
                      <w:szCs w:val="21"/>
                    </w:rPr>
                  </w:pPr>
                  <w:r>
                    <w:rPr>
                      <w:rFonts w:cstheme="minorHAnsi"/>
                      <w:szCs w:val="21"/>
                    </w:rPr>
                    <w:t>编号</w:t>
                  </w:r>
                </w:p>
              </w:tc>
              <w:tc>
                <w:tcPr>
                  <w:tcW w:w="3859" w:type="pct"/>
                  <w:vAlign w:val="center"/>
                </w:tcPr>
                <w:p w14:paraId="463DF275">
                  <w:pPr>
                    <w:jc w:val="center"/>
                    <w:rPr>
                      <w:rFonts w:cstheme="minorHAnsi"/>
                      <w:szCs w:val="21"/>
                    </w:rPr>
                  </w:pPr>
                  <w:r>
                    <w:rPr>
                      <w:rFonts w:cstheme="minorHAnsi"/>
                      <w:szCs w:val="21"/>
                    </w:rPr>
                    <w:t>监测点名称</w:t>
                  </w:r>
                </w:p>
              </w:tc>
            </w:tr>
            <w:tr w14:paraId="71B9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41" w:type="pct"/>
                  <w:vAlign w:val="center"/>
                </w:tcPr>
                <w:p w14:paraId="67AC2142">
                  <w:pPr>
                    <w:jc w:val="center"/>
                    <w:rPr>
                      <w:rFonts w:cstheme="minorHAnsi"/>
                      <w:szCs w:val="21"/>
                    </w:rPr>
                  </w:pPr>
                  <w:r>
                    <w:rPr>
                      <w:rFonts w:hint="eastAsia" w:cstheme="minorHAnsi"/>
                      <w:szCs w:val="21"/>
                    </w:rPr>
                    <w:t>1#</w:t>
                  </w:r>
                </w:p>
              </w:tc>
              <w:tc>
                <w:tcPr>
                  <w:tcW w:w="3859" w:type="pct"/>
                  <w:vAlign w:val="center"/>
                </w:tcPr>
                <w:p w14:paraId="5184E107">
                  <w:pPr>
                    <w:jc w:val="center"/>
                    <w:rPr>
                      <w:kern w:val="0"/>
                      <w:szCs w:val="21"/>
                    </w:rPr>
                  </w:pPr>
                  <w:r>
                    <w:rPr>
                      <w:rFonts w:hint="eastAsia" w:cs="Times New Roman"/>
                      <w:szCs w:val="21"/>
                    </w:rPr>
                    <w:t>项目地厂界外东侧1m高1.5m</w:t>
                  </w:r>
                </w:p>
              </w:tc>
            </w:tr>
            <w:tr w14:paraId="23EA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41" w:type="pct"/>
                  <w:vAlign w:val="center"/>
                </w:tcPr>
                <w:p w14:paraId="7C2D7C35">
                  <w:pPr>
                    <w:jc w:val="center"/>
                    <w:rPr>
                      <w:rFonts w:cstheme="minorHAnsi"/>
                      <w:szCs w:val="21"/>
                    </w:rPr>
                  </w:pPr>
                  <w:r>
                    <w:rPr>
                      <w:rFonts w:hint="eastAsia" w:cstheme="minorHAnsi"/>
                      <w:szCs w:val="21"/>
                    </w:rPr>
                    <w:t>2#</w:t>
                  </w:r>
                </w:p>
              </w:tc>
              <w:tc>
                <w:tcPr>
                  <w:tcW w:w="3859" w:type="pct"/>
                  <w:vAlign w:val="center"/>
                </w:tcPr>
                <w:p w14:paraId="7802F12A">
                  <w:pPr>
                    <w:jc w:val="center"/>
                    <w:rPr>
                      <w:szCs w:val="21"/>
                    </w:rPr>
                  </w:pPr>
                  <w:r>
                    <w:rPr>
                      <w:rFonts w:hint="eastAsia" w:cs="Times New Roman"/>
                      <w:szCs w:val="21"/>
                    </w:rPr>
                    <w:t>项目地厂界外东北侧1m高1.5m</w:t>
                  </w:r>
                </w:p>
              </w:tc>
            </w:tr>
            <w:tr w14:paraId="6268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141" w:type="pct"/>
                  <w:vAlign w:val="center"/>
                </w:tcPr>
                <w:p w14:paraId="037EF89E">
                  <w:pPr>
                    <w:jc w:val="center"/>
                    <w:rPr>
                      <w:rFonts w:cstheme="minorHAnsi"/>
                      <w:szCs w:val="21"/>
                    </w:rPr>
                  </w:pPr>
                  <w:r>
                    <w:rPr>
                      <w:rFonts w:hint="eastAsia" w:cstheme="minorHAnsi"/>
                      <w:szCs w:val="21"/>
                    </w:rPr>
                    <w:t>3#</w:t>
                  </w:r>
                </w:p>
              </w:tc>
              <w:tc>
                <w:tcPr>
                  <w:tcW w:w="3859" w:type="pct"/>
                  <w:vAlign w:val="center"/>
                </w:tcPr>
                <w:p w14:paraId="39147F65">
                  <w:pPr>
                    <w:jc w:val="center"/>
                    <w:rPr>
                      <w:szCs w:val="21"/>
                    </w:rPr>
                  </w:pPr>
                  <w:r>
                    <w:rPr>
                      <w:rFonts w:hint="eastAsia" w:cs="Times New Roman"/>
                      <w:szCs w:val="21"/>
                    </w:rPr>
                    <w:t>项目地厂界外西北侧1m高1.5m</w:t>
                  </w:r>
                </w:p>
              </w:tc>
            </w:tr>
            <w:tr w14:paraId="435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41" w:type="pct"/>
                  <w:vAlign w:val="center"/>
                </w:tcPr>
                <w:p w14:paraId="4D32D13C">
                  <w:pPr>
                    <w:jc w:val="center"/>
                    <w:rPr>
                      <w:rFonts w:cstheme="minorHAnsi"/>
                      <w:szCs w:val="21"/>
                    </w:rPr>
                  </w:pPr>
                  <w:r>
                    <w:rPr>
                      <w:rFonts w:hint="eastAsia" w:cstheme="minorHAnsi"/>
                      <w:szCs w:val="21"/>
                    </w:rPr>
                    <w:t>4#</w:t>
                  </w:r>
                </w:p>
              </w:tc>
              <w:tc>
                <w:tcPr>
                  <w:tcW w:w="3859" w:type="pct"/>
                  <w:vAlign w:val="center"/>
                </w:tcPr>
                <w:p w14:paraId="3191D99E">
                  <w:pPr>
                    <w:jc w:val="center"/>
                    <w:rPr>
                      <w:szCs w:val="21"/>
                    </w:rPr>
                  </w:pPr>
                  <w:r>
                    <w:rPr>
                      <w:rFonts w:hint="eastAsia" w:cs="Times New Roman"/>
                      <w:szCs w:val="21"/>
                    </w:rPr>
                    <w:t>项目地厂界外西侧1m高1.5m</w:t>
                  </w:r>
                </w:p>
              </w:tc>
            </w:tr>
          </w:tbl>
          <w:p w14:paraId="6115193D">
            <w:pPr>
              <w:spacing w:line="360" w:lineRule="auto"/>
              <w:ind w:firstLine="482" w:firstLineChars="200"/>
              <w:rPr>
                <w:b/>
                <w:kern w:val="24"/>
                <w:sz w:val="24"/>
                <w:szCs w:val="24"/>
              </w:rPr>
            </w:pPr>
            <w:r>
              <w:rPr>
                <w:rFonts w:hint="eastAsia"/>
                <w:b/>
                <w:kern w:val="24"/>
                <w:sz w:val="24"/>
                <w:szCs w:val="24"/>
              </w:rPr>
              <w:t>（</w:t>
            </w:r>
            <w:r>
              <w:rPr>
                <w:b/>
                <w:kern w:val="24"/>
                <w:sz w:val="24"/>
                <w:szCs w:val="24"/>
              </w:rPr>
              <w:t>2</w:t>
            </w:r>
            <w:r>
              <w:rPr>
                <w:rFonts w:hint="eastAsia"/>
                <w:b/>
                <w:kern w:val="24"/>
                <w:sz w:val="24"/>
                <w:szCs w:val="24"/>
              </w:rPr>
              <w:t>）监测时间</w:t>
            </w:r>
          </w:p>
          <w:p w14:paraId="01762390">
            <w:pPr>
              <w:spacing w:line="360" w:lineRule="auto"/>
              <w:ind w:firstLine="480" w:firstLineChars="200"/>
              <w:rPr>
                <w:rFonts w:cs="Times New Roman"/>
                <w:sz w:val="24"/>
                <w:szCs w:val="24"/>
              </w:rPr>
            </w:pPr>
            <w:r>
              <w:rPr>
                <w:rFonts w:hint="eastAsia" w:cs="Times New Roman"/>
                <w:sz w:val="24"/>
                <w:szCs w:val="24"/>
              </w:rPr>
              <w:t>2024年8月1日~2日，共</w:t>
            </w:r>
            <w:r>
              <w:rPr>
                <w:rFonts w:cs="Times New Roman"/>
                <w:sz w:val="24"/>
                <w:szCs w:val="24"/>
              </w:rPr>
              <w:t>监测</w:t>
            </w:r>
            <w:r>
              <w:rPr>
                <w:rFonts w:hint="eastAsia" w:cs="Times New Roman"/>
                <w:sz w:val="24"/>
                <w:szCs w:val="24"/>
              </w:rPr>
              <w:t>2</w:t>
            </w:r>
            <w:r>
              <w:rPr>
                <w:rFonts w:cs="Times New Roman"/>
                <w:sz w:val="24"/>
                <w:szCs w:val="24"/>
              </w:rPr>
              <w:t>天，</w:t>
            </w:r>
            <w:r>
              <w:rPr>
                <w:rFonts w:hint="eastAsia" w:cs="Times New Roman"/>
                <w:sz w:val="24"/>
                <w:szCs w:val="24"/>
              </w:rPr>
              <w:t>每天昼间</w:t>
            </w:r>
            <w:r>
              <w:rPr>
                <w:rFonts w:cs="Times New Roman"/>
                <w:sz w:val="24"/>
                <w:szCs w:val="24"/>
              </w:rPr>
              <w:t>各监测</w:t>
            </w:r>
            <w:r>
              <w:rPr>
                <w:rFonts w:hint="eastAsia" w:cs="Times New Roman"/>
                <w:sz w:val="24"/>
                <w:szCs w:val="24"/>
              </w:rPr>
              <w:t>1次。</w:t>
            </w:r>
          </w:p>
          <w:p w14:paraId="2C3EFC18">
            <w:pPr>
              <w:spacing w:line="360" w:lineRule="auto"/>
              <w:ind w:firstLine="482" w:firstLineChars="200"/>
              <w:rPr>
                <w:b/>
                <w:kern w:val="24"/>
                <w:sz w:val="24"/>
                <w:szCs w:val="24"/>
              </w:rPr>
            </w:pPr>
            <w:r>
              <w:rPr>
                <w:rFonts w:hint="eastAsia"/>
                <w:b/>
                <w:kern w:val="24"/>
                <w:sz w:val="24"/>
                <w:szCs w:val="24"/>
              </w:rPr>
              <w:t>（</w:t>
            </w:r>
            <w:r>
              <w:rPr>
                <w:b/>
                <w:kern w:val="24"/>
                <w:sz w:val="24"/>
                <w:szCs w:val="24"/>
              </w:rPr>
              <w:t>3</w:t>
            </w:r>
            <w:r>
              <w:rPr>
                <w:rFonts w:hint="eastAsia"/>
                <w:b/>
                <w:kern w:val="24"/>
                <w:sz w:val="24"/>
                <w:szCs w:val="24"/>
              </w:rPr>
              <w:t>）评价标准</w:t>
            </w:r>
          </w:p>
          <w:p w14:paraId="0759E1B7">
            <w:pPr>
              <w:spacing w:line="360" w:lineRule="auto"/>
              <w:ind w:firstLine="480" w:firstLineChars="200"/>
              <w:rPr>
                <w:rFonts w:cs="Times New Roman"/>
                <w:sz w:val="24"/>
                <w:szCs w:val="24"/>
              </w:rPr>
            </w:pPr>
            <w:r>
              <w:rPr>
                <w:rFonts w:hint="eastAsia"/>
                <w:sz w:val="24"/>
                <w:szCs w:val="24"/>
                <w:lang w:val="zh-CN"/>
              </w:rPr>
              <w:t>执行《声环境</w:t>
            </w:r>
            <w:r>
              <w:rPr>
                <w:sz w:val="24"/>
                <w:szCs w:val="24"/>
                <w:lang w:val="zh-CN"/>
              </w:rPr>
              <w:t>质量标准》（GB3096-2008</w:t>
            </w:r>
            <w:r>
              <w:rPr>
                <w:rFonts w:hint="eastAsia"/>
                <w:sz w:val="24"/>
                <w:szCs w:val="24"/>
                <w:lang w:val="zh-CN"/>
              </w:rPr>
              <w:t>）3</w:t>
            </w:r>
            <w:r>
              <w:rPr>
                <w:sz w:val="24"/>
                <w:szCs w:val="24"/>
                <w:lang w:val="zh-CN"/>
              </w:rPr>
              <w:t>类标准</w:t>
            </w:r>
            <w:r>
              <w:rPr>
                <w:rFonts w:hint="eastAsia" w:cs="Times New Roman"/>
                <w:sz w:val="24"/>
                <w:szCs w:val="24"/>
              </w:rPr>
              <w:t>。</w:t>
            </w:r>
          </w:p>
          <w:p w14:paraId="1E34E2EA">
            <w:pPr>
              <w:spacing w:line="360" w:lineRule="auto"/>
              <w:ind w:firstLine="482" w:firstLineChars="200"/>
              <w:rPr>
                <w:b/>
                <w:kern w:val="24"/>
                <w:sz w:val="24"/>
                <w:szCs w:val="24"/>
              </w:rPr>
            </w:pPr>
            <w:r>
              <w:rPr>
                <w:rFonts w:hint="eastAsia"/>
                <w:b/>
                <w:kern w:val="24"/>
                <w:sz w:val="24"/>
                <w:szCs w:val="24"/>
              </w:rPr>
              <w:t>（</w:t>
            </w:r>
            <w:r>
              <w:rPr>
                <w:b/>
                <w:kern w:val="24"/>
                <w:sz w:val="24"/>
                <w:szCs w:val="24"/>
              </w:rPr>
              <w:t>4</w:t>
            </w:r>
            <w:r>
              <w:rPr>
                <w:rFonts w:hint="eastAsia"/>
                <w:b/>
                <w:kern w:val="24"/>
                <w:sz w:val="24"/>
                <w:szCs w:val="24"/>
              </w:rPr>
              <w:t>）评价结果</w:t>
            </w:r>
          </w:p>
          <w:p w14:paraId="6DF1FA64">
            <w:pPr>
              <w:spacing w:line="360" w:lineRule="auto"/>
              <w:ind w:firstLine="480" w:firstLineChars="200"/>
              <w:rPr>
                <w:rFonts w:cs="Times New Roman"/>
                <w:sz w:val="24"/>
                <w:szCs w:val="24"/>
              </w:rPr>
            </w:pPr>
            <w:r>
              <w:rPr>
                <w:rFonts w:cs="Times New Roman"/>
                <w:sz w:val="24"/>
                <w:szCs w:val="24"/>
              </w:rPr>
              <w:t>区域声环境质量</w:t>
            </w:r>
            <w:r>
              <w:rPr>
                <w:rFonts w:hint="eastAsia" w:cs="Times New Roman"/>
                <w:sz w:val="24"/>
                <w:szCs w:val="24"/>
              </w:rPr>
              <w:t>现状</w:t>
            </w:r>
            <w:r>
              <w:rPr>
                <w:rFonts w:cs="Times New Roman"/>
                <w:sz w:val="24"/>
                <w:szCs w:val="24"/>
              </w:rPr>
              <w:t>评价结果</w:t>
            </w:r>
            <w:r>
              <w:rPr>
                <w:rFonts w:cs="Times New Roman"/>
                <w:sz w:val="24"/>
              </w:rPr>
              <w:t>见</w:t>
            </w:r>
            <w:r>
              <w:rPr>
                <w:rFonts w:hint="eastAsia" w:cs="Times New Roman"/>
                <w:sz w:val="24"/>
              </w:rPr>
              <w:t>下表</w:t>
            </w:r>
            <w:r>
              <w:rPr>
                <w:rFonts w:cs="Times New Roman"/>
                <w:sz w:val="24"/>
                <w:szCs w:val="24"/>
              </w:rPr>
              <w:t>。</w:t>
            </w:r>
          </w:p>
          <w:p w14:paraId="5D254B6E">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声环境质量现状评价结果表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945"/>
              <w:gridCol w:w="1271"/>
              <w:gridCol w:w="1273"/>
              <w:gridCol w:w="1271"/>
              <w:gridCol w:w="1273"/>
              <w:gridCol w:w="1373"/>
            </w:tblGrid>
            <w:tr w14:paraId="7891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405" w:type="pct"/>
                  <w:vMerge w:val="restart"/>
                  <w:vAlign w:val="center"/>
                </w:tcPr>
                <w:p w14:paraId="19F6DC9F">
                  <w:pPr>
                    <w:jc w:val="center"/>
                    <w:rPr>
                      <w:rFonts w:cstheme="minorHAnsi"/>
                      <w:szCs w:val="21"/>
                    </w:rPr>
                  </w:pPr>
                  <w:r>
                    <w:rPr>
                      <w:rFonts w:cstheme="minorHAnsi"/>
                      <w:szCs w:val="21"/>
                    </w:rPr>
                    <w:t>编号</w:t>
                  </w:r>
                </w:p>
              </w:tc>
              <w:tc>
                <w:tcPr>
                  <w:tcW w:w="1063" w:type="pct"/>
                  <w:vMerge w:val="restart"/>
                  <w:vAlign w:val="center"/>
                </w:tcPr>
                <w:p w14:paraId="2E7A776F">
                  <w:pPr>
                    <w:jc w:val="center"/>
                    <w:rPr>
                      <w:rFonts w:cstheme="minorHAnsi"/>
                      <w:szCs w:val="21"/>
                    </w:rPr>
                  </w:pPr>
                  <w:r>
                    <w:rPr>
                      <w:rFonts w:hint="eastAsia" w:cstheme="minorHAnsi"/>
                      <w:szCs w:val="21"/>
                    </w:rPr>
                    <w:t>监测点位</w:t>
                  </w:r>
                </w:p>
              </w:tc>
              <w:tc>
                <w:tcPr>
                  <w:tcW w:w="2782" w:type="pct"/>
                  <w:gridSpan w:val="4"/>
                  <w:vAlign w:val="center"/>
                </w:tcPr>
                <w:p w14:paraId="2B44B597">
                  <w:pPr>
                    <w:jc w:val="center"/>
                    <w:rPr>
                      <w:rFonts w:cstheme="minorHAnsi"/>
                      <w:szCs w:val="21"/>
                    </w:rPr>
                  </w:pPr>
                  <w:r>
                    <w:rPr>
                      <w:rFonts w:hint="eastAsia" w:cstheme="minorHAnsi"/>
                      <w:szCs w:val="21"/>
                    </w:rPr>
                    <w:t>评价结果</w:t>
                  </w:r>
                  <w:r>
                    <w:rPr>
                      <w:rFonts w:cstheme="minorHAnsi"/>
                      <w:szCs w:val="21"/>
                    </w:rPr>
                    <w:t>[dB（A）]</w:t>
                  </w:r>
                </w:p>
              </w:tc>
              <w:tc>
                <w:tcPr>
                  <w:tcW w:w="750" w:type="pct"/>
                  <w:vMerge w:val="restart"/>
                  <w:vAlign w:val="center"/>
                </w:tcPr>
                <w:p w14:paraId="05F73AA6">
                  <w:pPr>
                    <w:jc w:val="center"/>
                    <w:rPr>
                      <w:rFonts w:cstheme="minorHAnsi"/>
                      <w:szCs w:val="21"/>
                    </w:rPr>
                  </w:pPr>
                  <w:r>
                    <w:rPr>
                      <w:rFonts w:cstheme="minorHAnsi"/>
                      <w:szCs w:val="21"/>
                    </w:rPr>
                    <w:t>标准限值[dB（A）]</w:t>
                  </w:r>
                </w:p>
              </w:tc>
            </w:tr>
            <w:tr w14:paraId="3C07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05" w:type="pct"/>
                  <w:vMerge w:val="continue"/>
                  <w:vAlign w:val="center"/>
                </w:tcPr>
                <w:p w14:paraId="4E859606">
                  <w:pPr>
                    <w:jc w:val="center"/>
                    <w:rPr>
                      <w:rFonts w:cstheme="minorHAnsi"/>
                      <w:szCs w:val="21"/>
                    </w:rPr>
                  </w:pPr>
                </w:p>
              </w:tc>
              <w:tc>
                <w:tcPr>
                  <w:tcW w:w="1063" w:type="pct"/>
                  <w:vMerge w:val="continue"/>
                  <w:vAlign w:val="center"/>
                </w:tcPr>
                <w:p w14:paraId="75D94DE7">
                  <w:pPr>
                    <w:jc w:val="center"/>
                    <w:rPr>
                      <w:rFonts w:cstheme="minorHAnsi"/>
                      <w:szCs w:val="21"/>
                    </w:rPr>
                  </w:pPr>
                </w:p>
              </w:tc>
              <w:tc>
                <w:tcPr>
                  <w:tcW w:w="1391" w:type="pct"/>
                  <w:gridSpan w:val="2"/>
                  <w:vAlign w:val="center"/>
                </w:tcPr>
                <w:p w14:paraId="713AA0C4">
                  <w:pPr>
                    <w:jc w:val="center"/>
                    <w:rPr>
                      <w:rFonts w:cstheme="minorHAnsi"/>
                      <w:szCs w:val="21"/>
                    </w:rPr>
                  </w:pPr>
                  <w:r>
                    <w:rPr>
                      <w:rFonts w:hint="eastAsia" w:cstheme="minorHAnsi"/>
                      <w:szCs w:val="21"/>
                    </w:rPr>
                    <w:t>2024.8.1</w:t>
                  </w:r>
                </w:p>
              </w:tc>
              <w:tc>
                <w:tcPr>
                  <w:tcW w:w="1391" w:type="pct"/>
                  <w:gridSpan w:val="2"/>
                  <w:vAlign w:val="center"/>
                </w:tcPr>
                <w:p w14:paraId="538321F0">
                  <w:pPr>
                    <w:jc w:val="center"/>
                    <w:rPr>
                      <w:rFonts w:cstheme="minorHAnsi"/>
                      <w:szCs w:val="21"/>
                    </w:rPr>
                  </w:pPr>
                  <w:r>
                    <w:rPr>
                      <w:rFonts w:hint="eastAsia" w:cstheme="minorHAnsi"/>
                      <w:szCs w:val="21"/>
                    </w:rPr>
                    <w:t>2024.8.2</w:t>
                  </w:r>
                </w:p>
              </w:tc>
              <w:tc>
                <w:tcPr>
                  <w:tcW w:w="750" w:type="pct"/>
                  <w:vMerge w:val="continue"/>
                  <w:vAlign w:val="center"/>
                </w:tcPr>
                <w:p w14:paraId="68B9D405">
                  <w:pPr>
                    <w:jc w:val="center"/>
                    <w:rPr>
                      <w:rFonts w:cstheme="minorHAnsi"/>
                      <w:szCs w:val="21"/>
                    </w:rPr>
                  </w:pPr>
                </w:p>
              </w:tc>
            </w:tr>
            <w:tr w14:paraId="6372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05" w:type="pct"/>
                  <w:vMerge w:val="continue"/>
                  <w:vAlign w:val="center"/>
                </w:tcPr>
                <w:p w14:paraId="07F90B2B">
                  <w:pPr>
                    <w:jc w:val="center"/>
                    <w:rPr>
                      <w:rFonts w:cstheme="minorHAnsi"/>
                      <w:szCs w:val="21"/>
                    </w:rPr>
                  </w:pPr>
                </w:p>
              </w:tc>
              <w:tc>
                <w:tcPr>
                  <w:tcW w:w="1063" w:type="pct"/>
                  <w:vMerge w:val="continue"/>
                  <w:vAlign w:val="center"/>
                </w:tcPr>
                <w:p w14:paraId="782E134F">
                  <w:pPr>
                    <w:jc w:val="center"/>
                    <w:rPr>
                      <w:rFonts w:cstheme="minorHAnsi"/>
                      <w:szCs w:val="21"/>
                    </w:rPr>
                  </w:pPr>
                </w:p>
              </w:tc>
              <w:tc>
                <w:tcPr>
                  <w:tcW w:w="695" w:type="pct"/>
                  <w:vAlign w:val="center"/>
                </w:tcPr>
                <w:p w14:paraId="1AA7C1BA">
                  <w:pPr>
                    <w:jc w:val="center"/>
                    <w:rPr>
                      <w:rFonts w:cstheme="minorHAnsi"/>
                      <w:szCs w:val="21"/>
                    </w:rPr>
                  </w:pPr>
                  <w:r>
                    <w:rPr>
                      <w:rFonts w:cstheme="minorHAnsi"/>
                      <w:szCs w:val="21"/>
                    </w:rPr>
                    <w:t>昼间</w:t>
                  </w:r>
                </w:p>
              </w:tc>
              <w:tc>
                <w:tcPr>
                  <w:tcW w:w="695" w:type="pct"/>
                  <w:vAlign w:val="center"/>
                </w:tcPr>
                <w:p w14:paraId="30BFB225">
                  <w:pPr>
                    <w:jc w:val="center"/>
                    <w:rPr>
                      <w:rFonts w:cstheme="minorHAnsi"/>
                      <w:szCs w:val="21"/>
                    </w:rPr>
                  </w:pPr>
                  <w:r>
                    <w:rPr>
                      <w:rFonts w:cstheme="minorHAnsi"/>
                      <w:szCs w:val="21"/>
                    </w:rPr>
                    <w:t>结果</w:t>
                  </w:r>
                </w:p>
              </w:tc>
              <w:tc>
                <w:tcPr>
                  <w:tcW w:w="695" w:type="pct"/>
                  <w:vAlign w:val="center"/>
                </w:tcPr>
                <w:p w14:paraId="45220A69">
                  <w:pPr>
                    <w:jc w:val="center"/>
                    <w:rPr>
                      <w:rFonts w:cstheme="minorHAnsi"/>
                      <w:szCs w:val="21"/>
                    </w:rPr>
                  </w:pPr>
                  <w:r>
                    <w:rPr>
                      <w:rFonts w:cstheme="minorHAnsi"/>
                      <w:szCs w:val="21"/>
                    </w:rPr>
                    <w:t>昼间</w:t>
                  </w:r>
                </w:p>
              </w:tc>
              <w:tc>
                <w:tcPr>
                  <w:tcW w:w="696" w:type="pct"/>
                  <w:vAlign w:val="center"/>
                </w:tcPr>
                <w:p w14:paraId="45F6373C">
                  <w:pPr>
                    <w:jc w:val="center"/>
                    <w:rPr>
                      <w:rFonts w:cstheme="minorHAnsi"/>
                      <w:szCs w:val="21"/>
                    </w:rPr>
                  </w:pPr>
                  <w:r>
                    <w:rPr>
                      <w:rFonts w:cstheme="minorHAnsi"/>
                      <w:szCs w:val="21"/>
                    </w:rPr>
                    <w:t>结果</w:t>
                  </w:r>
                </w:p>
              </w:tc>
              <w:tc>
                <w:tcPr>
                  <w:tcW w:w="750" w:type="pct"/>
                  <w:vAlign w:val="center"/>
                </w:tcPr>
                <w:p w14:paraId="6DBF6AD3">
                  <w:pPr>
                    <w:jc w:val="center"/>
                    <w:rPr>
                      <w:rFonts w:cstheme="minorHAnsi"/>
                      <w:szCs w:val="21"/>
                    </w:rPr>
                  </w:pPr>
                  <w:r>
                    <w:rPr>
                      <w:rFonts w:cstheme="minorHAnsi"/>
                      <w:szCs w:val="21"/>
                    </w:rPr>
                    <w:t>昼间</w:t>
                  </w:r>
                </w:p>
              </w:tc>
            </w:tr>
            <w:tr w14:paraId="457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405" w:type="pct"/>
                  <w:vAlign w:val="center"/>
                </w:tcPr>
                <w:p w14:paraId="2A15FDE5">
                  <w:pPr>
                    <w:jc w:val="center"/>
                    <w:rPr>
                      <w:rFonts w:cstheme="minorHAnsi"/>
                      <w:szCs w:val="21"/>
                    </w:rPr>
                  </w:pPr>
                  <w:r>
                    <w:rPr>
                      <w:rFonts w:cstheme="minorHAnsi"/>
                      <w:szCs w:val="21"/>
                    </w:rPr>
                    <w:t>1#</w:t>
                  </w:r>
                </w:p>
              </w:tc>
              <w:tc>
                <w:tcPr>
                  <w:tcW w:w="1063" w:type="pct"/>
                  <w:vAlign w:val="center"/>
                </w:tcPr>
                <w:p w14:paraId="28B9FBFB">
                  <w:pPr>
                    <w:jc w:val="center"/>
                    <w:rPr>
                      <w:rFonts w:cstheme="minorHAnsi"/>
                      <w:kern w:val="0"/>
                      <w:szCs w:val="21"/>
                    </w:rPr>
                  </w:pPr>
                  <w:r>
                    <w:rPr>
                      <w:rFonts w:hint="eastAsia" w:cs="Times New Roman"/>
                      <w:szCs w:val="21"/>
                    </w:rPr>
                    <w:t>项目地厂界外东侧1m高1.5m</w:t>
                  </w:r>
                </w:p>
              </w:tc>
              <w:tc>
                <w:tcPr>
                  <w:tcW w:w="695" w:type="pct"/>
                  <w:vAlign w:val="center"/>
                </w:tcPr>
                <w:p w14:paraId="02049219">
                  <w:pPr>
                    <w:jc w:val="center"/>
                    <w:rPr>
                      <w:rFonts w:cstheme="minorHAnsi"/>
                      <w:kern w:val="0"/>
                      <w:szCs w:val="21"/>
                    </w:rPr>
                  </w:pPr>
                  <w:r>
                    <w:rPr>
                      <w:rFonts w:hint="eastAsia" w:cstheme="minorHAnsi"/>
                      <w:kern w:val="0"/>
                      <w:szCs w:val="21"/>
                    </w:rPr>
                    <w:t>53.2</w:t>
                  </w:r>
                </w:p>
              </w:tc>
              <w:tc>
                <w:tcPr>
                  <w:tcW w:w="695" w:type="pct"/>
                  <w:vAlign w:val="center"/>
                </w:tcPr>
                <w:p w14:paraId="04656842">
                  <w:pPr>
                    <w:jc w:val="center"/>
                    <w:rPr>
                      <w:rFonts w:cstheme="minorHAnsi"/>
                      <w:szCs w:val="21"/>
                    </w:rPr>
                  </w:pPr>
                  <w:r>
                    <w:rPr>
                      <w:rFonts w:cstheme="minorHAnsi"/>
                      <w:szCs w:val="21"/>
                    </w:rPr>
                    <w:t>达标</w:t>
                  </w:r>
                </w:p>
              </w:tc>
              <w:tc>
                <w:tcPr>
                  <w:tcW w:w="695" w:type="pct"/>
                  <w:vAlign w:val="center"/>
                </w:tcPr>
                <w:p w14:paraId="415D4EAC">
                  <w:pPr>
                    <w:jc w:val="center"/>
                    <w:rPr>
                      <w:rFonts w:cstheme="minorHAnsi"/>
                      <w:szCs w:val="21"/>
                    </w:rPr>
                  </w:pPr>
                  <w:r>
                    <w:rPr>
                      <w:rFonts w:hint="eastAsia" w:cstheme="minorHAnsi"/>
                      <w:szCs w:val="21"/>
                    </w:rPr>
                    <w:t>55.4</w:t>
                  </w:r>
                </w:p>
              </w:tc>
              <w:tc>
                <w:tcPr>
                  <w:tcW w:w="696" w:type="pct"/>
                  <w:vAlign w:val="center"/>
                </w:tcPr>
                <w:p w14:paraId="339FEAC7">
                  <w:pPr>
                    <w:jc w:val="center"/>
                    <w:rPr>
                      <w:rFonts w:cstheme="minorHAnsi"/>
                      <w:szCs w:val="21"/>
                    </w:rPr>
                  </w:pPr>
                  <w:r>
                    <w:rPr>
                      <w:rFonts w:cstheme="minorHAnsi"/>
                      <w:szCs w:val="21"/>
                    </w:rPr>
                    <w:t>达标</w:t>
                  </w:r>
                </w:p>
              </w:tc>
              <w:tc>
                <w:tcPr>
                  <w:tcW w:w="750" w:type="pct"/>
                  <w:vMerge w:val="restart"/>
                  <w:vAlign w:val="center"/>
                </w:tcPr>
                <w:p w14:paraId="7A0FA6B0">
                  <w:pPr>
                    <w:jc w:val="center"/>
                    <w:rPr>
                      <w:rFonts w:cstheme="minorHAnsi"/>
                      <w:szCs w:val="21"/>
                    </w:rPr>
                  </w:pPr>
                  <w:r>
                    <w:rPr>
                      <w:rFonts w:hint="eastAsia" w:cstheme="minorHAnsi"/>
                      <w:szCs w:val="21"/>
                    </w:rPr>
                    <w:t>65</w:t>
                  </w:r>
                </w:p>
              </w:tc>
            </w:tr>
            <w:tr w14:paraId="71E9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405" w:type="pct"/>
                  <w:vAlign w:val="center"/>
                </w:tcPr>
                <w:p w14:paraId="0F1585CA">
                  <w:pPr>
                    <w:jc w:val="center"/>
                    <w:rPr>
                      <w:rFonts w:cstheme="minorHAnsi"/>
                      <w:szCs w:val="21"/>
                    </w:rPr>
                  </w:pPr>
                  <w:r>
                    <w:rPr>
                      <w:rFonts w:cstheme="minorHAnsi"/>
                      <w:szCs w:val="21"/>
                    </w:rPr>
                    <w:t>2#</w:t>
                  </w:r>
                </w:p>
              </w:tc>
              <w:tc>
                <w:tcPr>
                  <w:tcW w:w="1063" w:type="pct"/>
                  <w:vAlign w:val="center"/>
                </w:tcPr>
                <w:p w14:paraId="47BA5ADE">
                  <w:pPr>
                    <w:jc w:val="center"/>
                    <w:rPr>
                      <w:rFonts w:cstheme="minorHAnsi"/>
                      <w:kern w:val="0"/>
                      <w:szCs w:val="21"/>
                    </w:rPr>
                  </w:pPr>
                  <w:r>
                    <w:rPr>
                      <w:rFonts w:hint="eastAsia" w:cs="Times New Roman"/>
                      <w:szCs w:val="21"/>
                    </w:rPr>
                    <w:t>项目地厂界外东北侧1m高1.5m</w:t>
                  </w:r>
                </w:p>
              </w:tc>
              <w:tc>
                <w:tcPr>
                  <w:tcW w:w="695" w:type="pct"/>
                  <w:vAlign w:val="center"/>
                </w:tcPr>
                <w:p w14:paraId="533CD13C">
                  <w:pPr>
                    <w:jc w:val="center"/>
                    <w:rPr>
                      <w:rFonts w:cstheme="minorHAnsi"/>
                      <w:kern w:val="0"/>
                      <w:szCs w:val="21"/>
                    </w:rPr>
                  </w:pPr>
                  <w:r>
                    <w:rPr>
                      <w:rFonts w:hint="eastAsia" w:cstheme="minorHAnsi"/>
                      <w:kern w:val="0"/>
                      <w:szCs w:val="21"/>
                    </w:rPr>
                    <w:t>55.6</w:t>
                  </w:r>
                </w:p>
              </w:tc>
              <w:tc>
                <w:tcPr>
                  <w:tcW w:w="695" w:type="pct"/>
                  <w:vAlign w:val="center"/>
                </w:tcPr>
                <w:p w14:paraId="5F33DBCA">
                  <w:pPr>
                    <w:jc w:val="center"/>
                    <w:rPr>
                      <w:rFonts w:cstheme="minorHAnsi"/>
                      <w:szCs w:val="21"/>
                    </w:rPr>
                  </w:pPr>
                  <w:r>
                    <w:rPr>
                      <w:rFonts w:cstheme="minorHAnsi"/>
                      <w:szCs w:val="21"/>
                    </w:rPr>
                    <w:t>达标</w:t>
                  </w:r>
                </w:p>
              </w:tc>
              <w:tc>
                <w:tcPr>
                  <w:tcW w:w="695" w:type="pct"/>
                  <w:vAlign w:val="center"/>
                </w:tcPr>
                <w:p w14:paraId="6383AAEC">
                  <w:pPr>
                    <w:jc w:val="center"/>
                    <w:rPr>
                      <w:rFonts w:cstheme="minorHAnsi"/>
                      <w:szCs w:val="21"/>
                    </w:rPr>
                  </w:pPr>
                  <w:r>
                    <w:rPr>
                      <w:rFonts w:hint="eastAsia" w:cstheme="minorHAnsi"/>
                      <w:szCs w:val="21"/>
                    </w:rPr>
                    <w:t>53.5</w:t>
                  </w:r>
                </w:p>
              </w:tc>
              <w:tc>
                <w:tcPr>
                  <w:tcW w:w="696" w:type="pct"/>
                  <w:vAlign w:val="center"/>
                </w:tcPr>
                <w:p w14:paraId="4D411812">
                  <w:pPr>
                    <w:jc w:val="center"/>
                    <w:rPr>
                      <w:rFonts w:cstheme="minorHAnsi"/>
                      <w:szCs w:val="21"/>
                    </w:rPr>
                  </w:pPr>
                  <w:r>
                    <w:rPr>
                      <w:rFonts w:cstheme="minorHAnsi"/>
                      <w:szCs w:val="21"/>
                    </w:rPr>
                    <w:t>达标</w:t>
                  </w:r>
                </w:p>
              </w:tc>
              <w:tc>
                <w:tcPr>
                  <w:tcW w:w="750" w:type="pct"/>
                  <w:vMerge w:val="continue"/>
                  <w:vAlign w:val="center"/>
                </w:tcPr>
                <w:p w14:paraId="5BB961CA">
                  <w:pPr>
                    <w:jc w:val="center"/>
                    <w:rPr>
                      <w:rFonts w:cstheme="minorHAnsi"/>
                      <w:szCs w:val="21"/>
                    </w:rPr>
                  </w:pPr>
                </w:p>
              </w:tc>
            </w:tr>
            <w:tr w14:paraId="7A20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05" w:type="pct"/>
                  <w:vAlign w:val="center"/>
                </w:tcPr>
                <w:p w14:paraId="24609BE5">
                  <w:pPr>
                    <w:jc w:val="center"/>
                    <w:rPr>
                      <w:rFonts w:cstheme="minorHAnsi"/>
                      <w:szCs w:val="21"/>
                    </w:rPr>
                  </w:pPr>
                  <w:r>
                    <w:rPr>
                      <w:rFonts w:cstheme="minorHAnsi"/>
                      <w:szCs w:val="21"/>
                    </w:rPr>
                    <w:t>3#</w:t>
                  </w:r>
                </w:p>
              </w:tc>
              <w:tc>
                <w:tcPr>
                  <w:tcW w:w="1063" w:type="pct"/>
                  <w:vAlign w:val="center"/>
                </w:tcPr>
                <w:p w14:paraId="2949552B">
                  <w:pPr>
                    <w:jc w:val="center"/>
                    <w:rPr>
                      <w:rFonts w:cstheme="minorHAnsi"/>
                      <w:kern w:val="0"/>
                      <w:szCs w:val="21"/>
                    </w:rPr>
                  </w:pPr>
                  <w:r>
                    <w:rPr>
                      <w:rFonts w:hint="eastAsia" w:cs="Times New Roman"/>
                      <w:szCs w:val="21"/>
                    </w:rPr>
                    <w:t>项目地厂界外西北侧1m高1.5m</w:t>
                  </w:r>
                </w:p>
              </w:tc>
              <w:tc>
                <w:tcPr>
                  <w:tcW w:w="695" w:type="pct"/>
                  <w:vAlign w:val="center"/>
                </w:tcPr>
                <w:p w14:paraId="7D551634">
                  <w:pPr>
                    <w:jc w:val="center"/>
                    <w:rPr>
                      <w:rFonts w:cstheme="minorHAnsi"/>
                      <w:kern w:val="0"/>
                      <w:szCs w:val="21"/>
                    </w:rPr>
                  </w:pPr>
                  <w:r>
                    <w:rPr>
                      <w:rFonts w:hint="eastAsia" w:cstheme="minorHAnsi"/>
                      <w:kern w:val="0"/>
                      <w:szCs w:val="21"/>
                    </w:rPr>
                    <w:t>55.5</w:t>
                  </w:r>
                </w:p>
              </w:tc>
              <w:tc>
                <w:tcPr>
                  <w:tcW w:w="695" w:type="pct"/>
                  <w:vAlign w:val="center"/>
                </w:tcPr>
                <w:p w14:paraId="4441C2F3">
                  <w:pPr>
                    <w:jc w:val="center"/>
                    <w:rPr>
                      <w:rFonts w:cstheme="minorHAnsi"/>
                      <w:szCs w:val="21"/>
                    </w:rPr>
                  </w:pPr>
                  <w:r>
                    <w:rPr>
                      <w:rFonts w:cstheme="minorHAnsi"/>
                      <w:szCs w:val="21"/>
                    </w:rPr>
                    <w:t>达标</w:t>
                  </w:r>
                </w:p>
              </w:tc>
              <w:tc>
                <w:tcPr>
                  <w:tcW w:w="695" w:type="pct"/>
                  <w:vAlign w:val="center"/>
                </w:tcPr>
                <w:p w14:paraId="29E0BA12">
                  <w:pPr>
                    <w:jc w:val="center"/>
                    <w:rPr>
                      <w:rFonts w:cstheme="minorHAnsi"/>
                      <w:szCs w:val="21"/>
                    </w:rPr>
                  </w:pPr>
                  <w:r>
                    <w:rPr>
                      <w:rFonts w:hint="eastAsia" w:cstheme="minorHAnsi"/>
                      <w:szCs w:val="21"/>
                    </w:rPr>
                    <w:t>56.1</w:t>
                  </w:r>
                </w:p>
              </w:tc>
              <w:tc>
                <w:tcPr>
                  <w:tcW w:w="696" w:type="pct"/>
                  <w:vAlign w:val="center"/>
                </w:tcPr>
                <w:p w14:paraId="2D4F1D8E">
                  <w:pPr>
                    <w:jc w:val="center"/>
                    <w:rPr>
                      <w:rFonts w:cstheme="minorHAnsi"/>
                      <w:szCs w:val="21"/>
                    </w:rPr>
                  </w:pPr>
                  <w:r>
                    <w:rPr>
                      <w:rFonts w:cstheme="minorHAnsi"/>
                      <w:szCs w:val="21"/>
                    </w:rPr>
                    <w:t>达标</w:t>
                  </w:r>
                </w:p>
              </w:tc>
              <w:tc>
                <w:tcPr>
                  <w:tcW w:w="750" w:type="pct"/>
                  <w:vMerge w:val="continue"/>
                  <w:vAlign w:val="center"/>
                </w:tcPr>
                <w:p w14:paraId="24B9773D">
                  <w:pPr>
                    <w:jc w:val="center"/>
                    <w:rPr>
                      <w:rFonts w:cstheme="minorHAnsi"/>
                      <w:szCs w:val="21"/>
                    </w:rPr>
                  </w:pPr>
                </w:p>
              </w:tc>
            </w:tr>
            <w:tr w14:paraId="28ADB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05" w:type="pct"/>
                  <w:vAlign w:val="center"/>
                </w:tcPr>
                <w:p w14:paraId="3EDBE1D5">
                  <w:pPr>
                    <w:jc w:val="center"/>
                    <w:rPr>
                      <w:rFonts w:cstheme="minorHAnsi"/>
                      <w:szCs w:val="21"/>
                    </w:rPr>
                  </w:pPr>
                  <w:r>
                    <w:rPr>
                      <w:rFonts w:cstheme="minorHAnsi"/>
                      <w:szCs w:val="21"/>
                    </w:rPr>
                    <w:t>4#</w:t>
                  </w:r>
                </w:p>
              </w:tc>
              <w:tc>
                <w:tcPr>
                  <w:tcW w:w="1063" w:type="pct"/>
                  <w:vAlign w:val="center"/>
                </w:tcPr>
                <w:p w14:paraId="147370D6">
                  <w:pPr>
                    <w:jc w:val="center"/>
                    <w:rPr>
                      <w:rFonts w:cstheme="minorHAnsi"/>
                      <w:kern w:val="0"/>
                      <w:szCs w:val="21"/>
                    </w:rPr>
                  </w:pPr>
                  <w:r>
                    <w:rPr>
                      <w:rFonts w:hint="eastAsia" w:cs="Times New Roman"/>
                      <w:szCs w:val="21"/>
                    </w:rPr>
                    <w:t>项目地厂界外西侧1m高1.5m</w:t>
                  </w:r>
                </w:p>
              </w:tc>
              <w:tc>
                <w:tcPr>
                  <w:tcW w:w="695" w:type="pct"/>
                  <w:vAlign w:val="center"/>
                </w:tcPr>
                <w:p w14:paraId="2BBC8E05">
                  <w:pPr>
                    <w:jc w:val="center"/>
                    <w:rPr>
                      <w:rFonts w:cstheme="minorHAnsi"/>
                      <w:kern w:val="0"/>
                      <w:szCs w:val="21"/>
                    </w:rPr>
                  </w:pPr>
                  <w:r>
                    <w:rPr>
                      <w:rFonts w:hint="eastAsia" w:cstheme="minorHAnsi"/>
                      <w:kern w:val="0"/>
                      <w:szCs w:val="21"/>
                    </w:rPr>
                    <w:t>54.7</w:t>
                  </w:r>
                </w:p>
              </w:tc>
              <w:tc>
                <w:tcPr>
                  <w:tcW w:w="695" w:type="pct"/>
                  <w:vAlign w:val="center"/>
                </w:tcPr>
                <w:p w14:paraId="7BA12C35">
                  <w:pPr>
                    <w:jc w:val="center"/>
                    <w:rPr>
                      <w:rFonts w:cstheme="minorHAnsi"/>
                      <w:szCs w:val="21"/>
                    </w:rPr>
                  </w:pPr>
                  <w:r>
                    <w:rPr>
                      <w:rFonts w:cstheme="minorHAnsi"/>
                      <w:szCs w:val="21"/>
                    </w:rPr>
                    <w:t>达标</w:t>
                  </w:r>
                </w:p>
              </w:tc>
              <w:tc>
                <w:tcPr>
                  <w:tcW w:w="695" w:type="pct"/>
                  <w:vAlign w:val="center"/>
                </w:tcPr>
                <w:p w14:paraId="7129D7A6">
                  <w:pPr>
                    <w:jc w:val="center"/>
                    <w:rPr>
                      <w:rFonts w:cstheme="minorHAnsi"/>
                      <w:szCs w:val="21"/>
                    </w:rPr>
                  </w:pPr>
                  <w:r>
                    <w:rPr>
                      <w:rFonts w:hint="eastAsia" w:cstheme="minorHAnsi"/>
                      <w:szCs w:val="21"/>
                    </w:rPr>
                    <w:t>54.7</w:t>
                  </w:r>
                </w:p>
              </w:tc>
              <w:tc>
                <w:tcPr>
                  <w:tcW w:w="696" w:type="pct"/>
                  <w:vAlign w:val="center"/>
                </w:tcPr>
                <w:p w14:paraId="6D42F8CF">
                  <w:pPr>
                    <w:jc w:val="center"/>
                    <w:rPr>
                      <w:rFonts w:cstheme="minorHAnsi"/>
                      <w:szCs w:val="21"/>
                    </w:rPr>
                  </w:pPr>
                  <w:r>
                    <w:rPr>
                      <w:rFonts w:cstheme="minorHAnsi"/>
                      <w:szCs w:val="21"/>
                    </w:rPr>
                    <w:t>达标</w:t>
                  </w:r>
                </w:p>
              </w:tc>
              <w:tc>
                <w:tcPr>
                  <w:tcW w:w="750" w:type="pct"/>
                  <w:vMerge w:val="continue"/>
                  <w:vAlign w:val="center"/>
                </w:tcPr>
                <w:p w14:paraId="4134FBD3">
                  <w:pPr>
                    <w:jc w:val="center"/>
                    <w:rPr>
                      <w:rFonts w:cstheme="minorHAnsi"/>
                      <w:szCs w:val="21"/>
                    </w:rPr>
                  </w:pPr>
                </w:p>
              </w:tc>
            </w:tr>
          </w:tbl>
          <w:p w14:paraId="2B6962A4">
            <w:pPr>
              <w:spacing w:line="360" w:lineRule="auto"/>
              <w:ind w:firstLine="480" w:firstLineChars="200"/>
              <w:rPr>
                <w:rFonts w:cs="Times New Roman"/>
                <w:sz w:val="24"/>
                <w:szCs w:val="24"/>
              </w:rPr>
            </w:pPr>
            <w:r>
              <w:rPr>
                <w:rFonts w:hint="eastAsia"/>
                <w:sz w:val="24"/>
                <w:szCs w:val="24"/>
              </w:rPr>
              <w:t>由上表</w:t>
            </w:r>
            <w:r>
              <w:rPr>
                <w:sz w:val="24"/>
                <w:szCs w:val="24"/>
              </w:rPr>
              <w:t>可知</w:t>
            </w:r>
            <w:r>
              <w:rPr>
                <w:rFonts w:cs="Times New Roman"/>
                <w:sz w:val="24"/>
                <w:szCs w:val="24"/>
              </w:rPr>
              <w:t>，</w:t>
            </w:r>
            <w:r>
              <w:rPr>
                <w:rFonts w:hint="eastAsia" w:cs="Times New Roman"/>
                <w:sz w:val="24"/>
                <w:szCs w:val="24"/>
              </w:rPr>
              <w:t>项目</w:t>
            </w:r>
            <w:r>
              <w:rPr>
                <w:rFonts w:cs="Times New Roman"/>
                <w:sz w:val="24"/>
                <w:szCs w:val="24"/>
              </w:rPr>
              <w:t>厂界</w:t>
            </w:r>
            <w:r>
              <w:rPr>
                <w:rFonts w:hint="eastAsia" w:cs="Times New Roman"/>
                <w:sz w:val="24"/>
                <w:szCs w:val="24"/>
              </w:rPr>
              <w:t>各监测点噪声值</w:t>
            </w:r>
            <w:r>
              <w:rPr>
                <w:rFonts w:cs="Times New Roman"/>
                <w:sz w:val="24"/>
                <w:szCs w:val="24"/>
              </w:rPr>
              <w:t>均达到</w:t>
            </w:r>
            <w:r>
              <w:rPr>
                <w:rFonts w:hint="eastAsia" w:cs="Times New Roman"/>
                <w:sz w:val="24"/>
                <w:szCs w:val="24"/>
              </w:rPr>
              <w:t>《声环境质量标准》（GB3096-2008）3类标准。</w:t>
            </w:r>
          </w:p>
          <w:p w14:paraId="6FD5F0C9">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、地下水、土壤环境</w:t>
            </w:r>
          </w:p>
          <w:p w14:paraId="7D834C85">
            <w:pPr>
              <w:spacing w:line="360" w:lineRule="auto"/>
              <w:ind w:firstLine="480" w:firstLineChars="200"/>
              <w:rPr>
                <w:rFonts w:cs="Times New Roman"/>
                <w:sz w:val="24"/>
                <w:szCs w:val="24"/>
              </w:rPr>
            </w:pPr>
            <w:r>
              <w:rPr>
                <w:rFonts w:hint="eastAsia" w:cs="Times New Roman"/>
                <w:sz w:val="24"/>
                <w:szCs w:val="24"/>
              </w:rPr>
              <w:t>根据</w:t>
            </w:r>
            <w:r>
              <w:rPr>
                <w:rFonts w:cs="Times New Roman"/>
                <w:sz w:val="24"/>
                <w:szCs w:val="24"/>
              </w:rPr>
              <w:t>《建设项目环境影响报告表编制技术指南（污染影响类）（试行）》</w:t>
            </w:r>
            <w:r>
              <w:rPr>
                <w:rFonts w:hint="eastAsia" w:cs="Times New Roman"/>
                <w:sz w:val="24"/>
                <w:szCs w:val="24"/>
              </w:rPr>
              <w:t>中“</w:t>
            </w:r>
            <w:r>
              <w:rPr>
                <w:rFonts w:hint="eastAsia" w:cs="Times New Roman"/>
                <w:i/>
                <w:iCs/>
                <w:sz w:val="24"/>
                <w:szCs w:val="24"/>
              </w:rPr>
              <w:t>原则上不开展地下水、土壤环境环境质量现状调查。建设项目存在土壤、地下水环境污染途径的，应结合污染源、保护目标分布等情况开展现状调查以留作背景值</w:t>
            </w:r>
            <w:r>
              <w:rPr>
                <w:rFonts w:hint="eastAsia" w:cs="Times New Roman"/>
                <w:sz w:val="24"/>
                <w:szCs w:val="24"/>
              </w:rPr>
              <w:t>”的规定，本项目厂区采取分区防渗措施，可有效防止污染物跑、冒、滴、漏现象，不</w:t>
            </w:r>
            <w:r>
              <w:rPr>
                <w:rFonts w:cs="Times New Roman"/>
                <w:sz w:val="24"/>
                <w:szCs w:val="24"/>
              </w:rPr>
              <w:t>存在土壤、地下水环境污染途径，</w:t>
            </w:r>
            <w:r>
              <w:rPr>
                <w:rFonts w:hint="eastAsia" w:cs="Times New Roman"/>
                <w:sz w:val="24"/>
                <w:szCs w:val="24"/>
              </w:rPr>
              <w:t>故不需</w:t>
            </w:r>
            <w:r>
              <w:rPr>
                <w:rFonts w:cs="Times New Roman"/>
                <w:sz w:val="24"/>
                <w:szCs w:val="24"/>
              </w:rPr>
              <w:t>开展环境质量现状调查。</w:t>
            </w:r>
          </w:p>
          <w:p w14:paraId="311B941C">
            <w:pPr>
              <w:spacing w:line="360" w:lineRule="auto"/>
              <w:ind w:firstLine="482" w:firstLineChars="200"/>
              <w:rPr>
                <w:rFonts w:cs="Times New Roman"/>
                <w:b/>
                <w:sz w:val="24"/>
                <w:szCs w:val="24"/>
              </w:rPr>
            </w:pPr>
            <w:r>
              <w:rPr>
                <w:rFonts w:cs="Times New Roman"/>
                <w:b/>
                <w:sz w:val="24"/>
                <w:szCs w:val="24"/>
              </w:rPr>
              <w:t>5</w:t>
            </w:r>
            <w:r>
              <w:rPr>
                <w:rFonts w:hint="eastAsia" w:cs="Times New Roman"/>
                <w:b/>
                <w:sz w:val="24"/>
                <w:szCs w:val="24"/>
              </w:rPr>
              <w:t>、生态环境</w:t>
            </w:r>
          </w:p>
          <w:p w14:paraId="0A0DD183">
            <w:pPr>
              <w:spacing w:line="360" w:lineRule="auto"/>
              <w:ind w:firstLine="480" w:firstLineChars="200"/>
              <w:rPr>
                <w:rFonts w:cs="Times New Roman"/>
                <w:sz w:val="24"/>
                <w:szCs w:val="24"/>
              </w:rPr>
            </w:pPr>
            <w:r>
              <w:rPr>
                <w:rFonts w:cs="Times New Roman"/>
                <w:sz w:val="24"/>
                <w:szCs w:val="24"/>
              </w:rPr>
              <w:t>本项目</w:t>
            </w:r>
            <w:r>
              <w:rPr>
                <w:rFonts w:hint="eastAsia" w:cs="Times New Roman"/>
                <w:sz w:val="24"/>
                <w:szCs w:val="24"/>
              </w:rPr>
              <w:t>位于四川大英经济开发区内，区域内工业活动密集，人类活动频繁，无生态环境保护目标，无需开展生态现状调查。</w:t>
            </w:r>
          </w:p>
        </w:tc>
      </w:tr>
      <w:tr w14:paraId="32550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4BFC5C0B">
            <w:pPr>
              <w:spacing w:line="360" w:lineRule="auto"/>
              <w:jc w:val="center"/>
              <w:rPr>
                <w:rFonts w:cs="Times New Roman"/>
                <w:sz w:val="24"/>
                <w:szCs w:val="24"/>
              </w:rPr>
            </w:pPr>
            <w:r>
              <w:rPr>
                <w:rFonts w:hint="eastAsia" w:cs="Times New Roman"/>
                <w:sz w:val="24"/>
                <w:szCs w:val="24"/>
              </w:rPr>
              <w:t>环境保护目标</w:t>
            </w:r>
          </w:p>
        </w:tc>
        <w:tc>
          <w:tcPr>
            <w:tcW w:w="4756" w:type="pct"/>
            <w:vAlign w:val="center"/>
          </w:tcPr>
          <w:p w14:paraId="2B63E7B7">
            <w:pPr>
              <w:spacing w:line="360" w:lineRule="auto"/>
              <w:ind w:firstLine="482" w:firstLineChars="200"/>
              <w:rPr>
                <w:rFonts w:cs="Times New Roman"/>
                <w:b/>
                <w:sz w:val="24"/>
                <w:szCs w:val="24"/>
              </w:rPr>
            </w:pPr>
            <w:r>
              <w:rPr>
                <w:rFonts w:hint="eastAsia" w:cs="Times New Roman"/>
                <w:b/>
                <w:sz w:val="24"/>
                <w:szCs w:val="24"/>
              </w:rPr>
              <w:t>1、</w:t>
            </w:r>
            <w:r>
              <w:rPr>
                <w:rFonts w:cs="Times New Roman"/>
                <w:b/>
                <w:sz w:val="24"/>
                <w:szCs w:val="24"/>
              </w:rPr>
              <w:t>大气环境</w:t>
            </w:r>
          </w:p>
          <w:p w14:paraId="6A35445A">
            <w:pPr>
              <w:spacing w:line="360" w:lineRule="auto"/>
              <w:ind w:firstLine="480" w:firstLineChars="200"/>
              <w:rPr>
                <w:rFonts w:cs="Times New Roman"/>
                <w:sz w:val="24"/>
                <w:szCs w:val="24"/>
              </w:rPr>
            </w:pPr>
            <w:r>
              <w:rPr>
                <w:rFonts w:cs="Times New Roman"/>
                <w:sz w:val="24"/>
                <w:szCs w:val="24"/>
              </w:rPr>
              <w:t>本项目</w:t>
            </w:r>
            <w:r>
              <w:rPr>
                <w:rFonts w:hint="eastAsia" w:cs="Times New Roman"/>
                <w:sz w:val="24"/>
                <w:szCs w:val="24"/>
              </w:rPr>
              <w:t>500m范围内无自然保护区、风景名胜区、居住区、文化区和农村地区中人群较集中的区域等大气环境保护目标。</w:t>
            </w:r>
          </w:p>
          <w:p w14:paraId="1DEEF5EA">
            <w:pPr>
              <w:spacing w:line="360" w:lineRule="auto"/>
              <w:ind w:firstLine="482" w:firstLineChars="200"/>
              <w:rPr>
                <w:rFonts w:cs="Times New Roman"/>
                <w:b/>
                <w:sz w:val="24"/>
                <w:szCs w:val="24"/>
              </w:rPr>
            </w:pPr>
            <w:r>
              <w:rPr>
                <w:rFonts w:hint="eastAsia" w:cs="Times New Roman"/>
                <w:b/>
                <w:sz w:val="24"/>
                <w:szCs w:val="24"/>
              </w:rPr>
              <w:t>2、声</w:t>
            </w:r>
            <w:r>
              <w:rPr>
                <w:rFonts w:cs="Times New Roman"/>
                <w:b/>
                <w:sz w:val="24"/>
                <w:szCs w:val="24"/>
              </w:rPr>
              <w:t>环境</w:t>
            </w:r>
          </w:p>
          <w:p w14:paraId="735CCBA0">
            <w:pPr>
              <w:spacing w:line="360" w:lineRule="auto"/>
              <w:ind w:firstLine="480" w:firstLineChars="200"/>
              <w:rPr>
                <w:rFonts w:cs="Times New Roman"/>
                <w:sz w:val="24"/>
                <w:szCs w:val="24"/>
              </w:rPr>
            </w:pPr>
            <w:r>
              <w:rPr>
                <w:rFonts w:cs="Times New Roman"/>
                <w:sz w:val="24"/>
                <w:szCs w:val="24"/>
              </w:rPr>
              <w:t>本项目厂界外50m范围内无声环境保护目标</w:t>
            </w:r>
            <w:r>
              <w:rPr>
                <w:rFonts w:hint="eastAsia" w:cs="Times New Roman"/>
                <w:sz w:val="24"/>
                <w:szCs w:val="24"/>
              </w:rPr>
              <w:t>。</w:t>
            </w:r>
          </w:p>
          <w:p w14:paraId="49FCAD1D">
            <w:pPr>
              <w:spacing w:line="360" w:lineRule="auto"/>
              <w:ind w:firstLine="482" w:firstLineChars="200"/>
              <w:rPr>
                <w:rFonts w:cs="Times New Roman"/>
                <w:b/>
                <w:sz w:val="24"/>
                <w:szCs w:val="24"/>
              </w:rPr>
            </w:pPr>
            <w:r>
              <w:rPr>
                <w:rFonts w:hint="eastAsia" w:cs="Times New Roman"/>
                <w:b/>
                <w:sz w:val="24"/>
                <w:szCs w:val="24"/>
              </w:rPr>
              <w:t>3、地下水</w:t>
            </w:r>
            <w:r>
              <w:rPr>
                <w:rFonts w:cs="Times New Roman"/>
                <w:b/>
                <w:sz w:val="24"/>
                <w:szCs w:val="24"/>
              </w:rPr>
              <w:t>环境</w:t>
            </w:r>
          </w:p>
          <w:p w14:paraId="7D8A1244">
            <w:pPr>
              <w:spacing w:line="360" w:lineRule="auto"/>
              <w:ind w:firstLine="480" w:firstLineChars="200"/>
              <w:rPr>
                <w:rFonts w:cs="Times New Roman"/>
                <w:sz w:val="24"/>
                <w:szCs w:val="24"/>
              </w:rPr>
            </w:pPr>
            <w:r>
              <w:rPr>
                <w:rFonts w:cs="Times New Roman"/>
                <w:sz w:val="24"/>
                <w:szCs w:val="24"/>
              </w:rPr>
              <w:t>本项目厂界外500m范围内无地下水集中式饮用水水源和热水</w:t>
            </w:r>
            <w:r>
              <w:rPr>
                <w:rFonts w:hint="eastAsia" w:cs="Times New Roman"/>
                <w:sz w:val="24"/>
                <w:szCs w:val="24"/>
              </w:rPr>
              <w:t>、矿泉水、温泉等特殊地下水资源。</w:t>
            </w:r>
          </w:p>
          <w:p w14:paraId="34EBA7A6">
            <w:pPr>
              <w:spacing w:line="360" w:lineRule="auto"/>
              <w:ind w:firstLine="482" w:firstLineChars="200"/>
              <w:rPr>
                <w:rFonts w:cs="Times New Roman"/>
                <w:b/>
                <w:sz w:val="24"/>
                <w:szCs w:val="24"/>
              </w:rPr>
            </w:pPr>
            <w:r>
              <w:rPr>
                <w:rFonts w:hint="eastAsia" w:cs="Times New Roman"/>
                <w:b/>
                <w:sz w:val="24"/>
                <w:szCs w:val="24"/>
              </w:rPr>
              <w:t>4、生态</w:t>
            </w:r>
            <w:r>
              <w:rPr>
                <w:rFonts w:cs="Times New Roman"/>
                <w:b/>
                <w:sz w:val="24"/>
                <w:szCs w:val="24"/>
              </w:rPr>
              <w:t>环境</w:t>
            </w:r>
          </w:p>
          <w:p w14:paraId="4F8B6957">
            <w:pPr>
              <w:spacing w:line="360" w:lineRule="auto"/>
              <w:ind w:firstLine="480" w:firstLineChars="200"/>
              <w:rPr>
                <w:rFonts w:cs="Times New Roman"/>
                <w:b/>
                <w:sz w:val="24"/>
                <w:szCs w:val="24"/>
              </w:rPr>
            </w:pPr>
            <w:r>
              <w:rPr>
                <w:rFonts w:cs="Times New Roman"/>
                <w:sz w:val="24"/>
                <w:szCs w:val="24"/>
              </w:rPr>
              <w:t>本项目用地</w:t>
            </w:r>
            <w:r>
              <w:rPr>
                <w:rFonts w:hint="eastAsia" w:cs="Times New Roman"/>
                <w:sz w:val="24"/>
                <w:szCs w:val="24"/>
              </w:rPr>
              <w:t>范围内</w:t>
            </w:r>
            <w:r>
              <w:rPr>
                <w:rFonts w:cs="Times New Roman"/>
                <w:sz w:val="24"/>
                <w:szCs w:val="24"/>
              </w:rPr>
              <w:t>无生态环境保护目标</w:t>
            </w:r>
            <w:r>
              <w:rPr>
                <w:rFonts w:hint="eastAsia" w:cs="Times New Roman"/>
                <w:sz w:val="24"/>
                <w:szCs w:val="24"/>
              </w:rPr>
              <w:t>。</w:t>
            </w:r>
          </w:p>
        </w:tc>
      </w:tr>
      <w:tr w14:paraId="41DD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02F571CE">
            <w:pPr>
              <w:spacing w:line="360" w:lineRule="auto"/>
              <w:jc w:val="center"/>
              <w:rPr>
                <w:rFonts w:cs="Times New Roman"/>
                <w:sz w:val="24"/>
                <w:szCs w:val="24"/>
              </w:rPr>
            </w:pPr>
            <w:r>
              <w:rPr>
                <w:rFonts w:hint="eastAsia" w:cs="Times New Roman"/>
                <w:sz w:val="24"/>
                <w:szCs w:val="24"/>
              </w:rPr>
              <w:t>污染物排放控制标准</w:t>
            </w:r>
          </w:p>
        </w:tc>
        <w:tc>
          <w:tcPr>
            <w:tcW w:w="4756" w:type="pct"/>
            <w:vAlign w:val="center"/>
          </w:tcPr>
          <w:p w14:paraId="1D1BA8AE">
            <w:pPr>
              <w:spacing w:line="360" w:lineRule="auto"/>
              <w:ind w:firstLine="482" w:firstLineChars="200"/>
              <w:rPr>
                <w:rFonts w:cs="Times New Roman"/>
                <w:b/>
                <w:sz w:val="24"/>
                <w:szCs w:val="24"/>
              </w:rPr>
            </w:pPr>
            <w:r>
              <w:rPr>
                <w:rFonts w:cs="Times New Roman"/>
                <w:b/>
                <w:sz w:val="24"/>
                <w:szCs w:val="24"/>
              </w:rPr>
              <w:t>1、废气</w:t>
            </w:r>
          </w:p>
          <w:p w14:paraId="68841D90">
            <w:pPr>
              <w:spacing w:line="360" w:lineRule="auto"/>
              <w:ind w:firstLine="480" w:firstLineChars="200"/>
              <w:rPr>
                <w:rFonts w:cs="Times New Roman"/>
                <w:sz w:val="24"/>
                <w:szCs w:val="24"/>
              </w:rPr>
            </w:pPr>
            <w:r>
              <w:rPr>
                <w:rFonts w:hint="eastAsia" w:cs="Times New Roman"/>
                <w:sz w:val="24"/>
                <w:szCs w:val="24"/>
              </w:rPr>
              <w:t>施工期执行《四川省施工场地扬尘排放标准》（DB51/2682-2020）表1中排放限值。</w:t>
            </w:r>
          </w:p>
          <w:p w14:paraId="3B473FEB">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施工扬尘排放标准限值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947"/>
              <w:gridCol w:w="2571"/>
              <w:gridCol w:w="2302"/>
              <w:gridCol w:w="1743"/>
            </w:tblGrid>
            <w:tr w14:paraId="1D947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76BEF91">
                  <w:pPr>
                    <w:jc w:val="center"/>
                    <w:rPr>
                      <w:rFonts w:cstheme="minorHAnsi"/>
                      <w:szCs w:val="21"/>
                    </w:rPr>
                  </w:pPr>
                  <w:r>
                    <w:rPr>
                      <w:rFonts w:cstheme="minorHAnsi"/>
                      <w:szCs w:val="21"/>
                    </w:rPr>
                    <w:t>序号</w:t>
                  </w:r>
                </w:p>
              </w:tc>
              <w:tc>
                <w:tcPr>
                  <w:tcW w:w="0" w:type="auto"/>
                  <w:vAlign w:val="center"/>
                </w:tcPr>
                <w:p w14:paraId="42D2554F">
                  <w:pPr>
                    <w:jc w:val="center"/>
                    <w:rPr>
                      <w:rFonts w:cstheme="minorHAnsi"/>
                      <w:szCs w:val="21"/>
                    </w:rPr>
                  </w:pPr>
                  <w:r>
                    <w:rPr>
                      <w:rFonts w:cstheme="minorHAnsi"/>
                      <w:szCs w:val="21"/>
                    </w:rPr>
                    <w:t>污染物</w:t>
                  </w:r>
                </w:p>
              </w:tc>
              <w:tc>
                <w:tcPr>
                  <w:tcW w:w="0" w:type="auto"/>
                  <w:vAlign w:val="center"/>
                </w:tcPr>
                <w:p w14:paraId="1A1F840E">
                  <w:pPr>
                    <w:jc w:val="center"/>
                    <w:rPr>
                      <w:rFonts w:cstheme="minorHAnsi"/>
                      <w:szCs w:val="21"/>
                    </w:rPr>
                  </w:pPr>
                  <w:r>
                    <w:rPr>
                      <w:rFonts w:hint="eastAsia" w:cstheme="minorHAnsi"/>
                      <w:szCs w:val="21"/>
                    </w:rPr>
                    <w:t>施工阶段</w:t>
                  </w:r>
                </w:p>
              </w:tc>
              <w:tc>
                <w:tcPr>
                  <w:tcW w:w="0" w:type="auto"/>
                  <w:vAlign w:val="center"/>
                </w:tcPr>
                <w:p w14:paraId="4619C415">
                  <w:pPr>
                    <w:jc w:val="center"/>
                    <w:rPr>
                      <w:rFonts w:cstheme="minorHAnsi"/>
                      <w:szCs w:val="21"/>
                    </w:rPr>
                  </w:pPr>
                  <w:r>
                    <w:rPr>
                      <w:rFonts w:hint="eastAsia" w:cstheme="minorHAnsi"/>
                      <w:szCs w:val="21"/>
                    </w:rPr>
                    <w:t>监测点</w:t>
                  </w:r>
                  <w:r>
                    <w:rPr>
                      <w:rFonts w:cstheme="minorHAnsi"/>
                      <w:szCs w:val="21"/>
                    </w:rPr>
                    <w:t>排放限值</w:t>
                  </w:r>
                  <w:r>
                    <w:rPr>
                      <w:rFonts w:hint="eastAsia" w:cstheme="minorHAnsi"/>
                      <w:szCs w:val="21"/>
                    </w:rPr>
                    <w:t>（</w:t>
                  </w:r>
                  <w:r>
                    <w:rPr>
                      <w:rFonts w:cstheme="minorHAnsi"/>
                      <w:szCs w:val="21"/>
                    </w:rPr>
                    <w:t>m</w:t>
                  </w:r>
                  <w:r>
                    <w:rPr>
                      <w:rFonts w:hint="eastAsia" w:cstheme="minorHAnsi"/>
                      <w:szCs w:val="21"/>
                    </w:rPr>
                    <w:t>g</w:t>
                  </w:r>
                  <w:r>
                    <w:rPr>
                      <w:rFonts w:cstheme="minorHAnsi"/>
                      <w:szCs w:val="21"/>
                    </w:rPr>
                    <w:t>/m</w:t>
                  </w:r>
                  <w:r>
                    <w:rPr>
                      <w:rFonts w:cstheme="minorHAnsi"/>
                      <w:szCs w:val="21"/>
                      <w:vertAlign w:val="superscript"/>
                    </w:rPr>
                    <w:t>3</w:t>
                  </w:r>
                  <w:r>
                    <w:rPr>
                      <w:rFonts w:cstheme="minorHAnsi"/>
                      <w:szCs w:val="21"/>
                    </w:rPr>
                    <w:t>）</w:t>
                  </w:r>
                </w:p>
              </w:tc>
              <w:tc>
                <w:tcPr>
                  <w:tcW w:w="0" w:type="auto"/>
                  <w:vAlign w:val="center"/>
                </w:tcPr>
                <w:p w14:paraId="65843FE7">
                  <w:pPr>
                    <w:jc w:val="center"/>
                    <w:rPr>
                      <w:rFonts w:cstheme="minorHAnsi"/>
                      <w:szCs w:val="21"/>
                    </w:rPr>
                  </w:pPr>
                  <w:r>
                    <w:rPr>
                      <w:rFonts w:hint="eastAsia" w:cstheme="minorHAnsi"/>
                      <w:szCs w:val="21"/>
                    </w:rPr>
                    <w:t>监测时间</w:t>
                  </w:r>
                </w:p>
              </w:tc>
            </w:tr>
            <w:tr w14:paraId="19D4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64D137F1">
                  <w:pPr>
                    <w:jc w:val="center"/>
                    <w:rPr>
                      <w:rFonts w:cstheme="minorHAnsi"/>
                      <w:szCs w:val="21"/>
                    </w:rPr>
                  </w:pPr>
                  <w:r>
                    <w:rPr>
                      <w:rFonts w:hint="eastAsia" w:cstheme="minorHAnsi"/>
                      <w:szCs w:val="21"/>
                    </w:rPr>
                    <w:t>1</w:t>
                  </w:r>
                </w:p>
              </w:tc>
              <w:tc>
                <w:tcPr>
                  <w:tcW w:w="0" w:type="auto"/>
                  <w:vMerge w:val="restart"/>
                  <w:vAlign w:val="center"/>
                </w:tcPr>
                <w:p w14:paraId="495BFE9A">
                  <w:pPr>
                    <w:jc w:val="center"/>
                    <w:rPr>
                      <w:rFonts w:cstheme="minorHAnsi"/>
                      <w:szCs w:val="21"/>
                    </w:rPr>
                  </w:pPr>
                  <w:r>
                    <w:rPr>
                      <w:rFonts w:hint="eastAsia" w:cstheme="minorHAnsi"/>
                      <w:szCs w:val="21"/>
                    </w:rPr>
                    <w:t>总悬浮颗粒物</w:t>
                  </w:r>
                  <w:r>
                    <w:rPr>
                      <w:rFonts w:cstheme="minorHAnsi"/>
                      <w:szCs w:val="21"/>
                    </w:rPr>
                    <w:t>（TSP）</w:t>
                  </w:r>
                </w:p>
              </w:tc>
              <w:tc>
                <w:tcPr>
                  <w:tcW w:w="0" w:type="auto"/>
                  <w:vAlign w:val="center"/>
                </w:tcPr>
                <w:p w14:paraId="694342EB">
                  <w:pPr>
                    <w:jc w:val="center"/>
                    <w:rPr>
                      <w:rFonts w:cstheme="minorHAnsi"/>
                      <w:szCs w:val="21"/>
                    </w:rPr>
                  </w:pPr>
                  <w:r>
                    <w:rPr>
                      <w:rFonts w:hint="eastAsia" w:cstheme="minorHAnsi"/>
                      <w:szCs w:val="21"/>
                    </w:rPr>
                    <w:t>拆除</w:t>
                  </w:r>
                  <w:r>
                    <w:rPr>
                      <w:rFonts w:cstheme="minorHAnsi"/>
                      <w:szCs w:val="21"/>
                    </w:rPr>
                    <w:t>过程</w:t>
                  </w:r>
                  <w:r>
                    <w:rPr>
                      <w:rFonts w:hint="eastAsia" w:cstheme="minorHAnsi"/>
                      <w:szCs w:val="21"/>
                    </w:rPr>
                    <w:t>/土方开挖/土方</w:t>
                  </w:r>
                  <w:r>
                    <w:rPr>
                      <w:rFonts w:cstheme="minorHAnsi"/>
                      <w:szCs w:val="21"/>
                    </w:rPr>
                    <w:t>回填阶段</w:t>
                  </w:r>
                </w:p>
              </w:tc>
              <w:tc>
                <w:tcPr>
                  <w:tcW w:w="0" w:type="auto"/>
                  <w:vAlign w:val="center"/>
                </w:tcPr>
                <w:p w14:paraId="546B1D91">
                  <w:pPr>
                    <w:jc w:val="center"/>
                    <w:rPr>
                      <w:rFonts w:cstheme="minorHAnsi"/>
                      <w:szCs w:val="21"/>
                    </w:rPr>
                  </w:pPr>
                  <w:r>
                    <w:rPr>
                      <w:rFonts w:hint="eastAsia" w:cstheme="minorHAnsi"/>
                      <w:szCs w:val="21"/>
                    </w:rPr>
                    <w:t>0</w:t>
                  </w:r>
                  <w:r>
                    <w:rPr>
                      <w:rFonts w:cstheme="minorHAnsi"/>
                      <w:szCs w:val="21"/>
                    </w:rPr>
                    <w:t>.600</w:t>
                  </w:r>
                </w:p>
              </w:tc>
              <w:tc>
                <w:tcPr>
                  <w:tcW w:w="0" w:type="auto"/>
                  <w:vMerge w:val="restart"/>
                  <w:vAlign w:val="center"/>
                </w:tcPr>
                <w:p w14:paraId="2C5A289B">
                  <w:pPr>
                    <w:jc w:val="center"/>
                    <w:rPr>
                      <w:rFonts w:cstheme="minorHAnsi"/>
                      <w:szCs w:val="21"/>
                    </w:rPr>
                  </w:pPr>
                  <w:r>
                    <w:rPr>
                      <w:rFonts w:hint="eastAsia" w:cstheme="minorHAnsi"/>
                      <w:szCs w:val="21"/>
                    </w:rPr>
                    <w:t>自监测起持续15min</w:t>
                  </w:r>
                </w:p>
              </w:tc>
            </w:tr>
            <w:tr w14:paraId="17804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0A916556">
                  <w:pPr>
                    <w:jc w:val="center"/>
                    <w:rPr>
                      <w:rFonts w:cstheme="minorHAnsi"/>
                      <w:szCs w:val="21"/>
                    </w:rPr>
                  </w:pPr>
                </w:p>
              </w:tc>
              <w:tc>
                <w:tcPr>
                  <w:tcW w:w="0" w:type="auto"/>
                  <w:vMerge w:val="continue"/>
                  <w:vAlign w:val="center"/>
                </w:tcPr>
                <w:p w14:paraId="06E94D31">
                  <w:pPr>
                    <w:jc w:val="center"/>
                    <w:rPr>
                      <w:rFonts w:cstheme="minorHAnsi"/>
                      <w:szCs w:val="21"/>
                    </w:rPr>
                  </w:pPr>
                </w:p>
              </w:tc>
              <w:tc>
                <w:tcPr>
                  <w:tcW w:w="0" w:type="auto"/>
                  <w:vAlign w:val="center"/>
                </w:tcPr>
                <w:p w14:paraId="3F430613">
                  <w:pPr>
                    <w:jc w:val="center"/>
                    <w:rPr>
                      <w:rFonts w:cstheme="minorHAnsi"/>
                      <w:szCs w:val="21"/>
                    </w:rPr>
                  </w:pPr>
                  <w:r>
                    <w:rPr>
                      <w:rFonts w:hint="eastAsia" w:cstheme="minorHAnsi"/>
                      <w:szCs w:val="21"/>
                    </w:rPr>
                    <w:t>其他工</w:t>
                  </w:r>
                  <w:r>
                    <w:rPr>
                      <w:rFonts w:cstheme="minorHAnsi"/>
                      <w:szCs w:val="21"/>
                    </w:rPr>
                    <w:t>程阶段</w:t>
                  </w:r>
                </w:p>
              </w:tc>
              <w:tc>
                <w:tcPr>
                  <w:tcW w:w="0" w:type="auto"/>
                  <w:vAlign w:val="center"/>
                </w:tcPr>
                <w:p w14:paraId="094CE65D">
                  <w:pPr>
                    <w:jc w:val="center"/>
                    <w:rPr>
                      <w:rFonts w:cstheme="minorHAnsi"/>
                      <w:szCs w:val="21"/>
                    </w:rPr>
                  </w:pPr>
                  <w:r>
                    <w:rPr>
                      <w:rFonts w:hint="eastAsia" w:cstheme="minorHAnsi"/>
                      <w:szCs w:val="21"/>
                    </w:rPr>
                    <w:t>0.250</w:t>
                  </w:r>
                </w:p>
              </w:tc>
              <w:tc>
                <w:tcPr>
                  <w:tcW w:w="0" w:type="auto"/>
                  <w:vMerge w:val="continue"/>
                  <w:vAlign w:val="center"/>
                </w:tcPr>
                <w:p w14:paraId="662E40FE">
                  <w:pPr>
                    <w:jc w:val="center"/>
                    <w:rPr>
                      <w:rFonts w:cstheme="minorHAnsi"/>
                      <w:szCs w:val="21"/>
                    </w:rPr>
                  </w:pPr>
                </w:p>
              </w:tc>
            </w:tr>
          </w:tbl>
          <w:p w14:paraId="4922E192">
            <w:pPr>
              <w:spacing w:line="360" w:lineRule="auto"/>
              <w:ind w:firstLine="480" w:firstLineChars="200"/>
              <w:rPr>
                <w:rFonts w:cs="Times New Roman"/>
                <w:sz w:val="24"/>
                <w:szCs w:val="24"/>
              </w:rPr>
            </w:pPr>
            <w:r>
              <w:rPr>
                <w:rFonts w:hint="eastAsia" w:cs="Times New Roman"/>
                <w:sz w:val="24"/>
                <w:szCs w:val="24"/>
              </w:rPr>
              <w:t>运营期有组织废气苯乙烯、丙烯腈、1,3-丁二烯执行《合成树脂工业污染物排放标准》（GB31572-2015）（含2024年修改单）表5排放限值，VOCs、甲苯、乙苯执行《四川省固定污染源大气挥发性有机物排放标准》（DB51/2377-2017）表3（印刷）、表4排放限值；无组织废气丙烯腈执行《大气污染物综合排放标准》（GB16297-1996）表2中排放限值，其余污染物执行《四川省固定污染源大气挥发性有机物排放标准》（DB51/2377-2017）表5（其他）排放限值和《挥发性有机物无组织排放控制标准》（GB37822-2019）；食堂油烟执行《饮食业油烟排放标准（试行）》（GB18483-2001）。</w:t>
            </w:r>
          </w:p>
          <w:p w14:paraId="0969F4B8">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有组织废气排放限值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4"/>
              <w:gridCol w:w="1811"/>
              <w:gridCol w:w="1198"/>
              <w:gridCol w:w="1496"/>
              <w:gridCol w:w="3168"/>
            </w:tblGrid>
            <w:tr w14:paraId="2FCE5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806" w:type="pct"/>
                  <w:vMerge w:val="restart"/>
                  <w:shd w:val="clear" w:color="auto" w:fill="auto"/>
                  <w:vAlign w:val="center"/>
                </w:tcPr>
                <w:p w14:paraId="43DAD260">
                  <w:pPr>
                    <w:jc w:val="center"/>
                    <w:rPr>
                      <w:szCs w:val="21"/>
                    </w:rPr>
                  </w:pPr>
                  <w:r>
                    <w:rPr>
                      <w:rFonts w:hint="eastAsia"/>
                      <w:szCs w:val="21"/>
                    </w:rPr>
                    <w:t>污染物名称</w:t>
                  </w:r>
                </w:p>
              </w:tc>
              <w:tc>
                <w:tcPr>
                  <w:tcW w:w="990" w:type="pct"/>
                  <w:vMerge w:val="restart"/>
                  <w:shd w:val="clear" w:color="auto" w:fill="auto"/>
                  <w:vAlign w:val="center"/>
                </w:tcPr>
                <w:p w14:paraId="3CC5842B">
                  <w:pPr>
                    <w:jc w:val="center"/>
                    <w:rPr>
                      <w:szCs w:val="21"/>
                    </w:rPr>
                  </w:pPr>
                  <w:r>
                    <w:rPr>
                      <w:rFonts w:hint="eastAsia"/>
                      <w:szCs w:val="21"/>
                    </w:rPr>
                    <w:t>最高</w:t>
                  </w:r>
                  <w:r>
                    <w:rPr>
                      <w:szCs w:val="21"/>
                    </w:rPr>
                    <w:t>允许</w:t>
                  </w:r>
                  <w:r>
                    <w:rPr>
                      <w:rFonts w:hint="eastAsia"/>
                      <w:szCs w:val="21"/>
                    </w:rPr>
                    <w:t>排放浓度（</w:t>
                  </w:r>
                  <w:r>
                    <w:rPr>
                      <w:szCs w:val="21"/>
                    </w:rPr>
                    <w:t>mg/m</w:t>
                  </w:r>
                  <w:r>
                    <w:rPr>
                      <w:rFonts w:hint="eastAsia"/>
                      <w:szCs w:val="21"/>
                      <w:vertAlign w:val="superscript"/>
                    </w:rPr>
                    <w:t>3</w:t>
                  </w:r>
                  <w:r>
                    <w:rPr>
                      <w:rFonts w:hint="eastAsia"/>
                      <w:szCs w:val="21"/>
                    </w:rPr>
                    <w:t>）</w:t>
                  </w:r>
                </w:p>
              </w:tc>
              <w:tc>
                <w:tcPr>
                  <w:tcW w:w="1473" w:type="pct"/>
                  <w:gridSpan w:val="2"/>
                  <w:shd w:val="clear" w:color="auto" w:fill="auto"/>
                  <w:vAlign w:val="center"/>
                </w:tcPr>
                <w:p w14:paraId="006C308E">
                  <w:pPr>
                    <w:rPr>
                      <w:szCs w:val="21"/>
                    </w:rPr>
                  </w:pPr>
                  <w:r>
                    <w:rPr>
                      <w:rFonts w:hint="eastAsia"/>
                      <w:szCs w:val="21"/>
                    </w:rPr>
                    <w:t>最高</w:t>
                  </w:r>
                  <w:r>
                    <w:rPr>
                      <w:szCs w:val="21"/>
                    </w:rPr>
                    <w:t>允许排放速率（kg/h</w:t>
                  </w:r>
                  <w:r>
                    <w:rPr>
                      <w:rFonts w:hint="eastAsia"/>
                      <w:szCs w:val="21"/>
                    </w:rPr>
                    <w:t>）</w:t>
                  </w:r>
                </w:p>
              </w:tc>
              <w:tc>
                <w:tcPr>
                  <w:tcW w:w="1731" w:type="pct"/>
                  <w:vMerge w:val="restart"/>
                  <w:shd w:val="clear" w:color="auto" w:fill="auto"/>
                  <w:vAlign w:val="center"/>
                </w:tcPr>
                <w:p w14:paraId="03FA2E49">
                  <w:pPr>
                    <w:jc w:val="center"/>
                    <w:rPr>
                      <w:szCs w:val="21"/>
                    </w:rPr>
                  </w:pPr>
                  <w:r>
                    <w:rPr>
                      <w:rFonts w:hint="eastAsia"/>
                      <w:szCs w:val="21"/>
                    </w:rPr>
                    <w:t>排放</w:t>
                  </w:r>
                  <w:r>
                    <w:rPr>
                      <w:szCs w:val="21"/>
                    </w:rPr>
                    <w:t>标准</w:t>
                  </w:r>
                </w:p>
              </w:tc>
            </w:tr>
            <w:tr w14:paraId="265D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06" w:type="pct"/>
                  <w:vMerge w:val="continue"/>
                  <w:shd w:val="clear" w:color="auto" w:fill="auto"/>
                  <w:vAlign w:val="center"/>
                </w:tcPr>
                <w:p w14:paraId="1AACF9D2">
                  <w:pPr>
                    <w:jc w:val="center"/>
                    <w:rPr>
                      <w:szCs w:val="21"/>
                    </w:rPr>
                  </w:pPr>
                </w:p>
              </w:tc>
              <w:tc>
                <w:tcPr>
                  <w:tcW w:w="990" w:type="pct"/>
                  <w:vMerge w:val="continue"/>
                  <w:shd w:val="clear" w:color="auto" w:fill="auto"/>
                  <w:vAlign w:val="center"/>
                </w:tcPr>
                <w:p w14:paraId="78F8A422">
                  <w:pPr>
                    <w:jc w:val="center"/>
                    <w:rPr>
                      <w:szCs w:val="21"/>
                    </w:rPr>
                  </w:pPr>
                </w:p>
              </w:tc>
              <w:tc>
                <w:tcPr>
                  <w:tcW w:w="655" w:type="pct"/>
                  <w:shd w:val="clear" w:color="auto" w:fill="auto"/>
                  <w:vAlign w:val="center"/>
                </w:tcPr>
                <w:p w14:paraId="75BDAB0D">
                  <w:pPr>
                    <w:jc w:val="center"/>
                    <w:rPr>
                      <w:szCs w:val="21"/>
                    </w:rPr>
                  </w:pPr>
                  <w:r>
                    <w:rPr>
                      <w:rFonts w:hint="eastAsia"/>
                      <w:szCs w:val="21"/>
                    </w:rPr>
                    <w:t>排气筒</w:t>
                  </w:r>
                  <w:r>
                    <w:rPr>
                      <w:szCs w:val="21"/>
                    </w:rPr>
                    <w:t>高度</w:t>
                  </w:r>
                  <w:r>
                    <w:rPr>
                      <w:rFonts w:hint="eastAsia"/>
                      <w:szCs w:val="21"/>
                    </w:rPr>
                    <w:t>（</w:t>
                  </w:r>
                  <w:r>
                    <w:rPr>
                      <w:szCs w:val="21"/>
                    </w:rPr>
                    <w:t>m）</w:t>
                  </w:r>
                </w:p>
              </w:tc>
              <w:tc>
                <w:tcPr>
                  <w:tcW w:w="818" w:type="pct"/>
                  <w:shd w:val="clear" w:color="auto" w:fill="auto"/>
                  <w:vAlign w:val="center"/>
                </w:tcPr>
                <w:p w14:paraId="085817EC">
                  <w:pPr>
                    <w:jc w:val="center"/>
                    <w:rPr>
                      <w:szCs w:val="21"/>
                    </w:rPr>
                  </w:pPr>
                  <w:r>
                    <w:rPr>
                      <w:rFonts w:hint="eastAsia"/>
                      <w:szCs w:val="21"/>
                    </w:rPr>
                    <w:t>二级</w:t>
                  </w:r>
                </w:p>
              </w:tc>
              <w:tc>
                <w:tcPr>
                  <w:tcW w:w="1731" w:type="pct"/>
                  <w:vMerge w:val="continue"/>
                  <w:shd w:val="clear" w:color="auto" w:fill="auto"/>
                  <w:vAlign w:val="center"/>
                </w:tcPr>
                <w:p w14:paraId="5F0D9014">
                  <w:pPr>
                    <w:jc w:val="center"/>
                    <w:rPr>
                      <w:szCs w:val="21"/>
                    </w:rPr>
                  </w:pPr>
                </w:p>
              </w:tc>
            </w:tr>
            <w:tr w14:paraId="43AC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6" w:type="pct"/>
                  <w:shd w:val="clear" w:color="auto" w:fill="auto"/>
                  <w:vAlign w:val="center"/>
                </w:tcPr>
                <w:p w14:paraId="6120E9E8">
                  <w:pPr>
                    <w:jc w:val="center"/>
                    <w:rPr>
                      <w:szCs w:val="21"/>
                    </w:rPr>
                  </w:pPr>
                  <w:r>
                    <w:rPr>
                      <w:rFonts w:hint="eastAsia"/>
                      <w:szCs w:val="21"/>
                    </w:rPr>
                    <w:t>苯乙烯</w:t>
                  </w:r>
                </w:p>
              </w:tc>
              <w:tc>
                <w:tcPr>
                  <w:tcW w:w="990" w:type="pct"/>
                  <w:shd w:val="clear" w:color="auto" w:fill="auto"/>
                  <w:vAlign w:val="center"/>
                </w:tcPr>
                <w:p w14:paraId="46BA594D">
                  <w:pPr>
                    <w:jc w:val="center"/>
                    <w:rPr>
                      <w:szCs w:val="21"/>
                    </w:rPr>
                  </w:pPr>
                  <w:r>
                    <w:rPr>
                      <w:rFonts w:hint="eastAsia"/>
                      <w:szCs w:val="21"/>
                    </w:rPr>
                    <w:t>20</w:t>
                  </w:r>
                </w:p>
              </w:tc>
              <w:tc>
                <w:tcPr>
                  <w:tcW w:w="655" w:type="pct"/>
                  <w:shd w:val="clear" w:color="auto" w:fill="auto"/>
                  <w:vAlign w:val="center"/>
                </w:tcPr>
                <w:p w14:paraId="7600A7A6">
                  <w:pPr>
                    <w:jc w:val="center"/>
                    <w:rPr>
                      <w:szCs w:val="21"/>
                    </w:rPr>
                  </w:pPr>
                  <w:r>
                    <w:rPr>
                      <w:rFonts w:hint="eastAsia"/>
                      <w:szCs w:val="21"/>
                    </w:rPr>
                    <w:t>/</w:t>
                  </w:r>
                </w:p>
              </w:tc>
              <w:tc>
                <w:tcPr>
                  <w:tcW w:w="818" w:type="pct"/>
                  <w:shd w:val="clear" w:color="auto" w:fill="auto"/>
                  <w:vAlign w:val="center"/>
                </w:tcPr>
                <w:p w14:paraId="122C92DA">
                  <w:pPr>
                    <w:jc w:val="center"/>
                    <w:rPr>
                      <w:szCs w:val="21"/>
                    </w:rPr>
                  </w:pPr>
                  <w:r>
                    <w:rPr>
                      <w:rFonts w:hint="eastAsia"/>
                      <w:szCs w:val="21"/>
                    </w:rPr>
                    <w:t>/</w:t>
                  </w:r>
                </w:p>
              </w:tc>
              <w:tc>
                <w:tcPr>
                  <w:tcW w:w="1731" w:type="pct"/>
                  <w:vMerge w:val="restart"/>
                  <w:shd w:val="clear" w:color="auto" w:fill="auto"/>
                  <w:vAlign w:val="center"/>
                </w:tcPr>
                <w:p w14:paraId="54C27919">
                  <w:pPr>
                    <w:jc w:val="center"/>
                    <w:rPr>
                      <w:szCs w:val="21"/>
                    </w:rPr>
                  </w:pPr>
                  <w:r>
                    <w:rPr>
                      <w:rFonts w:hint="eastAsia"/>
                      <w:szCs w:val="21"/>
                    </w:rPr>
                    <w:t>《合成树脂工业污染物排放标准》（GB31572-2015）（含2024年修改单）</w:t>
                  </w:r>
                </w:p>
              </w:tc>
            </w:tr>
            <w:tr w14:paraId="0208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shd w:val="clear" w:color="auto" w:fill="auto"/>
                  <w:vAlign w:val="center"/>
                </w:tcPr>
                <w:p w14:paraId="50F24432">
                  <w:pPr>
                    <w:jc w:val="center"/>
                    <w:rPr>
                      <w:szCs w:val="21"/>
                    </w:rPr>
                  </w:pPr>
                  <w:r>
                    <w:rPr>
                      <w:rFonts w:hint="eastAsia"/>
                      <w:szCs w:val="21"/>
                    </w:rPr>
                    <w:t>丙烯腈</w:t>
                  </w:r>
                </w:p>
              </w:tc>
              <w:tc>
                <w:tcPr>
                  <w:tcW w:w="990" w:type="pct"/>
                  <w:shd w:val="clear" w:color="auto" w:fill="auto"/>
                  <w:vAlign w:val="center"/>
                </w:tcPr>
                <w:p w14:paraId="792F088E">
                  <w:pPr>
                    <w:jc w:val="center"/>
                    <w:rPr>
                      <w:szCs w:val="21"/>
                    </w:rPr>
                  </w:pPr>
                  <w:r>
                    <w:rPr>
                      <w:rFonts w:hint="eastAsia"/>
                      <w:szCs w:val="21"/>
                    </w:rPr>
                    <w:t>0.5</w:t>
                  </w:r>
                </w:p>
              </w:tc>
              <w:tc>
                <w:tcPr>
                  <w:tcW w:w="655" w:type="pct"/>
                  <w:shd w:val="clear" w:color="auto" w:fill="auto"/>
                  <w:vAlign w:val="center"/>
                </w:tcPr>
                <w:p w14:paraId="1C6819FD">
                  <w:pPr>
                    <w:jc w:val="center"/>
                    <w:rPr>
                      <w:szCs w:val="21"/>
                    </w:rPr>
                  </w:pPr>
                  <w:r>
                    <w:rPr>
                      <w:rFonts w:hint="eastAsia"/>
                      <w:szCs w:val="21"/>
                    </w:rPr>
                    <w:t>/</w:t>
                  </w:r>
                </w:p>
              </w:tc>
              <w:tc>
                <w:tcPr>
                  <w:tcW w:w="818" w:type="pct"/>
                  <w:shd w:val="clear" w:color="auto" w:fill="auto"/>
                  <w:vAlign w:val="center"/>
                </w:tcPr>
                <w:p w14:paraId="60B9AFB0">
                  <w:pPr>
                    <w:jc w:val="center"/>
                    <w:rPr>
                      <w:szCs w:val="21"/>
                    </w:rPr>
                  </w:pPr>
                  <w:r>
                    <w:rPr>
                      <w:rFonts w:hint="eastAsia"/>
                      <w:szCs w:val="21"/>
                    </w:rPr>
                    <w:t>/</w:t>
                  </w:r>
                </w:p>
              </w:tc>
              <w:tc>
                <w:tcPr>
                  <w:tcW w:w="1731" w:type="pct"/>
                  <w:vMerge w:val="continue"/>
                  <w:shd w:val="clear" w:color="auto" w:fill="auto"/>
                  <w:vAlign w:val="center"/>
                </w:tcPr>
                <w:p w14:paraId="654ACF8A">
                  <w:pPr>
                    <w:jc w:val="center"/>
                    <w:rPr>
                      <w:szCs w:val="21"/>
                    </w:rPr>
                  </w:pPr>
                </w:p>
              </w:tc>
            </w:tr>
            <w:tr w14:paraId="61A4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06" w:type="pct"/>
                  <w:shd w:val="clear" w:color="auto" w:fill="auto"/>
                  <w:vAlign w:val="center"/>
                </w:tcPr>
                <w:p w14:paraId="34B4A713">
                  <w:pPr>
                    <w:jc w:val="center"/>
                    <w:rPr>
                      <w:szCs w:val="21"/>
                    </w:rPr>
                  </w:pPr>
                  <w:r>
                    <w:rPr>
                      <w:rFonts w:hint="eastAsia"/>
                      <w:szCs w:val="21"/>
                    </w:rPr>
                    <w:t>1,3-丁二烯</w:t>
                  </w:r>
                </w:p>
              </w:tc>
              <w:tc>
                <w:tcPr>
                  <w:tcW w:w="990" w:type="pct"/>
                  <w:shd w:val="clear" w:color="auto" w:fill="auto"/>
                  <w:vAlign w:val="center"/>
                </w:tcPr>
                <w:p w14:paraId="117A5B7F">
                  <w:pPr>
                    <w:jc w:val="center"/>
                    <w:rPr>
                      <w:szCs w:val="21"/>
                    </w:rPr>
                  </w:pPr>
                  <w:r>
                    <w:rPr>
                      <w:rFonts w:hint="eastAsia"/>
                      <w:szCs w:val="21"/>
                    </w:rPr>
                    <w:t>1</w:t>
                  </w:r>
                </w:p>
              </w:tc>
              <w:tc>
                <w:tcPr>
                  <w:tcW w:w="655" w:type="pct"/>
                  <w:shd w:val="clear" w:color="auto" w:fill="auto"/>
                  <w:vAlign w:val="center"/>
                </w:tcPr>
                <w:p w14:paraId="1E14D794">
                  <w:pPr>
                    <w:jc w:val="center"/>
                    <w:rPr>
                      <w:szCs w:val="21"/>
                    </w:rPr>
                  </w:pPr>
                  <w:r>
                    <w:rPr>
                      <w:rFonts w:hint="eastAsia"/>
                      <w:szCs w:val="21"/>
                    </w:rPr>
                    <w:t>/</w:t>
                  </w:r>
                </w:p>
              </w:tc>
              <w:tc>
                <w:tcPr>
                  <w:tcW w:w="818" w:type="pct"/>
                  <w:shd w:val="clear" w:color="auto" w:fill="auto"/>
                  <w:vAlign w:val="center"/>
                </w:tcPr>
                <w:p w14:paraId="209F0456">
                  <w:pPr>
                    <w:jc w:val="center"/>
                    <w:rPr>
                      <w:szCs w:val="21"/>
                    </w:rPr>
                  </w:pPr>
                  <w:r>
                    <w:rPr>
                      <w:rFonts w:hint="eastAsia"/>
                      <w:szCs w:val="21"/>
                    </w:rPr>
                    <w:t>/</w:t>
                  </w:r>
                </w:p>
              </w:tc>
              <w:tc>
                <w:tcPr>
                  <w:tcW w:w="1731" w:type="pct"/>
                  <w:vMerge w:val="continue"/>
                  <w:shd w:val="clear" w:color="auto" w:fill="auto"/>
                  <w:vAlign w:val="center"/>
                </w:tcPr>
                <w:p w14:paraId="40D90BBF">
                  <w:pPr>
                    <w:jc w:val="center"/>
                    <w:rPr>
                      <w:szCs w:val="21"/>
                    </w:rPr>
                  </w:pPr>
                </w:p>
              </w:tc>
            </w:tr>
            <w:tr w14:paraId="11C1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shd w:val="clear" w:color="auto" w:fill="auto"/>
                  <w:vAlign w:val="center"/>
                </w:tcPr>
                <w:p w14:paraId="22E523A0">
                  <w:pPr>
                    <w:jc w:val="center"/>
                    <w:rPr>
                      <w:szCs w:val="21"/>
                    </w:rPr>
                  </w:pPr>
                  <w:r>
                    <w:rPr>
                      <w:rFonts w:hint="eastAsia"/>
                      <w:szCs w:val="21"/>
                    </w:rPr>
                    <w:t>VOCs</w:t>
                  </w:r>
                </w:p>
              </w:tc>
              <w:tc>
                <w:tcPr>
                  <w:tcW w:w="990" w:type="pct"/>
                  <w:shd w:val="clear" w:color="auto" w:fill="auto"/>
                  <w:vAlign w:val="center"/>
                </w:tcPr>
                <w:p w14:paraId="4B9487F7">
                  <w:pPr>
                    <w:jc w:val="center"/>
                    <w:rPr>
                      <w:szCs w:val="21"/>
                    </w:rPr>
                  </w:pPr>
                  <w:r>
                    <w:rPr>
                      <w:rFonts w:hint="eastAsia"/>
                      <w:szCs w:val="21"/>
                    </w:rPr>
                    <w:t>6</w:t>
                  </w:r>
                  <w:r>
                    <w:rPr>
                      <w:szCs w:val="21"/>
                    </w:rPr>
                    <w:t>0</w:t>
                  </w:r>
                </w:p>
              </w:tc>
              <w:tc>
                <w:tcPr>
                  <w:tcW w:w="655" w:type="pct"/>
                  <w:shd w:val="clear" w:color="auto" w:fill="auto"/>
                  <w:vAlign w:val="center"/>
                </w:tcPr>
                <w:p w14:paraId="1C30FC94">
                  <w:pPr>
                    <w:jc w:val="center"/>
                    <w:rPr>
                      <w:szCs w:val="21"/>
                    </w:rPr>
                  </w:pPr>
                  <w:r>
                    <w:rPr>
                      <w:rFonts w:hint="eastAsia"/>
                      <w:szCs w:val="21"/>
                    </w:rPr>
                    <w:t>15</w:t>
                  </w:r>
                </w:p>
              </w:tc>
              <w:tc>
                <w:tcPr>
                  <w:tcW w:w="818" w:type="pct"/>
                  <w:shd w:val="clear" w:color="auto" w:fill="auto"/>
                  <w:vAlign w:val="center"/>
                </w:tcPr>
                <w:p w14:paraId="1E56782F">
                  <w:pPr>
                    <w:jc w:val="center"/>
                    <w:rPr>
                      <w:szCs w:val="21"/>
                    </w:rPr>
                  </w:pPr>
                  <w:r>
                    <w:rPr>
                      <w:rFonts w:hint="eastAsia"/>
                      <w:szCs w:val="21"/>
                    </w:rPr>
                    <w:t>3.4</w:t>
                  </w:r>
                </w:p>
              </w:tc>
              <w:tc>
                <w:tcPr>
                  <w:tcW w:w="1731" w:type="pct"/>
                  <w:vMerge w:val="restart"/>
                  <w:shd w:val="clear" w:color="auto" w:fill="auto"/>
                  <w:vAlign w:val="center"/>
                </w:tcPr>
                <w:p w14:paraId="764D6250">
                  <w:pPr>
                    <w:jc w:val="center"/>
                    <w:rPr>
                      <w:szCs w:val="21"/>
                    </w:rPr>
                  </w:pPr>
                  <w:r>
                    <w:rPr>
                      <w:rFonts w:hint="eastAsia"/>
                      <w:szCs w:val="21"/>
                    </w:rPr>
                    <w:t>《四川省固定污染源大气挥发性有机物排放标准》（DB51/2377-2017）</w:t>
                  </w:r>
                </w:p>
              </w:tc>
            </w:tr>
            <w:tr w14:paraId="7EA7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shd w:val="clear" w:color="auto" w:fill="auto"/>
                  <w:vAlign w:val="center"/>
                </w:tcPr>
                <w:p w14:paraId="4B5A5763">
                  <w:pPr>
                    <w:jc w:val="center"/>
                    <w:rPr>
                      <w:szCs w:val="21"/>
                    </w:rPr>
                  </w:pPr>
                  <w:r>
                    <w:rPr>
                      <w:rFonts w:hint="eastAsia"/>
                      <w:szCs w:val="21"/>
                    </w:rPr>
                    <w:t>甲苯</w:t>
                  </w:r>
                </w:p>
              </w:tc>
              <w:tc>
                <w:tcPr>
                  <w:tcW w:w="990" w:type="pct"/>
                  <w:shd w:val="clear" w:color="auto" w:fill="auto"/>
                  <w:vAlign w:val="center"/>
                </w:tcPr>
                <w:p w14:paraId="63D746AE">
                  <w:pPr>
                    <w:jc w:val="center"/>
                    <w:rPr>
                      <w:szCs w:val="21"/>
                    </w:rPr>
                  </w:pPr>
                  <w:r>
                    <w:rPr>
                      <w:rFonts w:hint="eastAsia"/>
                      <w:szCs w:val="21"/>
                    </w:rPr>
                    <w:t>3</w:t>
                  </w:r>
                </w:p>
              </w:tc>
              <w:tc>
                <w:tcPr>
                  <w:tcW w:w="655" w:type="pct"/>
                  <w:shd w:val="clear" w:color="auto" w:fill="auto"/>
                  <w:vAlign w:val="center"/>
                </w:tcPr>
                <w:p w14:paraId="54BF799F">
                  <w:pPr>
                    <w:jc w:val="center"/>
                    <w:rPr>
                      <w:szCs w:val="21"/>
                    </w:rPr>
                  </w:pPr>
                  <w:r>
                    <w:rPr>
                      <w:rFonts w:hint="eastAsia"/>
                      <w:szCs w:val="21"/>
                    </w:rPr>
                    <w:t>15</w:t>
                  </w:r>
                </w:p>
              </w:tc>
              <w:tc>
                <w:tcPr>
                  <w:tcW w:w="818" w:type="pct"/>
                  <w:shd w:val="clear" w:color="auto" w:fill="auto"/>
                  <w:vAlign w:val="center"/>
                </w:tcPr>
                <w:p w14:paraId="50A99EA1">
                  <w:pPr>
                    <w:jc w:val="center"/>
                    <w:rPr>
                      <w:szCs w:val="21"/>
                    </w:rPr>
                  </w:pPr>
                  <w:r>
                    <w:rPr>
                      <w:rFonts w:hint="eastAsia"/>
                      <w:szCs w:val="21"/>
                    </w:rPr>
                    <w:t>0.6</w:t>
                  </w:r>
                </w:p>
              </w:tc>
              <w:tc>
                <w:tcPr>
                  <w:tcW w:w="1731" w:type="pct"/>
                  <w:vMerge w:val="continue"/>
                  <w:shd w:val="clear" w:color="auto" w:fill="auto"/>
                  <w:vAlign w:val="center"/>
                </w:tcPr>
                <w:p w14:paraId="6662FD95">
                  <w:pPr>
                    <w:jc w:val="center"/>
                    <w:rPr>
                      <w:szCs w:val="21"/>
                    </w:rPr>
                  </w:pPr>
                </w:p>
              </w:tc>
            </w:tr>
            <w:tr w14:paraId="0334C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shd w:val="clear" w:color="auto" w:fill="auto"/>
                  <w:vAlign w:val="center"/>
                </w:tcPr>
                <w:p w14:paraId="4DE8CFFE">
                  <w:pPr>
                    <w:jc w:val="center"/>
                    <w:rPr>
                      <w:szCs w:val="21"/>
                    </w:rPr>
                  </w:pPr>
                  <w:r>
                    <w:rPr>
                      <w:rFonts w:hint="eastAsia"/>
                      <w:szCs w:val="21"/>
                    </w:rPr>
                    <w:t>乙苯</w:t>
                  </w:r>
                </w:p>
              </w:tc>
              <w:tc>
                <w:tcPr>
                  <w:tcW w:w="990" w:type="pct"/>
                  <w:shd w:val="clear" w:color="auto" w:fill="auto"/>
                  <w:vAlign w:val="center"/>
                </w:tcPr>
                <w:p w14:paraId="77802367">
                  <w:pPr>
                    <w:jc w:val="center"/>
                    <w:rPr>
                      <w:szCs w:val="21"/>
                    </w:rPr>
                  </w:pPr>
                  <w:r>
                    <w:rPr>
                      <w:rFonts w:hint="eastAsia"/>
                      <w:szCs w:val="21"/>
                    </w:rPr>
                    <w:t>40</w:t>
                  </w:r>
                </w:p>
              </w:tc>
              <w:tc>
                <w:tcPr>
                  <w:tcW w:w="655" w:type="pct"/>
                  <w:shd w:val="clear" w:color="auto" w:fill="auto"/>
                  <w:vAlign w:val="center"/>
                </w:tcPr>
                <w:p w14:paraId="09DB2859">
                  <w:pPr>
                    <w:jc w:val="center"/>
                    <w:rPr>
                      <w:szCs w:val="21"/>
                    </w:rPr>
                  </w:pPr>
                  <w:r>
                    <w:rPr>
                      <w:rFonts w:hint="eastAsia"/>
                      <w:szCs w:val="21"/>
                    </w:rPr>
                    <w:t>15</w:t>
                  </w:r>
                </w:p>
              </w:tc>
              <w:tc>
                <w:tcPr>
                  <w:tcW w:w="818" w:type="pct"/>
                  <w:shd w:val="clear" w:color="auto" w:fill="auto"/>
                  <w:vAlign w:val="center"/>
                </w:tcPr>
                <w:p w14:paraId="37A7909C">
                  <w:pPr>
                    <w:jc w:val="center"/>
                    <w:rPr>
                      <w:szCs w:val="21"/>
                    </w:rPr>
                  </w:pPr>
                  <w:r>
                    <w:rPr>
                      <w:rFonts w:hint="eastAsia"/>
                      <w:szCs w:val="21"/>
                    </w:rPr>
                    <w:t>1.4</w:t>
                  </w:r>
                </w:p>
              </w:tc>
              <w:tc>
                <w:tcPr>
                  <w:tcW w:w="1731" w:type="pct"/>
                  <w:vMerge w:val="continue"/>
                  <w:shd w:val="clear" w:color="auto" w:fill="auto"/>
                  <w:vAlign w:val="center"/>
                </w:tcPr>
                <w:p w14:paraId="2F163D27">
                  <w:pPr>
                    <w:jc w:val="center"/>
                    <w:rPr>
                      <w:szCs w:val="21"/>
                    </w:rPr>
                  </w:pPr>
                </w:p>
              </w:tc>
            </w:tr>
            <w:tr w14:paraId="6C93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06" w:type="pct"/>
                  <w:shd w:val="clear" w:color="auto" w:fill="auto"/>
                  <w:vAlign w:val="center"/>
                </w:tcPr>
                <w:p w14:paraId="25F67D3D">
                  <w:pPr>
                    <w:jc w:val="center"/>
                    <w:rPr>
                      <w:szCs w:val="21"/>
                    </w:rPr>
                  </w:pPr>
                  <w:r>
                    <w:rPr>
                      <w:rFonts w:hint="eastAsia"/>
                      <w:szCs w:val="21"/>
                    </w:rPr>
                    <w:t>油烟</w:t>
                  </w:r>
                </w:p>
              </w:tc>
              <w:tc>
                <w:tcPr>
                  <w:tcW w:w="990" w:type="pct"/>
                  <w:shd w:val="clear" w:color="auto" w:fill="auto"/>
                  <w:vAlign w:val="center"/>
                </w:tcPr>
                <w:p w14:paraId="7C2F6606">
                  <w:pPr>
                    <w:jc w:val="center"/>
                    <w:rPr>
                      <w:szCs w:val="21"/>
                    </w:rPr>
                  </w:pPr>
                  <w:r>
                    <w:rPr>
                      <w:rFonts w:hint="eastAsia"/>
                      <w:szCs w:val="21"/>
                    </w:rPr>
                    <w:t>2</w:t>
                  </w:r>
                  <w:r>
                    <w:rPr>
                      <w:szCs w:val="21"/>
                    </w:rPr>
                    <w:t>.0</w:t>
                  </w:r>
                </w:p>
              </w:tc>
              <w:tc>
                <w:tcPr>
                  <w:tcW w:w="655" w:type="pct"/>
                  <w:shd w:val="clear" w:color="auto" w:fill="auto"/>
                  <w:vAlign w:val="center"/>
                </w:tcPr>
                <w:p w14:paraId="4169F55B">
                  <w:pPr>
                    <w:jc w:val="center"/>
                    <w:rPr>
                      <w:szCs w:val="21"/>
                    </w:rPr>
                  </w:pPr>
                  <w:r>
                    <w:rPr>
                      <w:rFonts w:hint="eastAsia"/>
                      <w:szCs w:val="21"/>
                    </w:rPr>
                    <w:t>/</w:t>
                  </w:r>
                </w:p>
              </w:tc>
              <w:tc>
                <w:tcPr>
                  <w:tcW w:w="818" w:type="pct"/>
                  <w:shd w:val="clear" w:color="auto" w:fill="auto"/>
                  <w:vAlign w:val="center"/>
                </w:tcPr>
                <w:p w14:paraId="18F68398">
                  <w:pPr>
                    <w:jc w:val="center"/>
                    <w:rPr>
                      <w:szCs w:val="21"/>
                    </w:rPr>
                  </w:pPr>
                  <w:r>
                    <w:rPr>
                      <w:rFonts w:hint="eastAsia"/>
                      <w:szCs w:val="21"/>
                    </w:rPr>
                    <w:t>/</w:t>
                  </w:r>
                </w:p>
              </w:tc>
              <w:tc>
                <w:tcPr>
                  <w:tcW w:w="1731" w:type="pct"/>
                  <w:shd w:val="clear" w:color="auto" w:fill="auto"/>
                  <w:vAlign w:val="center"/>
                </w:tcPr>
                <w:p w14:paraId="13D1A427">
                  <w:pPr>
                    <w:jc w:val="center"/>
                    <w:rPr>
                      <w:szCs w:val="21"/>
                    </w:rPr>
                  </w:pPr>
                  <w:r>
                    <w:rPr>
                      <w:rFonts w:hint="eastAsia"/>
                      <w:szCs w:val="21"/>
                    </w:rPr>
                    <w:t>《饮食业油烟排放标准（试行）》（GB18483-2001）</w:t>
                  </w:r>
                </w:p>
              </w:tc>
            </w:tr>
          </w:tbl>
          <w:p w14:paraId="0009B607">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厂界无组织废气排放限值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1945"/>
              <w:gridCol w:w="2247"/>
              <w:gridCol w:w="3915"/>
            </w:tblGrid>
            <w:tr w14:paraId="25FE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69" w:type="pct"/>
                  <w:vAlign w:val="center"/>
                </w:tcPr>
                <w:p w14:paraId="6F82BF70">
                  <w:pPr>
                    <w:jc w:val="center"/>
                    <w:rPr>
                      <w:szCs w:val="21"/>
                    </w:rPr>
                  </w:pPr>
                  <w:r>
                    <w:rPr>
                      <w:rFonts w:hint="eastAsia"/>
                      <w:szCs w:val="21"/>
                    </w:rPr>
                    <w:t>序号</w:t>
                  </w:r>
                </w:p>
              </w:tc>
              <w:tc>
                <w:tcPr>
                  <w:tcW w:w="1063" w:type="pct"/>
                  <w:shd w:val="clear" w:color="auto" w:fill="auto"/>
                  <w:vAlign w:val="center"/>
                </w:tcPr>
                <w:p w14:paraId="3F5767F3">
                  <w:pPr>
                    <w:jc w:val="center"/>
                    <w:rPr>
                      <w:szCs w:val="21"/>
                    </w:rPr>
                  </w:pPr>
                  <w:r>
                    <w:rPr>
                      <w:rFonts w:hint="eastAsia"/>
                      <w:szCs w:val="21"/>
                    </w:rPr>
                    <w:t>污染物名称</w:t>
                  </w:r>
                </w:p>
              </w:tc>
              <w:tc>
                <w:tcPr>
                  <w:tcW w:w="1228" w:type="pct"/>
                  <w:shd w:val="clear" w:color="auto" w:fill="auto"/>
                  <w:vAlign w:val="center"/>
                </w:tcPr>
                <w:p w14:paraId="45849577">
                  <w:pPr>
                    <w:jc w:val="center"/>
                    <w:rPr>
                      <w:szCs w:val="21"/>
                    </w:rPr>
                  </w:pPr>
                  <w:r>
                    <w:rPr>
                      <w:rFonts w:hint="eastAsia"/>
                      <w:szCs w:val="21"/>
                    </w:rPr>
                    <w:t>厂界无组织排放浓度</w:t>
                  </w:r>
                  <w:r>
                    <w:rPr>
                      <w:szCs w:val="21"/>
                    </w:rPr>
                    <w:t>限值</w:t>
                  </w:r>
                  <w:r>
                    <w:rPr>
                      <w:rFonts w:hint="eastAsia"/>
                      <w:szCs w:val="21"/>
                    </w:rPr>
                    <w:t>（</w:t>
                  </w:r>
                  <w:r>
                    <w:rPr>
                      <w:szCs w:val="21"/>
                    </w:rPr>
                    <w:t>mg/m</w:t>
                  </w:r>
                  <w:r>
                    <w:rPr>
                      <w:rFonts w:hint="eastAsia"/>
                      <w:szCs w:val="21"/>
                      <w:vertAlign w:val="superscript"/>
                    </w:rPr>
                    <w:t>3</w:t>
                  </w:r>
                  <w:r>
                    <w:rPr>
                      <w:rFonts w:hint="eastAsia"/>
                      <w:szCs w:val="21"/>
                    </w:rPr>
                    <w:t>）</w:t>
                  </w:r>
                </w:p>
              </w:tc>
              <w:tc>
                <w:tcPr>
                  <w:tcW w:w="2140" w:type="pct"/>
                  <w:shd w:val="clear" w:color="auto" w:fill="auto"/>
                  <w:vAlign w:val="center"/>
                </w:tcPr>
                <w:p w14:paraId="0A66D4CB">
                  <w:pPr>
                    <w:jc w:val="center"/>
                    <w:rPr>
                      <w:szCs w:val="21"/>
                    </w:rPr>
                  </w:pPr>
                  <w:r>
                    <w:rPr>
                      <w:rFonts w:hint="eastAsia"/>
                      <w:szCs w:val="21"/>
                    </w:rPr>
                    <w:t>排放</w:t>
                  </w:r>
                  <w:r>
                    <w:rPr>
                      <w:szCs w:val="21"/>
                    </w:rPr>
                    <w:t>标准</w:t>
                  </w:r>
                </w:p>
              </w:tc>
            </w:tr>
            <w:tr w14:paraId="42A2E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vAlign w:val="center"/>
                </w:tcPr>
                <w:p w14:paraId="4B0BF051">
                  <w:pPr>
                    <w:jc w:val="center"/>
                    <w:rPr>
                      <w:szCs w:val="21"/>
                    </w:rPr>
                  </w:pPr>
                  <w:r>
                    <w:rPr>
                      <w:rFonts w:hint="eastAsia"/>
                      <w:szCs w:val="21"/>
                    </w:rPr>
                    <w:t>1</w:t>
                  </w:r>
                </w:p>
              </w:tc>
              <w:tc>
                <w:tcPr>
                  <w:tcW w:w="1063" w:type="pct"/>
                  <w:shd w:val="clear" w:color="auto" w:fill="auto"/>
                  <w:vAlign w:val="center"/>
                </w:tcPr>
                <w:p w14:paraId="213CCF4A">
                  <w:pPr>
                    <w:jc w:val="center"/>
                    <w:rPr>
                      <w:szCs w:val="21"/>
                    </w:rPr>
                  </w:pPr>
                  <w:r>
                    <w:rPr>
                      <w:rFonts w:hint="eastAsia"/>
                      <w:szCs w:val="21"/>
                    </w:rPr>
                    <w:t>VOCs</w:t>
                  </w:r>
                </w:p>
              </w:tc>
              <w:tc>
                <w:tcPr>
                  <w:tcW w:w="1228" w:type="pct"/>
                  <w:shd w:val="clear" w:color="auto" w:fill="auto"/>
                  <w:vAlign w:val="center"/>
                </w:tcPr>
                <w:p w14:paraId="1DC8CF53">
                  <w:pPr>
                    <w:jc w:val="center"/>
                    <w:rPr>
                      <w:szCs w:val="21"/>
                    </w:rPr>
                  </w:pPr>
                  <w:r>
                    <w:rPr>
                      <w:rFonts w:hint="eastAsia"/>
                      <w:szCs w:val="21"/>
                    </w:rPr>
                    <w:t>2.0</w:t>
                  </w:r>
                </w:p>
              </w:tc>
              <w:tc>
                <w:tcPr>
                  <w:tcW w:w="2140" w:type="pct"/>
                  <w:vMerge w:val="restart"/>
                  <w:shd w:val="clear" w:color="auto" w:fill="auto"/>
                  <w:vAlign w:val="center"/>
                </w:tcPr>
                <w:p w14:paraId="3BC65475">
                  <w:pPr>
                    <w:jc w:val="center"/>
                    <w:rPr>
                      <w:szCs w:val="21"/>
                    </w:rPr>
                  </w:pPr>
                  <w:r>
                    <w:rPr>
                      <w:rFonts w:hint="eastAsia" w:cs="Times New Roman"/>
                      <w:szCs w:val="21"/>
                    </w:rPr>
                    <w:t>《四川省固定污染源大气挥发性有机物排放标准》（DB51/2377-2017）</w:t>
                  </w:r>
                </w:p>
              </w:tc>
            </w:tr>
            <w:tr w14:paraId="7A71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7642701F">
                  <w:pPr>
                    <w:jc w:val="center"/>
                    <w:rPr>
                      <w:szCs w:val="21"/>
                    </w:rPr>
                  </w:pPr>
                  <w:r>
                    <w:rPr>
                      <w:rFonts w:hint="eastAsia"/>
                      <w:szCs w:val="21"/>
                    </w:rPr>
                    <w:t>2</w:t>
                  </w:r>
                </w:p>
              </w:tc>
              <w:tc>
                <w:tcPr>
                  <w:tcW w:w="1063" w:type="pct"/>
                  <w:shd w:val="clear" w:color="auto" w:fill="auto"/>
                  <w:vAlign w:val="center"/>
                </w:tcPr>
                <w:p w14:paraId="7DBAC78E">
                  <w:pPr>
                    <w:jc w:val="center"/>
                    <w:rPr>
                      <w:szCs w:val="21"/>
                    </w:rPr>
                  </w:pPr>
                  <w:r>
                    <w:rPr>
                      <w:rFonts w:hint="eastAsia"/>
                      <w:szCs w:val="21"/>
                    </w:rPr>
                    <w:t>苯乙烯</w:t>
                  </w:r>
                </w:p>
              </w:tc>
              <w:tc>
                <w:tcPr>
                  <w:tcW w:w="1228" w:type="pct"/>
                  <w:shd w:val="clear" w:color="auto" w:fill="auto"/>
                  <w:vAlign w:val="center"/>
                </w:tcPr>
                <w:p w14:paraId="1D88CB70">
                  <w:pPr>
                    <w:jc w:val="center"/>
                    <w:rPr>
                      <w:szCs w:val="21"/>
                    </w:rPr>
                  </w:pPr>
                  <w:r>
                    <w:rPr>
                      <w:rFonts w:hint="eastAsia"/>
                      <w:szCs w:val="21"/>
                    </w:rPr>
                    <w:t>0.4</w:t>
                  </w:r>
                </w:p>
              </w:tc>
              <w:tc>
                <w:tcPr>
                  <w:tcW w:w="2140" w:type="pct"/>
                  <w:vMerge w:val="continue"/>
                  <w:shd w:val="clear" w:color="auto" w:fill="auto"/>
                  <w:vAlign w:val="center"/>
                </w:tcPr>
                <w:p w14:paraId="23F1485A">
                  <w:pPr>
                    <w:jc w:val="center"/>
                    <w:rPr>
                      <w:szCs w:val="21"/>
                    </w:rPr>
                  </w:pPr>
                </w:p>
              </w:tc>
            </w:tr>
            <w:tr w14:paraId="1ABF1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9" w:type="pct"/>
                  <w:vAlign w:val="center"/>
                </w:tcPr>
                <w:p w14:paraId="5BC6D86C">
                  <w:pPr>
                    <w:jc w:val="center"/>
                    <w:rPr>
                      <w:szCs w:val="21"/>
                    </w:rPr>
                  </w:pPr>
                  <w:r>
                    <w:rPr>
                      <w:rFonts w:hint="eastAsia"/>
                      <w:szCs w:val="21"/>
                    </w:rPr>
                    <w:t>3</w:t>
                  </w:r>
                </w:p>
              </w:tc>
              <w:tc>
                <w:tcPr>
                  <w:tcW w:w="1063" w:type="pct"/>
                  <w:shd w:val="clear" w:color="auto" w:fill="auto"/>
                  <w:vAlign w:val="center"/>
                </w:tcPr>
                <w:p w14:paraId="76699CB8">
                  <w:pPr>
                    <w:jc w:val="center"/>
                    <w:rPr>
                      <w:szCs w:val="21"/>
                    </w:rPr>
                  </w:pPr>
                  <w:r>
                    <w:rPr>
                      <w:rFonts w:hint="eastAsia"/>
                      <w:szCs w:val="21"/>
                    </w:rPr>
                    <w:t>1,3-丁二烯</w:t>
                  </w:r>
                </w:p>
              </w:tc>
              <w:tc>
                <w:tcPr>
                  <w:tcW w:w="1228" w:type="pct"/>
                  <w:shd w:val="clear" w:color="auto" w:fill="auto"/>
                  <w:vAlign w:val="center"/>
                </w:tcPr>
                <w:p w14:paraId="4CAE37DA">
                  <w:pPr>
                    <w:jc w:val="center"/>
                    <w:rPr>
                      <w:szCs w:val="21"/>
                    </w:rPr>
                  </w:pPr>
                  <w:r>
                    <w:rPr>
                      <w:rFonts w:hint="eastAsia"/>
                      <w:szCs w:val="21"/>
                    </w:rPr>
                    <w:t>0.1</w:t>
                  </w:r>
                </w:p>
              </w:tc>
              <w:tc>
                <w:tcPr>
                  <w:tcW w:w="2140" w:type="pct"/>
                  <w:vMerge w:val="continue"/>
                  <w:shd w:val="clear" w:color="auto" w:fill="auto"/>
                  <w:vAlign w:val="center"/>
                </w:tcPr>
                <w:p w14:paraId="52A18D85">
                  <w:pPr>
                    <w:jc w:val="center"/>
                    <w:rPr>
                      <w:szCs w:val="21"/>
                    </w:rPr>
                  </w:pPr>
                </w:p>
              </w:tc>
            </w:tr>
            <w:tr w14:paraId="1FC8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227C8EA8">
                  <w:pPr>
                    <w:jc w:val="center"/>
                    <w:rPr>
                      <w:szCs w:val="21"/>
                    </w:rPr>
                  </w:pPr>
                  <w:r>
                    <w:rPr>
                      <w:rFonts w:hint="eastAsia"/>
                      <w:szCs w:val="21"/>
                    </w:rPr>
                    <w:t>4</w:t>
                  </w:r>
                </w:p>
              </w:tc>
              <w:tc>
                <w:tcPr>
                  <w:tcW w:w="1063" w:type="pct"/>
                  <w:shd w:val="clear" w:color="auto" w:fill="auto"/>
                  <w:vAlign w:val="center"/>
                </w:tcPr>
                <w:p w14:paraId="1F798233">
                  <w:pPr>
                    <w:jc w:val="center"/>
                    <w:rPr>
                      <w:szCs w:val="21"/>
                    </w:rPr>
                  </w:pPr>
                  <w:r>
                    <w:rPr>
                      <w:rFonts w:hint="eastAsia"/>
                      <w:szCs w:val="21"/>
                    </w:rPr>
                    <w:t>甲苯</w:t>
                  </w:r>
                </w:p>
              </w:tc>
              <w:tc>
                <w:tcPr>
                  <w:tcW w:w="1228" w:type="pct"/>
                  <w:shd w:val="clear" w:color="auto" w:fill="auto"/>
                  <w:vAlign w:val="center"/>
                </w:tcPr>
                <w:p w14:paraId="138496BA">
                  <w:pPr>
                    <w:jc w:val="center"/>
                    <w:rPr>
                      <w:szCs w:val="21"/>
                    </w:rPr>
                  </w:pPr>
                  <w:r>
                    <w:rPr>
                      <w:rFonts w:hint="eastAsia"/>
                      <w:szCs w:val="21"/>
                    </w:rPr>
                    <w:t>0.2</w:t>
                  </w:r>
                </w:p>
              </w:tc>
              <w:tc>
                <w:tcPr>
                  <w:tcW w:w="2140" w:type="pct"/>
                  <w:vMerge w:val="continue"/>
                  <w:shd w:val="clear" w:color="auto" w:fill="auto"/>
                  <w:vAlign w:val="center"/>
                </w:tcPr>
                <w:p w14:paraId="609719E3">
                  <w:pPr>
                    <w:jc w:val="center"/>
                    <w:rPr>
                      <w:szCs w:val="21"/>
                    </w:rPr>
                  </w:pPr>
                </w:p>
              </w:tc>
            </w:tr>
            <w:tr w14:paraId="6CF2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14:paraId="57CA77F7">
                  <w:pPr>
                    <w:jc w:val="center"/>
                    <w:rPr>
                      <w:szCs w:val="21"/>
                    </w:rPr>
                  </w:pPr>
                  <w:r>
                    <w:rPr>
                      <w:rFonts w:hint="eastAsia"/>
                      <w:szCs w:val="21"/>
                    </w:rPr>
                    <w:t>5</w:t>
                  </w:r>
                </w:p>
              </w:tc>
              <w:tc>
                <w:tcPr>
                  <w:tcW w:w="1063" w:type="pct"/>
                  <w:shd w:val="clear" w:color="auto" w:fill="auto"/>
                  <w:vAlign w:val="center"/>
                </w:tcPr>
                <w:p w14:paraId="0D6924F0">
                  <w:pPr>
                    <w:jc w:val="center"/>
                    <w:rPr>
                      <w:szCs w:val="21"/>
                    </w:rPr>
                  </w:pPr>
                  <w:r>
                    <w:rPr>
                      <w:rFonts w:hint="eastAsia"/>
                      <w:szCs w:val="21"/>
                    </w:rPr>
                    <w:t>乙苯</w:t>
                  </w:r>
                </w:p>
              </w:tc>
              <w:tc>
                <w:tcPr>
                  <w:tcW w:w="1228" w:type="pct"/>
                  <w:shd w:val="clear" w:color="auto" w:fill="auto"/>
                  <w:vAlign w:val="center"/>
                </w:tcPr>
                <w:p w14:paraId="15BAB560">
                  <w:pPr>
                    <w:jc w:val="center"/>
                    <w:rPr>
                      <w:szCs w:val="21"/>
                    </w:rPr>
                  </w:pPr>
                  <w:r>
                    <w:rPr>
                      <w:rFonts w:hint="eastAsia"/>
                      <w:szCs w:val="21"/>
                    </w:rPr>
                    <w:t>0.8</w:t>
                  </w:r>
                </w:p>
              </w:tc>
              <w:tc>
                <w:tcPr>
                  <w:tcW w:w="2140" w:type="pct"/>
                  <w:vMerge w:val="continue"/>
                  <w:shd w:val="clear" w:color="auto" w:fill="auto"/>
                  <w:vAlign w:val="center"/>
                </w:tcPr>
                <w:p w14:paraId="36CCE178">
                  <w:pPr>
                    <w:jc w:val="center"/>
                    <w:rPr>
                      <w:szCs w:val="21"/>
                    </w:rPr>
                  </w:pPr>
                </w:p>
              </w:tc>
            </w:tr>
            <w:tr w14:paraId="7DFA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9" w:type="pct"/>
                  <w:vAlign w:val="center"/>
                </w:tcPr>
                <w:p w14:paraId="03D17F93">
                  <w:pPr>
                    <w:jc w:val="center"/>
                    <w:rPr>
                      <w:szCs w:val="21"/>
                    </w:rPr>
                  </w:pPr>
                  <w:r>
                    <w:rPr>
                      <w:rFonts w:hint="eastAsia"/>
                      <w:szCs w:val="21"/>
                    </w:rPr>
                    <w:t>6</w:t>
                  </w:r>
                </w:p>
              </w:tc>
              <w:tc>
                <w:tcPr>
                  <w:tcW w:w="1063" w:type="pct"/>
                  <w:shd w:val="clear" w:color="auto" w:fill="auto"/>
                  <w:vAlign w:val="center"/>
                </w:tcPr>
                <w:p w14:paraId="6DA8CF9B">
                  <w:pPr>
                    <w:jc w:val="center"/>
                    <w:rPr>
                      <w:szCs w:val="21"/>
                    </w:rPr>
                  </w:pPr>
                  <w:r>
                    <w:rPr>
                      <w:rFonts w:hint="eastAsia"/>
                      <w:szCs w:val="21"/>
                    </w:rPr>
                    <w:t>丙烯腈</w:t>
                  </w:r>
                </w:p>
              </w:tc>
              <w:tc>
                <w:tcPr>
                  <w:tcW w:w="1228" w:type="pct"/>
                  <w:shd w:val="clear" w:color="auto" w:fill="auto"/>
                  <w:vAlign w:val="center"/>
                </w:tcPr>
                <w:p w14:paraId="731CD302">
                  <w:pPr>
                    <w:jc w:val="center"/>
                    <w:rPr>
                      <w:szCs w:val="21"/>
                    </w:rPr>
                  </w:pPr>
                  <w:r>
                    <w:rPr>
                      <w:rFonts w:hint="eastAsia"/>
                      <w:szCs w:val="21"/>
                    </w:rPr>
                    <w:t>0.6</w:t>
                  </w:r>
                </w:p>
              </w:tc>
              <w:tc>
                <w:tcPr>
                  <w:tcW w:w="2140" w:type="pct"/>
                  <w:shd w:val="clear" w:color="auto" w:fill="auto"/>
                  <w:vAlign w:val="center"/>
                </w:tcPr>
                <w:p w14:paraId="33D7EF0F">
                  <w:pPr>
                    <w:jc w:val="center"/>
                    <w:rPr>
                      <w:szCs w:val="21"/>
                    </w:rPr>
                  </w:pPr>
                  <w:r>
                    <w:rPr>
                      <w:rFonts w:hint="eastAsia"/>
                      <w:szCs w:val="21"/>
                    </w:rPr>
                    <w:t>《大气污染物综合排放标准》（GB16297-1996）</w:t>
                  </w:r>
                </w:p>
              </w:tc>
            </w:tr>
          </w:tbl>
          <w:p w14:paraId="01D8B2F2">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厂区内VOCs无组织排放限值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2245"/>
              <w:gridCol w:w="2881"/>
              <w:gridCol w:w="2534"/>
            </w:tblGrid>
            <w:tr w14:paraId="3AFB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shd w:val="clear" w:color="auto" w:fill="auto"/>
                  <w:vAlign w:val="center"/>
                </w:tcPr>
                <w:p w14:paraId="0EF99BF7">
                  <w:pPr>
                    <w:jc w:val="center"/>
                    <w:rPr>
                      <w:szCs w:val="21"/>
                    </w:rPr>
                  </w:pPr>
                  <w:r>
                    <w:rPr>
                      <w:rFonts w:hint="eastAsia"/>
                      <w:szCs w:val="21"/>
                    </w:rPr>
                    <w:t>污染物项目</w:t>
                  </w:r>
                </w:p>
              </w:tc>
              <w:tc>
                <w:tcPr>
                  <w:tcW w:w="1227" w:type="pct"/>
                  <w:shd w:val="clear" w:color="auto" w:fill="auto"/>
                  <w:vAlign w:val="center"/>
                </w:tcPr>
                <w:p w14:paraId="18E10EFA">
                  <w:pPr>
                    <w:jc w:val="center"/>
                    <w:rPr>
                      <w:szCs w:val="21"/>
                    </w:rPr>
                  </w:pPr>
                  <w:r>
                    <w:rPr>
                      <w:rFonts w:hint="eastAsia"/>
                      <w:szCs w:val="21"/>
                    </w:rPr>
                    <w:t>排放限值（mg</w:t>
                  </w:r>
                  <w:r>
                    <w:rPr>
                      <w:szCs w:val="21"/>
                    </w:rPr>
                    <w:t>/m</w:t>
                  </w:r>
                  <w:r>
                    <w:rPr>
                      <w:szCs w:val="21"/>
                      <w:vertAlign w:val="superscript"/>
                    </w:rPr>
                    <w:t>3</w:t>
                  </w:r>
                  <w:r>
                    <w:rPr>
                      <w:rFonts w:hint="eastAsia"/>
                      <w:szCs w:val="21"/>
                    </w:rPr>
                    <w:t>）</w:t>
                  </w:r>
                </w:p>
              </w:tc>
              <w:tc>
                <w:tcPr>
                  <w:tcW w:w="1575" w:type="pct"/>
                  <w:shd w:val="clear" w:color="auto" w:fill="auto"/>
                  <w:vAlign w:val="center"/>
                </w:tcPr>
                <w:p w14:paraId="0D0841CC">
                  <w:pPr>
                    <w:jc w:val="center"/>
                    <w:rPr>
                      <w:szCs w:val="21"/>
                    </w:rPr>
                  </w:pPr>
                  <w:r>
                    <w:rPr>
                      <w:rFonts w:hint="eastAsia"/>
                      <w:szCs w:val="21"/>
                    </w:rPr>
                    <w:t>限值含义</w:t>
                  </w:r>
                </w:p>
              </w:tc>
              <w:tc>
                <w:tcPr>
                  <w:tcW w:w="1385" w:type="pct"/>
                  <w:shd w:val="clear" w:color="auto" w:fill="auto"/>
                  <w:vAlign w:val="center"/>
                </w:tcPr>
                <w:p w14:paraId="10D0F2B3">
                  <w:pPr>
                    <w:jc w:val="center"/>
                    <w:rPr>
                      <w:szCs w:val="21"/>
                    </w:rPr>
                  </w:pPr>
                  <w:r>
                    <w:rPr>
                      <w:rFonts w:hint="eastAsia"/>
                      <w:szCs w:val="21"/>
                    </w:rPr>
                    <w:t>无组织排放监控位置</w:t>
                  </w:r>
                </w:p>
              </w:tc>
            </w:tr>
            <w:tr w14:paraId="26AE6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restart"/>
                  <w:shd w:val="clear" w:color="auto" w:fill="auto"/>
                  <w:vAlign w:val="center"/>
                </w:tcPr>
                <w:p w14:paraId="5A2C2123">
                  <w:pPr>
                    <w:jc w:val="center"/>
                    <w:rPr>
                      <w:szCs w:val="21"/>
                    </w:rPr>
                  </w:pPr>
                  <w:r>
                    <w:rPr>
                      <w:rFonts w:hint="eastAsia"/>
                      <w:szCs w:val="21"/>
                    </w:rPr>
                    <w:t>NMHC</w:t>
                  </w:r>
                </w:p>
              </w:tc>
              <w:tc>
                <w:tcPr>
                  <w:tcW w:w="1227" w:type="pct"/>
                  <w:shd w:val="clear" w:color="auto" w:fill="auto"/>
                  <w:vAlign w:val="center"/>
                </w:tcPr>
                <w:p w14:paraId="6A00341F">
                  <w:pPr>
                    <w:jc w:val="center"/>
                    <w:rPr>
                      <w:szCs w:val="21"/>
                    </w:rPr>
                  </w:pPr>
                  <w:r>
                    <w:rPr>
                      <w:rFonts w:hint="eastAsia"/>
                      <w:szCs w:val="21"/>
                    </w:rPr>
                    <w:t>6</w:t>
                  </w:r>
                </w:p>
              </w:tc>
              <w:tc>
                <w:tcPr>
                  <w:tcW w:w="1575" w:type="pct"/>
                  <w:shd w:val="clear" w:color="auto" w:fill="auto"/>
                  <w:vAlign w:val="center"/>
                </w:tcPr>
                <w:p w14:paraId="24DC857F">
                  <w:pPr>
                    <w:jc w:val="center"/>
                    <w:rPr>
                      <w:szCs w:val="21"/>
                    </w:rPr>
                  </w:pPr>
                  <w:r>
                    <w:rPr>
                      <w:rFonts w:hint="eastAsia"/>
                      <w:szCs w:val="21"/>
                    </w:rPr>
                    <w:t>监控点处1h平均浓度值</w:t>
                  </w:r>
                </w:p>
              </w:tc>
              <w:tc>
                <w:tcPr>
                  <w:tcW w:w="1385" w:type="pct"/>
                  <w:vMerge w:val="restart"/>
                  <w:shd w:val="clear" w:color="auto" w:fill="auto"/>
                  <w:vAlign w:val="center"/>
                </w:tcPr>
                <w:p w14:paraId="3AFA12C2">
                  <w:pPr>
                    <w:jc w:val="center"/>
                    <w:rPr>
                      <w:szCs w:val="21"/>
                    </w:rPr>
                  </w:pPr>
                  <w:r>
                    <w:rPr>
                      <w:rFonts w:hint="eastAsia"/>
                      <w:szCs w:val="21"/>
                    </w:rPr>
                    <w:t>在厂房外设置监控点</w:t>
                  </w:r>
                </w:p>
              </w:tc>
            </w:tr>
            <w:tr w14:paraId="2EB4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3" w:type="pct"/>
                  <w:vMerge w:val="continue"/>
                  <w:shd w:val="clear" w:color="auto" w:fill="auto"/>
                  <w:vAlign w:val="center"/>
                </w:tcPr>
                <w:p w14:paraId="0C29482E">
                  <w:pPr>
                    <w:jc w:val="center"/>
                    <w:rPr>
                      <w:szCs w:val="21"/>
                    </w:rPr>
                  </w:pPr>
                </w:p>
              </w:tc>
              <w:tc>
                <w:tcPr>
                  <w:tcW w:w="1227" w:type="pct"/>
                  <w:shd w:val="clear" w:color="auto" w:fill="auto"/>
                  <w:vAlign w:val="center"/>
                </w:tcPr>
                <w:p w14:paraId="26C2D34C">
                  <w:pPr>
                    <w:jc w:val="center"/>
                    <w:rPr>
                      <w:szCs w:val="21"/>
                    </w:rPr>
                  </w:pPr>
                  <w:r>
                    <w:rPr>
                      <w:rFonts w:hint="eastAsia"/>
                      <w:szCs w:val="21"/>
                    </w:rPr>
                    <w:t>2</w:t>
                  </w:r>
                  <w:r>
                    <w:rPr>
                      <w:szCs w:val="21"/>
                    </w:rPr>
                    <w:t>0</w:t>
                  </w:r>
                </w:p>
              </w:tc>
              <w:tc>
                <w:tcPr>
                  <w:tcW w:w="1575" w:type="pct"/>
                  <w:shd w:val="clear" w:color="auto" w:fill="auto"/>
                  <w:vAlign w:val="center"/>
                </w:tcPr>
                <w:p w14:paraId="1B30C222">
                  <w:pPr>
                    <w:jc w:val="center"/>
                    <w:rPr>
                      <w:szCs w:val="21"/>
                    </w:rPr>
                  </w:pPr>
                  <w:r>
                    <w:rPr>
                      <w:rFonts w:hint="eastAsia"/>
                      <w:szCs w:val="21"/>
                    </w:rPr>
                    <w:t>监控点处任意一次浓度值</w:t>
                  </w:r>
                </w:p>
              </w:tc>
              <w:tc>
                <w:tcPr>
                  <w:tcW w:w="1385" w:type="pct"/>
                  <w:vMerge w:val="continue"/>
                  <w:shd w:val="clear" w:color="auto" w:fill="auto"/>
                  <w:vAlign w:val="center"/>
                </w:tcPr>
                <w:p w14:paraId="38945CAE">
                  <w:pPr>
                    <w:jc w:val="center"/>
                    <w:rPr>
                      <w:szCs w:val="21"/>
                    </w:rPr>
                  </w:pPr>
                </w:p>
              </w:tc>
            </w:tr>
          </w:tbl>
          <w:p w14:paraId="58DD0CFA">
            <w:pPr>
              <w:spacing w:line="360" w:lineRule="auto"/>
              <w:ind w:firstLine="482" w:firstLineChars="200"/>
              <w:rPr>
                <w:rFonts w:cs="Times New Roman"/>
                <w:b/>
                <w:sz w:val="24"/>
                <w:szCs w:val="24"/>
              </w:rPr>
            </w:pPr>
            <w:r>
              <w:rPr>
                <w:rFonts w:cs="Times New Roman"/>
                <w:b/>
                <w:sz w:val="24"/>
                <w:szCs w:val="24"/>
              </w:rPr>
              <w:t>2、废</w:t>
            </w:r>
            <w:r>
              <w:rPr>
                <w:rFonts w:hint="eastAsia" w:cs="Times New Roman"/>
                <w:b/>
                <w:sz w:val="24"/>
                <w:szCs w:val="24"/>
              </w:rPr>
              <w:t>水</w:t>
            </w:r>
          </w:p>
          <w:p w14:paraId="3347C696">
            <w:pPr>
              <w:spacing w:line="360" w:lineRule="auto"/>
              <w:ind w:firstLine="480" w:firstLineChars="200"/>
              <w:rPr>
                <w:rFonts w:cs="Times New Roman"/>
                <w:sz w:val="24"/>
                <w:szCs w:val="24"/>
              </w:rPr>
            </w:pPr>
            <w:r>
              <w:rPr>
                <w:rFonts w:hint="eastAsia" w:cs="Times New Roman"/>
                <w:sz w:val="24"/>
                <w:szCs w:val="24"/>
              </w:rPr>
              <w:t>执行《污水综合排放标准》（GB8978-1996）三级标准，NH</w:t>
            </w:r>
            <w:r>
              <w:rPr>
                <w:rFonts w:hint="eastAsia" w:cs="Times New Roman"/>
                <w:sz w:val="24"/>
                <w:szCs w:val="24"/>
                <w:vertAlign w:val="subscript"/>
              </w:rPr>
              <w:t>3</w:t>
            </w:r>
            <w:r>
              <w:rPr>
                <w:rFonts w:hint="eastAsia" w:cs="Times New Roman"/>
                <w:sz w:val="24"/>
                <w:szCs w:val="24"/>
              </w:rPr>
              <w:t>-N、TP参照《污水排入城镇下水道水质标准》（GB/T31962-2015）</w:t>
            </w:r>
            <w:r>
              <w:rPr>
                <w:rFonts w:hint="eastAsia"/>
                <w:kern w:val="24"/>
                <w:sz w:val="24"/>
                <w:szCs w:val="24"/>
              </w:rPr>
              <w:t>表1中B级标准</w:t>
            </w:r>
            <w:r>
              <w:rPr>
                <w:rFonts w:hint="eastAsia" w:cs="Times New Roman"/>
                <w:sz w:val="24"/>
                <w:szCs w:val="24"/>
              </w:rPr>
              <w:t>。</w:t>
            </w:r>
          </w:p>
          <w:p w14:paraId="55BED46E">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水污染物排放标准限值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072"/>
              <w:gridCol w:w="1072"/>
              <w:gridCol w:w="1072"/>
              <w:gridCol w:w="1072"/>
              <w:gridCol w:w="1072"/>
              <w:gridCol w:w="1073"/>
              <w:gridCol w:w="1224"/>
            </w:tblGrid>
            <w:tr w14:paraId="48B7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pct"/>
                  <w:shd w:val="clear" w:color="auto" w:fill="auto"/>
                  <w:vAlign w:val="center"/>
                </w:tcPr>
                <w:p w14:paraId="2DD600BC">
                  <w:pPr>
                    <w:jc w:val="center"/>
                    <w:rPr>
                      <w:szCs w:val="21"/>
                    </w:rPr>
                  </w:pPr>
                  <w:r>
                    <w:rPr>
                      <w:szCs w:val="21"/>
                    </w:rPr>
                    <w:t>项目</w:t>
                  </w:r>
                </w:p>
              </w:tc>
              <w:tc>
                <w:tcPr>
                  <w:tcW w:w="586" w:type="pct"/>
                  <w:shd w:val="clear" w:color="auto" w:fill="auto"/>
                  <w:vAlign w:val="center"/>
                </w:tcPr>
                <w:p w14:paraId="05E70910">
                  <w:pPr>
                    <w:jc w:val="center"/>
                    <w:rPr>
                      <w:szCs w:val="21"/>
                    </w:rPr>
                  </w:pPr>
                  <w:r>
                    <w:rPr>
                      <w:szCs w:val="21"/>
                    </w:rPr>
                    <w:t>pH</w:t>
                  </w:r>
                </w:p>
              </w:tc>
              <w:tc>
                <w:tcPr>
                  <w:tcW w:w="586" w:type="pct"/>
                  <w:shd w:val="clear" w:color="auto" w:fill="auto"/>
                  <w:vAlign w:val="center"/>
                </w:tcPr>
                <w:p w14:paraId="0B535959">
                  <w:pPr>
                    <w:jc w:val="center"/>
                    <w:rPr>
                      <w:szCs w:val="21"/>
                    </w:rPr>
                  </w:pPr>
                  <w:r>
                    <w:rPr>
                      <w:szCs w:val="21"/>
                    </w:rPr>
                    <w:t>COD</w:t>
                  </w:r>
                </w:p>
              </w:tc>
              <w:tc>
                <w:tcPr>
                  <w:tcW w:w="586" w:type="pct"/>
                  <w:shd w:val="clear" w:color="auto" w:fill="auto"/>
                  <w:vAlign w:val="center"/>
                </w:tcPr>
                <w:p w14:paraId="17975718">
                  <w:pPr>
                    <w:jc w:val="center"/>
                    <w:rPr>
                      <w:szCs w:val="21"/>
                    </w:rPr>
                  </w:pPr>
                  <w:r>
                    <w:rPr>
                      <w:szCs w:val="21"/>
                    </w:rPr>
                    <w:t>BOD</w:t>
                  </w:r>
                  <w:r>
                    <w:rPr>
                      <w:szCs w:val="21"/>
                      <w:vertAlign w:val="subscript"/>
                    </w:rPr>
                    <w:t>5</w:t>
                  </w:r>
                </w:p>
              </w:tc>
              <w:tc>
                <w:tcPr>
                  <w:tcW w:w="586" w:type="pct"/>
                  <w:shd w:val="clear" w:color="auto" w:fill="auto"/>
                  <w:vAlign w:val="center"/>
                </w:tcPr>
                <w:p w14:paraId="23F4EA32">
                  <w:pPr>
                    <w:jc w:val="center"/>
                    <w:rPr>
                      <w:szCs w:val="21"/>
                    </w:rPr>
                  </w:pPr>
                  <w:r>
                    <w:rPr>
                      <w:szCs w:val="21"/>
                    </w:rPr>
                    <w:t>SS</w:t>
                  </w:r>
                </w:p>
              </w:tc>
              <w:tc>
                <w:tcPr>
                  <w:tcW w:w="586" w:type="pct"/>
                  <w:vAlign w:val="center"/>
                </w:tcPr>
                <w:p w14:paraId="05C935AB">
                  <w:pPr>
                    <w:jc w:val="center"/>
                    <w:rPr>
                      <w:szCs w:val="21"/>
                    </w:rPr>
                  </w:pPr>
                  <w:r>
                    <w:rPr>
                      <w:szCs w:val="21"/>
                    </w:rPr>
                    <w:t>NH</w:t>
                  </w:r>
                  <w:r>
                    <w:rPr>
                      <w:szCs w:val="21"/>
                      <w:vertAlign w:val="subscript"/>
                    </w:rPr>
                    <w:t>3</w:t>
                  </w:r>
                  <w:r>
                    <w:rPr>
                      <w:szCs w:val="21"/>
                    </w:rPr>
                    <w:t>-N</w:t>
                  </w:r>
                </w:p>
              </w:tc>
              <w:tc>
                <w:tcPr>
                  <w:tcW w:w="586" w:type="pct"/>
                  <w:vAlign w:val="center"/>
                </w:tcPr>
                <w:p w14:paraId="131C88C3">
                  <w:pPr>
                    <w:jc w:val="center"/>
                    <w:rPr>
                      <w:szCs w:val="21"/>
                    </w:rPr>
                  </w:pPr>
                  <w:r>
                    <w:rPr>
                      <w:rFonts w:hint="eastAsia"/>
                      <w:szCs w:val="21"/>
                    </w:rPr>
                    <w:t>TP</w:t>
                  </w:r>
                </w:p>
              </w:tc>
              <w:tc>
                <w:tcPr>
                  <w:tcW w:w="668" w:type="pct"/>
                  <w:vAlign w:val="center"/>
                </w:tcPr>
                <w:p w14:paraId="4B9B2D50">
                  <w:pPr>
                    <w:jc w:val="center"/>
                    <w:rPr>
                      <w:szCs w:val="21"/>
                    </w:rPr>
                  </w:pPr>
                  <w:r>
                    <w:rPr>
                      <w:rFonts w:hint="eastAsia"/>
                      <w:szCs w:val="21"/>
                    </w:rPr>
                    <w:t>动植物油</w:t>
                  </w:r>
                </w:p>
              </w:tc>
            </w:tr>
            <w:tr w14:paraId="3FFE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4" w:type="pct"/>
                  <w:shd w:val="clear" w:color="auto" w:fill="auto"/>
                  <w:vAlign w:val="center"/>
                </w:tcPr>
                <w:p w14:paraId="3CABD347">
                  <w:pPr>
                    <w:jc w:val="center"/>
                    <w:rPr>
                      <w:szCs w:val="21"/>
                    </w:rPr>
                  </w:pPr>
                  <w:r>
                    <w:rPr>
                      <w:rFonts w:hint="eastAsia"/>
                      <w:szCs w:val="21"/>
                    </w:rPr>
                    <w:t>标准</w:t>
                  </w:r>
                  <w:r>
                    <w:rPr>
                      <w:szCs w:val="21"/>
                    </w:rPr>
                    <w:t>限值</w:t>
                  </w:r>
                  <w:r>
                    <w:rPr>
                      <w:rFonts w:hint="eastAsia"/>
                      <w:szCs w:val="21"/>
                    </w:rPr>
                    <w:t>（mg/</w:t>
                  </w:r>
                  <w:r>
                    <w:rPr>
                      <w:szCs w:val="21"/>
                    </w:rPr>
                    <w:t>L）</w:t>
                  </w:r>
                </w:p>
              </w:tc>
              <w:tc>
                <w:tcPr>
                  <w:tcW w:w="586" w:type="pct"/>
                  <w:shd w:val="clear" w:color="auto" w:fill="auto"/>
                  <w:vAlign w:val="center"/>
                </w:tcPr>
                <w:p w14:paraId="26D52A8E">
                  <w:pPr>
                    <w:jc w:val="center"/>
                    <w:rPr>
                      <w:szCs w:val="21"/>
                    </w:rPr>
                  </w:pPr>
                  <w:r>
                    <w:rPr>
                      <w:szCs w:val="21"/>
                    </w:rPr>
                    <w:t>6~9</w:t>
                  </w:r>
                </w:p>
              </w:tc>
              <w:tc>
                <w:tcPr>
                  <w:tcW w:w="586" w:type="pct"/>
                  <w:shd w:val="clear" w:color="auto" w:fill="auto"/>
                  <w:vAlign w:val="center"/>
                </w:tcPr>
                <w:p w14:paraId="5ACE424E">
                  <w:pPr>
                    <w:jc w:val="center"/>
                    <w:rPr>
                      <w:szCs w:val="21"/>
                    </w:rPr>
                  </w:pPr>
                  <w:r>
                    <w:rPr>
                      <w:szCs w:val="21"/>
                    </w:rPr>
                    <w:t>500</w:t>
                  </w:r>
                </w:p>
              </w:tc>
              <w:tc>
                <w:tcPr>
                  <w:tcW w:w="586" w:type="pct"/>
                  <w:shd w:val="clear" w:color="auto" w:fill="auto"/>
                  <w:vAlign w:val="center"/>
                </w:tcPr>
                <w:p w14:paraId="35D2976F">
                  <w:pPr>
                    <w:jc w:val="center"/>
                    <w:rPr>
                      <w:szCs w:val="21"/>
                    </w:rPr>
                  </w:pPr>
                  <w:r>
                    <w:rPr>
                      <w:szCs w:val="21"/>
                    </w:rPr>
                    <w:t>300</w:t>
                  </w:r>
                </w:p>
              </w:tc>
              <w:tc>
                <w:tcPr>
                  <w:tcW w:w="586" w:type="pct"/>
                  <w:shd w:val="clear" w:color="auto" w:fill="auto"/>
                  <w:vAlign w:val="center"/>
                </w:tcPr>
                <w:p w14:paraId="6B0842C8">
                  <w:pPr>
                    <w:jc w:val="center"/>
                    <w:rPr>
                      <w:szCs w:val="21"/>
                    </w:rPr>
                  </w:pPr>
                  <w:r>
                    <w:rPr>
                      <w:szCs w:val="21"/>
                    </w:rPr>
                    <w:t>400</w:t>
                  </w:r>
                </w:p>
              </w:tc>
              <w:tc>
                <w:tcPr>
                  <w:tcW w:w="586" w:type="pct"/>
                  <w:vAlign w:val="center"/>
                </w:tcPr>
                <w:p w14:paraId="36F6DB1B">
                  <w:pPr>
                    <w:jc w:val="center"/>
                    <w:rPr>
                      <w:szCs w:val="21"/>
                    </w:rPr>
                  </w:pPr>
                  <w:r>
                    <w:rPr>
                      <w:szCs w:val="21"/>
                    </w:rPr>
                    <w:t>45</w:t>
                  </w:r>
                </w:p>
              </w:tc>
              <w:tc>
                <w:tcPr>
                  <w:tcW w:w="586" w:type="pct"/>
                  <w:vAlign w:val="center"/>
                </w:tcPr>
                <w:p w14:paraId="37407CBE">
                  <w:pPr>
                    <w:jc w:val="center"/>
                    <w:rPr>
                      <w:szCs w:val="21"/>
                    </w:rPr>
                  </w:pPr>
                  <w:r>
                    <w:rPr>
                      <w:szCs w:val="21"/>
                    </w:rPr>
                    <w:t>8</w:t>
                  </w:r>
                </w:p>
              </w:tc>
              <w:tc>
                <w:tcPr>
                  <w:tcW w:w="668" w:type="pct"/>
                  <w:vAlign w:val="center"/>
                </w:tcPr>
                <w:p w14:paraId="25BD5A6D">
                  <w:pPr>
                    <w:jc w:val="center"/>
                    <w:rPr>
                      <w:szCs w:val="21"/>
                    </w:rPr>
                  </w:pPr>
                  <w:r>
                    <w:rPr>
                      <w:rFonts w:hint="eastAsia"/>
                      <w:szCs w:val="21"/>
                    </w:rPr>
                    <w:t>100</w:t>
                  </w:r>
                </w:p>
              </w:tc>
            </w:tr>
          </w:tbl>
          <w:p w14:paraId="191D5D67">
            <w:pPr>
              <w:spacing w:line="360" w:lineRule="auto"/>
              <w:ind w:firstLine="482" w:firstLineChars="200"/>
              <w:rPr>
                <w:rFonts w:cs="Times New Roman"/>
                <w:b/>
                <w:sz w:val="24"/>
                <w:szCs w:val="24"/>
              </w:rPr>
            </w:pPr>
            <w:r>
              <w:rPr>
                <w:rFonts w:cs="Times New Roman"/>
                <w:b/>
                <w:sz w:val="24"/>
                <w:szCs w:val="24"/>
              </w:rPr>
              <w:t>3、</w:t>
            </w:r>
            <w:r>
              <w:rPr>
                <w:rFonts w:hint="eastAsia" w:cs="Times New Roman"/>
                <w:b/>
                <w:sz w:val="24"/>
                <w:szCs w:val="24"/>
              </w:rPr>
              <w:t>噪声</w:t>
            </w:r>
          </w:p>
          <w:p w14:paraId="169508BE">
            <w:pPr>
              <w:spacing w:line="360" w:lineRule="auto"/>
              <w:ind w:firstLine="480" w:firstLineChars="200"/>
              <w:rPr>
                <w:rFonts w:cs="Times New Roman"/>
                <w:sz w:val="24"/>
                <w:szCs w:val="24"/>
              </w:rPr>
            </w:pPr>
            <w:r>
              <w:rPr>
                <w:rFonts w:hint="eastAsia" w:cs="Times New Roman"/>
                <w:sz w:val="24"/>
                <w:szCs w:val="24"/>
              </w:rPr>
              <w:t>施工期执行《建筑施工场界环境噪声排放标准》（GB12523-2011），运营期执行《工业企业厂界环境噪声排放标准》（GB12348-2008）</w:t>
            </w:r>
            <w:r>
              <w:rPr>
                <w:rFonts w:cs="Times New Roman"/>
                <w:sz w:val="24"/>
                <w:szCs w:val="24"/>
              </w:rPr>
              <w:t>3</w:t>
            </w:r>
            <w:r>
              <w:rPr>
                <w:rFonts w:hint="eastAsia" w:cs="Times New Roman"/>
                <w:sz w:val="24"/>
                <w:szCs w:val="24"/>
              </w:rPr>
              <w:t>类标准。</w:t>
            </w:r>
          </w:p>
          <w:p w14:paraId="5AA8F21A">
            <w:pPr>
              <w:spacing w:line="360" w:lineRule="auto"/>
              <w:ind w:firstLine="480" w:firstLineChars="200"/>
              <w:rPr>
                <w:rFonts w:cs="Times New Roman"/>
                <w:sz w:val="24"/>
                <w:szCs w:val="24"/>
              </w:rPr>
            </w:pPr>
          </w:p>
          <w:p w14:paraId="62FCB105">
            <w:pPr>
              <w:spacing w:line="360" w:lineRule="auto"/>
              <w:ind w:firstLine="480" w:firstLineChars="200"/>
              <w:rPr>
                <w:rFonts w:cs="Times New Roman"/>
                <w:sz w:val="24"/>
                <w:szCs w:val="24"/>
              </w:rPr>
            </w:pPr>
          </w:p>
          <w:p w14:paraId="4AC0C29E">
            <w:pPr>
              <w:spacing w:line="360" w:lineRule="auto"/>
              <w:ind w:firstLine="480" w:firstLineChars="200"/>
              <w:rPr>
                <w:rFonts w:cs="Times New Roman"/>
                <w:sz w:val="24"/>
                <w:szCs w:val="24"/>
              </w:rPr>
            </w:pPr>
          </w:p>
          <w:p w14:paraId="08B98874">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噪声排放标准限值</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3156"/>
              <w:gridCol w:w="3156"/>
            </w:tblGrid>
            <w:tr w14:paraId="59DB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restart"/>
                  <w:shd w:val="clear" w:color="auto" w:fill="auto"/>
                  <w:vAlign w:val="center"/>
                </w:tcPr>
                <w:p w14:paraId="53AA1494">
                  <w:pPr>
                    <w:jc w:val="center"/>
                    <w:rPr>
                      <w:rFonts w:cstheme="minorHAnsi"/>
                      <w:szCs w:val="21"/>
                    </w:rPr>
                  </w:pPr>
                  <w:r>
                    <w:rPr>
                      <w:rFonts w:cstheme="minorHAnsi"/>
                      <w:szCs w:val="21"/>
                    </w:rPr>
                    <w:t>项目</w:t>
                  </w:r>
                </w:p>
              </w:tc>
              <w:tc>
                <w:tcPr>
                  <w:tcW w:w="3450" w:type="pct"/>
                  <w:gridSpan w:val="2"/>
                  <w:shd w:val="clear" w:color="auto" w:fill="auto"/>
                  <w:vAlign w:val="center"/>
                </w:tcPr>
                <w:p w14:paraId="3EE45D4A">
                  <w:pPr>
                    <w:jc w:val="center"/>
                    <w:rPr>
                      <w:rFonts w:cstheme="minorHAnsi"/>
                      <w:szCs w:val="21"/>
                    </w:rPr>
                  </w:pPr>
                  <w:r>
                    <w:rPr>
                      <w:rFonts w:cstheme="minorHAnsi"/>
                      <w:szCs w:val="21"/>
                    </w:rPr>
                    <w:t>排放限值</w:t>
                  </w:r>
                  <w:r>
                    <w:rPr>
                      <w:rFonts w:eastAsia="仿宋" w:cstheme="minorHAnsi"/>
                      <w:szCs w:val="21"/>
                    </w:rPr>
                    <w:t>[</w:t>
                  </w:r>
                  <w:r>
                    <w:rPr>
                      <w:rFonts w:cstheme="minorHAnsi"/>
                      <w:szCs w:val="21"/>
                    </w:rPr>
                    <w:t>dB（A）</w:t>
                  </w:r>
                  <w:r>
                    <w:rPr>
                      <w:rFonts w:eastAsia="仿宋" w:cstheme="minorHAnsi"/>
                      <w:szCs w:val="21"/>
                    </w:rPr>
                    <w:t>]</w:t>
                  </w:r>
                </w:p>
              </w:tc>
            </w:tr>
            <w:tr w14:paraId="3ADB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continue"/>
                  <w:shd w:val="clear" w:color="auto" w:fill="auto"/>
                  <w:vAlign w:val="center"/>
                </w:tcPr>
                <w:p w14:paraId="5B73F6C5">
                  <w:pPr>
                    <w:jc w:val="center"/>
                    <w:rPr>
                      <w:rFonts w:cstheme="minorHAnsi"/>
                      <w:szCs w:val="21"/>
                    </w:rPr>
                  </w:pPr>
                </w:p>
              </w:tc>
              <w:tc>
                <w:tcPr>
                  <w:tcW w:w="1725" w:type="pct"/>
                  <w:shd w:val="clear" w:color="auto" w:fill="auto"/>
                  <w:vAlign w:val="center"/>
                </w:tcPr>
                <w:p w14:paraId="0ACEBD7C">
                  <w:pPr>
                    <w:jc w:val="center"/>
                    <w:rPr>
                      <w:rFonts w:cstheme="minorHAnsi"/>
                      <w:szCs w:val="21"/>
                    </w:rPr>
                  </w:pPr>
                  <w:r>
                    <w:rPr>
                      <w:rFonts w:cstheme="minorHAnsi"/>
                      <w:szCs w:val="21"/>
                    </w:rPr>
                    <w:t>昼间</w:t>
                  </w:r>
                </w:p>
              </w:tc>
              <w:tc>
                <w:tcPr>
                  <w:tcW w:w="1725" w:type="pct"/>
                  <w:shd w:val="clear" w:color="auto" w:fill="auto"/>
                  <w:vAlign w:val="center"/>
                </w:tcPr>
                <w:p w14:paraId="3847F053">
                  <w:pPr>
                    <w:jc w:val="center"/>
                    <w:rPr>
                      <w:rFonts w:cstheme="minorHAnsi"/>
                      <w:szCs w:val="21"/>
                    </w:rPr>
                  </w:pPr>
                  <w:r>
                    <w:rPr>
                      <w:rFonts w:cstheme="minorHAnsi"/>
                      <w:szCs w:val="21"/>
                    </w:rPr>
                    <w:t>夜间</w:t>
                  </w:r>
                </w:p>
              </w:tc>
            </w:tr>
            <w:tr w14:paraId="7604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14:paraId="10347ED6">
                  <w:pPr>
                    <w:jc w:val="center"/>
                    <w:rPr>
                      <w:rFonts w:cstheme="minorHAnsi"/>
                      <w:szCs w:val="21"/>
                    </w:rPr>
                  </w:pPr>
                  <w:r>
                    <w:rPr>
                      <w:rFonts w:cstheme="minorHAnsi"/>
                      <w:szCs w:val="21"/>
                    </w:rPr>
                    <w:t>施工期</w:t>
                  </w:r>
                </w:p>
              </w:tc>
              <w:tc>
                <w:tcPr>
                  <w:tcW w:w="1725" w:type="pct"/>
                  <w:shd w:val="clear" w:color="auto" w:fill="auto"/>
                  <w:vAlign w:val="center"/>
                </w:tcPr>
                <w:p w14:paraId="48F29FF9">
                  <w:pPr>
                    <w:jc w:val="center"/>
                    <w:rPr>
                      <w:rFonts w:cstheme="minorHAnsi"/>
                      <w:szCs w:val="21"/>
                    </w:rPr>
                  </w:pPr>
                  <w:r>
                    <w:rPr>
                      <w:rFonts w:hint="eastAsia" w:cstheme="minorHAnsi"/>
                      <w:szCs w:val="21"/>
                    </w:rPr>
                    <w:t>7</w:t>
                  </w:r>
                  <w:r>
                    <w:rPr>
                      <w:rFonts w:cstheme="minorHAnsi"/>
                      <w:szCs w:val="21"/>
                    </w:rPr>
                    <w:t>0</w:t>
                  </w:r>
                </w:p>
              </w:tc>
              <w:tc>
                <w:tcPr>
                  <w:tcW w:w="1725" w:type="pct"/>
                  <w:shd w:val="clear" w:color="auto" w:fill="auto"/>
                  <w:vAlign w:val="center"/>
                </w:tcPr>
                <w:p w14:paraId="1EEFF132">
                  <w:pPr>
                    <w:jc w:val="center"/>
                    <w:rPr>
                      <w:rFonts w:cstheme="minorHAnsi"/>
                      <w:szCs w:val="21"/>
                    </w:rPr>
                  </w:pPr>
                  <w:r>
                    <w:rPr>
                      <w:rFonts w:hint="eastAsia" w:cstheme="minorHAnsi"/>
                      <w:szCs w:val="21"/>
                    </w:rPr>
                    <w:t>5</w:t>
                  </w:r>
                  <w:r>
                    <w:rPr>
                      <w:rFonts w:cstheme="minorHAnsi"/>
                      <w:szCs w:val="21"/>
                    </w:rPr>
                    <w:t>5</w:t>
                  </w:r>
                </w:p>
              </w:tc>
            </w:tr>
            <w:tr w14:paraId="6C727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14:paraId="30687BDD">
                  <w:pPr>
                    <w:jc w:val="center"/>
                    <w:rPr>
                      <w:rFonts w:cstheme="minorHAnsi"/>
                      <w:szCs w:val="21"/>
                    </w:rPr>
                  </w:pPr>
                  <w:r>
                    <w:rPr>
                      <w:rFonts w:hint="eastAsia" w:cstheme="minorHAnsi"/>
                      <w:szCs w:val="21"/>
                    </w:rPr>
                    <w:t>运营期</w:t>
                  </w:r>
                </w:p>
              </w:tc>
              <w:tc>
                <w:tcPr>
                  <w:tcW w:w="1725" w:type="pct"/>
                  <w:shd w:val="clear" w:color="auto" w:fill="auto"/>
                  <w:vAlign w:val="center"/>
                </w:tcPr>
                <w:p w14:paraId="336488B4">
                  <w:pPr>
                    <w:jc w:val="center"/>
                    <w:rPr>
                      <w:rFonts w:cstheme="minorHAnsi"/>
                      <w:szCs w:val="21"/>
                    </w:rPr>
                  </w:pPr>
                  <w:r>
                    <w:rPr>
                      <w:rFonts w:cstheme="minorHAnsi"/>
                      <w:szCs w:val="21"/>
                    </w:rPr>
                    <w:t>65</w:t>
                  </w:r>
                </w:p>
              </w:tc>
              <w:tc>
                <w:tcPr>
                  <w:tcW w:w="1725" w:type="pct"/>
                  <w:shd w:val="clear" w:color="auto" w:fill="auto"/>
                  <w:vAlign w:val="center"/>
                </w:tcPr>
                <w:p w14:paraId="32DD3CCE">
                  <w:pPr>
                    <w:jc w:val="center"/>
                    <w:rPr>
                      <w:rFonts w:cstheme="minorHAnsi"/>
                      <w:szCs w:val="21"/>
                    </w:rPr>
                  </w:pPr>
                  <w:r>
                    <w:rPr>
                      <w:rFonts w:cstheme="minorHAnsi"/>
                      <w:szCs w:val="21"/>
                    </w:rPr>
                    <w:t>55</w:t>
                  </w:r>
                </w:p>
              </w:tc>
            </w:tr>
          </w:tbl>
          <w:p w14:paraId="7E0E4CE6">
            <w:pPr>
              <w:spacing w:line="360" w:lineRule="auto"/>
              <w:ind w:firstLine="482" w:firstLineChars="200"/>
              <w:rPr>
                <w:rFonts w:cs="Times New Roman"/>
                <w:b/>
                <w:sz w:val="24"/>
                <w:szCs w:val="24"/>
              </w:rPr>
            </w:pPr>
            <w:r>
              <w:rPr>
                <w:rFonts w:cs="Times New Roman"/>
                <w:b/>
                <w:sz w:val="24"/>
                <w:szCs w:val="24"/>
              </w:rPr>
              <w:t>4、</w:t>
            </w:r>
            <w:r>
              <w:rPr>
                <w:rFonts w:hint="eastAsia" w:cs="Times New Roman"/>
                <w:b/>
                <w:sz w:val="24"/>
                <w:szCs w:val="24"/>
              </w:rPr>
              <w:t>固体废物</w:t>
            </w:r>
          </w:p>
          <w:p w14:paraId="05A9102A">
            <w:pPr>
              <w:spacing w:line="360" w:lineRule="auto"/>
              <w:ind w:firstLine="480" w:firstLineChars="200"/>
              <w:rPr>
                <w:rFonts w:cs="Times New Roman"/>
                <w:sz w:val="24"/>
                <w:szCs w:val="24"/>
              </w:rPr>
            </w:pPr>
            <w:r>
              <w:rPr>
                <w:rFonts w:hint="eastAsia" w:cs="Times New Roman"/>
                <w:sz w:val="24"/>
                <w:szCs w:val="24"/>
              </w:rPr>
              <w:t>一般固体废物贮存过程应满足相应防渗漏、防雨淋、防扬尘等环境保护要求，并按照《中华人民共和国固体废物污染环境防治法》的有关要求进行处置；危险废物执行《危险废物贮存污染控制标准》（GB18597-2023）中相关要求。</w:t>
            </w:r>
          </w:p>
        </w:tc>
      </w:tr>
      <w:tr w14:paraId="20C0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244" w:type="pct"/>
            <w:vAlign w:val="center"/>
          </w:tcPr>
          <w:p w14:paraId="75B84F4F">
            <w:pPr>
              <w:spacing w:line="360" w:lineRule="auto"/>
              <w:jc w:val="center"/>
              <w:rPr>
                <w:rFonts w:cs="Times New Roman"/>
                <w:sz w:val="24"/>
                <w:szCs w:val="24"/>
              </w:rPr>
            </w:pPr>
            <w:r>
              <w:rPr>
                <w:rFonts w:hint="eastAsia" w:cs="Times New Roman"/>
                <w:sz w:val="24"/>
                <w:szCs w:val="24"/>
              </w:rPr>
              <w:t>总量控制指标</w:t>
            </w:r>
          </w:p>
        </w:tc>
        <w:tc>
          <w:tcPr>
            <w:tcW w:w="4756" w:type="pct"/>
            <w:vAlign w:val="center"/>
          </w:tcPr>
          <w:p w14:paraId="3AC78E8C">
            <w:pPr>
              <w:spacing w:line="360" w:lineRule="auto"/>
              <w:ind w:firstLine="480" w:firstLineChars="200"/>
              <w:rPr>
                <w:rFonts w:cs="Times New Roman"/>
                <w:sz w:val="24"/>
                <w:szCs w:val="24"/>
              </w:rPr>
            </w:pPr>
            <w:r>
              <w:rPr>
                <w:rFonts w:hint="eastAsia" w:cs="Times New Roman"/>
                <w:sz w:val="24"/>
                <w:szCs w:val="24"/>
              </w:rPr>
              <w:t>根据《主要污染物总量减排核算技术指南（2022年修订）》（环办综合函〔2022〕350号）和地方生态环境保护规划的相关规定，本项目涉及总量控制指标为</w:t>
            </w:r>
            <w:r>
              <w:rPr>
                <w:rFonts w:hint="eastAsia"/>
                <w:sz w:val="24"/>
                <w:szCs w:val="24"/>
              </w:rPr>
              <w:t>COD、NH</w:t>
            </w:r>
            <w:r>
              <w:rPr>
                <w:rFonts w:hint="eastAsia"/>
                <w:sz w:val="24"/>
                <w:szCs w:val="24"/>
                <w:vertAlign w:val="subscript"/>
              </w:rPr>
              <w:t>3</w:t>
            </w:r>
            <w:r>
              <w:rPr>
                <w:rFonts w:hint="eastAsia"/>
                <w:sz w:val="24"/>
                <w:szCs w:val="24"/>
              </w:rPr>
              <w:t>-N和挥发性有机物</w:t>
            </w:r>
            <w:r>
              <w:rPr>
                <w:rFonts w:hint="eastAsia" w:cs="Times New Roman"/>
                <w:sz w:val="24"/>
                <w:szCs w:val="24"/>
              </w:rPr>
              <w:t>。</w:t>
            </w:r>
          </w:p>
          <w:p w14:paraId="14B46CA6">
            <w:pPr>
              <w:spacing w:line="360" w:lineRule="auto"/>
              <w:ind w:firstLine="482" w:firstLineChars="200"/>
              <w:rPr>
                <w:rFonts w:cs="Times New Roman"/>
                <w:b/>
                <w:sz w:val="24"/>
                <w:szCs w:val="24"/>
              </w:rPr>
            </w:pPr>
            <w:r>
              <w:rPr>
                <w:rFonts w:cs="Times New Roman"/>
                <w:b/>
                <w:sz w:val="24"/>
                <w:szCs w:val="24"/>
              </w:rPr>
              <w:t>1、</w:t>
            </w:r>
            <w:r>
              <w:rPr>
                <w:rFonts w:hint="eastAsia" w:cs="Times New Roman"/>
                <w:b/>
                <w:sz w:val="24"/>
                <w:szCs w:val="24"/>
              </w:rPr>
              <w:t>水污染物总量控制</w:t>
            </w:r>
          </w:p>
          <w:p w14:paraId="68B8E356">
            <w:pPr>
              <w:spacing w:line="360" w:lineRule="auto"/>
              <w:ind w:firstLine="482" w:firstLineChars="200"/>
              <w:rPr>
                <w:rFonts w:cs="Times New Roman"/>
                <w:b/>
                <w:bCs/>
                <w:sz w:val="24"/>
                <w:szCs w:val="24"/>
              </w:rPr>
            </w:pPr>
            <w:r>
              <w:rPr>
                <w:rFonts w:hint="eastAsia" w:cs="Times New Roman"/>
                <w:b/>
                <w:bCs/>
                <w:sz w:val="24"/>
                <w:szCs w:val="24"/>
              </w:rPr>
              <w:t>（1）企业排口总量</w:t>
            </w:r>
          </w:p>
          <w:p w14:paraId="17F63B94">
            <w:pPr>
              <w:tabs>
                <w:tab w:val="left" w:pos="7290"/>
              </w:tabs>
              <w:spacing w:line="360" w:lineRule="auto"/>
              <w:ind w:firstLine="480" w:firstLineChars="200"/>
              <w:rPr>
                <w:rFonts w:cs="Times New Roman"/>
                <w:bCs/>
                <w:sz w:val="24"/>
                <w:szCs w:val="24"/>
              </w:rPr>
            </w:pPr>
            <w:r>
              <w:rPr>
                <w:rFonts w:hint="eastAsia" w:cs="Times New Roman"/>
                <w:sz w:val="24"/>
                <w:szCs w:val="24"/>
              </w:rPr>
              <w:t>本次扩建新增废水排放量约</w:t>
            </w:r>
            <w:r>
              <w:rPr>
                <w:rFonts w:cstheme="minorHAnsi"/>
                <w:sz w:val="24"/>
                <w:szCs w:val="24"/>
              </w:rPr>
              <w:t>850.75</w:t>
            </w:r>
            <w:r>
              <w:rPr>
                <w:rFonts w:hint="eastAsia"/>
                <w:kern w:val="24"/>
                <w:sz w:val="24"/>
                <w:szCs w:val="24"/>
              </w:rPr>
              <w:t>m</w:t>
            </w:r>
            <w:r>
              <w:rPr>
                <w:kern w:val="24"/>
                <w:sz w:val="24"/>
                <w:szCs w:val="24"/>
                <w:vertAlign w:val="superscript"/>
              </w:rPr>
              <w:t>3</w:t>
            </w:r>
            <w:r>
              <w:rPr>
                <w:kern w:val="24"/>
                <w:sz w:val="24"/>
                <w:szCs w:val="24"/>
              </w:rPr>
              <w:t>/</w:t>
            </w:r>
            <w:r>
              <w:rPr>
                <w:rFonts w:hint="eastAsia"/>
                <w:kern w:val="24"/>
                <w:sz w:val="24"/>
                <w:szCs w:val="24"/>
              </w:rPr>
              <w:t>a，</w:t>
            </w:r>
            <w:r>
              <w:rPr>
                <w:rFonts w:hint="eastAsia" w:cs="Times New Roman"/>
                <w:bCs/>
                <w:sz w:val="24"/>
                <w:szCs w:val="24"/>
              </w:rPr>
              <w:t>企业排口总量按《污水综合排放标准》（GB8978-1996）三级标准（COD：</w:t>
            </w:r>
            <w:r>
              <w:rPr>
                <w:rFonts w:cs="Times New Roman"/>
                <w:bCs/>
                <w:sz w:val="24"/>
                <w:szCs w:val="24"/>
              </w:rPr>
              <w:t>500</w:t>
            </w:r>
            <w:r>
              <w:rPr>
                <w:rFonts w:hint="eastAsia" w:cs="Times New Roman"/>
                <w:bCs/>
                <w:sz w:val="24"/>
                <w:szCs w:val="24"/>
              </w:rPr>
              <w:t>mg/L），NH</w:t>
            </w:r>
            <w:r>
              <w:rPr>
                <w:rFonts w:cs="Times New Roman"/>
                <w:bCs/>
                <w:sz w:val="24"/>
                <w:szCs w:val="24"/>
                <w:vertAlign w:val="subscript"/>
              </w:rPr>
              <w:t>3</w:t>
            </w:r>
            <w:r>
              <w:rPr>
                <w:rFonts w:cs="Times New Roman"/>
                <w:bCs/>
                <w:sz w:val="24"/>
                <w:szCs w:val="24"/>
              </w:rPr>
              <w:t>-N</w:t>
            </w:r>
            <w:r>
              <w:rPr>
                <w:rFonts w:hint="eastAsia" w:cs="Times New Roman"/>
                <w:bCs/>
                <w:sz w:val="24"/>
                <w:szCs w:val="24"/>
              </w:rPr>
              <w:t>、</w:t>
            </w:r>
            <w:r>
              <w:rPr>
                <w:rFonts w:cs="Times New Roman"/>
                <w:bCs/>
                <w:sz w:val="24"/>
                <w:szCs w:val="24"/>
              </w:rPr>
              <w:t>TP</w:t>
            </w:r>
            <w:r>
              <w:rPr>
                <w:rFonts w:hint="eastAsia" w:cs="Times New Roman"/>
                <w:bCs/>
                <w:sz w:val="24"/>
                <w:szCs w:val="24"/>
              </w:rPr>
              <w:t>按《污水排入城镇下水道水质标准》（GB/T31962-2015）</w:t>
            </w:r>
            <w:r>
              <w:rPr>
                <w:rFonts w:hint="eastAsia"/>
                <w:kern w:val="24"/>
                <w:sz w:val="24"/>
                <w:szCs w:val="24"/>
              </w:rPr>
              <w:t>表1中B级标准</w:t>
            </w:r>
            <w:r>
              <w:rPr>
                <w:rFonts w:hint="eastAsia" w:cs="Times New Roman"/>
                <w:bCs/>
                <w:sz w:val="24"/>
                <w:szCs w:val="24"/>
              </w:rPr>
              <w:t>（NH</w:t>
            </w:r>
            <w:r>
              <w:rPr>
                <w:rFonts w:cs="Times New Roman"/>
                <w:bCs/>
                <w:sz w:val="24"/>
                <w:szCs w:val="24"/>
                <w:vertAlign w:val="subscript"/>
              </w:rPr>
              <w:t>3</w:t>
            </w:r>
            <w:r>
              <w:rPr>
                <w:rFonts w:cs="Times New Roman"/>
                <w:bCs/>
                <w:sz w:val="24"/>
                <w:szCs w:val="24"/>
              </w:rPr>
              <w:t>-N：45</w:t>
            </w:r>
            <w:r>
              <w:rPr>
                <w:rFonts w:hint="eastAsia" w:cs="Times New Roman"/>
                <w:bCs/>
                <w:sz w:val="24"/>
                <w:szCs w:val="24"/>
              </w:rPr>
              <w:t>mg/L）进行计算：</w:t>
            </w:r>
          </w:p>
          <w:p w14:paraId="5C584E5E">
            <w:pPr>
              <w:tabs>
                <w:tab w:val="left" w:pos="7290"/>
              </w:tabs>
              <w:spacing w:line="360" w:lineRule="auto"/>
              <w:ind w:firstLine="480" w:firstLineChars="200"/>
              <w:rPr>
                <w:rFonts w:cs="Times New Roman"/>
                <w:bCs/>
                <w:sz w:val="24"/>
                <w:szCs w:val="24"/>
              </w:rPr>
            </w:pPr>
            <w:r>
              <w:rPr>
                <w:rFonts w:hint="eastAsia" w:cs="Times New Roman"/>
                <w:bCs/>
                <w:sz w:val="24"/>
                <w:szCs w:val="24"/>
              </w:rPr>
              <w:t>COD</w:t>
            </w:r>
            <w:r>
              <w:rPr>
                <w:rFonts w:cs="Times New Roman"/>
                <w:bCs/>
                <w:sz w:val="24"/>
                <w:szCs w:val="24"/>
              </w:rPr>
              <w:t>：</w:t>
            </w:r>
            <w:r>
              <w:rPr>
                <w:rFonts w:cstheme="minorHAnsi"/>
                <w:sz w:val="24"/>
                <w:szCs w:val="24"/>
              </w:rPr>
              <w:t>850.75</w:t>
            </w:r>
            <w:r>
              <w:rPr>
                <w:rFonts w:cs="Times New Roman"/>
                <w:bCs/>
                <w:sz w:val="24"/>
                <w:szCs w:val="24"/>
              </w:rPr>
              <w:t>m</w:t>
            </w:r>
            <w:r>
              <w:rPr>
                <w:rFonts w:cs="Times New Roman"/>
                <w:bCs/>
                <w:sz w:val="24"/>
                <w:szCs w:val="24"/>
                <w:vertAlign w:val="superscript"/>
              </w:rPr>
              <w:t>3</w:t>
            </w:r>
            <w:r>
              <w:rPr>
                <w:rFonts w:cs="Times New Roman"/>
                <w:bCs/>
                <w:sz w:val="24"/>
                <w:szCs w:val="24"/>
              </w:rPr>
              <w:t>/a×500mg/L×10</w:t>
            </w:r>
            <w:r>
              <w:rPr>
                <w:rFonts w:cs="Times New Roman"/>
                <w:bCs/>
                <w:sz w:val="24"/>
                <w:szCs w:val="24"/>
                <w:vertAlign w:val="superscript"/>
              </w:rPr>
              <w:t>-6</w:t>
            </w:r>
            <w:r>
              <w:rPr>
                <w:rFonts w:cs="Times New Roman"/>
                <w:bCs/>
                <w:sz w:val="24"/>
                <w:szCs w:val="24"/>
              </w:rPr>
              <w:t>=</w:t>
            </w:r>
            <w:r>
              <w:rPr>
                <w:rFonts w:hint="eastAsia" w:cs="Times New Roman"/>
                <w:bCs/>
                <w:sz w:val="24"/>
                <w:szCs w:val="24"/>
              </w:rPr>
              <w:t>0.4254</w:t>
            </w:r>
            <w:r>
              <w:rPr>
                <w:rFonts w:cs="Times New Roman"/>
                <w:bCs/>
                <w:sz w:val="24"/>
                <w:szCs w:val="24"/>
              </w:rPr>
              <w:t>t/a</w:t>
            </w:r>
          </w:p>
          <w:p w14:paraId="42C34F6E">
            <w:pPr>
              <w:tabs>
                <w:tab w:val="left" w:pos="7290"/>
              </w:tabs>
              <w:spacing w:line="360" w:lineRule="auto"/>
              <w:ind w:firstLine="480" w:firstLineChars="200"/>
              <w:rPr>
                <w:rFonts w:cs="Times New Roman"/>
                <w:bCs/>
                <w:sz w:val="24"/>
                <w:szCs w:val="24"/>
              </w:rPr>
            </w:pPr>
            <w:r>
              <w:rPr>
                <w:rFonts w:cs="Times New Roman"/>
                <w:bCs/>
                <w:sz w:val="24"/>
                <w:szCs w:val="24"/>
              </w:rPr>
              <w:t>NH</w:t>
            </w:r>
            <w:r>
              <w:rPr>
                <w:rFonts w:cs="Times New Roman"/>
                <w:bCs/>
                <w:sz w:val="24"/>
                <w:szCs w:val="24"/>
                <w:vertAlign w:val="subscript"/>
              </w:rPr>
              <w:t>3</w:t>
            </w:r>
            <w:r>
              <w:rPr>
                <w:rFonts w:cs="Times New Roman"/>
                <w:bCs/>
                <w:sz w:val="24"/>
                <w:szCs w:val="24"/>
              </w:rPr>
              <w:t>-N：</w:t>
            </w:r>
            <w:r>
              <w:rPr>
                <w:rFonts w:cstheme="minorHAnsi"/>
                <w:sz w:val="24"/>
                <w:szCs w:val="24"/>
              </w:rPr>
              <w:t>850.75</w:t>
            </w:r>
            <w:r>
              <w:rPr>
                <w:rFonts w:cs="Times New Roman"/>
                <w:bCs/>
                <w:sz w:val="24"/>
                <w:szCs w:val="24"/>
              </w:rPr>
              <w:t>m</w:t>
            </w:r>
            <w:r>
              <w:rPr>
                <w:rFonts w:cs="Times New Roman"/>
                <w:bCs/>
                <w:sz w:val="24"/>
                <w:szCs w:val="24"/>
                <w:vertAlign w:val="superscript"/>
              </w:rPr>
              <w:t>3</w:t>
            </w:r>
            <w:r>
              <w:rPr>
                <w:rFonts w:cs="Times New Roman"/>
                <w:bCs/>
                <w:sz w:val="24"/>
                <w:szCs w:val="24"/>
              </w:rPr>
              <w:t>/a×45mg/L×10</w:t>
            </w:r>
            <w:r>
              <w:rPr>
                <w:rFonts w:cs="Times New Roman"/>
                <w:bCs/>
                <w:sz w:val="24"/>
                <w:szCs w:val="24"/>
                <w:vertAlign w:val="superscript"/>
              </w:rPr>
              <w:t>-6</w:t>
            </w:r>
            <w:r>
              <w:rPr>
                <w:rFonts w:cs="Times New Roman"/>
                <w:bCs/>
                <w:sz w:val="24"/>
                <w:szCs w:val="24"/>
              </w:rPr>
              <w:t>=</w:t>
            </w:r>
            <w:r>
              <w:rPr>
                <w:rFonts w:hint="eastAsia" w:cs="Times New Roman"/>
                <w:bCs/>
                <w:sz w:val="24"/>
                <w:szCs w:val="24"/>
              </w:rPr>
              <w:t>0.0383</w:t>
            </w:r>
            <w:r>
              <w:rPr>
                <w:rFonts w:cs="Times New Roman"/>
                <w:bCs/>
                <w:sz w:val="24"/>
                <w:szCs w:val="24"/>
              </w:rPr>
              <w:t>t/a</w:t>
            </w:r>
          </w:p>
          <w:p w14:paraId="5B3D67BE">
            <w:pPr>
              <w:spacing w:line="360" w:lineRule="auto"/>
              <w:ind w:firstLine="482" w:firstLineChars="200"/>
              <w:rPr>
                <w:b/>
                <w:bCs/>
                <w:sz w:val="24"/>
                <w:szCs w:val="24"/>
              </w:rPr>
            </w:pPr>
            <w:r>
              <w:rPr>
                <w:rFonts w:hint="eastAsia"/>
                <w:b/>
                <w:bCs/>
                <w:sz w:val="24"/>
                <w:szCs w:val="24"/>
              </w:rPr>
              <w:t>（</w:t>
            </w:r>
            <w:r>
              <w:rPr>
                <w:b/>
                <w:bCs/>
                <w:sz w:val="24"/>
                <w:szCs w:val="24"/>
              </w:rPr>
              <w:t>2</w:t>
            </w:r>
            <w:r>
              <w:rPr>
                <w:rFonts w:hint="eastAsia"/>
                <w:b/>
                <w:bCs/>
                <w:sz w:val="24"/>
                <w:szCs w:val="24"/>
              </w:rPr>
              <w:t>）污水处理厂排口总量</w:t>
            </w:r>
          </w:p>
          <w:p w14:paraId="5DC1BB17">
            <w:pPr>
              <w:spacing w:line="360" w:lineRule="auto"/>
              <w:ind w:firstLine="480" w:firstLineChars="200"/>
              <w:rPr>
                <w:rFonts w:cs="Times New Roman"/>
                <w:bCs/>
                <w:sz w:val="24"/>
                <w:szCs w:val="24"/>
              </w:rPr>
            </w:pPr>
            <w:r>
              <w:rPr>
                <w:rFonts w:hint="eastAsia" w:cs="Times New Roman"/>
                <w:bCs/>
                <w:sz w:val="24"/>
                <w:szCs w:val="24"/>
              </w:rPr>
              <w:t>根据污水处理厂排口出水标准计算，大英县工业污水处理厂出水执行</w:t>
            </w:r>
            <w:r>
              <w:rPr>
                <w:rFonts w:hint="eastAsia" w:cs="Times New Roman"/>
                <w:sz w:val="24"/>
                <w:szCs w:val="24"/>
              </w:rPr>
              <w:t>《地表水环境质量标准》（GB3838-2002）III类标准</w:t>
            </w:r>
            <w:r>
              <w:rPr>
                <w:rFonts w:hint="eastAsia" w:cs="Times New Roman"/>
                <w:bCs/>
                <w:sz w:val="24"/>
              </w:rPr>
              <w:t>（COD：20mg</w:t>
            </w:r>
            <w:r>
              <w:rPr>
                <w:rFonts w:cs="Times New Roman"/>
                <w:bCs/>
                <w:sz w:val="24"/>
              </w:rPr>
              <w:t>/L，</w:t>
            </w:r>
            <w:r>
              <w:rPr>
                <w:rFonts w:hint="eastAsia" w:cs="Times New Roman"/>
                <w:bCs/>
                <w:sz w:val="24"/>
              </w:rPr>
              <w:t>NH</w:t>
            </w:r>
            <w:r>
              <w:rPr>
                <w:rFonts w:cs="Times New Roman"/>
                <w:bCs/>
                <w:sz w:val="24"/>
                <w:vertAlign w:val="subscript"/>
              </w:rPr>
              <w:t>3</w:t>
            </w:r>
            <w:r>
              <w:rPr>
                <w:rFonts w:cs="Times New Roman"/>
                <w:bCs/>
                <w:sz w:val="24"/>
              </w:rPr>
              <w:t>-N：</w:t>
            </w:r>
            <w:r>
              <w:rPr>
                <w:rFonts w:hint="eastAsia" w:cs="Times New Roman"/>
                <w:bCs/>
                <w:sz w:val="24"/>
              </w:rPr>
              <w:t>1.0mg/L），即</w:t>
            </w:r>
            <w:r>
              <w:rPr>
                <w:rFonts w:hint="eastAsia" w:cs="Times New Roman"/>
                <w:bCs/>
                <w:sz w:val="24"/>
                <w:szCs w:val="24"/>
              </w:rPr>
              <w:t>：</w:t>
            </w:r>
          </w:p>
          <w:p w14:paraId="6C333DBD">
            <w:pPr>
              <w:tabs>
                <w:tab w:val="left" w:pos="7290"/>
              </w:tabs>
              <w:spacing w:line="360" w:lineRule="auto"/>
              <w:ind w:firstLine="480" w:firstLineChars="200"/>
              <w:rPr>
                <w:rFonts w:cs="Times New Roman"/>
                <w:bCs/>
                <w:sz w:val="24"/>
              </w:rPr>
            </w:pPr>
            <w:r>
              <w:rPr>
                <w:rFonts w:hint="eastAsia" w:cs="Times New Roman"/>
                <w:bCs/>
                <w:sz w:val="24"/>
              </w:rPr>
              <w:t>COD</w:t>
            </w:r>
            <w:r>
              <w:rPr>
                <w:rFonts w:cs="Times New Roman"/>
                <w:bCs/>
                <w:sz w:val="24"/>
              </w:rPr>
              <w:t>：</w:t>
            </w:r>
            <w:r>
              <w:rPr>
                <w:rFonts w:cstheme="minorHAnsi"/>
                <w:sz w:val="24"/>
                <w:szCs w:val="24"/>
              </w:rPr>
              <w:t>850.75</w:t>
            </w:r>
            <w:r>
              <w:rPr>
                <w:rFonts w:cs="Times New Roman"/>
                <w:bCs/>
                <w:sz w:val="24"/>
              </w:rPr>
              <w:t>m</w:t>
            </w:r>
            <w:r>
              <w:rPr>
                <w:rFonts w:cs="Times New Roman"/>
                <w:bCs/>
                <w:sz w:val="24"/>
                <w:vertAlign w:val="superscript"/>
              </w:rPr>
              <w:t>3</w:t>
            </w:r>
            <w:r>
              <w:rPr>
                <w:rFonts w:cs="Times New Roman"/>
                <w:bCs/>
                <w:sz w:val="24"/>
              </w:rPr>
              <w:t>/a×</w:t>
            </w:r>
            <w:r>
              <w:rPr>
                <w:rFonts w:hint="eastAsia" w:cs="Times New Roman"/>
                <w:bCs/>
                <w:sz w:val="24"/>
              </w:rPr>
              <w:t>2</w:t>
            </w:r>
            <w:r>
              <w:rPr>
                <w:rFonts w:cs="Times New Roman"/>
                <w:bCs/>
                <w:sz w:val="24"/>
              </w:rPr>
              <w:t>0mg/L×10</w:t>
            </w:r>
            <w:r>
              <w:rPr>
                <w:rFonts w:cs="Times New Roman"/>
                <w:bCs/>
                <w:sz w:val="24"/>
                <w:vertAlign w:val="superscript"/>
              </w:rPr>
              <w:t>-6</w:t>
            </w:r>
            <w:r>
              <w:rPr>
                <w:rFonts w:cs="Times New Roman"/>
                <w:bCs/>
                <w:sz w:val="24"/>
              </w:rPr>
              <w:t>=</w:t>
            </w:r>
            <w:r>
              <w:rPr>
                <w:rFonts w:hint="eastAsia" w:cs="Times New Roman"/>
                <w:bCs/>
                <w:sz w:val="24"/>
              </w:rPr>
              <w:t>0.017</w:t>
            </w:r>
            <w:r>
              <w:rPr>
                <w:rFonts w:cs="Times New Roman"/>
                <w:bCs/>
                <w:sz w:val="24"/>
              </w:rPr>
              <w:t>t/a</w:t>
            </w:r>
          </w:p>
          <w:p w14:paraId="04D47A71">
            <w:pPr>
              <w:tabs>
                <w:tab w:val="left" w:pos="7290"/>
              </w:tabs>
              <w:spacing w:line="360" w:lineRule="auto"/>
              <w:ind w:firstLine="480" w:firstLineChars="200"/>
              <w:rPr>
                <w:rFonts w:cs="Times New Roman"/>
                <w:bCs/>
                <w:sz w:val="24"/>
              </w:rPr>
            </w:pPr>
            <w:r>
              <w:rPr>
                <w:rFonts w:cs="Times New Roman"/>
                <w:bCs/>
                <w:sz w:val="24"/>
              </w:rPr>
              <w:t>NH</w:t>
            </w:r>
            <w:r>
              <w:rPr>
                <w:rFonts w:cs="Times New Roman"/>
                <w:bCs/>
                <w:sz w:val="24"/>
                <w:vertAlign w:val="subscript"/>
              </w:rPr>
              <w:t>3</w:t>
            </w:r>
            <w:r>
              <w:rPr>
                <w:rFonts w:cs="Times New Roman"/>
                <w:bCs/>
                <w:sz w:val="24"/>
              </w:rPr>
              <w:t>-N：</w:t>
            </w:r>
            <w:r>
              <w:rPr>
                <w:rFonts w:cstheme="minorHAnsi"/>
                <w:sz w:val="24"/>
                <w:szCs w:val="24"/>
              </w:rPr>
              <w:t>850.75</w:t>
            </w:r>
            <w:r>
              <w:rPr>
                <w:rFonts w:cs="Times New Roman"/>
                <w:bCs/>
                <w:sz w:val="24"/>
              </w:rPr>
              <w:t>m</w:t>
            </w:r>
            <w:r>
              <w:rPr>
                <w:rFonts w:cs="Times New Roman"/>
                <w:bCs/>
                <w:sz w:val="24"/>
                <w:vertAlign w:val="superscript"/>
              </w:rPr>
              <w:t>3</w:t>
            </w:r>
            <w:r>
              <w:rPr>
                <w:rFonts w:cs="Times New Roman"/>
                <w:bCs/>
                <w:sz w:val="24"/>
              </w:rPr>
              <w:t>/a×</w:t>
            </w:r>
            <w:r>
              <w:rPr>
                <w:rFonts w:hint="eastAsia" w:cs="Times New Roman"/>
                <w:bCs/>
                <w:sz w:val="24"/>
              </w:rPr>
              <w:t>1.0</w:t>
            </w:r>
            <w:r>
              <w:rPr>
                <w:rFonts w:cs="Times New Roman"/>
                <w:bCs/>
                <w:sz w:val="24"/>
              </w:rPr>
              <w:t>mg/L×10</w:t>
            </w:r>
            <w:r>
              <w:rPr>
                <w:rFonts w:cs="Times New Roman"/>
                <w:bCs/>
                <w:sz w:val="24"/>
                <w:vertAlign w:val="superscript"/>
              </w:rPr>
              <w:t>-6</w:t>
            </w:r>
            <w:r>
              <w:rPr>
                <w:rFonts w:cs="Times New Roman"/>
                <w:bCs/>
                <w:sz w:val="24"/>
              </w:rPr>
              <w:t>＝0.00</w:t>
            </w:r>
            <w:r>
              <w:rPr>
                <w:rFonts w:hint="eastAsia" w:cs="Times New Roman"/>
                <w:bCs/>
                <w:sz w:val="24"/>
              </w:rPr>
              <w:t>09</w:t>
            </w:r>
            <w:r>
              <w:rPr>
                <w:rFonts w:cs="Times New Roman"/>
                <w:bCs/>
                <w:sz w:val="24"/>
              </w:rPr>
              <w:t>t/a</w:t>
            </w:r>
          </w:p>
          <w:p w14:paraId="0BC51A79">
            <w:pPr>
              <w:spacing w:line="360" w:lineRule="auto"/>
              <w:ind w:firstLine="482" w:firstLineChars="200"/>
              <w:rPr>
                <w:rFonts w:cs="Times New Roman"/>
                <w:b/>
                <w:sz w:val="24"/>
                <w:szCs w:val="24"/>
              </w:rPr>
            </w:pPr>
            <w:r>
              <w:rPr>
                <w:rFonts w:cs="Times New Roman"/>
                <w:b/>
                <w:sz w:val="24"/>
                <w:szCs w:val="24"/>
              </w:rPr>
              <w:t>2、</w:t>
            </w:r>
            <w:r>
              <w:rPr>
                <w:rFonts w:hint="eastAsia" w:cs="Times New Roman"/>
                <w:b/>
                <w:sz w:val="24"/>
                <w:szCs w:val="24"/>
              </w:rPr>
              <w:t>大气污染物总量控制</w:t>
            </w:r>
          </w:p>
          <w:p w14:paraId="7758DA8D">
            <w:pPr>
              <w:spacing w:line="360" w:lineRule="auto"/>
              <w:ind w:firstLine="480" w:firstLineChars="200"/>
              <w:rPr>
                <w:rFonts w:cs="Times New Roman"/>
                <w:sz w:val="24"/>
                <w:szCs w:val="24"/>
              </w:rPr>
            </w:pPr>
            <w:r>
              <w:rPr>
                <w:rFonts w:cs="Times New Roman"/>
                <w:sz w:val="24"/>
                <w:szCs w:val="24"/>
              </w:rPr>
              <w:t>根据工程分析核算，</w:t>
            </w:r>
            <w:r>
              <w:rPr>
                <w:rFonts w:hint="eastAsia" w:cs="Times New Roman"/>
                <w:sz w:val="24"/>
                <w:szCs w:val="24"/>
              </w:rPr>
              <w:t>本次扩建新增VOCs有组织排放量0.4013t/a，VOCs无组织排放量0.4457t/a，VOCs排放量合计0.8470t/a。</w:t>
            </w:r>
          </w:p>
          <w:p w14:paraId="65ADDFE7">
            <w:pPr>
              <w:spacing w:line="360" w:lineRule="auto"/>
              <w:ind w:firstLine="480" w:firstLineChars="200"/>
              <w:rPr>
                <w:sz w:val="24"/>
                <w:szCs w:val="24"/>
              </w:rPr>
            </w:pPr>
            <w:r>
              <w:rPr>
                <w:rFonts w:hint="eastAsia"/>
                <w:sz w:val="24"/>
                <w:szCs w:val="24"/>
              </w:rPr>
              <w:t>综上所述，本项目总量控制指标建议如下。</w:t>
            </w:r>
          </w:p>
          <w:p w14:paraId="4107B5B4">
            <w:pPr>
              <w:pStyle w:val="51"/>
              <w:numPr>
                <w:ilvl w:val="0"/>
                <w:numId w:val="5"/>
              </w:numPr>
              <w:spacing w:line="360" w:lineRule="auto"/>
              <w:ind w:firstLineChars="0"/>
              <w:jc w:val="center"/>
              <w:rPr>
                <w:rFonts w:eastAsia="黑体" w:cs="Times New Roman"/>
                <w:szCs w:val="21"/>
              </w:rPr>
            </w:pPr>
            <w:r>
              <w:rPr>
                <w:rFonts w:hint="eastAsia" w:eastAsia="黑体" w:cs="Times New Roman"/>
                <w:szCs w:val="21"/>
              </w:rPr>
              <w:t>总量控制指标建议</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281"/>
              <w:gridCol w:w="1048"/>
              <w:gridCol w:w="1196"/>
              <w:gridCol w:w="1198"/>
              <w:gridCol w:w="1346"/>
              <w:gridCol w:w="1050"/>
              <w:gridCol w:w="1519"/>
            </w:tblGrid>
            <w:tr w14:paraId="7239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8" w:type="pct"/>
                  <w:gridSpan w:val="2"/>
                  <w:vAlign w:val="center"/>
                </w:tcPr>
                <w:p w14:paraId="1DE8373E">
                  <w:pPr>
                    <w:jc w:val="center"/>
                    <w:rPr>
                      <w:szCs w:val="21"/>
                    </w:rPr>
                  </w:pPr>
                  <w:r>
                    <w:rPr>
                      <w:rFonts w:hint="eastAsia"/>
                      <w:szCs w:val="21"/>
                    </w:rPr>
                    <w:t>类型</w:t>
                  </w:r>
                </w:p>
              </w:tc>
              <w:tc>
                <w:tcPr>
                  <w:tcW w:w="573" w:type="pct"/>
                  <w:shd w:val="clear" w:color="auto" w:fill="auto"/>
                  <w:vAlign w:val="center"/>
                </w:tcPr>
                <w:p w14:paraId="709C050F">
                  <w:pPr>
                    <w:jc w:val="center"/>
                    <w:rPr>
                      <w:szCs w:val="21"/>
                    </w:rPr>
                  </w:pPr>
                  <w:r>
                    <w:rPr>
                      <w:szCs w:val="21"/>
                    </w:rPr>
                    <w:t>污染</w:t>
                  </w:r>
                  <w:r>
                    <w:rPr>
                      <w:rFonts w:hint="eastAsia"/>
                      <w:szCs w:val="21"/>
                    </w:rPr>
                    <w:t>物</w:t>
                  </w:r>
                </w:p>
              </w:tc>
              <w:tc>
                <w:tcPr>
                  <w:tcW w:w="654" w:type="pct"/>
                  <w:vAlign w:val="center"/>
                </w:tcPr>
                <w:p w14:paraId="2C7B11DA">
                  <w:pPr>
                    <w:jc w:val="center"/>
                    <w:rPr>
                      <w:szCs w:val="21"/>
                    </w:rPr>
                  </w:pPr>
                  <w:r>
                    <w:rPr>
                      <w:rFonts w:hint="eastAsia"/>
                      <w:szCs w:val="21"/>
                    </w:rPr>
                    <w:t>现有工程</w:t>
                  </w:r>
                  <w:r>
                    <w:rPr>
                      <w:szCs w:val="21"/>
                    </w:rPr>
                    <w:t>总量</w:t>
                  </w:r>
                  <w:r>
                    <w:rPr>
                      <w:rFonts w:hint="eastAsia"/>
                      <w:szCs w:val="21"/>
                    </w:rPr>
                    <w:t>(</w:t>
                  </w:r>
                  <w:r>
                    <w:rPr>
                      <w:szCs w:val="21"/>
                    </w:rPr>
                    <w:t>t/a</w:t>
                  </w:r>
                  <w:r>
                    <w:rPr>
                      <w:rFonts w:hint="eastAsia"/>
                      <w:szCs w:val="21"/>
                    </w:rPr>
                    <w:t>)</w:t>
                  </w:r>
                </w:p>
              </w:tc>
              <w:tc>
                <w:tcPr>
                  <w:tcW w:w="655" w:type="pct"/>
                  <w:vAlign w:val="center"/>
                </w:tcPr>
                <w:p w14:paraId="0868A659">
                  <w:pPr>
                    <w:jc w:val="center"/>
                    <w:rPr>
                      <w:szCs w:val="21"/>
                    </w:rPr>
                  </w:pPr>
                  <w:r>
                    <w:rPr>
                      <w:rFonts w:hint="eastAsia"/>
                      <w:szCs w:val="21"/>
                    </w:rPr>
                    <w:t>扩建项目总</w:t>
                  </w:r>
                  <w:r>
                    <w:rPr>
                      <w:szCs w:val="21"/>
                    </w:rPr>
                    <w:t>量</w:t>
                  </w:r>
                  <w:r>
                    <w:rPr>
                      <w:rFonts w:hint="eastAsia"/>
                      <w:szCs w:val="21"/>
                    </w:rPr>
                    <w:t>(</w:t>
                  </w:r>
                  <w:r>
                    <w:rPr>
                      <w:szCs w:val="21"/>
                    </w:rPr>
                    <w:t>t/a</w:t>
                  </w:r>
                  <w:r>
                    <w:rPr>
                      <w:rFonts w:hint="eastAsia"/>
                      <w:szCs w:val="21"/>
                    </w:rPr>
                    <w:t>)</w:t>
                  </w:r>
                </w:p>
              </w:tc>
              <w:tc>
                <w:tcPr>
                  <w:tcW w:w="736" w:type="pct"/>
                </w:tcPr>
                <w:p w14:paraId="061679D6">
                  <w:pPr>
                    <w:jc w:val="center"/>
                    <w:rPr>
                      <w:szCs w:val="21"/>
                    </w:rPr>
                  </w:pPr>
                  <w:r>
                    <w:rPr>
                      <w:rFonts w:hint="eastAsia"/>
                      <w:szCs w:val="21"/>
                    </w:rPr>
                    <w:t>扩建后全厂总</w:t>
                  </w:r>
                  <w:r>
                    <w:rPr>
                      <w:szCs w:val="21"/>
                    </w:rPr>
                    <w:t>量</w:t>
                  </w:r>
                  <w:r>
                    <w:rPr>
                      <w:rFonts w:hint="eastAsia"/>
                      <w:szCs w:val="21"/>
                    </w:rPr>
                    <w:t>(</w:t>
                  </w:r>
                  <w:r>
                    <w:rPr>
                      <w:szCs w:val="21"/>
                    </w:rPr>
                    <w:t>t/a</w:t>
                  </w:r>
                  <w:r>
                    <w:rPr>
                      <w:rFonts w:hint="eastAsia"/>
                      <w:szCs w:val="21"/>
                    </w:rPr>
                    <w:t>)</w:t>
                  </w:r>
                </w:p>
              </w:tc>
              <w:tc>
                <w:tcPr>
                  <w:tcW w:w="574" w:type="pct"/>
                  <w:vAlign w:val="center"/>
                </w:tcPr>
                <w:p w14:paraId="31C2691E">
                  <w:pPr>
                    <w:jc w:val="center"/>
                    <w:rPr>
                      <w:szCs w:val="21"/>
                    </w:rPr>
                  </w:pPr>
                  <w:r>
                    <w:rPr>
                      <w:rFonts w:hint="eastAsia"/>
                      <w:szCs w:val="21"/>
                    </w:rPr>
                    <w:t>变化量(</w:t>
                  </w:r>
                  <w:r>
                    <w:rPr>
                      <w:szCs w:val="21"/>
                    </w:rPr>
                    <w:t>t/a</w:t>
                  </w:r>
                  <w:r>
                    <w:rPr>
                      <w:rFonts w:hint="eastAsia"/>
                      <w:szCs w:val="21"/>
                    </w:rPr>
                    <w:t>)</w:t>
                  </w:r>
                </w:p>
              </w:tc>
              <w:tc>
                <w:tcPr>
                  <w:tcW w:w="830" w:type="pct"/>
                  <w:shd w:val="clear" w:color="auto" w:fill="auto"/>
                  <w:vAlign w:val="center"/>
                </w:tcPr>
                <w:p w14:paraId="0A477400">
                  <w:pPr>
                    <w:jc w:val="center"/>
                    <w:rPr>
                      <w:szCs w:val="21"/>
                    </w:rPr>
                  </w:pPr>
                  <w:r>
                    <w:rPr>
                      <w:szCs w:val="21"/>
                    </w:rPr>
                    <w:t>排放去向</w:t>
                  </w:r>
                </w:p>
              </w:tc>
            </w:tr>
            <w:tr w14:paraId="3504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8" w:type="pct"/>
                  <w:vMerge w:val="restart"/>
                  <w:vAlign w:val="center"/>
                </w:tcPr>
                <w:p w14:paraId="310C097C">
                  <w:pPr>
                    <w:jc w:val="center"/>
                    <w:rPr>
                      <w:szCs w:val="21"/>
                    </w:rPr>
                  </w:pPr>
                  <w:r>
                    <w:rPr>
                      <w:rFonts w:hint="eastAsia"/>
                      <w:szCs w:val="21"/>
                    </w:rPr>
                    <w:t>废水</w:t>
                  </w:r>
                </w:p>
              </w:tc>
              <w:tc>
                <w:tcPr>
                  <w:tcW w:w="700" w:type="pct"/>
                  <w:vMerge w:val="restart"/>
                  <w:shd w:val="clear" w:color="auto" w:fill="auto"/>
                  <w:vAlign w:val="center"/>
                </w:tcPr>
                <w:p w14:paraId="35D49E02">
                  <w:pPr>
                    <w:jc w:val="center"/>
                    <w:rPr>
                      <w:szCs w:val="21"/>
                    </w:rPr>
                  </w:pPr>
                  <w:r>
                    <w:rPr>
                      <w:rFonts w:hint="eastAsia"/>
                      <w:szCs w:val="21"/>
                    </w:rPr>
                    <w:t>企业排口</w:t>
                  </w:r>
                </w:p>
              </w:tc>
              <w:tc>
                <w:tcPr>
                  <w:tcW w:w="573" w:type="pct"/>
                  <w:shd w:val="clear" w:color="auto" w:fill="auto"/>
                  <w:vAlign w:val="center"/>
                </w:tcPr>
                <w:p w14:paraId="38BE82E7">
                  <w:pPr>
                    <w:jc w:val="center"/>
                    <w:rPr>
                      <w:szCs w:val="21"/>
                    </w:rPr>
                  </w:pPr>
                  <w:r>
                    <w:rPr>
                      <w:szCs w:val="21"/>
                    </w:rPr>
                    <w:t>COD</w:t>
                  </w:r>
                </w:p>
              </w:tc>
              <w:tc>
                <w:tcPr>
                  <w:tcW w:w="654" w:type="pct"/>
                  <w:vAlign w:val="center"/>
                </w:tcPr>
                <w:p w14:paraId="7FB09907">
                  <w:pPr>
                    <w:jc w:val="center"/>
                    <w:rPr>
                      <w:szCs w:val="21"/>
                    </w:rPr>
                  </w:pPr>
                  <w:r>
                    <w:rPr>
                      <w:rFonts w:hint="eastAsia" w:cs="Times New Roman"/>
                      <w:bCs/>
                      <w:szCs w:val="21"/>
                    </w:rPr>
                    <w:t>1.582</w:t>
                  </w:r>
                </w:p>
              </w:tc>
              <w:tc>
                <w:tcPr>
                  <w:tcW w:w="655" w:type="pct"/>
                  <w:vAlign w:val="center"/>
                </w:tcPr>
                <w:p w14:paraId="34EB9BD4">
                  <w:pPr>
                    <w:jc w:val="center"/>
                    <w:rPr>
                      <w:szCs w:val="21"/>
                    </w:rPr>
                  </w:pPr>
                  <w:r>
                    <w:rPr>
                      <w:rFonts w:hint="eastAsia"/>
                      <w:szCs w:val="21"/>
                    </w:rPr>
                    <w:t>0.4254</w:t>
                  </w:r>
                </w:p>
              </w:tc>
              <w:tc>
                <w:tcPr>
                  <w:tcW w:w="736" w:type="pct"/>
                  <w:vAlign w:val="center"/>
                </w:tcPr>
                <w:p w14:paraId="46909C81">
                  <w:pPr>
                    <w:jc w:val="center"/>
                    <w:rPr>
                      <w:rFonts w:cs="Times New Roman"/>
                      <w:szCs w:val="21"/>
                    </w:rPr>
                  </w:pPr>
                  <w:r>
                    <w:rPr>
                      <w:rFonts w:cs="Times New Roman"/>
                      <w:szCs w:val="21"/>
                    </w:rPr>
                    <w:t>2.0074</w:t>
                  </w:r>
                </w:p>
              </w:tc>
              <w:tc>
                <w:tcPr>
                  <w:tcW w:w="574" w:type="pct"/>
                  <w:vAlign w:val="center"/>
                </w:tcPr>
                <w:p w14:paraId="4DC5D846">
                  <w:pPr>
                    <w:jc w:val="center"/>
                    <w:rPr>
                      <w:szCs w:val="21"/>
                    </w:rPr>
                  </w:pPr>
                  <w:r>
                    <w:rPr>
                      <w:rFonts w:hint="eastAsia"/>
                      <w:szCs w:val="21"/>
                    </w:rPr>
                    <w:t>+0.4254</w:t>
                  </w:r>
                </w:p>
              </w:tc>
              <w:tc>
                <w:tcPr>
                  <w:tcW w:w="830" w:type="pct"/>
                  <w:vMerge w:val="restart"/>
                  <w:shd w:val="clear" w:color="auto" w:fill="auto"/>
                  <w:vAlign w:val="center"/>
                </w:tcPr>
                <w:p w14:paraId="3A06E17A">
                  <w:pPr>
                    <w:jc w:val="center"/>
                    <w:rPr>
                      <w:szCs w:val="21"/>
                    </w:rPr>
                  </w:pPr>
                  <w:r>
                    <w:rPr>
                      <w:rFonts w:hint="eastAsia"/>
                      <w:szCs w:val="21"/>
                    </w:rPr>
                    <w:t>大英县工业污水处理厂</w:t>
                  </w:r>
                </w:p>
              </w:tc>
            </w:tr>
            <w:tr w14:paraId="5E1E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1684BE7C">
                  <w:pPr>
                    <w:jc w:val="center"/>
                    <w:rPr>
                      <w:szCs w:val="21"/>
                    </w:rPr>
                  </w:pPr>
                </w:p>
              </w:tc>
              <w:tc>
                <w:tcPr>
                  <w:tcW w:w="700" w:type="pct"/>
                  <w:vMerge w:val="continue"/>
                  <w:shd w:val="clear" w:color="auto" w:fill="auto"/>
                  <w:vAlign w:val="center"/>
                </w:tcPr>
                <w:p w14:paraId="7D8C5137">
                  <w:pPr>
                    <w:jc w:val="center"/>
                    <w:rPr>
                      <w:szCs w:val="21"/>
                    </w:rPr>
                  </w:pPr>
                </w:p>
              </w:tc>
              <w:tc>
                <w:tcPr>
                  <w:tcW w:w="573" w:type="pct"/>
                  <w:shd w:val="clear" w:color="auto" w:fill="auto"/>
                  <w:vAlign w:val="center"/>
                </w:tcPr>
                <w:p w14:paraId="0B14B7B3">
                  <w:pPr>
                    <w:jc w:val="center"/>
                    <w:rPr>
                      <w:szCs w:val="21"/>
                    </w:rPr>
                  </w:pPr>
                  <w:r>
                    <w:rPr>
                      <w:szCs w:val="21"/>
                    </w:rPr>
                    <w:t>NH</w:t>
                  </w:r>
                  <w:r>
                    <w:rPr>
                      <w:szCs w:val="21"/>
                      <w:vertAlign w:val="subscript"/>
                    </w:rPr>
                    <w:t>3</w:t>
                  </w:r>
                  <w:r>
                    <w:rPr>
                      <w:szCs w:val="21"/>
                    </w:rPr>
                    <w:t>-N</w:t>
                  </w:r>
                </w:p>
              </w:tc>
              <w:tc>
                <w:tcPr>
                  <w:tcW w:w="654" w:type="pct"/>
                  <w:vAlign w:val="center"/>
                </w:tcPr>
                <w:p w14:paraId="34D8064D">
                  <w:pPr>
                    <w:jc w:val="center"/>
                    <w:rPr>
                      <w:szCs w:val="21"/>
                    </w:rPr>
                  </w:pPr>
                  <w:r>
                    <w:rPr>
                      <w:rFonts w:hint="eastAsia" w:cs="Times New Roman"/>
                      <w:bCs/>
                      <w:szCs w:val="21"/>
                    </w:rPr>
                    <w:t>0.1424</w:t>
                  </w:r>
                </w:p>
              </w:tc>
              <w:tc>
                <w:tcPr>
                  <w:tcW w:w="655" w:type="pct"/>
                  <w:vAlign w:val="center"/>
                </w:tcPr>
                <w:p w14:paraId="5E767B42">
                  <w:pPr>
                    <w:jc w:val="center"/>
                    <w:rPr>
                      <w:szCs w:val="21"/>
                    </w:rPr>
                  </w:pPr>
                  <w:r>
                    <w:rPr>
                      <w:rFonts w:hint="eastAsia"/>
                      <w:szCs w:val="21"/>
                    </w:rPr>
                    <w:t>0.0383</w:t>
                  </w:r>
                </w:p>
              </w:tc>
              <w:tc>
                <w:tcPr>
                  <w:tcW w:w="736" w:type="pct"/>
                  <w:vAlign w:val="center"/>
                </w:tcPr>
                <w:p w14:paraId="4DD880BD">
                  <w:pPr>
                    <w:jc w:val="center"/>
                    <w:rPr>
                      <w:rFonts w:cs="Times New Roman"/>
                      <w:szCs w:val="21"/>
                    </w:rPr>
                  </w:pPr>
                  <w:r>
                    <w:rPr>
                      <w:rFonts w:cs="Times New Roman"/>
                      <w:szCs w:val="21"/>
                    </w:rPr>
                    <w:t>0.1807</w:t>
                  </w:r>
                </w:p>
              </w:tc>
              <w:tc>
                <w:tcPr>
                  <w:tcW w:w="574" w:type="pct"/>
                  <w:vAlign w:val="center"/>
                </w:tcPr>
                <w:p w14:paraId="0263712A">
                  <w:pPr>
                    <w:jc w:val="center"/>
                    <w:rPr>
                      <w:szCs w:val="21"/>
                    </w:rPr>
                  </w:pPr>
                  <w:r>
                    <w:rPr>
                      <w:rFonts w:hint="eastAsia"/>
                      <w:szCs w:val="21"/>
                    </w:rPr>
                    <w:t>+0.0383</w:t>
                  </w:r>
                </w:p>
              </w:tc>
              <w:tc>
                <w:tcPr>
                  <w:tcW w:w="830" w:type="pct"/>
                  <w:vMerge w:val="continue"/>
                  <w:shd w:val="clear" w:color="auto" w:fill="auto"/>
                  <w:vAlign w:val="center"/>
                </w:tcPr>
                <w:p w14:paraId="3BF91819">
                  <w:pPr>
                    <w:jc w:val="center"/>
                    <w:rPr>
                      <w:szCs w:val="21"/>
                    </w:rPr>
                  </w:pPr>
                </w:p>
              </w:tc>
            </w:tr>
            <w:tr w14:paraId="2304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330C810B">
                  <w:pPr>
                    <w:jc w:val="center"/>
                    <w:rPr>
                      <w:szCs w:val="21"/>
                    </w:rPr>
                  </w:pPr>
                </w:p>
              </w:tc>
              <w:tc>
                <w:tcPr>
                  <w:tcW w:w="700" w:type="pct"/>
                  <w:vMerge w:val="restart"/>
                  <w:shd w:val="clear" w:color="auto" w:fill="auto"/>
                  <w:vAlign w:val="center"/>
                </w:tcPr>
                <w:p w14:paraId="01BF5891">
                  <w:pPr>
                    <w:jc w:val="center"/>
                    <w:rPr>
                      <w:szCs w:val="21"/>
                    </w:rPr>
                  </w:pPr>
                  <w:r>
                    <w:rPr>
                      <w:rFonts w:hint="eastAsia"/>
                      <w:szCs w:val="21"/>
                    </w:rPr>
                    <w:t>污水处理厂排口</w:t>
                  </w:r>
                </w:p>
              </w:tc>
              <w:tc>
                <w:tcPr>
                  <w:tcW w:w="573" w:type="pct"/>
                  <w:shd w:val="clear" w:color="auto" w:fill="auto"/>
                  <w:vAlign w:val="center"/>
                </w:tcPr>
                <w:p w14:paraId="24B576CA">
                  <w:pPr>
                    <w:jc w:val="center"/>
                    <w:rPr>
                      <w:szCs w:val="21"/>
                    </w:rPr>
                  </w:pPr>
                  <w:r>
                    <w:rPr>
                      <w:szCs w:val="21"/>
                    </w:rPr>
                    <w:t>COD</w:t>
                  </w:r>
                </w:p>
              </w:tc>
              <w:tc>
                <w:tcPr>
                  <w:tcW w:w="654" w:type="pct"/>
                  <w:vAlign w:val="center"/>
                </w:tcPr>
                <w:p w14:paraId="609ADB21">
                  <w:pPr>
                    <w:jc w:val="center"/>
                    <w:rPr>
                      <w:szCs w:val="21"/>
                    </w:rPr>
                  </w:pPr>
                  <w:r>
                    <w:rPr>
                      <w:rFonts w:hint="eastAsia" w:cs="Times New Roman"/>
                      <w:bCs/>
                      <w:szCs w:val="21"/>
                    </w:rPr>
                    <w:t>0.0633</w:t>
                  </w:r>
                </w:p>
              </w:tc>
              <w:tc>
                <w:tcPr>
                  <w:tcW w:w="655" w:type="pct"/>
                  <w:vAlign w:val="center"/>
                </w:tcPr>
                <w:p w14:paraId="2FD5773A">
                  <w:pPr>
                    <w:jc w:val="center"/>
                    <w:rPr>
                      <w:szCs w:val="21"/>
                    </w:rPr>
                  </w:pPr>
                  <w:r>
                    <w:rPr>
                      <w:rFonts w:hint="eastAsia"/>
                      <w:szCs w:val="21"/>
                    </w:rPr>
                    <w:t>0.017</w:t>
                  </w:r>
                </w:p>
              </w:tc>
              <w:tc>
                <w:tcPr>
                  <w:tcW w:w="736" w:type="pct"/>
                  <w:vAlign w:val="center"/>
                </w:tcPr>
                <w:p w14:paraId="0DC2BD86">
                  <w:pPr>
                    <w:jc w:val="center"/>
                    <w:rPr>
                      <w:rFonts w:cs="Times New Roman"/>
                      <w:szCs w:val="21"/>
                    </w:rPr>
                  </w:pPr>
                  <w:r>
                    <w:rPr>
                      <w:rFonts w:cs="Times New Roman"/>
                      <w:szCs w:val="21"/>
                    </w:rPr>
                    <w:t>0.0803</w:t>
                  </w:r>
                </w:p>
              </w:tc>
              <w:tc>
                <w:tcPr>
                  <w:tcW w:w="574" w:type="pct"/>
                  <w:vAlign w:val="center"/>
                </w:tcPr>
                <w:p w14:paraId="2B4BB7AD">
                  <w:pPr>
                    <w:jc w:val="center"/>
                    <w:rPr>
                      <w:szCs w:val="21"/>
                    </w:rPr>
                  </w:pPr>
                  <w:r>
                    <w:rPr>
                      <w:rFonts w:hint="eastAsia"/>
                      <w:szCs w:val="21"/>
                    </w:rPr>
                    <w:t>+0.017</w:t>
                  </w:r>
                </w:p>
              </w:tc>
              <w:tc>
                <w:tcPr>
                  <w:tcW w:w="830" w:type="pct"/>
                  <w:vMerge w:val="restart"/>
                  <w:shd w:val="clear" w:color="auto" w:fill="auto"/>
                  <w:vAlign w:val="center"/>
                </w:tcPr>
                <w:p w14:paraId="12D225E4">
                  <w:pPr>
                    <w:jc w:val="center"/>
                    <w:rPr>
                      <w:szCs w:val="21"/>
                    </w:rPr>
                  </w:pPr>
                  <w:r>
                    <w:rPr>
                      <w:rFonts w:hint="eastAsia"/>
                      <w:szCs w:val="21"/>
                    </w:rPr>
                    <w:t>郪江</w:t>
                  </w:r>
                </w:p>
              </w:tc>
            </w:tr>
            <w:tr w14:paraId="4D35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 w:type="pct"/>
                  <w:vMerge w:val="continue"/>
                  <w:vAlign w:val="center"/>
                </w:tcPr>
                <w:p w14:paraId="79AD9A9F">
                  <w:pPr>
                    <w:jc w:val="center"/>
                    <w:rPr>
                      <w:szCs w:val="21"/>
                    </w:rPr>
                  </w:pPr>
                </w:p>
              </w:tc>
              <w:tc>
                <w:tcPr>
                  <w:tcW w:w="700" w:type="pct"/>
                  <w:vMerge w:val="continue"/>
                  <w:shd w:val="clear" w:color="auto" w:fill="auto"/>
                  <w:vAlign w:val="center"/>
                </w:tcPr>
                <w:p w14:paraId="1411C8D0">
                  <w:pPr>
                    <w:jc w:val="center"/>
                    <w:rPr>
                      <w:szCs w:val="21"/>
                    </w:rPr>
                  </w:pPr>
                </w:p>
              </w:tc>
              <w:tc>
                <w:tcPr>
                  <w:tcW w:w="573" w:type="pct"/>
                  <w:shd w:val="clear" w:color="auto" w:fill="auto"/>
                  <w:vAlign w:val="center"/>
                </w:tcPr>
                <w:p w14:paraId="0951A191">
                  <w:pPr>
                    <w:jc w:val="center"/>
                    <w:rPr>
                      <w:szCs w:val="21"/>
                    </w:rPr>
                  </w:pPr>
                  <w:r>
                    <w:rPr>
                      <w:szCs w:val="21"/>
                    </w:rPr>
                    <w:t>NH</w:t>
                  </w:r>
                  <w:r>
                    <w:rPr>
                      <w:szCs w:val="21"/>
                      <w:vertAlign w:val="subscript"/>
                    </w:rPr>
                    <w:t>3</w:t>
                  </w:r>
                  <w:r>
                    <w:rPr>
                      <w:szCs w:val="21"/>
                    </w:rPr>
                    <w:t>-N</w:t>
                  </w:r>
                </w:p>
              </w:tc>
              <w:tc>
                <w:tcPr>
                  <w:tcW w:w="654" w:type="pct"/>
                  <w:vAlign w:val="center"/>
                </w:tcPr>
                <w:p w14:paraId="1BAFEE87">
                  <w:pPr>
                    <w:jc w:val="center"/>
                    <w:rPr>
                      <w:szCs w:val="21"/>
                    </w:rPr>
                  </w:pPr>
                  <w:r>
                    <w:rPr>
                      <w:rFonts w:hint="eastAsia" w:cs="Times New Roman"/>
                      <w:bCs/>
                      <w:szCs w:val="21"/>
                    </w:rPr>
                    <w:t>0.0153</w:t>
                  </w:r>
                </w:p>
              </w:tc>
              <w:tc>
                <w:tcPr>
                  <w:tcW w:w="655" w:type="pct"/>
                  <w:vAlign w:val="center"/>
                </w:tcPr>
                <w:p w14:paraId="475E6305">
                  <w:pPr>
                    <w:jc w:val="center"/>
                    <w:rPr>
                      <w:szCs w:val="21"/>
                    </w:rPr>
                  </w:pPr>
                  <w:r>
                    <w:rPr>
                      <w:rFonts w:hint="eastAsia"/>
                      <w:szCs w:val="21"/>
                    </w:rPr>
                    <w:t>0.0009</w:t>
                  </w:r>
                </w:p>
              </w:tc>
              <w:tc>
                <w:tcPr>
                  <w:tcW w:w="736" w:type="pct"/>
                  <w:vAlign w:val="center"/>
                </w:tcPr>
                <w:p w14:paraId="6D25DA27">
                  <w:pPr>
                    <w:jc w:val="center"/>
                    <w:rPr>
                      <w:rFonts w:cs="Times New Roman"/>
                      <w:szCs w:val="21"/>
                    </w:rPr>
                  </w:pPr>
                  <w:r>
                    <w:rPr>
                      <w:rFonts w:cs="Times New Roman"/>
                      <w:szCs w:val="21"/>
                    </w:rPr>
                    <w:t>0.0162</w:t>
                  </w:r>
                </w:p>
              </w:tc>
              <w:tc>
                <w:tcPr>
                  <w:tcW w:w="574" w:type="pct"/>
                  <w:vAlign w:val="center"/>
                </w:tcPr>
                <w:p w14:paraId="0B099694">
                  <w:pPr>
                    <w:jc w:val="center"/>
                    <w:rPr>
                      <w:szCs w:val="21"/>
                    </w:rPr>
                  </w:pPr>
                  <w:r>
                    <w:rPr>
                      <w:rFonts w:hint="eastAsia"/>
                      <w:szCs w:val="21"/>
                    </w:rPr>
                    <w:t>+0.0009</w:t>
                  </w:r>
                </w:p>
              </w:tc>
              <w:tc>
                <w:tcPr>
                  <w:tcW w:w="830" w:type="pct"/>
                  <w:vMerge w:val="continue"/>
                  <w:shd w:val="clear" w:color="auto" w:fill="auto"/>
                  <w:vAlign w:val="center"/>
                </w:tcPr>
                <w:p w14:paraId="09E2647D">
                  <w:pPr>
                    <w:jc w:val="center"/>
                    <w:rPr>
                      <w:szCs w:val="21"/>
                    </w:rPr>
                  </w:pPr>
                </w:p>
              </w:tc>
            </w:tr>
            <w:tr w14:paraId="0AB1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gridSpan w:val="2"/>
                  <w:vAlign w:val="center"/>
                </w:tcPr>
                <w:p w14:paraId="61BE8BB2">
                  <w:pPr>
                    <w:jc w:val="center"/>
                    <w:rPr>
                      <w:szCs w:val="21"/>
                    </w:rPr>
                  </w:pPr>
                  <w:r>
                    <w:rPr>
                      <w:szCs w:val="21"/>
                    </w:rPr>
                    <w:t>废气</w:t>
                  </w:r>
                </w:p>
              </w:tc>
              <w:tc>
                <w:tcPr>
                  <w:tcW w:w="573" w:type="pct"/>
                  <w:shd w:val="clear" w:color="auto" w:fill="auto"/>
                  <w:vAlign w:val="center"/>
                </w:tcPr>
                <w:p w14:paraId="66020D85">
                  <w:pPr>
                    <w:jc w:val="center"/>
                    <w:rPr>
                      <w:szCs w:val="21"/>
                    </w:rPr>
                  </w:pPr>
                  <w:r>
                    <w:rPr>
                      <w:rFonts w:hint="eastAsia"/>
                      <w:szCs w:val="21"/>
                    </w:rPr>
                    <w:t>VOCs</w:t>
                  </w:r>
                </w:p>
              </w:tc>
              <w:tc>
                <w:tcPr>
                  <w:tcW w:w="654" w:type="pct"/>
                </w:tcPr>
                <w:p w14:paraId="77CD89B2">
                  <w:pPr>
                    <w:jc w:val="center"/>
                    <w:rPr>
                      <w:szCs w:val="21"/>
                    </w:rPr>
                  </w:pPr>
                  <w:r>
                    <w:rPr>
                      <w:szCs w:val="21"/>
                    </w:rPr>
                    <w:t>2.1171</w:t>
                  </w:r>
                </w:p>
              </w:tc>
              <w:tc>
                <w:tcPr>
                  <w:tcW w:w="655" w:type="pct"/>
                  <w:vAlign w:val="center"/>
                </w:tcPr>
                <w:p w14:paraId="23285E76">
                  <w:pPr>
                    <w:jc w:val="center"/>
                    <w:rPr>
                      <w:szCs w:val="21"/>
                    </w:rPr>
                  </w:pPr>
                  <w:r>
                    <w:rPr>
                      <w:rFonts w:hint="eastAsia"/>
                      <w:szCs w:val="21"/>
                    </w:rPr>
                    <w:t>0.8470</w:t>
                  </w:r>
                </w:p>
              </w:tc>
              <w:tc>
                <w:tcPr>
                  <w:tcW w:w="736" w:type="pct"/>
                  <w:vAlign w:val="center"/>
                </w:tcPr>
                <w:p w14:paraId="06F8AF6A">
                  <w:pPr>
                    <w:jc w:val="center"/>
                    <w:rPr>
                      <w:szCs w:val="21"/>
                    </w:rPr>
                  </w:pPr>
                  <w:r>
                    <w:rPr>
                      <w:rFonts w:hint="eastAsia"/>
                      <w:szCs w:val="21"/>
                    </w:rPr>
                    <w:t>2.9641</w:t>
                  </w:r>
                </w:p>
              </w:tc>
              <w:tc>
                <w:tcPr>
                  <w:tcW w:w="574" w:type="pct"/>
                  <w:vAlign w:val="center"/>
                </w:tcPr>
                <w:p w14:paraId="5EBCA4D0">
                  <w:pPr>
                    <w:jc w:val="center"/>
                    <w:rPr>
                      <w:szCs w:val="21"/>
                    </w:rPr>
                  </w:pPr>
                  <w:r>
                    <w:rPr>
                      <w:rFonts w:hint="eastAsia"/>
                      <w:szCs w:val="21"/>
                    </w:rPr>
                    <w:t>+0.8470</w:t>
                  </w:r>
                </w:p>
              </w:tc>
              <w:tc>
                <w:tcPr>
                  <w:tcW w:w="830" w:type="pct"/>
                  <w:shd w:val="clear" w:color="auto" w:fill="auto"/>
                  <w:vAlign w:val="center"/>
                </w:tcPr>
                <w:p w14:paraId="060BB880">
                  <w:pPr>
                    <w:jc w:val="center"/>
                    <w:rPr>
                      <w:szCs w:val="21"/>
                    </w:rPr>
                  </w:pPr>
                  <w:r>
                    <w:rPr>
                      <w:szCs w:val="21"/>
                    </w:rPr>
                    <w:t>大气环境</w:t>
                  </w:r>
                </w:p>
              </w:tc>
            </w:tr>
            <w:tr w14:paraId="03B97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8"/>
                </w:tcPr>
                <w:p w14:paraId="36E17E5C">
                  <w:pPr>
                    <w:rPr>
                      <w:szCs w:val="21"/>
                    </w:rPr>
                  </w:pPr>
                  <w:r>
                    <w:rPr>
                      <w:rFonts w:hint="eastAsia"/>
                      <w:szCs w:val="21"/>
                    </w:rPr>
                    <w:t>注：现有工程总量摘自现有工程环评报告。</w:t>
                  </w:r>
                </w:p>
              </w:tc>
            </w:tr>
          </w:tbl>
          <w:p w14:paraId="7C1BF498">
            <w:pPr>
              <w:spacing w:line="360" w:lineRule="auto"/>
              <w:ind w:firstLine="480" w:firstLineChars="200"/>
              <w:rPr>
                <w:rFonts w:cs="Times New Roman"/>
                <w:sz w:val="24"/>
                <w:szCs w:val="24"/>
              </w:rPr>
            </w:pPr>
          </w:p>
          <w:p w14:paraId="57835EFB">
            <w:pPr>
              <w:spacing w:line="360" w:lineRule="auto"/>
              <w:ind w:firstLine="480" w:firstLineChars="200"/>
              <w:rPr>
                <w:rFonts w:cs="Times New Roman"/>
                <w:sz w:val="24"/>
                <w:szCs w:val="24"/>
                <w:highlight w:val="yellow"/>
              </w:rPr>
            </w:pPr>
          </w:p>
          <w:p w14:paraId="65DFB572">
            <w:pPr>
              <w:spacing w:line="360" w:lineRule="auto"/>
              <w:ind w:firstLine="480" w:firstLineChars="200"/>
              <w:rPr>
                <w:rFonts w:cs="Times New Roman"/>
                <w:sz w:val="24"/>
                <w:szCs w:val="24"/>
                <w:highlight w:val="yellow"/>
              </w:rPr>
            </w:pPr>
          </w:p>
          <w:p w14:paraId="5240D6B1">
            <w:pPr>
              <w:spacing w:line="360" w:lineRule="auto"/>
              <w:ind w:firstLine="480" w:firstLineChars="200"/>
              <w:rPr>
                <w:rFonts w:cs="Times New Roman"/>
                <w:sz w:val="24"/>
                <w:szCs w:val="24"/>
                <w:highlight w:val="yellow"/>
              </w:rPr>
            </w:pPr>
          </w:p>
          <w:p w14:paraId="1C791CF2">
            <w:pPr>
              <w:spacing w:line="360" w:lineRule="auto"/>
              <w:ind w:firstLine="480" w:firstLineChars="200"/>
              <w:rPr>
                <w:rFonts w:cs="Times New Roman"/>
                <w:sz w:val="24"/>
                <w:szCs w:val="24"/>
                <w:highlight w:val="yellow"/>
              </w:rPr>
            </w:pPr>
          </w:p>
          <w:p w14:paraId="6D581ED1">
            <w:pPr>
              <w:spacing w:line="360" w:lineRule="auto"/>
              <w:ind w:firstLine="480" w:firstLineChars="200"/>
              <w:rPr>
                <w:rFonts w:cs="Times New Roman"/>
                <w:sz w:val="24"/>
                <w:szCs w:val="24"/>
                <w:highlight w:val="yellow"/>
              </w:rPr>
            </w:pPr>
          </w:p>
          <w:p w14:paraId="68A32CE3">
            <w:pPr>
              <w:spacing w:line="360" w:lineRule="auto"/>
              <w:ind w:firstLine="480" w:firstLineChars="200"/>
              <w:rPr>
                <w:rFonts w:cs="Times New Roman"/>
                <w:sz w:val="24"/>
                <w:szCs w:val="24"/>
                <w:highlight w:val="yellow"/>
              </w:rPr>
            </w:pPr>
          </w:p>
          <w:p w14:paraId="56FDEF22">
            <w:pPr>
              <w:spacing w:line="360" w:lineRule="auto"/>
              <w:ind w:firstLine="480" w:firstLineChars="200"/>
              <w:rPr>
                <w:rFonts w:cs="Times New Roman"/>
                <w:sz w:val="24"/>
                <w:szCs w:val="24"/>
                <w:highlight w:val="yellow"/>
              </w:rPr>
            </w:pPr>
          </w:p>
          <w:p w14:paraId="06D8877F">
            <w:pPr>
              <w:spacing w:line="360" w:lineRule="auto"/>
              <w:ind w:firstLine="480" w:firstLineChars="200"/>
              <w:rPr>
                <w:rFonts w:cs="Times New Roman"/>
                <w:sz w:val="24"/>
                <w:szCs w:val="24"/>
                <w:highlight w:val="yellow"/>
              </w:rPr>
            </w:pPr>
          </w:p>
          <w:p w14:paraId="79A441B3">
            <w:pPr>
              <w:spacing w:line="360" w:lineRule="auto"/>
              <w:ind w:firstLine="480" w:firstLineChars="200"/>
              <w:rPr>
                <w:rFonts w:cs="Times New Roman"/>
                <w:sz w:val="24"/>
                <w:szCs w:val="24"/>
                <w:highlight w:val="yellow"/>
              </w:rPr>
            </w:pPr>
          </w:p>
          <w:p w14:paraId="26FE7751">
            <w:pPr>
              <w:spacing w:line="360" w:lineRule="auto"/>
              <w:ind w:firstLine="480" w:firstLineChars="200"/>
              <w:rPr>
                <w:rFonts w:cs="Times New Roman"/>
                <w:sz w:val="24"/>
                <w:szCs w:val="24"/>
                <w:highlight w:val="yellow"/>
              </w:rPr>
            </w:pPr>
          </w:p>
          <w:p w14:paraId="6BE10B93">
            <w:pPr>
              <w:spacing w:line="360" w:lineRule="auto"/>
              <w:ind w:firstLine="480" w:firstLineChars="200"/>
              <w:rPr>
                <w:rFonts w:cs="Times New Roman"/>
                <w:sz w:val="24"/>
                <w:szCs w:val="24"/>
                <w:highlight w:val="yellow"/>
              </w:rPr>
            </w:pPr>
          </w:p>
          <w:p w14:paraId="338DC9F6">
            <w:pPr>
              <w:spacing w:line="360" w:lineRule="auto"/>
              <w:ind w:firstLine="480" w:firstLineChars="200"/>
              <w:rPr>
                <w:rFonts w:cs="Times New Roman"/>
                <w:sz w:val="24"/>
                <w:szCs w:val="24"/>
                <w:highlight w:val="yellow"/>
              </w:rPr>
            </w:pPr>
          </w:p>
          <w:p w14:paraId="7B1D3966">
            <w:pPr>
              <w:spacing w:line="360" w:lineRule="auto"/>
              <w:ind w:firstLine="480" w:firstLineChars="200"/>
              <w:rPr>
                <w:rFonts w:cs="Times New Roman"/>
                <w:sz w:val="24"/>
                <w:szCs w:val="24"/>
                <w:highlight w:val="yellow"/>
              </w:rPr>
            </w:pPr>
          </w:p>
          <w:p w14:paraId="6970F036">
            <w:pPr>
              <w:spacing w:line="360" w:lineRule="auto"/>
              <w:ind w:firstLine="480" w:firstLineChars="200"/>
              <w:rPr>
                <w:rFonts w:cs="Times New Roman"/>
                <w:sz w:val="24"/>
                <w:szCs w:val="24"/>
                <w:highlight w:val="yellow"/>
              </w:rPr>
            </w:pPr>
          </w:p>
          <w:p w14:paraId="48C0F2A6">
            <w:pPr>
              <w:spacing w:line="360" w:lineRule="auto"/>
              <w:ind w:firstLine="480" w:firstLineChars="200"/>
              <w:rPr>
                <w:rFonts w:cs="Times New Roman"/>
                <w:sz w:val="24"/>
                <w:szCs w:val="24"/>
                <w:highlight w:val="yellow"/>
              </w:rPr>
            </w:pPr>
          </w:p>
          <w:p w14:paraId="32DB41FC">
            <w:pPr>
              <w:spacing w:line="360" w:lineRule="auto"/>
              <w:ind w:firstLine="480" w:firstLineChars="200"/>
              <w:rPr>
                <w:rFonts w:cs="Times New Roman"/>
                <w:sz w:val="24"/>
                <w:szCs w:val="24"/>
                <w:highlight w:val="yellow"/>
              </w:rPr>
            </w:pPr>
          </w:p>
          <w:p w14:paraId="489A000C">
            <w:pPr>
              <w:spacing w:line="360" w:lineRule="auto"/>
              <w:ind w:firstLine="480" w:firstLineChars="200"/>
              <w:rPr>
                <w:rFonts w:cs="Times New Roman"/>
                <w:sz w:val="24"/>
                <w:szCs w:val="24"/>
                <w:highlight w:val="yellow"/>
              </w:rPr>
            </w:pPr>
          </w:p>
          <w:p w14:paraId="44B9A662">
            <w:pPr>
              <w:spacing w:line="360" w:lineRule="auto"/>
              <w:ind w:firstLine="480" w:firstLineChars="200"/>
              <w:rPr>
                <w:rFonts w:cs="Times New Roman"/>
                <w:sz w:val="24"/>
                <w:szCs w:val="24"/>
                <w:highlight w:val="yellow"/>
              </w:rPr>
            </w:pPr>
          </w:p>
          <w:p w14:paraId="6C49BEC0">
            <w:pPr>
              <w:spacing w:line="360" w:lineRule="auto"/>
              <w:ind w:firstLine="480" w:firstLineChars="200"/>
              <w:rPr>
                <w:rFonts w:cs="Times New Roman"/>
                <w:sz w:val="24"/>
                <w:szCs w:val="24"/>
                <w:highlight w:val="yellow"/>
              </w:rPr>
            </w:pPr>
          </w:p>
          <w:p w14:paraId="655AE64D">
            <w:pPr>
              <w:spacing w:line="360" w:lineRule="auto"/>
              <w:ind w:firstLine="480" w:firstLineChars="200"/>
              <w:rPr>
                <w:rFonts w:cs="Times New Roman"/>
                <w:sz w:val="24"/>
                <w:szCs w:val="24"/>
                <w:highlight w:val="yellow"/>
              </w:rPr>
            </w:pPr>
          </w:p>
          <w:p w14:paraId="5D59598D">
            <w:pPr>
              <w:spacing w:line="360" w:lineRule="auto"/>
              <w:ind w:firstLine="480" w:firstLineChars="200"/>
              <w:rPr>
                <w:rFonts w:cs="Times New Roman"/>
                <w:sz w:val="24"/>
                <w:szCs w:val="24"/>
                <w:highlight w:val="yellow"/>
              </w:rPr>
            </w:pPr>
          </w:p>
          <w:p w14:paraId="2B48BEB1">
            <w:pPr>
              <w:spacing w:line="360" w:lineRule="auto"/>
              <w:ind w:firstLine="480" w:firstLineChars="200"/>
              <w:rPr>
                <w:rFonts w:cs="Times New Roman"/>
                <w:sz w:val="24"/>
                <w:szCs w:val="24"/>
                <w:highlight w:val="yellow"/>
              </w:rPr>
            </w:pPr>
          </w:p>
          <w:p w14:paraId="413199B3">
            <w:pPr>
              <w:spacing w:line="360" w:lineRule="auto"/>
              <w:ind w:firstLine="480" w:firstLineChars="200"/>
              <w:rPr>
                <w:rFonts w:cs="Times New Roman"/>
                <w:sz w:val="24"/>
                <w:szCs w:val="24"/>
                <w:highlight w:val="yellow"/>
              </w:rPr>
            </w:pPr>
          </w:p>
          <w:p w14:paraId="53449974">
            <w:pPr>
              <w:spacing w:line="360" w:lineRule="auto"/>
              <w:ind w:firstLine="480" w:firstLineChars="200"/>
              <w:rPr>
                <w:rFonts w:cs="Times New Roman"/>
                <w:sz w:val="24"/>
                <w:szCs w:val="24"/>
                <w:highlight w:val="yellow"/>
              </w:rPr>
            </w:pPr>
          </w:p>
          <w:p w14:paraId="21A69D7E">
            <w:pPr>
              <w:spacing w:line="360" w:lineRule="auto"/>
              <w:ind w:firstLine="480" w:firstLineChars="200"/>
              <w:rPr>
                <w:rFonts w:cs="Times New Roman"/>
                <w:sz w:val="24"/>
                <w:szCs w:val="24"/>
                <w:highlight w:val="yellow"/>
              </w:rPr>
            </w:pPr>
          </w:p>
          <w:p w14:paraId="3BD2CAF5">
            <w:pPr>
              <w:spacing w:line="360" w:lineRule="auto"/>
              <w:ind w:firstLine="480" w:firstLineChars="200"/>
              <w:rPr>
                <w:rFonts w:cs="Times New Roman"/>
                <w:sz w:val="24"/>
                <w:szCs w:val="24"/>
                <w:highlight w:val="yellow"/>
              </w:rPr>
            </w:pPr>
          </w:p>
        </w:tc>
      </w:tr>
    </w:tbl>
    <w:p w14:paraId="75E51AC6">
      <w:pPr>
        <w:spacing w:line="360" w:lineRule="auto"/>
        <w:rPr>
          <w:rFonts w:cs="Times New Roman"/>
          <w:b/>
          <w:sz w:val="28"/>
          <w:szCs w:val="24"/>
        </w:rPr>
        <w:sectPr>
          <w:pgSz w:w="11906" w:h="16838"/>
          <w:pgMar w:top="1134" w:right="1134" w:bottom="1134" w:left="1134" w:header="851" w:footer="992" w:gutter="0"/>
          <w:cols w:space="720" w:num="1"/>
          <w:docGrid w:type="lines" w:linePitch="312" w:charSpace="0"/>
        </w:sectPr>
      </w:pPr>
    </w:p>
    <w:p w14:paraId="7B26F06C">
      <w:pPr>
        <w:pStyle w:val="40"/>
        <w:jc w:val="center"/>
        <w:rPr>
          <w:rFonts w:hint="eastAsia" w:ascii="黑体" w:hAnsi="黑体" w:eastAsia="黑体"/>
          <w:b w:val="0"/>
          <w:sz w:val="30"/>
          <w:szCs w:val="30"/>
        </w:rPr>
      </w:pPr>
      <w:bookmarkStart w:id="6" w:name="_Toc97040276"/>
      <w:r>
        <w:rPr>
          <w:rFonts w:hint="eastAsia" w:ascii="黑体" w:hAnsi="黑体" w:eastAsia="黑体"/>
          <w:b w:val="0"/>
          <w:sz w:val="30"/>
          <w:szCs w:val="30"/>
        </w:rPr>
        <w:t>四、主要环境影响和保护措施</w:t>
      </w:r>
      <w:bookmarkEnd w:id="6"/>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14:paraId="4D091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1FE26B47">
            <w:pPr>
              <w:spacing w:line="360" w:lineRule="auto"/>
              <w:jc w:val="center"/>
              <w:rPr>
                <w:rFonts w:cs="Times New Roman"/>
                <w:sz w:val="24"/>
                <w:szCs w:val="24"/>
              </w:rPr>
            </w:pPr>
            <w:r>
              <w:rPr>
                <w:rFonts w:hint="eastAsia" w:cs="Times New Roman"/>
                <w:sz w:val="24"/>
                <w:szCs w:val="24"/>
              </w:rPr>
              <w:t>施工期环境保护措施</w:t>
            </w:r>
          </w:p>
        </w:tc>
        <w:tc>
          <w:tcPr>
            <w:tcW w:w="4756" w:type="pct"/>
            <w:vAlign w:val="center"/>
          </w:tcPr>
          <w:p w14:paraId="01F498D1">
            <w:pPr>
              <w:spacing w:line="360" w:lineRule="auto"/>
              <w:ind w:firstLine="482" w:firstLineChars="200"/>
              <w:rPr>
                <w:b/>
                <w:sz w:val="24"/>
                <w:szCs w:val="24"/>
              </w:rPr>
            </w:pPr>
            <w:r>
              <w:rPr>
                <w:rFonts w:hint="eastAsia"/>
                <w:b/>
                <w:sz w:val="24"/>
                <w:szCs w:val="24"/>
              </w:rPr>
              <w:t>1、废气</w:t>
            </w:r>
          </w:p>
          <w:p w14:paraId="1F973889">
            <w:pPr>
              <w:spacing w:line="360" w:lineRule="auto"/>
              <w:ind w:firstLine="482" w:firstLineChars="200"/>
              <w:rPr>
                <w:b/>
                <w:sz w:val="24"/>
                <w:szCs w:val="24"/>
              </w:rPr>
            </w:pPr>
            <w:r>
              <w:rPr>
                <w:rFonts w:hint="eastAsia"/>
                <w:b/>
                <w:sz w:val="24"/>
                <w:szCs w:val="24"/>
              </w:rPr>
              <w:t>（1）施工扬尘</w:t>
            </w:r>
          </w:p>
          <w:p w14:paraId="07609281">
            <w:pPr>
              <w:spacing w:line="360" w:lineRule="auto"/>
              <w:ind w:firstLine="480" w:firstLineChars="200"/>
              <w:rPr>
                <w:sz w:val="24"/>
                <w:szCs w:val="24"/>
              </w:rPr>
            </w:pPr>
            <w:r>
              <w:rPr>
                <w:rFonts w:hint="eastAsia"/>
                <w:sz w:val="24"/>
                <w:szCs w:val="24"/>
              </w:rPr>
              <w:t>在施工阶段，施工扬尘主要来源于土地平整、开挖、回填、建材运输、装卸等过程，施工场地是典型的无组织扬尘排放源，具有很高的排放潜势，可以在短</w:t>
            </w:r>
            <w:r>
              <w:rPr>
                <w:rFonts w:hint="eastAsia"/>
                <w:sz w:val="24"/>
                <w:szCs w:val="24"/>
                <w:lang w:eastAsia="zh-CN"/>
              </w:rPr>
              <w:t>时间</w:t>
            </w:r>
            <w:r>
              <w:rPr>
                <w:rFonts w:hint="eastAsia"/>
                <w:sz w:val="24"/>
                <w:szCs w:val="24"/>
              </w:rPr>
              <w:t>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eastAsia"/>
                <w:sz w:val="24"/>
                <w:szCs w:val="24"/>
                <w:vertAlign w:val="superscript"/>
              </w:rPr>
              <w:t>3</w:t>
            </w:r>
            <w:r>
              <w:rPr>
                <w:rFonts w:hint="eastAsia"/>
                <w:sz w:val="24"/>
                <w:szCs w:val="24"/>
              </w:rPr>
              <w:t>，会对周围环境产生一定影响。</w:t>
            </w:r>
          </w:p>
          <w:p w14:paraId="1EE101DB">
            <w:pPr>
              <w:spacing w:line="360" w:lineRule="auto"/>
              <w:ind w:firstLine="480" w:firstLineChars="200"/>
              <w:rPr>
                <w:rFonts w:cs="Times New Roman"/>
                <w:sz w:val="24"/>
                <w:szCs w:val="24"/>
              </w:rPr>
            </w:pPr>
            <w:r>
              <w:rPr>
                <w:rFonts w:hint="eastAsia"/>
                <w:sz w:val="24"/>
                <w:szCs w:val="24"/>
              </w:rPr>
              <w:t>为减轻施工期扬尘对大气环境的影响，根据《住房和城乡建设部办公厅关于进一步加强施工工地和道路扬尘管控工作的通知》（建办质〔2019〕23号）、《四川省建筑工程扬尘污染防治技术导则（试行）》（川建发〔2019〕16号）等有关规定</w:t>
            </w:r>
            <w:r>
              <w:rPr>
                <w:rFonts w:cs="Times New Roman"/>
                <w:sz w:val="24"/>
                <w:szCs w:val="24"/>
              </w:rPr>
              <w:t>，施工现场应采取以下扬尘污染防治措施：</w:t>
            </w:r>
          </w:p>
          <w:p w14:paraId="391101BB">
            <w:pPr>
              <w:spacing w:line="360" w:lineRule="auto"/>
              <w:ind w:firstLine="480"/>
              <w:rPr>
                <w:rFonts w:cs="Times New Roman"/>
                <w:sz w:val="24"/>
                <w:szCs w:val="24"/>
              </w:rPr>
            </w:pPr>
            <w:r>
              <w:rPr>
                <w:rFonts w:hint="eastAsia" w:ascii="宋体" w:hAnsi="宋体" w:cs="宋体"/>
                <w:sz w:val="24"/>
                <w:szCs w:val="24"/>
              </w:rPr>
              <w:t>①</w:t>
            </w:r>
            <w:r>
              <w:rPr>
                <w:rFonts w:hint="eastAsia"/>
                <w:sz w:val="24"/>
                <w:szCs w:val="24"/>
              </w:rPr>
              <w:t>施工现场应实行封闭管理，并应采用硬质围挡，围挡高度不应低于2.5m。围挡顶端必须设置喷雾装置，朝向施工现场，喷雾设施间距不应大于5m；围挡底部应当密封，不得有泥浆外漏</w:t>
            </w:r>
            <w:r>
              <w:rPr>
                <w:rFonts w:cs="Times New Roman"/>
                <w:sz w:val="24"/>
                <w:szCs w:val="24"/>
              </w:rPr>
              <w:t>。</w:t>
            </w:r>
          </w:p>
          <w:p w14:paraId="5C7C2E3C">
            <w:pPr>
              <w:spacing w:line="360" w:lineRule="auto"/>
              <w:ind w:firstLine="480" w:firstLineChars="200"/>
              <w:rPr>
                <w:rFonts w:cs="Times New Roman"/>
                <w:sz w:val="24"/>
                <w:szCs w:val="24"/>
              </w:rPr>
            </w:pPr>
            <w:r>
              <w:rPr>
                <w:rFonts w:hint="eastAsia" w:cs="Times New Roman"/>
                <w:sz w:val="24"/>
                <w:szCs w:val="24"/>
              </w:rPr>
              <w:t>②</w:t>
            </w:r>
            <w:r>
              <w:rPr>
                <w:rFonts w:hint="eastAsia"/>
                <w:sz w:val="24"/>
                <w:szCs w:val="24"/>
              </w:rPr>
              <w:t>施工现场出入口、主要道路（主要材料通道，不含场内中转、土方平场转运临时通道）、材料堆场、加工区、仓库等生产区域应进行地面硬化。车辆出入口应设置车辆冲洗设施，包括冲洗平台、冲洗设备（不具备设置自动冲洗设施的工地出入口，应配备高压水枪的人工冲洗设施）、挡水带、排水沟、三级沉淀池。施工现场设专人负责保洁，对施工现场路面进行冲洗降尘，严禁车辆带泥出场</w:t>
            </w:r>
            <w:r>
              <w:rPr>
                <w:rFonts w:cs="Times New Roman"/>
                <w:sz w:val="24"/>
                <w:szCs w:val="24"/>
              </w:rPr>
              <w:t>。</w:t>
            </w:r>
          </w:p>
          <w:p w14:paraId="2306A2B1">
            <w:pPr>
              <w:spacing w:line="360" w:lineRule="auto"/>
              <w:ind w:firstLine="480" w:firstLineChars="200"/>
              <w:rPr>
                <w:sz w:val="24"/>
                <w:szCs w:val="24"/>
              </w:rPr>
            </w:pPr>
            <w:r>
              <w:rPr>
                <w:rFonts w:hint="eastAsia"/>
                <w:sz w:val="24"/>
                <w:szCs w:val="24"/>
              </w:rPr>
              <w:t>③施工现场裸土及施工期易起尘物料均应使用防尘网进行覆盖，覆盖要封闭严密、连接牢固；必须使用商品混凝土，施工现场禁止设置搅拌站。</w:t>
            </w:r>
          </w:p>
          <w:p w14:paraId="509C338C">
            <w:pPr>
              <w:spacing w:line="360" w:lineRule="auto"/>
              <w:ind w:firstLine="480" w:firstLineChars="200"/>
              <w:rPr>
                <w:rFonts w:cs="Times New Roman"/>
                <w:sz w:val="24"/>
                <w:szCs w:val="24"/>
              </w:rPr>
            </w:pPr>
            <w:r>
              <w:rPr>
                <w:rFonts w:hint="eastAsia" w:ascii="宋体" w:hAnsi="宋体" w:cs="宋体"/>
                <w:sz w:val="24"/>
                <w:szCs w:val="24"/>
              </w:rPr>
              <w:t>④</w:t>
            </w:r>
            <w:r>
              <w:rPr>
                <w:rFonts w:cs="Times New Roman"/>
                <w:sz w:val="24"/>
                <w:szCs w:val="24"/>
              </w:rPr>
              <w:t>施工期易产生扬尘的钻孔、拆除作业，建渣清运等易产生扬尘的施工作业时，</w:t>
            </w:r>
            <w:r>
              <w:rPr>
                <w:rFonts w:hint="eastAsia" w:cs="Times New Roman"/>
                <w:sz w:val="24"/>
                <w:szCs w:val="24"/>
              </w:rPr>
              <w:t>应采取喷淋、喷雾等湿法降尘措施，对于固定喷淋装置无法覆盖的区域和应设置移动式雾炮进行降尘</w:t>
            </w:r>
            <w:r>
              <w:rPr>
                <w:rFonts w:cs="Times New Roman"/>
                <w:sz w:val="24"/>
                <w:szCs w:val="24"/>
              </w:rPr>
              <w:t>。</w:t>
            </w:r>
          </w:p>
          <w:p w14:paraId="13725422">
            <w:pPr>
              <w:spacing w:line="360" w:lineRule="auto"/>
              <w:ind w:firstLine="480" w:firstLineChars="200"/>
              <w:rPr>
                <w:sz w:val="24"/>
                <w:szCs w:val="24"/>
              </w:rPr>
            </w:pPr>
            <w:r>
              <w:rPr>
                <w:rFonts w:hint="eastAsia"/>
                <w:sz w:val="24"/>
                <w:szCs w:val="24"/>
              </w:rPr>
              <w:t>⑤施工单位应当建立运输扬尘污染防治管理制度和相关措施，加强对渣土运输车辆、人员管理；运输车辆必须采取覆盖措施，采用密闭式运输车辆，装载不得冒出车辆栏板，防止道路遗撒。</w:t>
            </w:r>
          </w:p>
          <w:p w14:paraId="241260C3">
            <w:pPr>
              <w:spacing w:line="360" w:lineRule="auto"/>
              <w:ind w:firstLine="480" w:firstLineChars="200"/>
              <w:rPr>
                <w:sz w:val="24"/>
                <w:szCs w:val="24"/>
              </w:rPr>
            </w:pPr>
            <w:r>
              <w:rPr>
                <w:rFonts w:hint="eastAsia"/>
                <w:sz w:val="24"/>
                <w:szCs w:val="24"/>
              </w:rPr>
              <w:t>⑥风速大于4m/s时应停止施工；遇重污染天气，施工单位应按照《遂宁市重污染天气应急预案（2022年修订）》（遂污防攻坚办〔2022〕8号）的要求，落实各级预警下应当采取的应急减排措施。</w:t>
            </w:r>
          </w:p>
          <w:p w14:paraId="7016EC75">
            <w:pPr>
              <w:spacing w:line="360" w:lineRule="auto"/>
              <w:ind w:firstLine="482" w:firstLineChars="200"/>
              <w:rPr>
                <w:b/>
                <w:sz w:val="24"/>
                <w:szCs w:val="24"/>
              </w:rPr>
            </w:pPr>
            <w:r>
              <w:rPr>
                <w:rFonts w:hint="eastAsia"/>
                <w:b/>
                <w:sz w:val="24"/>
                <w:szCs w:val="24"/>
              </w:rPr>
              <w:t>同时，施工单位必须全面落实建筑工地“六必须、六不准”要求，即：必须打围作业、必须硬化道路、必须设置冲洗设施、必须湿法作业、必须配齐保洁人员、必须定时清扫施工现场，不准车辆带泥出门、不准高空抛撒建渣、不准现场搅拌混凝土、不准场地积水、不准现场焚烧废弃物、不准现场堆放未覆盖的裸土等扬尘污染防治规定。此外，施工单位还应按照《四川省建筑工程扬尘污染防治技术导则（试行）》（川建发〔2019〕16号）中规定，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14:paraId="3A7A399E">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）施工机械废气</w:t>
            </w:r>
          </w:p>
          <w:p w14:paraId="7E0138A3">
            <w:pPr>
              <w:spacing w:line="360" w:lineRule="auto"/>
              <w:ind w:firstLine="480" w:firstLineChars="200"/>
              <w:rPr>
                <w:sz w:val="24"/>
                <w:szCs w:val="24"/>
              </w:rPr>
            </w:pPr>
            <w:r>
              <w:rPr>
                <w:rFonts w:hint="eastAsia"/>
                <w:sz w:val="24"/>
                <w:szCs w:val="24"/>
              </w:rPr>
              <w:t>本项目施工设备和建筑机械设备的运转，会排放一定量的CO、NO</w:t>
            </w:r>
            <w:r>
              <w:rPr>
                <w:rFonts w:hint="eastAsia"/>
                <w:sz w:val="24"/>
                <w:szCs w:val="24"/>
                <w:vertAlign w:val="subscript"/>
              </w:rPr>
              <w:t>x</w:t>
            </w:r>
            <w:r>
              <w:rPr>
                <w:rFonts w:hint="eastAsia"/>
                <w:sz w:val="24"/>
                <w:szCs w:val="24"/>
              </w:rPr>
              <w:t>以及未完全燃烧的THC等，由于其属间断性无组织排放，特点是排放量小，加之施工现场开阔，扩散条件良好，对其不加处理也可达到相应的排放标准。环评要求：建设单位应禁止使用高排放非道路移动机械，制定施工现场非道路移动机械管理制度，加强施工设备维护，采用低污染的燃料，减少废气排放。</w:t>
            </w:r>
          </w:p>
          <w:p w14:paraId="0FE6C80B">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）装修废气</w:t>
            </w:r>
          </w:p>
          <w:p w14:paraId="2395072B">
            <w:pPr>
              <w:spacing w:line="360" w:lineRule="auto"/>
              <w:ind w:firstLine="480" w:firstLineChars="200"/>
              <w:rPr>
                <w:sz w:val="24"/>
                <w:szCs w:val="24"/>
              </w:rPr>
            </w:pPr>
            <w:r>
              <w:rPr>
                <w:rFonts w:hint="eastAsia"/>
                <w:sz w:val="24"/>
                <w:szCs w:val="24"/>
              </w:rPr>
              <w:t>装修过程中主要污染因子是涂料挥发废气，该废气的排放属无组织排放，由于装修阶段的装修废气排放周期短，且装修面积较少、作业点分散，故装修期间应加强通风换气，环评要求：施工期应选用符合国家标准要求的材料、涂料，减少废气中有害物质的排放。</w:t>
            </w:r>
          </w:p>
          <w:p w14:paraId="2740C6CD">
            <w:pPr>
              <w:spacing w:line="360" w:lineRule="auto"/>
              <w:ind w:firstLine="482" w:firstLineChars="200"/>
              <w:rPr>
                <w:b/>
                <w:sz w:val="24"/>
                <w:szCs w:val="24"/>
              </w:rPr>
            </w:pPr>
            <w:r>
              <w:rPr>
                <w:b/>
                <w:sz w:val="24"/>
                <w:szCs w:val="24"/>
              </w:rPr>
              <w:t>2</w:t>
            </w:r>
            <w:r>
              <w:rPr>
                <w:rFonts w:hint="eastAsia"/>
                <w:b/>
                <w:sz w:val="24"/>
                <w:szCs w:val="24"/>
              </w:rPr>
              <w:t>、废水</w:t>
            </w:r>
          </w:p>
          <w:p w14:paraId="7B177991">
            <w:pPr>
              <w:spacing w:line="360" w:lineRule="auto"/>
              <w:ind w:firstLine="482" w:firstLineChars="200"/>
              <w:rPr>
                <w:b/>
                <w:sz w:val="24"/>
                <w:szCs w:val="24"/>
              </w:rPr>
            </w:pPr>
            <w:r>
              <w:rPr>
                <w:rFonts w:hint="eastAsia"/>
                <w:b/>
                <w:sz w:val="24"/>
                <w:szCs w:val="24"/>
              </w:rPr>
              <w:t>（1）施工废水</w:t>
            </w:r>
          </w:p>
          <w:p w14:paraId="4E9F9A60">
            <w:pPr>
              <w:spacing w:line="360" w:lineRule="auto"/>
              <w:ind w:firstLine="480" w:firstLineChars="200"/>
              <w:rPr>
                <w:sz w:val="24"/>
                <w:szCs w:val="24"/>
              </w:rPr>
            </w:pPr>
            <w:r>
              <w:rPr>
                <w:rFonts w:hint="eastAsia"/>
                <w:sz w:val="24"/>
                <w:szCs w:val="24"/>
              </w:rPr>
              <w:t>施工废水中的主要污染物为pH（一般大于7）、SS、COD、石油类，污水中COD浓度值最高约500mg/L、BOD</w:t>
            </w:r>
            <w:r>
              <w:rPr>
                <w:rFonts w:hint="eastAsia"/>
                <w:sz w:val="24"/>
                <w:szCs w:val="24"/>
                <w:vertAlign w:val="subscript"/>
              </w:rPr>
              <w:t>5</w:t>
            </w:r>
            <w:r>
              <w:rPr>
                <w:rFonts w:hint="eastAsia"/>
                <w:sz w:val="24"/>
                <w:szCs w:val="24"/>
              </w:rPr>
              <w:t>约400mg/L、SS 约1000mg/L。经类比分析，项目施工期施工废水预计排放量为</w:t>
            </w:r>
            <w:r>
              <w:rPr>
                <w:sz w:val="24"/>
                <w:szCs w:val="24"/>
              </w:rPr>
              <w:t>5</w:t>
            </w:r>
            <w:r>
              <w:rPr>
                <w:rFonts w:hint="eastAsia"/>
                <w:sz w:val="24"/>
                <w:szCs w:val="24"/>
              </w:rPr>
              <w:t>m</w:t>
            </w:r>
            <w:r>
              <w:rPr>
                <w:rFonts w:hint="eastAsia"/>
                <w:sz w:val="24"/>
                <w:szCs w:val="24"/>
                <w:vertAlign w:val="superscript"/>
              </w:rPr>
              <w:t>3</w:t>
            </w:r>
            <w:r>
              <w:rPr>
                <w:rFonts w:hint="eastAsia"/>
                <w:sz w:val="24"/>
                <w:szCs w:val="24"/>
              </w:rPr>
              <w:t>/d，为防止施工废水对区域地表水环境造成影响，环评要求建设单位应采取以下污染防治措施：</w:t>
            </w:r>
          </w:p>
          <w:p w14:paraId="5BF22186">
            <w:pPr>
              <w:spacing w:line="360" w:lineRule="auto"/>
              <w:ind w:firstLine="480" w:firstLineChars="200"/>
              <w:rPr>
                <w:rFonts w:cs="Times New Roman"/>
                <w:sz w:val="24"/>
                <w:szCs w:val="24"/>
              </w:rPr>
            </w:pPr>
            <w:r>
              <w:rPr>
                <w:rFonts w:hint="eastAsia" w:cs="Times New Roman"/>
                <w:sz w:val="24"/>
                <w:szCs w:val="24"/>
              </w:rPr>
              <w:t>①</w:t>
            </w:r>
            <w:r>
              <w:rPr>
                <w:rFonts w:cs="Times New Roman"/>
                <w:sz w:val="24"/>
                <w:szCs w:val="24"/>
              </w:rPr>
              <w:t>施工场地设置排水沟（沟宽×深≥300×300mm，排水坡度应大于3%）和三级沉淀池，废水经沉淀后全部回用。</w:t>
            </w:r>
          </w:p>
          <w:p w14:paraId="72FD0AE9">
            <w:pPr>
              <w:spacing w:line="360" w:lineRule="auto"/>
              <w:ind w:firstLine="480" w:firstLineChars="200"/>
              <w:rPr>
                <w:sz w:val="24"/>
                <w:szCs w:val="24"/>
              </w:rPr>
            </w:pPr>
            <w:r>
              <w:rPr>
                <w:rFonts w:hint="eastAsia"/>
                <w:sz w:val="24"/>
                <w:szCs w:val="24"/>
              </w:rPr>
              <w:t>②加强施工管理，严格避免超挖、禁止雨天开挖作业；</w:t>
            </w:r>
            <w:r>
              <w:rPr>
                <w:rFonts w:hint="eastAsia" w:cstheme="minorHAnsi"/>
                <w:sz w:val="24"/>
              </w:rPr>
              <w:t>场地内地下渗水应收集后用作车辆冲洗、洒水降尘等</w:t>
            </w:r>
            <w:r>
              <w:rPr>
                <w:rFonts w:hint="eastAsia"/>
                <w:sz w:val="24"/>
                <w:szCs w:val="24"/>
              </w:rPr>
              <w:t>。</w:t>
            </w:r>
          </w:p>
          <w:p w14:paraId="709888CC">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）生活污水</w:t>
            </w:r>
          </w:p>
          <w:p w14:paraId="26C4F990">
            <w:pPr>
              <w:spacing w:line="360" w:lineRule="auto"/>
              <w:ind w:firstLine="480" w:firstLineChars="200"/>
              <w:rPr>
                <w:sz w:val="24"/>
                <w:szCs w:val="24"/>
              </w:rPr>
            </w:pPr>
            <w:r>
              <w:rPr>
                <w:rFonts w:hint="eastAsia"/>
                <w:sz w:val="24"/>
                <w:szCs w:val="24"/>
              </w:rPr>
              <w:t>项目施</w:t>
            </w:r>
            <w:r>
              <w:rPr>
                <w:rFonts w:cs="Times New Roman"/>
                <w:sz w:val="24"/>
                <w:szCs w:val="24"/>
              </w:rPr>
              <w:t>工人员预计可达50人，</w:t>
            </w:r>
            <w:r>
              <w:rPr>
                <w:rFonts w:hint="eastAsia" w:cs="Times New Roman"/>
                <w:sz w:val="24"/>
                <w:szCs w:val="24"/>
              </w:rPr>
              <w:t>根据</w:t>
            </w:r>
            <w:r>
              <w:rPr>
                <w:rFonts w:cs="Times New Roman"/>
                <w:sz w:val="24"/>
                <w:szCs w:val="24"/>
              </w:rPr>
              <w:t>《四川省用水定额》（川府函〔2021〕8号），施工人员生活用水量按100L/人·d计，生活污水产生系数取85</w:t>
            </w:r>
            <w:r>
              <w:rPr>
                <w:rFonts w:hint="eastAsia" w:cs="Times New Roman"/>
                <w:sz w:val="24"/>
                <w:szCs w:val="24"/>
              </w:rPr>
              <w:t>%</w:t>
            </w:r>
            <w:r>
              <w:rPr>
                <w:rFonts w:cs="Times New Roman"/>
                <w:sz w:val="24"/>
                <w:szCs w:val="24"/>
              </w:rPr>
              <w:t>，则生活污水产生量为4.25m</w:t>
            </w:r>
            <w:r>
              <w:rPr>
                <w:rFonts w:cs="Times New Roman"/>
                <w:sz w:val="24"/>
                <w:szCs w:val="24"/>
                <w:vertAlign w:val="superscript"/>
              </w:rPr>
              <w:t>3</w:t>
            </w:r>
            <w:r>
              <w:rPr>
                <w:rFonts w:cs="Times New Roman"/>
                <w:sz w:val="24"/>
                <w:szCs w:val="24"/>
              </w:rPr>
              <w:t>/d。生活污水</w:t>
            </w:r>
            <w:r>
              <w:rPr>
                <w:rFonts w:hint="eastAsia" w:cs="Times New Roman"/>
                <w:sz w:val="24"/>
                <w:szCs w:val="24"/>
              </w:rPr>
              <w:t>依托厂区已建预处理池（容积4</w:t>
            </w:r>
            <w:r>
              <w:rPr>
                <w:rFonts w:cs="Times New Roman"/>
                <w:sz w:val="24"/>
                <w:szCs w:val="24"/>
              </w:rPr>
              <w:t>0</w:t>
            </w:r>
            <w:r>
              <w:rPr>
                <w:rFonts w:hint="eastAsia" w:cs="Times New Roman"/>
                <w:sz w:val="24"/>
                <w:szCs w:val="24"/>
              </w:rPr>
              <w:t>m</w:t>
            </w:r>
            <w:r>
              <w:rPr>
                <w:rFonts w:cs="Times New Roman"/>
                <w:sz w:val="24"/>
                <w:szCs w:val="24"/>
                <w:vertAlign w:val="superscript"/>
              </w:rPr>
              <w:t>3</w:t>
            </w:r>
            <w:r>
              <w:rPr>
                <w:rFonts w:hint="eastAsia" w:cs="Times New Roman"/>
                <w:sz w:val="24"/>
                <w:szCs w:val="24"/>
              </w:rPr>
              <w:t>）</w:t>
            </w:r>
            <w:r>
              <w:rPr>
                <w:rFonts w:cs="Times New Roman"/>
                <w:sz w:val="24"/>
                <w:szCs w:val="24"/>
              </w:rPr>
              <w:t>处理后排入</w:t>
            </w:r>
            <w:r>
              <w:rPr>
                <w:rFonts w:hint="eastAsia" w:cs="Times New Roman"/>
                <w:sz w:val="24"/>
                <w:szCs w:val="24"/>
              </w:rPr>
              <w:t>园区</w:t>
            </w:r>
            <w:r>
              <w:rPr>
                <w:rFonts w:cs="Times New Roman"/>
                <w:sz w:val="24"/>
                <w:szCs w:val="24"/>
              </w:rPr>
              <w:t>污水管网，</w:t>
            </w:r>
            <w:r>
              <w:rPr>
                <w:rFonts w:hint="eastAsia"/>
                <w:kern w:val="24"/>
                <w:sz w:val="24"/>
                <w:szCs w:val="24"/>
              </w:rPr>
              <w:t>经大英县工业污水处理厂处理达到《地表水环境质量标准》（GB3838-2002）III类标准后排入郪江</w:t>
            </w:r>
            <w:r>
              <w:rPr>
                <w:rFonts w:cs="Times New Roman"/>
                <w:sz w:val="24"/>
                <w:szCs w:val="24"/>
              </w:rPr>
              <w:t>。</w:t>
            </w:r>
          </w:p>
          <w:p w14:paraId="6DA6E21A">
            <w:pPr>
              <w:spacing w:line="360" w:lineRule="auto"/>
              <w:ind w:firstLine="482" w:firstLineChars="200"/>
              <w:rPr>
                <w:b/>
                <w:sz w:val="24"/>
                <w:szCs w:val="24"/>
              </w:rPr>
            </w:pPr>
            <w:r>
              <w:rPr>
                <w:b/>
                <w:sz w:val="24"/>
                <w:szCs w:val="24"/>
              </w:rPr>
              <w:t>3</w:t>
            </w:r>
            <w:r>
              <w:rPr>
                <w:rFonts w:hint="eastAsia"/>
                <w:b/>
                <w:sz w:val="24"/>
                <w:szCs w:val="24"/>
              </w:rPr>
              <w:t>、噪声</w:t>
            </w:r>
          </w:p>
          <w:p w14:paraId="363CE2A7">
            <w:pPr>
              <w:spacing w:line="360" w:lineRule="auto"/>
              <w:ind w:firstLine="480" w:firstLineChars="200"/>
              <w:rPr>
                <w:sz w:val="24"/>
                <w:szCs w:val="24"/>
              </w:rPr>
            </w:pPr>
            <w:r>
              <w:rPr>
                <w:rFonts w:hint="eastAsia"/>
                <w:sz w:val="24"/>
                <w:szCs w:val="24"/>
              </w:rPr>
              <w:t>施工期噪声主要来源于施工现场的各类机械设备噪声，不同施工阶段和不同施工机械发出的噪声水平是不同的，且有大量设备交互作业，各施工阶段主要施工机械设备噪声源强值见下表。</w:t>
            </w:r>
          </w:p>
          <w:p w14:paraId="59597B37">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主要机械设备源强值</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714"/>
              <w:gridCol w:w="1570"/>
              <w:gridCol w:w="1571"/>
              <w:gridCol w:w="1570"/>
              <w:gridCol w:w="1568"/>
            </w:tblGrid>
            <w:tr w14:paraId="1022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pct"/>
                  <w:gridSpan w:val="2"/>
                  <w:shd w:val="clear" w:color="auto" w:fill="auto"/>
                  <w:vAlign w:val="center"/>
                </w:tcPr>
                <w:p w14:paraId="3ADEC086">
                  <w:pPr>
                    <w:jc w:val="center"/>
                    <w:rPr>
                      <w:szCs w:val="21"/>
                    </w:rPr>
                  </w:pPr>
                  <w:r>
                    <w:rPr>
                      <w:rFonts w:hint="eastAsia"/>
                      <w:szCs w:val="21"/>
                    </w:rPr>
                    <w:t>施工设备名称</w:t>
                  </w:r>
                </w:p>
              </w:tc>
              <w:tc>
                <w:tcPr>
                  <w:tcW w:w="858" w:type="pct"/>
                  <w:shd w:val="clear" w:color="auto" w:fill="auto"/>
                  <w:vAlign w:val="center"/>
                </w:tcPr>
                <w:p w14:paraId="0E8CAB60">
                  <w:pPr>
                    <w:jc w:val="center"/>
                    <w:rPr>
                      <w:szCs w:val="21"/>
                    </w:rPr>
                  </w:pPr>
                  <w:r>
                    <w:rPr>
                      <w:rFonts w:hint="eastAsia"/>
                      <w:szCs w:val="21"/>
                    </w:rPr>
                    <w:t>运输</w:t>
                  </w:r>
                  <w:r>
                    <w:rPr>
                      <w:szCs w:val="21"/>
                    </w:rPr>
                    <w:t>车辆</w:t>
                  </w:r>
                </w:p>
              </w:tc>
              <w:tc>
                <w:tcPr>
                  <w:tcW w:w="859" w:type="pct"/>
                  <w:shd w:val="clear" w:color="auto" w:fill="auto"/>
                  <w:vAlign w:val="center"/>
                </w:tcPr>
                <w:p w14:paraId="45973B6B">
                  <w:pPr>
                    <w:jc w:val="center"/>
                    <w:rPr>
                      <w:szCs w:val="21"/>
                    </w:rPr>
                  </w:pPr>
                  <w:r>
                    <w:rPr>
                      <w:rFonts w:hint="eastAsia"/>
                      <w:szCs w:val="21"/>
                    </w:rPr>
                    <w:t>装载</w:t>
                  </w:r>
                </w:p>
              </w:tc>
              <w:tc>
                <w:tcPr>
                  <w:tcW w:w="858" w:type="pct"/>
                  <w:shd w:val="clear" w:color="auto" w:fill="auto"/>
                  <w:vAlign w:val="center"/>
                </w:tcPr>
                <w:p w14:paraId="55CF64E4">
                  <w:pPr>
                    <w:jc w:val="center"/>
                    <w:rPr>
                      <w:szCs w:val="21"/>
                    </w:rPr>
                  </w:pPr>
                  <w:r>
                    <w:rPr>
                      <w:rFonts w:hint="eastAsia"/>
                      <w:szCs w:val="21"/>
                    </w:rPr>
                    <w:t>推土机</w:t>
                  </w:r>
                </w:p>
              </w:tc>
              <w:tc>
                <w:tcPr>
                  <w:tcW w:w="858" w:type="pct"/>
                  <w:shd w:val="clear" w:color="auto" w:fill="auto"/>
                  <w:vAlign w:val="center"/>
                </w:tcPr>
                <w:p w14:paraId="105E63AF">
                  <w:pPr>
                    <w:jc w:val="center"/>
                    <w:rPr>
                      <w:szCs w:val="21"/>
                    </w:rPr>
                  </w:pPr>
                  <w:r>
                    <w:rPr>
                      <w:rFonts w:hint="eastAsia"/>
                      <w:szCs w:val="21"/>
                    </w:rPr>
                    <w:t>挖掘机</w:t>
                  </w:r>
                </w:p>
              </w:tc>
            </w:tr>
            <w:tr w14:paraId="2AA7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Merge w:val="restart"/>
                  <w:shd w:val="clear" w:color="auto" w:fill="auto"/>
                  <w:vAlign w:val="center"/>
                </w:tcPr>
                <w:p w14:paraId="28623811">
                  <w:pPr>
                    <w:jc w:val="center"/>
                    <w:rPr>
                      <w:szCs w:val="21"/>
                    </w:rPr>
                  </w:pPr>
                  <w:r>
                    <w:rPr>
                      <w:rFonts w:hint="eastAsia"/>
                      <w:szCs w:val="21"/>
                    </w:rPr>
                    <w:t>噪声值</w:t>
                  </w:r>
                </w:p>
                <w:p w14:paraId="5B0D9CBF">
                  <w:pPr>
                    <w:jc w:val="center"/>
                    <w:rPr>
                      <w:szCs w:val="21"/>
                    </w:rPr>
                  </w:pPr>
                  <w:r>
                    <w:rPr>
                      <w:rFonts w:hint="eastAsia"/>
                      <w:szCs w:val="21"/>
                    </w:rPr>
                    <w:t>dB</w:t>
                  </w:r>
                  <w:r>
                    <w:rPr>
                      <w:szCs w:val="21"/>
                    </w:rPr>
                    <w:t>（A）</w:t>
                  </w:r>
                </w:p>
              </w:tc>
              <w:tc>
                <w:tcPr>
                  <w:tcW w:w="936" w:type="pct"/>
                  <w:shd w:val="clear" w:color="auto" w:fill="auto"/>
                  <w:vAlign w:val="center"/>
                </w:tcPr>
                <w:p w14:paraId="34432A8C">
                  <w:pPr>
                    <w:jc w:val="center"/>
                    <w:rPr>
                      <w:szCs w:val="21"/>
                    </w:rPr>
                  </w:pPr>
                  <w:r>
                    <w:rPr>
                      <w:rFonts w:hint="eastAsia"/>
                      <w:szCs w:val="21"/>
                    </w:rPr>
                    <w:t>距机械5</w:t>
                  </w:r>
                  <w:r>
                    <w:rPr>
                      <w:szCs w:val="21"/>
                    </w:rPr>
                    <w:t>m处</w:t>
                  </w:r>
                </w:p>
              </w:tc>
              <w:tc>
                <w:tcPr>
                  <w:tcW w:w="858" w:type="pct"/>
                  <w:shd w:val="clear" w:color="auto" w:fill="auto"/>
                  <w:vAlign w:val="center"/>
                </w:tcPr>
                <w:p w14:paraId="0FC40A90">
                  <w:pPr>
                    <w:jc w:val="center"/>
                    <w:rPr>
                      <w:szCs w:val="21"/>
                    </w:rPr>
                  </w:pPr>
                  <w:r>
                    <w:rPr>
                      <w:szCs w:val="21"/>
                    </w:rPr>
                    <w:t>82~90</w:t>
                  </w:r>
                </w:p>
              </w:tc>
              <w:tc>
                <w:tcPr>
                  <w:tcW w:w="859" w:type="pct"/>
                  <w:shd w:val="clear" w:color="auto" w:fill="auto"/>
                  <w:vAlign w:val="center"/>
                </w:tcPr>
                <w:p w14:paraId="6ED5F7A6">
                  <w:pPr>
                    <w:jc w:val="center"/>
                    <w:rPr>
                      <w:szCs w:val="21"/>
                    </w:rPr>
                  </w:pPr>
                  <w:r>
                    <w:rPr>
                      <w:szCs w:val="21"/>
                    </w:rPr>
                    <w:t>90~95</w:t>
                  </w:r>
                </w:p>
              </w:tc>
              <w:tc>
                <w:tcPr>
                  <w:tcW w:w="858" w:type="pct"/>
                  <w:shd w:val="clear" w:color="auto" w:fill="auto"/>
                  <w:vAlign w:val="center"/>
                </w:tcPr>
                <w:p w14:paraId="218A8422">
                  <w:pPr>
                    <w:jc w:val="center"/>
                    <w:rPr>
                      <w:szCs w:val="21"/>
                    </w:rPr>
                  </w:pPr>
                  <w:r>
                    <w:rPr>
                      <w:szCs w:val="21"/>
                    </w:rPr>
                    <w:t>83~88</w:t>
                  </w:r>
                </w:p>
              </w:tc>
              <w:tc>
                <w:tcPr>
                  <w:tcW w:w="858" w:type="pct"/>
                  <w:shd w:val="clear" w:color="auto" w:fill="auto"/>
                  <w:vAlign w:val="center"/>
                </w:tcPr>
                <w:p w14:paraId="59FBC452">
                  <w:pPr>
                    <w:jc w:val="center"/>
                    <w:rPr>
                      <w:szCs w:val="21"/>
                    </w:rPr>
                  </w:pPr>
                  <w:r>
                    <w:rPr>
                      <w:szCs w:val="21"/>
                    </w:rPr>
                    <w:t>82~90</w:t>
                  </w:r>
                </w:p>
              </w:tc>
            </w:tr>
            <w:tr w14:paraId="01B32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1" w:type="pct"/>
                  <w:vMerge w:val="continue"/>
                  <w:shd w:val="clear" w:color="auto" w:fill="auto"/>
                  <w:vAlign w:val="center"/>
                </w:tcPr>
                <w:p w14:paraId="74CA7FC4">
                  <w:pPr>
                    <w:jc w:val="center"/>
                    <w:rPr>
                      <w:szCs w:val="21"/>
                    </w:rPr>
                  </w:pPr>
                </w:p>
              </w:tc>
              <w:tc>
                <w:tcPr>
                  <w:tcW w:w="936" w:type="pct"/>
                  <w:shd w:val="clear" w:color="auto" w:fill="auto"/>
                  <w:vAlign w:val="center"/>
                </w:tcPr>
                <w:p w14:paraId="179466E9">
                  <w:pPr>
                    <w:jc w:val="center"/>
                    <w:rPr>
                      <w:szCs w:val="21"/>
                    </w:rPr>
                  </w:pPr>
                  <w:r>
                    <w:rPr>
                      <w:rFonts w:hint="eastAsia"/>
                      <w:szCs w:val="21"/>
                    </w:rPr>
                    <w:t>距机械</w:t>
                  </w:r>
                  <w:r>
                    <w:rPr>
                      <w:szCs w:val="21"/>
                    </w:rPr>
                    <w:t>10m处</w:t>
                  </w:r>
                </w:p>
              </w:tc>
              <w:tc>
                <w:tcPr>
                  <w:tcW w:w="858" w:type="pct"/>
                  <w:shd w:val="clear" w:color="auto" w:fill="auto"/>
                  <w:vAlign w:val="center"/>
                </w:tcPr>
                <w:p w14:paraId="333CB0EB">
                  <w:pPr>
                    <w:jc w:val="center"/>
                    <w:rPr>
                      <w:szCs w:val="21"/>
                    </w:rPr>
                  </w:pPr>
                  <w:r>
                    <w:rPr>
                      <w:szCs w:val="21"/>
                    </w:rPr>
                    <w:t>78~86</w:t>
                  </w:r>
                </w:p>
              </w:tc>
              <w:tc>
                <w:tcPr>
                  <w:tcW w:w="859" w:type="pct"/>
                  <w:shd w:val="clear" w:color="auto" w:fill="auto"/>
                  <w:vAlign w:val="center"/>
                </w:tcPr>
                <w:p w14:paraId="3A5BEAA8">
                  <w:pPr>
                    <w:jc w:val="center"/>
                    <w:rPr>
                      <w:szCs w:val="21"/>
                    </w:rPr>
                  </w:pPr>
                  <w:r>
                    <w:rPr>
                      <w:szCs w:val="21"/>
                    </w:rPr>
                    <w:t>85~91</w:t>
                  </w:r>
                </w:p>
              </w:tc>
              <w:tc>
                <w:tcPr>
                  <w:tcW w:w="858" w:type="pct"/>
                  <w:shd w:val="clear" w:color="auto" w:fill="auto"/>
                  <w:vAlign w:val="center"/>
                </w:tcPr>
                <w:p w14:paraId="73460D37">
                  <w:pPr>
                    <w:jc w:val="center"/>
                    <w:rPr>
                      <w:szCs w:val="21"/>
                    </w:rPr>
                  </w:pPr>
                  <w:r>
                    <w:rPr>
                      <w:szCs w:val="21"/>
                    </w:rPr>
                    <w:t>80~85</w:t>
                  </w:r>
                </w:p>
              </w:tc>
              <w:tc>
                <w:tcPr>
                  <w:tcW w:w="858" w:type="pct"/>
                  <w:shd w:val="clear" w:color="auto" w:fill="auto"/>
                  <w:vAlign w:val="center"/>
                </w:tcPr>
                <w:p w14:paraId="6175DD2E">
                  <w:pPr>
                    <w:jc w:val="center"/>
                    <w:rPr>
                      <w:szCs w:val="21"/>
                    </w:rPr>
                  </w:pPr>
                  <w:r>
                    <w:rPr>
                      <w:szCs w:val="21"/>
                    </w:rPr>
                    <w:t>78~86</w:t>
                  </w:r>
                </w:p>
              </w:tc>
            </w:tr>
          </w:tbl>
          <w:p w14:paraId="5090CBB7">
            <w:pPr>
              <w:spacing w:line="360" w:lineRule="auto"/>
              <w:ind w:firstLine="480" w:firstLineChars="200"/>
              <w:rPr>
                <w:sz w:val="24"/>
                <w:szCs w:val="24"/>
              </w:rPr>
            </w:pPr>
            <w:r>
              <w:rPr>
                <w:rFonts w:hint="eastAsia"/>
                <w:sz w:val="24"/>
                <w:szCs w:val="24"/>
              </w:rPr>
              <w:t>为实现施工场界噪声达标排放，降低施工噪声对周围环境的影响，根据《中华人民共和国噪声污染防治法》的有关要求，建设单位和施工单位应采取以下噪声防治措施：</w:t>
            </w:r>
          </w:p>
          <w:p w14:paraId="5DE41129">
            <w:pPr>
              <w:spacing w:line="360" w:lineRule="auto"/>
              <w:ind w:firstLine="480" w:firstLineChars="200"/>
              <w:rPr>
                <w:sz w:val="24"/>
                <w:szCs w:val="24"/>
              </w:rPr>
            </w:pPr>
            <w:r>
              <w:rPr>
                <w:rFonts w:hint="eastAsia"/>
                <w:sz w:val="24"/>
                <w:szCs w:val="24"/>
              </w:rPr>
              <w:t>①建设单位应当按照规定将噪声污染防治费用列入工程造价，在施工合同中明确施工单位的噪声污染防治责任。施工单位应结合施工工地现场条件、周边噪声敏感点分布，识别主要噪声污染源，明确噪声污染防治的具体措施，编制噪声污染防治方案。</w:t>
            </w:r>
          </w:p>
          <w:p w14:paraId="11732F09">
            <w:pPr>
              <w:spacing w:line="360" w:lineRule="auto"/>
              <w:ind w:firstLine="480" w:firstLineChars="200"/>
              <w:rPr>
                <w:sz w:val="24"/>
                <w:szCs w:val="24"/>
              </w:rPr>
            </w:pPr>
            <w:r>
              <w:rPr>
                <w:rFonts w:hint="eastAsia"/>
                <w:sz w:val="24"/>
                <w:szCs w:val="24"/>
              </w:rPr>
              <w:t>②选用低噪声施工工艺，采用符合国家相关标准或经实际监测近场5m处噪声优于《环境噪声与振动控制工程技术导则》（HJ2034）附录A2的低噪声施工设备。</w:t>
            </w:r>
          </w:p>
          <w:p w14:paraId="0AE01748">
            <w:pPr>
              <w:spacing w:line="360" w:lineRule="auto"/>
              <w:ind w:firstLine="480" w:firstLineChars="200"/>
              <w:rPr>
                <w:sz w:val="24"/>
                <w:szCs w:val="24"/>
              </w:rPr>
            </w:pPr>
            <w:r>
              <w:rPr>
                <w:rFonts w:hint="eastAsia"/>
                <w:sz w:val="24"/>
                <w:szCs w:val="24"/>
              </w:rPr>
              <w:t>③建设单位应当按照国家规定，设置噪声自动监测系统，与监督管理部门联网，保存原始监测记录，对监测数据的真实性和准确性负责。</w:t>
            </w:r>
          </w:p>
          <w:p w14:paraId="51E9E2AC">
            <w:pPr>
              <w:spacing w:line="360" w:lineRule="auto"/>
              <w:ind w:firstLine="480" w:firstLineChars="200"/>
              <w:rPr>
                <w:sz w:val="24"/>
                <w:szCs w:val="24"/>
              </w:rPr>
            </w:pPr>
            <w:r>
              <w:rPr>
                <w:rFonts w:hint="eastAsia"/>
                <w:sz w:val="24"/>
                <w:szCs w:val="24"/>
              </w:rPr>
              <w:t>④禁止夜间（22:00~6:00）进行产生噪声的建筑施工作业，因工艺要求或者特殊需要确需进行夜间施工的必须办理《夜间施工许可证》，严格按照许可时限和许可范围进行夜间施工，并在施工现场进出口的显著位置公示夜间施工许可证书，公告附近居民。</w:t>
            </w:r>
          </w:p>
          <w:p w14:paraId="14A9BF32">
            <w:pPr>
              <w:spacing w:line="360" w:lineRule="auto"/>
              <w:ind w:firstLine="480" w:firstLineChars="200"/>
              <w:rPr>
                <w:sz w:val="24"/>
                <w:szCs w:val="24"/>
              </w:rPr>
            </w:pPr>
            <w:r>
              <w:rPr>
                <w:rFonts w:hint="eastAsia"/>
                <w:sz w:val="24"/>
                <w:szCs w:val="24"/>
              </w:rPr>
              <w:t>⑤合理布局施工平面，应充分考虑不同区域的噪声影响和需求，高噪声施工设备应远离周边噪声敏感建筑物布置。</w:t>
            </w:r>
          </w:p>
          <w:p w14:paraId="4F18AB6B">
            <w:pPr>
              <w:spacing w:line="360" w:lineRule="auto"/>
              <w:ind w:firstLine="480" w:firstLineChars="200"/>
              <w:rPr>
                <w:sz w:val="24"/>
                <w:szCs w:val="24"/>
              </w:rPr>
            </w:pPr>
            <w:r>
              <w:rPr>
                <w:rFonts w:hint="eastAsia"/>
                <w:sz w:val="24"/>
                <w:szCs w:val="24"/>
              </w:rPr>
              <w:t>⑥加强管理，文明施工。装卸、搬运木材、模具、钢材等严禁抛掷，运输车辆实施限速、禁止鸣笛。运输车辆应按照有关部门同意的运输路线行进，运输时间应避开居民进出高峰期。</w:t>
            </w:r>
          </w:p>
          <w:p w14:paraId="007501F0">
            <w:pPr>
              <w:spacing w:line="360" w:lineRule="auto"/>
              <w:ind w:firstLine="480" w:firstLineChars="200"/>
              <w:rPr>
                <w:sz w:val="24"/>
                <w:szCs w:val="24"/>
              </w:rPr>
            </w:pPr>
            <w:r>
              <w:rPr>
                <w:rFonts w:hint="eastAsia"/>
                <w:sz w:val="24"/>
                <w:szCs w:val="24"/>
              </w:rPr>
              <w:t>⑦施工前应进行公示，施工单位应在现场张贴通告和投诉电话，建设单位在接到投诉电话后及时与主管部门联系，及时处理各种环境纠纷。</w:t>
            </w:r>
          </w:p>
          <w:p w14:paraId="23D81467">
            <w:pPr>
              <w:spacing w:line="360" w:lineRule="auto"/>
              <w:ind w:firstLine="482" w:firstLineChars="200"/>
              <w:rPr>
                <w:b/>
                <w:sz w:val="24"/>
                <w:szCs w:val="24"/>
              </w:rPr>
            </w:pPr>
            <w:r>
              <w:rPr>
                <w:b/>
                <w:sz w:val="24"/>
                <w:szCs w:val="24"/>
              </w:rPr>
              <w:t>4</w:t>
            </w:r>
            <w:r>
              <w:rPr>
                <w:rFonts w:hint="eastAsia"/>
                <w:b/>
                <w:sz w:val="24"/>
                <w:szCs w:val="24"/>
              </w:rPr>
              <w:t>、固体废物</w:t>
            </w:r>
          </w:p>
          <w:p w14:paraId="33938072">
            <w:pPr>
              <w:spacing w:line="360" w:lineRule="auto"/>
              <w:ind w:firstLine="482" w:firstLineChars="200"/>
              <w:rPr>
                <w:b/>
                <w:sz w:val="24"/>
                <w:szCs w:val="24"/>
              </w:rPr>
            </w:pPr>
            <w:r>
              <w:rPr>
                <w:rFonts w:hint="eastAsia"/>
                <w:b/>
                <w:sz w:val="24"/>
                <w:szCs w:val="24"/>
              </w:rPr>
              <w:t>（1）土石方</w:t>
            </w:r>
          </w:p>
          <w:p w14:paraId="3CB37044">
            <w:pPr>
              <w:spacing w:line="360" w:lineRule="auto"/>
              <w:ind w:firstLine="480" w:firstLineChars="200"/>
              <w:rPr>
                <w:sz w:val="24"/>
                <w:szCs w:val="24"/>
              </w:rPr>
            </w:pPr>
            <w:r>
              <w:rPr>
                <w:rFonts w:hint="eastAsia"/>
                <w:sz w:val="24"/>
                <w:szCs w:val="24"/>
              </w:rPr>
              <w:t>施工期开挖土石方全部用于场地回填、调整场平，无弃土产生。为防止施工期土石方处置不当对周围环境的影响，本环评要求：施工期禁止大风天气和雨天进行土石方开挖作业，开挖的土石方应及时回填，不能及时回填的应设立临时堆土场，</w:t>
            </w:r>
            <w:r>
              <w:rPr>
                <w:rFonts w:hint="eastAsia" w:cs="Times New Roman"/>
                <w:kern w:val="0"/>
                <w:sz w:val="24"/>
                <w:szCs w:val="24"/>
              </w:rPr>
              <w:t>采用防尘防雨布覆盖</w:t>
            </w:r>
            <w:r>
              <w:rPr>
                <w:rFonts w:hint="eastAsia"/>
                <w:sz w:val="24"/>
                <w:szCs w:val="24"/>
              </w:rPr>
              <w:t>；施工完成后，应尽快进行绿化建设，优先选用固沙植物，覆盖的泥土应不超出绿化边界。</w:t>
            </w:r>
          </w:p>
          <w:p w14:paraId="4AE6B08A">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）建筑垃圾</w:t>
            </w:r>
          </w:p>
          <w:p w14:paraId="0F0F7966">
            <w:pPr>
              <w:spacing w:line="360" w:lineRule="auto"/>
              <w:ind w:firstLine="480" w:firstLineChars="200"/>
              <w:rPr>
                <w:sz w:val="24"/>
                <w:szCs w:val="24"/>
              </w:rPr>
            </w:pPr>
            <w:r>
              <w:rPr>
                <w:rFonts w:hint="eastAsia"/>
                <w:sz w:val="24"/>
                <w:szCs w:val="24"/>
              </w:rPr>
              <w:t>施工期建筑垃圾包括建筑废料和装修垃圾，预计产生量约10t，环评要求：施工期产生的建筑垃圾，应在48小时内及时清运；建筑垃圾在48小时内</w:t>
            </w:r>
            <w:bookmarkStart w:id="7" w:name="_Hlk92568536"/>
            <w:r>
              <w:rPr>
                <w:rFonts w:hint="eastAsia"/>
                <w:sz w:val="24"/>
                <w:szCs w:val="24"/>
              </w:rPr>
              <w:t>未能清运的，施工现场应设置建筑垃圾临时堆放场，临时堆放场应采取围挡、覆盖等防尘措施</w:t>
            </w:r>
            <w:bookmarkEnd w:id="7"/>
            <w:r>
              <w:rPr>
                <w:rFonts w:hint="eastAsia"/>
                <w:sz w:val="24"/>
                <w:szCs w:val="24"/>
              </w:rPr>
              <w:t>；施工现场建筑垃圾清运时，建设单位或施工单位应与建筑垃圾运输和处置企业依法签订建筑垃圾运输、处置协议。建设单位或施工单位应在施工现场派驻建筑垃圾处置管理员，负责监督建筑垃圾外运时运渣车辆是否密闭运输、冲洗除尘和号牌清晰，做到不带泥出门，不冒顶装载。</w:t>
            </w:r>
          </w:p>
          <w:p w14:paraId="5FB0FAAC">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）生活垃圾</w:t>
            </w:r>
          </w:p>
          <w:p w14:paraId="238D704D">
            <w:pPr>
              <w:spacing w:line="360" w:lineRule="auto"/>
              <w:ind w:firstLine="480" w:firstLineChars="200"/>
              <w:rPr>
                <w:sz w:val="24"/>
                <w:szCs w:val="24"/>
              </w:rPr>
            </w:pPr>
            <w:r>
              <w:rPr>
                <w:rFonts w:hint="eastAsia"/>
                <w:sz w:val="24"/>
                <w:szCs w:val="24"/>
              </w:rPr>
              <w:t>施工期生活垃圾</w:t>
            </w:r>
            <w:r>
              <w:rPr>
                <w:rFonts w:cs="Times New Roman"/>
                <w:sz w:val="24"/>
                <w:szCs w:val="24"/>
              </w:rPr>
              <w:t>主要为施工人员办公生活过程</w:t>
            </w:r>
            <w:r>
              <w:rPr>
                <w:rFonts w:hint="eastAsia" w:cs="Times New Roman"/>
                <w:sz w:val="24"/>
                <w:szCs w:val="24"/>
                <w:lang w:val="en-US" w:eastAsia="zh-CN"/>
              </w:rPr>
              <w:t>中</w:t>
            </w:r>
            <w:r>
              <w:rPr>
                <w:rFonts w:cs="Times New Roman"/>
                <w:sz w:val="24"/>
                <w:szCs w:val="24"/>
              </w:rPr>
              <w:t>产生的垃圾，施工人员预计约50人，生活垃圾产生量按0.5kg/人·d计，预计产生量25kg/d，生活垃圾经袋装收集后，由环卫部门统一清运处理。</w:t>
            </w:r>
          </w:p>
          <w:p w14:paraId="4E9DD9BF">
            <w:pPr>
              <w:spacing w:line="360" w:lineRule="auto"/>
              <w:ind w:firstLine="482" w:firstLineChars="200"/>
              <w:rPr>
                <w:b/>
                <w:sz w:val="24"/>
                <w:szCs w:val="24"/>
              </w:rPr>
            </w:pPr>
            <w:r>
              <w:rPr>
                <w:b/>
                <w:sz w:val="24"/>
                <w:szCs w:val="24"/>
              </w:rPr>
              <w:t>5</w:t>
            </w:r>
            <w:r>
              <w:rPr>
                <w:rFonts w:hint="eastAsia"/>
                <w:b/>
                <w:sz w:val="24"/>
                <w:szCs w:val="24"/>
              </w:rPr>
              <w:t>、生态影响</w:t>
            </w:r>
          </w:p>
          <w:p w14:paraId="18B75293">
            <w:pPr>
              <w:spacing w:line="360" w:lineRule="auto"/>
              <w:ind w:firstLine="480" w:firstLineChars="200"/>
              <w:rPr>
                <w:sz w:val="24"/>
                <w:szCs w:val="24"/>
              </w:rPr>
            </w:pPr>
            <w:r>
              <w:rPr>
                <w:rFonts w:hint="eastAsia"/>
                <w:sz w:val="24"/>
                <w:szCs w:val="24"/>
              </w:rPr>
              <w:t>工程施工期对生态的影响和破坏的途径主要为土石方填挖、场地平整等使原有土壤结构发生改变，破坏原有植被，在一定时段和一定区域将造成水土流失。为防止施工期水土流失，环评要求施工阶段应采取以下措施：</w:t>
            </w:r>
          </w:p>
          <w:p w14:paraId="4BE7913E">
            <w:pPr>
              <w:spacing w:line="360" w:lineRule="auto"/>
              <w:ind w:firstLine="480" w:firstLineChars="200"/>
              <w:rPr>
                <w:sz w:val="24"/>
                <w:szCs w:val="24"/>
              </w:rPr>
            </w:pPr>
            <w:r>
              <w:rPr>
                <w:rFonts w:hint="eastAsia"/>
                <w:sz w:val="24"/>
                <w:szCs w:val="24"/>
              </w:rPr>
              <w:t>①严格遵守环保法律法规，加强施工人员环保意识；科学合理地安排施工进度与时序，严格控制开挖施工作业面。</w:t>
            </w:r>
          </w:p>
          <w:p w14:paraId="0DBBC813">
            <w:pPr>
              <w:spacing w:line="360" w:lineRule="auto"/>
              <w:ind w:firstLine="480" w:firstLineChars="200"/>
              <w:rPr>
                <w:sz w:val="24"/>
                <w:szCs w:val="24"/>
              </w:rPr>
            </w:pPr>
            <w:r>
              <w:rPr>
                <w:rFonts w:hint="eastAsia"/>
                <w:sz w:val="24"/>
                <w:szCs w:val="24"/>
              </w:rPr>
              <w:t>②为防止雨水、地表径流对堆料场和渣（土）体的冲刷，应对临时堆土、裸土采取覆盖、拦挡措施，避免雨水冲刷造成水土流失。</w:t>
            </w:r>
          </w:p>
          <w:p w14:paraId="39249F89">
            <w:pPr>
              <w:spacing w:line="360" w:lineRule="auto"/>
              <w:ind w:firstLine="480" w:firstLineChars="200"/>
              <w:rPr>
                <w:sz w:val="24"/>
                <w:szCs w:val="24"/>
              </w:rPr>
            </w:pPr>
            <w:r>
              <w:rPr>
                <w:rFonts w:hint="eastAsia"/>
                <w:sz w:val="24"/>
                <w:szCs w:val="24"/>
              </w:rPr>
              <w:t>③做好表层土剥离、暂存工作，施工结束后及时进行回铺表土、撒草绿化等，所选草种应具有抗逆性强、保土性好、生长快的特点，最大限度保护和恢复植被。</w:t>
            </w:r>
          </w:p>
        </w:tc>
      </w:tr>
      <w:tr w14:paraId="5E1A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717275FD">
            <w:pPr>
              <w:spacing w:line="360" w:lineRule="auto"/>
              <w:jc w:val="center"/>
              <w:rPr>
                <w:rFonts w:cs="Times New Roman"/>
                <w:sz w:val="24"/>
                <w:szCs w:val="24"/>
              </w:rPr>
            </w:pPr>
            <w:r>
              <w:rPr>
                <w:rFonts w:hint="eastAsia" w:cs="Times New Roman"/>
                <w:sz w:val="24"/>
                <w:szCs w:val="24"/>
              </w:rPr>
              <w:t>运营期环境影响和保护措施</w:t>
            </w:r>
          </w:p>
        </w:tc>
        <w:tc>
          <w:tcPr>
            <w:tcW w:w="4756" w:type="pct"/>
            <w:vAlign w:val="center"/>
          </w:tcPr>
          <w:p w14:paraId="4F256A96">
            <w:pPr>
              <w:spacing w:line="360" w:lineRule="auto"/>
              <w:ind w:firstLine="482" w:firstLineChars="200"/>
              <w:rPr>
                <w:b/>
                <w:sz w:val="24"/>
                <w:szCs w:val="24"/>
              </w:rPr>
            </w:pPr>
            <w:r>
              <w:rPr>
                <w:rFonts w:hint="eastAsia"/>
                <w:b/>
                <w:sz w:val="24"/>
                <w:szCs w:val="24"/>
              </w:rPr>
              <w:t>1、废气</w:t>
            </w:r>
          </w:p>
          <w:p w14:paraId="6976EA1C">
            <w:pPr>
              <w:spacing w:line="360" w:lineRule="auto"/>
              <w:ind w:firstLine="482" w:firstLineChars="200"/>
              <w:rPr>
                <w:rFonts w:cs="Times New Roman"/>
                <w:b/>
                <w:bCs/>
                <w:sz w:val="24"/>
                <w:szCs w:val="24"/>
              </w:rPr>
            </w:pPr>
            <w:r>
              <w:rPr>
                <w:rFonts w:hint="eastAsia" w:cs="Times New Roman"/>
                <w:b/>
                <w:bCs/>
                <w:sz w:val="24"/>
                <w:szCs w:val="24"/>
              </w:rPr>
              <w:t>（1）产生源及治理措施</w:t>
            </w:r>
          </w:p>
          <w:p w14:paraId="12002A69">
            <w:pPr>
              <w:spacing w:line="360" w:lineRule="auto"/>
              <w:ind w:firstLine="482" w:firstLineChars="200"/>
              <w:rPr>
                <w:rFonts w:cs="Times New Roman"/>
                <w:b/>
                <w:bCs/>
                <w:sz w:val="24"/>
                <w:szCs w:val="24"/>
              </w:rPr>
            </w:pPr>
            <w:r>
              <w:rPr>
                <w:rFonts w:hint="eastAsia" w:cs="Times New Roman"/>
                <w:b/>
                <w:bCs/>
                <w:sz w:val="24"/>
                <w:szCs w:val="24"/>
              </w:rPr>
              <w:t>1）有机废气</w:t>
            </w:r>
          </w:p>
          <w:p w14:paraId="2B67C9C0">
            <w:pPr>
              <w:spacing w:line="360" w:lineRule="auto"/>
              <w:ind w:firstLine="482" w:firstLineChars="200"/>
              <w:rPr>
                <w:rFonts w:cs="Times New Roman"/>
                <w:b/>
                <w:bCs/>
                <w:sz w:val="24"/>
                <w:szCs w:val="24"/>
              </w:rPr>
            </w:pPr>
            <w:r>
              <w:rPr>
                <w:rFonts w:hint="eastAsia" w:cs="Times New Roman"/>
                <w:b/>
                <w:bCs/>
                <w:sz w:val="24"/>
                <w:szCs w:val="24"/>
              </w:rPr>
              <w:t>①产生情况</w:t>
            </w:r>
          </w:p>
          <w:p w14:paraId="4BFC9290">
            <w:pPr>
              <w:spacing w:line="360" w:lineRule="auto"/>
              <w:ind w:firstLine="482" w:firstLineChars="200"/>
              <w:rPr>
                <w:rFonts w:cs="Times New Roman"/>
                <w:b/>
                <w:bCs/>
                <w:sz w:val="24"/>
                <w:szCs w:val="24"/>
              </w:rPr>
            </w:pPr>
            <w:r>
              <w:rPr>
                <w:rFonts w:hint="eastAsia" w:cs="Times New Roman"/>
                <w:b/>
                <w:bCs/>
                <w:sz w:val="24"/>
                <w:szCs w:val="24"/>
              </w:rPr>
              <w:t>A、注塑成型</w:t>
            </w:r>
          </w:p>
          <w:p w14:paraId="65FD8FCD">
            <w:pPr>
              <w:spacing w:line="360" w:lineRule="auto"/>
              <w:ind w:firstLine="480" w:firstLineChars="200"/>
              <w:rPr>
                <w:rFonts w:cs="Times New Roman"/>
                <w:sz w:val="24"/>
                <w:szCs w:val="24"/>
              </w:rPr>
            </w:pPr>
            <w:r>
              <w:rPr>
                <w:rFonts w:hint="eastAsia" w:cs="Times New Roman"/>
                <w:sz w:val="24"/>
                <w:szCs w:val="24"/>
              </w:rPr>
              <w:t>运营期生产原料为ABS塑料，ABS热分解温度&gt;250℃，项目注塑成型过程温度约220℃，未达到塑料分解温度，因此上述物质在注塑成型过程中不会发生热分解，但塑料在熔融状态下会挥发出少量有机废气，主要为VOCs和ABS塑料中的单体物质（苯乙烯、丙烯腈、1,3-丁二烯、甲苯、乙苯）。</w:t>
            </w:r>
          </w:p>
          <w:p w14:paraId="6CB677E6">
            <w:pPr>
              <w:spacing w:line="360" w:lineRule="auto"/>
              <w:ind w:firstLine="482" w:firstLineChars="200"/>
              <w:rPr>
                <w:rFonts w:cs="Times New Roman"/>
                <w:sz w:val="24"/>
                <w:szCs w:val="24"/>
              </w:rPr>
            </w:pPr>
            <w:r>
              <w:rPr>
                <w:rFonts w:hint="eastAsia" w:cs="Times New Roman"/>
                <w:b/>
                <w:bCs/>
                <w:sz w:val="24"/>
                <w:szCs w:val="24"/>
              </w:rPr>
              <w:t>VOCs</w:t>
            </w:r>
            <w:r>
              <w:rPr>
                <w:rFonts w:hint="eastAsia" w:cs="Times New Roman"/>
                <w:sz w:val="24"/>
                <w:szCs w:val="24"/>
              </w:rPr>
              <w:t>：根据《排放源统计调查产排污核算方法和系数手册》中“292 塑料制品行业系数手册”，注塑过程中挥发性有机物（以VOCs计）产生系数为2.70kg/t-产品。本项目年产3000万只酒瓶外包装盒（净重35g/只）和1000万只日用家电配件（净重60g/只），折算重量约1650t/a，则注塑成型过程VOCs产生量约4.455t/a。</w:t>
            </w:r>
          </w:p>
          <w:p w14:paraId="432B76DE">
            <w:pPr>
              <w:spacing w:line="360" w:lineRule="auto"/>
              <w:ind w:firstLine="482" w:firstLineChars="200"/>
              <w:rPr>
                <w:rFonts w:cs="Times New Roman"/>
                <w:sz w:val="24"/>
                <w:szCs w:val="24"/>
              </w:rPr>
            </w:pPr>
            <w:r>
              <w:rPr>
                <w:rFonts w:hint="eastAsia" w:cs="Times New Roman"/>
                <w:b/>
                <w:bCs/>
                <w:sz w:val="24"/>
                <w:szCs w:val="24"/>
              </w:rPr>
              <w:t>苯乙烯</w:t>
            </w:r>
            <w:r>
              <w:rPr>
                <w:rFonts w:hint="eastAsia" w:cs="Times New Roman"/>
                <w:sz w:val="24"/>
                <w:szCs w:val="24"/>
              </w:rPr>
              <w:t>：根据《丙烯腈-丁二烯-苯乙烯塑料残留单体含量的研究》（李丽，炼油与化工，2016(6):62-63），ABS塑料中苯乙烯单体含量为25.55mg/kg。本项目ABS塑料年用量</w:t>
            </w:r>
            <w:r>
              <w:rPr>
                <w:rFonts w:cs="Times New Roman"/>
                <w:sz w:val="24"/>
                <w:szCs w:val="24"/>
              </w:rPr>
              <w:t>1658.064</w:t>
            </w:r>
            <w:r>
              <w:rPr>
                <w:rFonts w:hint="eastAsia" w:cs="Times New Roman"/>
                <w:sz w:val="24"/>
                <w:szCs w:val="24"/>
              </w:rPr>
              <w:t>t/a，则注塑成型过程苯乙烯产生量约</w:t>
            </w:r>
            <w:r>
              <w:rPr>
                <w:rFonts w:cs="Times New Roman"/>
                <w:sz w:val="24"/>
                <w:szCs w:val="24"/>
              </w:rPr>
              <w:t>0.042</w:t>
            </w:r>
            <w:r>
              <w:rPr>
                <w:rFonts w:hint="eastAsia" w:cs="Times New Roman"/>
                <w:sz w:val="24"/>
                <w:szCs w:val="24"/>
              </w:rPr>
              <w:t>4t/a。</w:t>
            </w:r>
          </w:p>
          <w:p w14:paraId="4342115E">
            <w:pPr>
              <w:spacing w:line="360" w:lineRule="auto"/>
              <w:ind w:firstLine="482" w:firstLineChars="200"/>
              <w:rPr>
                <w:rFonts w:cs="Times New Roman"/>
                <w:sz w:val="24"/>
                <w:szCs w:val="24"/>
              </w:rPr>
            </w:pPr>
            <w:r>
              <w:rPr>
                <w:rFonts w:hint="eastAsia" w:cs="Times New Roman"/>
                <w:b/>
                <w:bCs/>
                <w:sz w:val="24"/>
                <w:szCs w:val="24"/>
              </w:rPr>
              <w:t>丙烯腈</w:t>
            </w:r>
            <w:r>
              <w:rPr>
                <w:rFonts w:hint="eastAsia" w:cs="Times New Roman"/>
                <w:sz w:val="24"/>
                <w:szCs w:val="24"/>
              </w:rPr>
              <w:t>：根据《丙烯腈-丁二烯-苯乙烯塑料残留单体含量的研究》（李丽，炼油与化工，2016(6):62-63），ABS塑料中丙烯腈单体含量为10.63mg/kg。本项目ABS塑料年用量</w:t>
            </w:r>
            <w:r>
              <w:rPr>
                <w:rFonts w:cs="Times New Roman"/>
                <w:sz w:val="24"/>
                <w:szCs w:val="24"/>
              </w:rPr>
              <w:t>1658.064</w:t>
            </w:r>
            <w:r>
              <w:rPr>
                <w:rFonts w:hint="eastAsia" w:cs="Times New Roman"/>
                <w:sz w:val="24"/>
                <w:szCs w:val="24"/>
              </w:rPr>
              <w:t>t/a，则注塑成型过程丙烯腈产生量约</w:t>
            </w:r>
            <w:r>
              <w:rPr>
                <w:rFonts w:cs="Times New Roman"/>
                <w:sz w:val="24"/>
                <w:szCs w:val="24"/>
              </w:rPr>
              <w:t>0.0176</w:t>
            </w:r>
            <w:r>
              <w:rPr>
                <w:rFonts w:hint="eastAsia" w:cs="Times New Roman"/>
                <w:sz w:val="24"/>
                <w:szCs w:val="24"/>
              </w:rPr>
              <w:t>t/a。</w:t>
            </w:r>
          </w:p>
          <w:p w14:paraId="6DC7B630">
            <w:pPr>
              <w:spacing w:line="360" w:lineRule="auto"/>
              <w:ind w:firstLine="482" w:firstLineChars="200"/>
              <w:rPr>
                <w:rFonts w:cs="Times New Roman"/>
                <w:sz w:val="24"/>
                <w:szCs w:val="24"/>
              </w:rPr>
            </w:pPr>
            <w:r>
              <w:rPr>
                <w:rFonts w:hint="eastAsia" w:cs="Times New Roman"/>
                <w:b/>
                <w:bCs/>
                <w:sz w:val="24"/>
                <w:szCs w:val="24"/>
              </w:rPr>
              <w:t>1,3-丁二烯</w:t>
            </w:r>
            <w:r>
              <w:rPr>
                <w:rFonts w:hint="eastAsia" w:cs="Times New Roman"/>
                <w:sz w:val="24"/>
                <w:szCs w:val="24"/>
              </w:rPr>
              <w:t>：根据《PS和ABS制品中1,3-丁二烯残留量的测定》（陈旭明、刘贵深等，塑料包装，2018(28):29-32），ABS塑料中1,3-丁二烯单体含量为2.15~4.31mg/kg，本次环评按最不利4.31mg/kg计。本项目ABS塑料年用量</w:t>
            </w:r>
            <w:r>
              <w:rPr>
                <w:rFonts w:cs="Times New Roman"/>
                <w:sz w:val="24"/>
                <w:szCs w:val="24"/>
              </w:rPr>
              <w:t>1658.064</w:t>
            </w:r>
            <w:r>
              <w:rPr>
                <w:rFonts w:hint="eastAsia" w:cs="Times New Roman"/>
                <w:sz w:val="24"/>
                <w:szCs w:val="24"/>
              </w:rPr>
              <w:t>t/a，则注塑成型过程1,3-丁二烯产生量约0.0071t/a。</w:t>
            </w:r>
          </w:p>
          <w:p w14:paraId="074D9C0A">
            <w:pPr>
              <w:spacing w:line="360" w:lineRule="auto"/>
              <w:ind w:firstLine="482" w:firstLineChars="200"/>
              <w:rPr>
                <w:rFonts w:cs="Times New Roman"/>
                <w:sz w:val="24"/>
                <w:szCs w:val="24"/>
              </w:rPr>
            </w:pPr>
            <w:r>
              <w:rPr>
                <w:rFonts w:hint="eastAsia" w:cs="Times New Roman"/>
                <w:b/>
                <w:bCs/>
                <w:sz w:val="24"/>
                <w:szCs w:val="24"/>
              </w:rPr>
              <w:t>甲苯</w:t>
            </w:r>
            <w:r>
              <w:rPr>
                <w:rFonts w:hint="eastAsia" w:cs="Times New Roman"/>
                <w:sz w:val="24"/>
                <w:szCs w:val="24"/>
              </w:rPr>
              <w:t>：根据《丙烯腈-丁二烯-苯乙烯（ABS）塑料中残留单体的溶解沉淀-气相色谱法测定》（袁丽凤、邬蓓蕾等，分析测试学报，2008(27):1095-1098），ABS塑料中甲苯单体含量为33.2mg/kg。本项目ABS塑料年用量</w:t>
            </w:r>
            <w:r>
              <w:rPr>
                <w:rFonts w:cs="Times New Roman"/>
                <w:sz w:val="24"/>
                <w:szCs w:val="24"/>
              </w:rPr>
              <w:t>1658.064</w:t>
            </w:r>
            <w:r>
              <w:rPr>
                <w:rFonts w:hint="eastAsia" w:cs="Times New Roman"/>
                <w:sz w:val="24"/>
                <w:szCs w:val="24"/>
              </w:rPr>
              <w:t>t/a，则注塑成型过程甲苯产生量约0.055t/a。</w:t>
            </w:r>
          </w:p>
          <w:p w14:paraId="695932C5">
            <w:pPr>
              <w:spacing w:line="360" w:lineRule="auto"/>
              <w:ind w:firstLine="482" w:firstLineChars="200"/>
              <w:rPr>
                <w:rFonts w:cs="Times New Roman"/>
                <w:sz w:val="24"/>
                <w:szCs w:val="24"/>
              </w:rPr>
            </w:pPr>
            <w:r>
              <w:rPr>
                <w:rFonts w:hint="eastAsia" w:cs="Times New Roman"/>
                <w:b/>
                <w:bCs/>
                <w:sz w:val="24"/>
                <w:szCs w:val="24"/>
              </w:rPr>
              <w:t>乙苯</w:t>
            </w:r>
            <w:r>
              <w:rPr>
                <w:rFonts w:hint="eastAsia" w:cs="Times New Roman"/>
                <w:sz w:val="24"/>
                <w:szCs w:val="24"/>
              </w:rPr>
              <w:t>：根据《丙烯腈-丁二烯-苯乙烯塑料残留单体含量的研究》（李丽，炼油与化工，2016(6):62-63），ABS塑料中乙苯单体含量为15.34mg/kg。本项目ABS塑料年用量</w:t>
            </w:r>
            <w:r>
              <w:rPr>
                <w:rFonts w:cs="Times New Roman"/>
                <w:sz w:val="24"/>
                <w:szCs w:val="24"/>
              </w:rPr>
              <w:t>1658.064</w:t>
            </w:r>
            <w:r>
              <w:rPr>
                <w:rFonts w:hint="eastAsia" w:cs="Times New Roman"/>
                <w:sz w:val="24"/>
                <w:szCs w:val="24"/>
              </w:rPr>
              <w:t>t/a，则注塑成型过程乙苯产生量约0.0254t/a。</w:t>
            </w:r>
          </w:p>
          <w:p w14:paraId="604D63F5">
            <w:pPr>
              <w:spacing w:line="360" w:lineRule="auto"/>
              <w:ind w:firstLine="482" w:firstLineChars="200"/>
              <w:rPr>
                <w:rFonts w:cs="Times New Roman"/>
                <w:b/>
                <w:bCs/>
                <w:sz w:val="24"/>
                <w:szCs w:val="24"/>
              </w:rPr>
            </w:pPr>
            <w:r>
              <w:rPr>
                <w:rFonts w:hint="eastAsia" w:cs="Times New Roman"/>
                <w:b/>
                <w:bCs/>
                <w:sz w:val="24"/>
                <w:szCs w:val="24"/>
              </w:rPr>
              <w:t>B、丝印/热转印</w:t>
            </w:r>
          </w:p>
          <w:p w14:paraId="6321A88D">
            <w:pPr>
              <w:spacing w:line="360" w:lineRule="auto"/>
              <w:ind w:firstLine="480" w:firstLineChars="200"/>
              <w:rPr>
                <w:rFonts w:cs="Times New Roman"/>
                <w:kern w:val="24"/>
                <w:sz w:val="24"/>
                <w:szCs w:val="24"/>
              </w:rPr>
            </w:pPr>
            <w:r>
              <w:rPr>
                <w:rFonts w:hint="eastAsia" w:cs="Times New Roman"/>
                <w:sz w:val="24"/>
                <w:szCs w:val="24"/>
              </w:rPr>
              <w:t>项目丝印/热转印</w:t>
            </w:r>
            <w:r>
              <w:rPr>
                <w:rFonts w:cs="Times New Roman"/>
                <w:kern w:val="24"/>
                <w:sz w:val="24"/>
                <w:szCs w:val="24"/>
              </w:rPr>
              <w:t>使用UV油墨</w:t>
            </w:r>
            <w:r>
              <w:rPr>
                <w:rFonts w:hint="eastAsia" w:cs="Times New Roman"/>
                <w:sz w:val="24"/>
                <w:szCs w:val="24"/>
              </w:rPr>
              <w:t>，印刷过程中油墨会挥发产生少量有机废气（以VOCs计）。</w:t>
            </w:r>
            <w:r>
              <w:rPr>
                <w:rFonts w:cs="Times New Roman"/>
                <w:kern w:val="24"/>
                <w:sz w:val="24"/>
                <w:szCs w:val="24"/>
              </w:rPr>
              <w:t>根据建设单位提供的《检测报告》，</w:t>
            </w:r>
            <w:r>
              <w:rPr>
                <w:rFonts w:hint="eastAsia" w:cs="Times New Roman"/>
                <w:kern w:val="24"/>
                <w:sz w:val="24"/>
                <w:szCs w:val="24"/>
              </w:rPr>
              <w:t>UV</w:t>
            </w:r>
            <w:r>
              <w:rPr>
                <w:rFonts w:cs="Times New Roman"/>
                <w:kern w:val="24"/>
                <w:sz w:val="24"/>
                <w:szCs w:val="24"/>
              </w:rPr>
              <w:t>油墨中</w:t>
            </w:r>
            <w:r>
              <w:rPr>
                <w:rFonts w:hint="eastAsia" w:cs="Times New Roman"/>
                <w:kern w:val="24"/>
                <w:sz w:val="24"/>
                <w:szCs w:val="24"/>
              </w:rPr>
              <w:t>挥发性有机物</w:t>
            </w:r>
            <w:r>
              <w:rPr>
                <w:rFonts w:cs="Times New Roman"/>
                <w:kern w:val="24"/>
                <w:sz w:val="24"/>
                <w:szCs w:val="24"/>
              </w:rPr>
              <w:t>含量为0.8%，</w:t>
            </w:r>
            <w:r>
              <w:rPr>
                <w:rFonts w:hint="eastAsia" w:cs="Times New Roman"/>
                <w:kern w:val="24"/>
                <w:sz w:val="24"/>
                <w:szCs w:val="24"/>
              </w:rPr>
              <w:t>项目UV油墨年用量0.5t/a，则油</w:t>
            </w:r>
            <w:r>
              <w:rPr>
                <w:rFonts w:hint="eastAsia" w:cs="Times New Roman"/>
                <w:sz w:val="24"/>
                <w:szCs w:val="24"/>
              </w:rPr>
              <w:t>丝印/热转印过程VOCs产生量约0.004t/a。</w:t>
            </w:r>
          </w:p>
          <w:p w14:paraId="778DEAEA">
            <w:pPr>
              <w:spacing w:line="360" w:lineRule="auto"/>
              <w:ind w:firstLine="480" w:firstLineChars="200"/>
              <w:rPr>
                <w:rFonts w:cs="Times New Roman"/>
                <w:sz w:val="24"/>
                <w:szCs w:val="24"/>
              </w:rPr>
            </w:pPr>
            <w:r>
              <w:rPr>
                <w:rFonts w:hint="eastAsia" w:cs="Times New Roman"/>
                <w:sz w:val="24"/>
                <w:szCs w:val="24"/>
              </w:rPr>
              <w:t>综上所述，本项目有机废气源强核算结果见下表。</w:t>
            </w:r>
          </w:p>
          <w:p w14:paraId="28046F6F">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有机废气源强核算结果表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1275"/>
              <w:gridCol w:w="1277"/>
              <w:gridCol w:w="1277"/>
              <w:gridCol w:w="1277"/>
              <w:gridCol w:w="1277"/>
              <w:gridCol w:w="1277"/>
            </w:tblGrid>
            <w:tr w14:paraId="28A7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Merge w:val="restart"/>
                  <w:vAlign w:val="center"/>
                </w:tcPr>
                <w:p w14:paraId="13C922CC">
                  <w:pPr>
                    <w:jc w:val="center"/>
                    <w:rPr>
                      <w:rFonts w:cs="Times New Roman"/>
                      <w:szCs w:val="21"/>
                    </w:rPr>
                  </w:pPr>
                  <w:r>
                    <w:rPr>
                      <w:rFonts w:hint="eastAsia" w:cs="Times New Roman"/>
                      <w:szCs w:val="21"/>
                    </w:rPr>
                    <w:t>产生源</w:t>
                  </w:r>
                </w:p>
              </w:tc>
              <w:tc>
                <w:tcPr>
                  <w:tcW w:w="4187" w:type="pct"/>
                  <w:gridSpan w:val="6"/>
                  <w:vAlign w:val="center"/>
                </w:tcPr>
                <w:p w14:paraId="692E19F8">
                  <w:pPr>
                    <w:jc w:val="center"/>
                    <w:rPr>
                      <w:rFonts w:cs="Times New Roman"/>
                      <w:szCs w:val="21"/>
                    </w:rPr>
                  </w:pPr>
                  <w:r>
                    <w:rPr>
                      <w:rFonts w:hint="eastAsia" w:cs="Times New Roman"/>
                      <w:szCs w:val="21"/>
                    </w:rPr>
                    <w:t>污染物产生量（t/a）</w:t>
                  </w:r>
                </w:p>
              </w:tc>
            </w:tr>
            <w:tr w14:paraId="29AA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Merge w:val="continue"/>
                  <w:vAlign w:val="center"/>
                </w:tcPr>
                <w:p w14:paraId="1DF7AEA9">
                  <w:pPr>
                    <w:jc w:val="center"/>
                    <w:rPr>
                      <w:rFonts w:cs="Times New Roman"/>
                      <w:szCs w:val="21"/>
                    </w:rPr>
                  </w:pPr>
                </w:p>
              </w:tc>
              <w:tc>
                <w:tcPr>
                  <w:tcW w:w="697" w:type="pct"/>
                  <w:vAlign w:val="center"/>
                </w:tcPr>
                <w:p w14:paraId="41F44F9A">
                  <w:pPr>
                    <w:jc w:val="center"/>
                    <w:rPr>
                      <w:rFonts w:cs="Times New Roman"/>
                      <w:szCs w:val="21"/>
                    </w:rPr>
                  </w:pPr>
                  <w:r>
                    <w:rPr>
                      <w:rFonts w:hint="eastAsia" w:cs="Times New Roman"/>
                      <w:szCs w:val="21"/>
                    </w:rPr>
                    <w:t>VOCs</w:t>
                  </w:r>
                </w:p>
              </w:tc>
              <w:tc>
                <w:tcPr>
                  <w:tcW w:w="698" w:type="pct"/>
                  <w:vAlign w:val="center"/>
                </w:tcPr>
                <w:p w14:paraId="549EA85A">
                  <w:pPr>
                    <w:jc w:val="center"/>
                    <w:rPr>
                      <w:rFonts w:cs="Times New Roman"/>
                      <w:szCs w:val="21"/>
                    </w:rPr>
                  </w:pPr>
                  <w:r>
                    <w:rPr>
                      <w:rFonts w:hint="eastAsia" w:cs="Times New Roman"/>
                      <w:szCs w:val="21"/>
                    </w:rPr>
                    <w:t>苯乙烯</w:t>
                  </w:r>
                </w:p>
              </w:tc>
              <w:tc>
                <w:tcPr>
                  <w:tcW w:w="698" w:type="pct"/>
                  <w:vAlign w:val="center"/>
                </w:tcPr>
                <w:p w14:paraId="65AD63A1">
                  <w:pPr>
                    <w:jc w:val="center"/>
                    <w:rPr>
                      <w:rFonts w:cs="Times New Roman"/>
                      <w:szCs w:val="21"/>
                    </w:rPr>
                  </w:pPr>
                  <w:r>
                    <w:rPr>
                      <w:rFonts w:hint="eastAsia" w:cs="Times New Roman"/>
                      <w:szCs w:val="21"/>
                    </w:rPr>
                    <w:t>丙烯腈</w:t>
                  </w:r>
                </w:p>
              </w:tc>
              <w:tc>
                <w:tcPr>
                  <w:tcW w:w="698" w:type="pct"/>
                  <w:vAlign w:val="center"/>
                </w:tcPr>
                <w:p w14:paraId="47D3F6A6">
                  <w:pPr>
                    <w:jc w:val="center"/>
                    <w:rPr>
                      <w:rFonts w:cs="Times New Roman"/>
                      <w:szCs w:val="21"/>
                    </w:rPr>
                  </w:pPr>
                  <w:r>
                    <w:rPr>
                      <w:rFonts w:hint="eastAsia" w:cs="Times New Roman"/>
                      <w:szCs w:val="21"/>
                    </w:rPr>
                    <w:t>1,3-丁二烯</w:t>
                  </w:r>
                </w:p>
              </w:tc>
              <w:tc>
                <w:tcPr>
                  <w:tcW w:w="698" w:type="pct"/>
                  <w:vAlign w:val="center"/>
                </w:tcPr>
                <w:p w14:paraId="68F16AB3">
                  <w:pPr>
                    <w:jc w:val="center"/>
                    <w:rPr>
                      <w:rFonts w:cs="Times New Roman"/>
                      <w:szCs w:val="21"/>
                    </w:rPr>
                  </w:pPr>
                  <w:r>
                    <w:rPr>
                      <w:rFonts w:hint="eastAsia" w:cs="Times New Roman"/>
                      <w:szCs w:val="21"/>
                    </w:rPr>
                    <w:t>甲苯</w:t>
                  </w:r>
                </w:p>
              </w:tc>
              <w:tc>
                <w:tcPr>
                  <w:tcW w:w="698" w:type="pct"/>
                  <w:vAlign w:val="center"/>
                </w:tcPr>
                <w:p w14:paraId="44365382">
                  <w:pPr>
                    <w:jc w:val="center"/>
                    <w:rPr>
                      <w:rFonts w:cs="Times New Roman"/>
                      <w:szCs w:val="21"/>
                    </w:rPr>
                  </w:pPr>
                  <w:r>
                    <w:rPr>
                      <w:rFonts w:hint="eastAsia" w:cs="Times New Roman"/>
                      <w:szCs w:val="21"/>
                    </w:rPr>
                    <w:t>乙苯</w:t>
                  </w:r>
                </w:p>
              </w:tc>
            </w:tr>
            <w:tr w14:paraId="1871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7B9B6A10">
                  <w:pPr>
                    <w:jc w:val="center"/>
                    <w:rPr>
                      <w:rFonts w:cs="Times New Roman"/>
                      <w:szCs w:val="21"/>
                    </w:rPr>
                  </w:pPr>
                  <w:r>
                    <w:rPr>
                      <w:rFonts w:hint="eastAsia" w:cs="Times New Roman"/>
                      <w:szCs w:val="21"/>
                    </w:rPr>
                    <w:t>注塑成型</w:t>
                  </w:r>
                </w:p>
              </w:tc>
              <w:tc>
                <w:tcPr>
                  <w:tcW w:w="697" w:type="pct"/>
                  <w:vAlign w:val="center"/>
                </w:tcPr>
                <w:p w14:paraId="1440D0A4">
                  <w:pPr>
                    <w:jc w:val="center"/>
                    <w:rPr>
                      <w:rFonts w:cs="Times New Roman"/>
                      <w:szCs w:val="21"/>
                    </w:rPr>
                  </w:pPr>
                  <w:r>
                    <w:rPr>
                      <w:rFonts w:hint="eastAsia" w:cs="Times New Roman"/>
                      <w:szCs w:val="21"/>
                    </w:rPr>
                    <w:t>4.455</w:t>
                  </w:r>
                </w:p>
              </w:tc>
              <w:tc>
                <w:tcPr>
                  <w:tcW w:w="698" w:type="pct"/>
                  <w:vAlign w:val="center"/>
                </w:tcPr>
                <w:p w14:paraId="1590DB8D">
                  <w:pPr>
                    <w:jc w:val="center"/>
                    <w:rPr>
                      <w:rFonts w:cs="Times New Roman"/>
                      <w:szCs w:val="21"/>
                    </w:rPr>
                  </w:pPr>
                  <w:r>
                    <w:rPr>
                      <w:rFonts w:hint="eastAsia" w:cs="Times New Roman"/>
                      <w:szCs w:val="21"/>
                    </w:rPr>
                    <w:t>0.0424</w:t>
                  </w:r>
                </w:p>
              </w:tc>
              <w:tc>
                <w:tcPr>
                  <w:tcW w:w="698" w:type="pct"/>
                  <w:vAlign w:val="center"/>
                </w:tcPr>
                <w:p w14:paraId="71437DFF">
                  <w:pPr>
                    <w:jc w:val="center"/>
                    <w:rPr>
                      <w:rFonts w:cs="Times New Roman"/>
                      <w:szCs w:val="21"/>
                    </w:rPr>
                  </w:pPr>
                  <w:r>
                    <w:rPr>
                      <w:rFonts w:hint="eastAsia" w:cs="Times New Roman"/>
                      <w:szCs w:val="21"/>
                    </w:rPr>
                    <w:t>0.0176</w:t>
                  </w:r>
                </w:p>
              </w:tc>
              <w:tc>
                <w:tcPr>
                  <w:tcW w:w="698" w:type="pct"/>
                  <w:vAlign w:val="center"/>
                </w:tcPr>
                <w:p w14:paraId="45458E4E">
                  <w:pPr>
                    <w:jc w:val="center"/>
                    <w:rPr>
                      <w:rFonts w:cs="Times New Roman"/>
                      <w:szCs w:val="21"/>
                    </w:rPr>
                  </w:pPr>
                  <w:r>
                    <w:rPr>
                      <w:rFonts w:hint="eastAsia" w:cs="Times New Roman"/>
                      <w:szCs w:val="21"/>
                    </w:rPr>
                    <w:t>0.0071</w:t>
                  </w:r>
                </w:p>
              </w:tc>
              <w:tc>
                <w:tcPr>
                  <w:tcW w:w="698" w:type="pct"/>
                  <w:vAlign w:val="center"/>
                </w:tcPr>
                <w:p w14:paraId="142FBDD7">
                  <w:pPr>
                    <w:jc w:val="center"/>
                    <w:rPr>
                      <w:rFonts w:cs="Times New Roman"/>
                      <w:szCs w:val="21"/>
                    </w:rPr>
                  </w:pPr>
                  <w:r>
                    <w:rPr>
                      <w:rFonts w:hint="eastAsia" w:cs="Times New Roman"/>
                      <w:szCs w:val="21"/>
                    </w:rPr>
                    <w:t>0.055</w:t>
                  </w:r>
                </w:p>
              </w:tc>
              <w:tc>
                <w:tcPr>
                  <w:tcW w:w="698" w:type="pct"/>
                  <w:vAlign w:val="center"/>
                </w:tcPr>
                <w:p w14:paraId="5B8810C2">
                  <w:pPr>
                    <w:jc w:val="center"/>
                    <w:rPr>
                      <w:rFonts w:cs="Times New Roman"/>
                      <w:szCs w:val="21"/>
                    </w:rPr>
                  </w:pPr>
                  <w:r>
                    <w:rPr>
                      <w:rFonts w:hint="eastAsia" w:cs="Times New Roman"/>
                      <w:szCs w:val="21"/>
                    </w:rPr>
                    <w:t>0.0254</w:t>
                  </w:r>
                </w:p>
              </w:tc>
            </w:tr>
            <w:tr w14:paraId="3AC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1BCE891B">
                  <w:pPr>
                    <w:jc w:val="center"/>
                    <w:rPr>
                      <w:rFonts w:cs="Times New Roman"/>
                      <w:szCs w:val="21"/>
                    </w:rPr>
                  </w:pPr>
                  <w:r>
                    <w:rPr>
                      <w:rFonts w:hint="eastAsia" w:cs="Times New Roman"/>
                      <w:szCs w:val="21"/>
                    </w:rPr>
                    <w:t>丝印/热转印</w:t>
                  </w:r>
                </w:p>
              </w:tc>
              <w:tc>
                <w:tcPr>
                  <w:tcW w:w="697" w:type="pct"/>
                  <w:vAlign w:val="center"/>
                </w:tcPr>
                <w:p w14:paraId="5D6E96F1">
                  <w:pPr>
                    <w:jc w:val="center"/>
                    <w:rPr>
                      <w:rFonts w:cs="Times New Roman"/>
                      <w:szCs w:val="21"/>
                    </w:rPr>
                  </w:pPr>
                  <w:r>
                    <w:rPr>
                      <w:rFonts w:hint="eastAsia" w:cs="Times New Roman"/>
                      <w:szCs w:val="21"/>
                    </w:rPr>
                    <w:t>0.004</w:t>
                  </w:r>
                </w:p>
              </w:tc>
              <w:tc>
                <w:tcPr>
                  <w:tcW w:w="698" w:type="pct"/>
                  <w:vAlign w:val="center"/>
                </w:tcPr>
                <w:p w14:paraId="76A175FC">
                  <w:pPr>
                    <w:jc w:val="center"/>
                    <w:rPr>
                      <w:rFonts w:cs="Times New Roman"/>
                      <w:szCs w:val="21"/>
                    </w:rPr>
                  </w:pPr>
                  <w:r>
                    <w:rPr>
                      <w:rFonts w:hint="eastAsia" w:cs="Times New Roman"/>
                      <w:szCs w:val="21"/>
                    </w:rPr>
                    <w:t>/</w:t>
                  </w:r>
                </w:p>
              </w:tc>
              <w:tc>
                <w:tcPr>
                  <w:tcW w:w="698" w:type="pct"/>
                </w:tcPr>
                <w:p w14:paraId="2B384DF8">
                  <w:pPr>
                    <w:jc w:val="center"/>
                    <w:rPr>
                      <w:rFonts w:cs="Times New Roman"/>
                      <w:szCs w:val="21"/>
                    </w:rPr>
                  </w:pPr>
                  <w:r>
                    <w:rPr>
                      <w:rFonts w:hint="eastAsia" w:cs="Times New Roman"/>
                      <w:szCs w:val="21"/>
                    </w:rPr>
                    <w:t>/</w:t>
                  </w:r>
                </w:p>
              </w:tc>
              <w:tc>
                <w:tcPr>
                  <w:tcW w:w="698" w:type="pct"/>
                </w:tcPr>
                <w:p w14:paraId="2A13DBAB">
                  <w:pPr>
                    <w:jc w:val="center"/>
                    <w:rPr>
                      <w:rFonts w:cs="Times New Roman"/>
                      <w:szCs w:val="21"/>
                    </w:rPr>
                  </w:pPr>
                  <w:r>
                    <w:rPr>
                      <w:rFonts w:hint="eastAsia" w:cs="Times New Roman"/>
                      <w:szCs w:val="21"/>
                    </w:rPr>
                    <w:t>/</w:t>
                  </w:r>
                </w:p>
              </w:tc>
              <w:tc>
                <w:tcPr>
                  <w:tcW w:w="698" w:type="pct"/>
                </w:tcPr>
                <w:p w14:paraId="56DEE7EA">
                  <w:pPr>
                    <w:jc w:val="center"/>
                    <w:rPr>
                      <w:rFonts w:cs="Times New Roman"/>
                      <w:szCs w:val="21"/>
                    </w:rPr>
                  </w:pPr>
                  <w:r>
                    <w:rPr>
                      <w:rFonts w:hint="eastAsia" w:cs="Times New Roman"/>
                      <w:szCs w:val="21"/>
                    </w:rPr>
                    <w:t>/</w:t>
                  </w:r>
                </w:p>
              </w:tc>
              <w:tc>
                <w:tcPr>
                  <w:tcW w:w="698" w:type="pct"/>
                </w:tcPr>
                <w:p w14:paraId="4073F012">
                  <w:pPr>
                    <w:jc w:val="center"/>
                    <w:rPr>
                      <w:rFonts w:cs="Times New Roman"/>
                      <w:szCs w:val="21"/>
                    </w:rPr>
                  </w:pPr>
                  <w:r>
                    <w:rPr>
                      <w:rFonts w:hint="eastAsia" w:cs="Times New Roman"/>
                      <w:szCs w:val="21"/>
                    </w:rPr>
                    <w:t>/</w:t>
                  </w:r>
                </w:p>
              </w:tc>
            </w:tr>
            <w:tr w14:paraId="1609E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pct"/>
                  <w:vAlign w:val="center"/>
                </w:tcPr>
                <w:p w14:paraId="583B2606">
                  <w:pPr>
                    <w:jc w:val="center"/>
                    <w:rPr>
                      <w:rFonts w:cs="Times New Roman"/>
                      <w:szCs w:val="21"/>
                    </w:rPr>
                  </w:pPr>
                  <w:r>
                    <w:rPr>
                      <w:rFonts w:hint="eastAsia" w:cs="Times New Roman"/>
                      <w:szCs w:val="21"/>
                    </w:rPr>
                    <w:t>合计</w:t>
                  </w:r>
                </w:p>
              </w:tc>
              <w:tc>
                <w:tcPr>
                  <w:tcW w:w="697" w:type="pct"/>
                  <w:vAlign w:val="center"/>
                </w:tcPr>
                <w:p w14:paraId="702EABFD">
                  <w:pPr>
                    <w:jc w:val="center"/>
                    <w:rPr>
                      <w:rFonts w:cs="Times New Roman"/>
                      <w:szCs w:val="21"/>
                    </w:rPr>
                  </w:pPr>
                  <w:r>
                    <w:rPr>
                      <w:rFonts w:hint="eastAsia" w:cs="Times New Roman"/>
                      <w:szCs w:val="21"/>
                    </w:rPr>
                    <w:t>4.459</w:t>
                  </w:r>
                </w:p>
              </w:tc>
              <w:tc>
                <w:tcPr>
                  <w:tcW w:w="698" w:type="pct"/>
                  <w:vAlign w:val="center"/>
                </w:tcPr>
                <w:p w14:paraId="4988F3C2">
                  <w:pPr>
                    <w:jc w:val="center"/>
                    <w:rPr>
                      <w:rFonts w:cs="Times New Roman"/>
                      <w:szCs w:val="21"/>
                    </w:rPr>
                  </w:pPr>
                  <w:r>
                    <w:rPr>
                      <w:rFonts w:hint="eastAsia" w:cs="Times New Roman"/>
                      <w:szCs w:val="21"/>
                    </w:rPr>
                    <w:t>0.0424</w:t>
                  </w:r>
                </w:p>
              </w:tc>
              <w:tc>
                <w:tcPr>
                  <w:tcW w:w="698" w:type="pct"/>
                  <w:vAlign w:val="center"/>
                </w:tcPr>
                <w:p w14:paraId="25FC3437">
                  <w:pPr>
                    <w:jc w:val="center"/>
                    <w:rPr>
                      <w:rFonts w:cs="Times New Roman"/>
                      <w:szCs w:val="21"/>
                    </w:rPr>
                  </w:pPr>
                  <w:r>
                    <w:rPr>
                      <w:rFonts w:hint="eastAsia" w:cs="Times New Roman"/>
                      <w:szCs w:val="21"/>
                    </w:rPr>
                    <w:t>0.0176</w:t>
                  </w:r>
                </w:p>
              </w:tc>
              <w:tc>
                <w:tcPr>
                  <w:tcW w:w="698" w:type="pct"/>
                  <w:vAlign w:val="center"/>
                </w:tcPr>
                <w:p w14:paraId="576BFA8B">
                  <w:pPr>
                    <w:jc w:val="center"/>
                    <w:rPr>
                      <w:rFonts w:cs="Times New Roman"/>
                      <w:szCs w:val="21"/>
                    </w:rPr>
                  </w:pPr>
                  <w:r>
                    <w:rPr>
                      <w:rFonts w:hint="eastAsia" w:cs="Times New Roman"/>
                      <w:szCs w:val="21"/>
                    </w:rPr>
                    <w:t>0.0071</w:t>
                  </w:r>
                </w:p>
              </w:tc>
              <w:tc>
                <w:tcPr>
                  <w:tcW w:w="698" w:type="pct"/>
                  <w:vAlign w:val="center"/>
                </w:tcPr>
                <w:p w14:paraId="64779B28">
                  <w:pPr>
                    <w:jc w:val="center"/>
                    <w:rPr>
                      <w:rFonts w:cs="Times New Roman"/>
                      <w:szCs w:val="21"/>
                    </w:rPr>
                  </w:pPr>
                  <w:r>
                    <w:rPr>
                      <w:rFonts w:hint="eastAsia" w:cs="Times New Roman"/>
                      <w:szCs w:val="21"/>
                    </w:rPr>
                    <w:t>0.055</w:t>
                  </w:r>
                </w:p>
              </w:tc>
              <w:tc>
                <w:tcPr>
                  <w:tcW w:w="698" w:type="pct"/>
                  <w:vAlign w:val="center"/>
                </w:tcPr>
                <w:p w14:paraId="5B88469D">
                  <w:pPr>
                    <w:jc w:val="center"/>
                    <w:rPr>
                      <w:rFonts w:cs="Times New Roman"/>
                      <w:szCs w:val="21"/>
                    </w:rPr>
                  </w:pPr>
                  <w:r>
                    <w:rPr>
                      <w:rFonts w:hint="eastAsia" w:cs="Times New Roman"/>
                      <w:szCs w:val="21"/>
                    </w:rPr>
                    <w:t>0.0254</w:t>
                  </w:r>
                </w:p>
              </w:tc>
            </w:tr>
          </w:tbl>
          <w:p w14:paraId="4D939682">
            <w:pPr>
              <w:spacing w:line="360" w:lineRule="auto"/>
              <w:ind w:firstLine="482" w:firstLineChars="200"/>
              <w:rPr>
                <w:b/>
                <w:sz w:val="24"/>
                <w:szCs w:val="24"/>
              </w:rPr>
            </w:pPr>
            <w:r>
              <w:rPr>
                <w:rFonts w:hint="eastAsia"/>
                <w:b/>
                <w:sz w:val="24"/>
                <w:szCs w:val="24"/>
              </w:rPr>
              <w:t>②治理措施</w:t>
            </w:r>
          </w:p>
          <w:p w14:paraId="4952B3CB">
            <w:pPr>
              <w:spacing w:line="360" w:lineRule="auto"/>
              <w:ind w:firstLine="480" w:firstLineChars="200"/>
              <w:rPr>
                <w:rFonts w:cs="Times New Roman"/>
                <w:bCs/>
                <w:sz w:val="24"/>
                <w:szCs w:val="24"/>
              </w:rPr>
            </w:pPr>
            <w:r>
              <w:rPr>
                <w:rFonts w:hint="eastAsia" w:cs="Times New Roman"/>
                <w:bCs/>
                <w:sz w:val="24"/>
                <w:szCs w:val="24"/>
              </w:rPr>
              <w:t>本项目</w:t>
            </w:r>
            <w:r>
              <w:rPr>
                <w:rFonts w:hint="eastAsia" w:cs="Times New Roman"/>
                <w:b/>
                <w:sz w:val="24"/>
                <w:szCs w:val="24"/>
              </w:rPr>
              <w:t>丝印/热转印过程设置密闭印刷间</w:t>
            </w:r>
            <w:r>
              <w:rPr>
                <w:rFonts w:cs="Times New Roman"/>
                <w:b/>
                <w:sz w:val="24"/>
                <w:szCs w:val="24"/>
              </w:rPr>
              <w:t>（L×B×H=</w:t>
            </w:r>
            <w:r>
              <w:rPr>
                <w:rFonts w:hint="eastAsia" w:cs="Times New Roman"/>
                <w:b/>
                <w:sz w:val="24"/>
                <w:szCs w:val="24"/>
              </w:rPr>
              <w:t>10*10*3m），</w:t>
            </w:r>
            <w:r>
              <w:rPr>
                <w:rFonts w:hint="eastAsia" w:cs="Times New Roman"/>
                <w:b/>
                <w:bCs/>
                <w:sz w:val="24"/>
                <w:szCs w:val="24"/>
              </w:rPr>
              <w:t>印刷间设1套密闭负压抽风系统（收集效率按95%计），</w:t>
            </w:r>
            <w:r>
              <w:rPr>
                <w:rFonts w:hint="eastAsia" w:cs="Times New Roman"/>
                <w:b/>
                <w:sz w:val="24"/>
                <w:szCs w:val="24"/>
              </w:rPr>
              <w:t>注塑成型区每台注塑成型机注射口上方设集气罩+软帘（共20套，收集效率按90%计），共设1套二级活性炭吸附装置（TA005，处理效率按9</w:t>
            </w:r>
            <w:r>
              <w:rPr>
                <w:rFonts w:cs="Times New Roman"/>
                <w:b/>
                <w:sz w:val="24"/>
                <w:szCs w:val="24"/>
              </w:rPr>
              <w:t>0%</w:t>
            </w:r>
            <w:r>
              <w:rPr>
                <w:rFonts w:hint="eastAsia" w:cs="Times New Roman"/>
                <w:b/>
                <w:sz w:val="24"/>
                <w:szCs w:val="24"/>
              </w:rPr>
              <w:t>计）+15m高排气筒（DA005）</w:t>
            </w:r>
            <w:r>
              <w:rPr>
                <w:rFonts w:hint="eastAsia" w:cs="Times New Roman"/>
                <w:bCs/>
                <w:sz w:val="24"/>
                <w:szCs w:val="24"/>
              </w:rPr>
              <w:t>。各设备产生的废气经收集后汇入废气总管道，经二级活性炭吸附装置处理后通过15m高排气筒排放。</w:t>
            </w:r>
          </w:p>
          <w:p w14:paraId="0C372258">
            <w:pPr>
              <w:spacing w:line="360" w:lineRule="auto"/>
              <w:ind w:firstLine="482" w:firstLineChars="200"/>
              <w:rPr>
                <w:b/>
                <w:bCs/>
                <w:sz w:val="24"/>
                <w:szCs w:val="24"/>
              </w:rPr>
            </w:pPr>
            <w:r>
              <w:rPr>
                <w:rFonts w:hint="eastAsia"/>
                <w:b/>
                <w:bCs/>
                <w:sz w:val="24"/>
                <w:szCs w:val="24"/>
              </w:rPr>
              <w:t>A、印刷间风量计算</w:t>
            </w:r>
          </w:p>
          <w:p w14:paraId="1470D9AF">
            <w:pPr>
              <w:spacing w:line="360" w:lineRule="auto"/>
              <w:ind w:firstLine="480" w:firstLineChars="200"/>
              <w:rPr>
                <w:rFonts w:cs="Times New Roman"/>
                <w:bCs/>
                <w:sz w:val="24"/>
                <w:szCs w:val="24"/>
              </w:rPr>
            </w:pPr>
            <w:r>
              <w:rPr>
                <w:rFonts w:hint="eastAsia" w:cs="Times New Roman"/>
                <w:bCs/>
                <w:sz w:val="24"/>
                <w:szCs w:val="24"/>
              </w:rPr>
              <w:t>项目印刷间有效容积为10m</w:t>
            </w:r>
            <w:r>
              <w:rPr>
                <w:rFonts w:cs="Times New Roman"/>
                <w:bCs/>
                <w:sz w:val="24"/>
                <w:szCs w:val="24"/>
              </w:rPr>
              <w:t>×</w:t>
            </w:r>
            <w:r>
              <w:rPr>
                <w:rFonts w:hint="eastAsia" w:cs="Times New Roman"/>
                <w:bCs/>
                <w:sz w:val="24"/>
                <w:szCs w:val="24"/>
              </w:rPr>
              <w:t>10m</w:t>
            </w:r>
            <w:r>
              <w:rPr>
                <w:rFonts w:cs="Times New Roman"/>
                <w:bCs/>
                <w:sz w:val="24"/>
                <w:szCs w:val="24"/>
              </w:rPr>
              <w:t>×</w:t>
            </w:r>
            <w:r>
              <w:rPr>
                <w:rFonts w:hint="eastAsia" w:cs="Times New Roman"/>
                <w:bCs/>
                <w:sz w:val="24"/>
                <w:szCs w:val="24"/>
              </w:rPr>
              <w:t>3m=300m</w:t>
            </w:r>
            <w:r>
              <w:rPr>
                <w:rFonts w:hint="eastAsia" w:cs="Times New Roman"/>
                <w:bCs/>
                <w:sz w:val="24"/>
                <w:szCs w:val="24"/>
                <w:vertAlign w:val="superscript"/>
              </w:rPr>
              <w:t>3</w:t>
            </w:r>
            <w:r>
              <w:rPr>
                <w:rFonts w:hint="eastAsia" w:cs="Times New Roman"/>
                <w:bCs/>
                <w:sz w:val="24"/>
                <w:szCs w:val="24"/>
              </w:rPr>
              <w:t>，根据《三废处理工程技术手册 废气卷》工</w:t>
            </w:r>
            <w:r>
              <w:rPr>
                <w:rFonts w:cs="Times New Roman"/>
                <w:bCs/>
                <w:sz w:val="24"/>
                <w:szCs w:val="24"/>
              </w:rPr>
              <w:t>业场所换气次数参数，印刷间换气次数按照20次/h计，则印刷间计算风量为</w:t>
            </w:r>
            <w:r>
              <w:rPr>
                <w:rFonts w:hint="eastAsia" w:cs="Times New Roman"/>
                <w:bCs/>
                <w:sz w:val="24"/>
                <w:szCs w:val="24"/>
              </w:rPr>
              <w:t>3</w:t>
            </w:r>
            <w:r>
              <w:rPr>
                <w:rFonts w:cs="Times New Roman"/>
                <w:bCs/>
                <w:sz w:val="24"/>
                <w:szCs w:val="24"/>
              </w:rPr>
              <w:t>00m</w:t>
            </w:r>
            <w:r>
              <w:rPr>
                <w:rFonts w:cs="Times New Roman"/>
                <w:bCs/>
                <w:sz w:val="24"/>
                <w:szCs w:val="24"/>
                <w:vertAlign w:val="superscript"/>
              </w:rPr>
              <w:t>3</w:t>
            </w:r>
            <w:r>
              <w:rPr>
                <w:rFonts w:cs="Times New Roman"/>
                <w:bCs/>
                <w:sz w:val="24"/>
                <w:szCs w:val="24"/>
              </w:rPr>
              <w:t>×20次/h=</w:t>
            </w:r>
            <w:r>
              <w:rPr>
                <w:rFonts w:hint="eastAsia" w:cs="Times New Roman"/>
                <w:bCs/>
                <w:sz w:val="24"/>
                <w:szCs w:val="24"/>
              </w:rPr>
              <w:t>6</w:t>
            </w:r>
            <w:r>
              <w:rPr>
                <w:rFonts w:cs="Times New Roman"/>
                <w:bCs/>
                <w:sz w:val="24"/>
                <w:szCs w:val="24"/>
              </w:rPr>
              <w:t>000m</w:t>
            </w:r>
            <w:r>
              <w:rPr>
                <w:rFonts w:cs="Times New Roman"/>
                <w:bCs/>
                <w:sz w:val="24"/>
                <w:szCs w:val="24"/>
                <w:vertAlign w:val="superscript"/>
              </w:rPr>
              <w:t>3</w:t>
            </w:r>
            <w:r>
              <w:rPr>
                <w:rFonts w:cs="Times New Roman"/>
                <w:bCs/>
                <w:sz w:val="24"/>
                <w:szCs w:val="24"/>
              </w:rPr>
              <w:t>/h。</w:t>
            </w:r>
          </w:p>
          <w:p w14:paraId="7047C805">
            <w:pPr>
              <w:spacing w:line="360" w:lineRule="auto"/>
              <w:ind w:firstLine="482" w:firstLineChars="200"/>
              <w:rPr>
                <w:b/>
                <w:bCs/>
                <w:sz w:val="24"/>
                <w:szCs w:val="24"/>
              </w:rPr>
            </w:pPr>
            <w:r>
              <w:rPr>
                <w:rFonts w:hint="eastAsia"/>
                <w:b/>
                <w:bCs/>
                <w:sz w:val="24"/>
                <w:szCs w:val="24"/>
              </w:rPr>
              <w:t>B、集气罩风量计算</w:t>
            </w:r>
          </w:p>
          <w:p w14:paraId="2E557AE3">
            <w:pPr>
              <w:spacing w:line="360" w:lineRule="auto"/>
              <w:ind w:firstLine="480" w:firstLineChars="200"/>
              <w:rPr>
                <w:rFonts w:cs="Times New Roman"/>
                <w:bCs/>
                <w:sz w:val="24"/>
                <w:szCs w:val="24"/>
              </w:rPr>
            </w:pPr>
            <w:r>
              <w:rPr>
                <w:rFonts w:hint="eastAsia" w:cs="Times New Roman"/>
                <w:bCs/>
                <w:sz w:val="24"/>
                <w:szCs w:val="24"/>
              </w:rPr>
              <w:t>注塑成型机顶部集气罩风量按下式进行计算：</w:t>
            </w:r>
          </w:p>
          <w:p w14:paraId="2058266A">
            <w:pPr>
              <w:spacing w:line="360" w:lineRule="auto"/>
              <w:jc w:val="center"/>
              <w:rPr>
                <w:rFonts w:cs="Times New Roman"/>
                <w:bCs/>
                <w:sz w:val="24"/>
                <w:szCs w:val="24"/>
              </w:rPr>
            </w:pPr>
            <w:r>
              <w:rPr>
                <w:rFonts w:cs="Times New Roman"/>
                <w:bCs/>
                <w:i/>
                <w:iCs/>
                <w:sz w:val="24"/>
                <w:szCs w:val="24"/>
              </w:rPr>
              <w:t>L</w:t>
            </w:r>
            <w:r>
              <w:rPr>
                <w:rFonts w:cs="Times New Roman"/>
                <w:bCs/>
                <w:sz w:val="24"/>
                <w:szCs w:val="24"/>
              </w:rPr>
              <w:t>=</w:t>
            </w:r>
            <w:r>
              <w:rPr>
                <w:rFonts w:cs="Times New Roman"/>
                <w:bCs/>
                <w:i/>
                <w:iCs/>
                <w:sz w:val="24"/>
                <w:szCs w:val="24"/>
              </w:rPr>
              <w:t>v</w:t>
            </w:r>
            <w:r>
              <w:rPr>
                <w:rFonts w:cs="Times New Roman"/>
                <w:bCs/>
                <w:sz w:val="24"/>
                <w:szCs w:val="24"/>
              </w:rPr>
              <w:t>×</w:t>
            </w:r>
            <w:r>
              <w:rPr>
                <w:rFonts w:cs="Times New Roman"/>
                <w:bCs/>
                <w:i/>
                <w:iCs/>
                <w:sz w:val="24"/>
                <w:szCs w:val="24"/>
              </w:rPr>
              <w:t>F</w:t>
            </w:r>
            <w:r>
              <w:rPr>
                <w:rFonts w:cs="Times New Roman"/>
                <w:bCs/>
                <w:sz w:val="24"/>
                <w:szCs w:val="24"/>
              </w:rPr>
              <w:t>×3600</w:t>
            </w:r>
          </w:p>
          <w:p w14:paraId="70C68313">
            <w:pPr>
              <w:spacing w:line="360" w:lineRule="auto"/>
              <w:ind w:firstLine="480" w:firstLineChars="200"/>
              <w:rPr>
                <w:rFonts w:cs="Times New Roman"/>
                <w:bCs/>
                <w:sz w:val="24"/>
                <w:szCs w:val="24"/>
              </w:rPr>
            </w:pPr>
            <w:r>
              <w:rPr>
                <w:rFonts w:cs="Times New Roman"/>
                <w:bCs/>
                <w:sz w:val="24"/>
                <w:szCs w:val="24"/>
              </w:rPr>
              <w:t>式中，</w:t>
            </w:r>
            <w:r>
              <w:rPr>
                <w:rFonts w:cs="Times New Roman"/>
                <w:bCs/>
                <w:i/>
                <w:iCs/>
                <w:sz w:val="24"/>
                <w:szCs w:val="24"/>
              </w:rPr>
              <w:t>L</w:t>
            </w:r>
            <w:r>
              <w:rPr>
                <w:rFonts w:cs="Times New Roman"/>
                <w:bCs/>
                <w:sz w:val="24"/>
                <w:szCs w:val="24"/>
              </w:rPr>
              <w:t>——顶吸罩的计算风量，m</w:t>
            </w:r>
            <w:r>
              <w:rPr>
                <w:rFonts w:cs="Times New Roman"/>
                <w:bCs/>
                <w:sz w:val="24"/>
                <w:szCs w:val="24"/>
                <w:vertAlign w:val="superscript"/>
              </w:rPr>
              <w:t>3</w:t>
            </w:r>
            <w:r>
              <w:rPr>
                <w:rFonts w:cs="Times New Roman"/>
                <w:bCs/>
                <w:sz w:val="24"/>
                <w:szCs w:val="24"/>
              </w:rPr>
              <w:t>/h；</w:t>
            </w:r>
          </w:p>
          <w:p w14:paraId="0A9F768D">
            <w:pPr>
              <w:spacing w:line="360" w:lineRule="auto"/>
              <w:ind w:firstLine="1200" w:firstLineChars="500"/>
              <w:rPr>
                <w:rFonts w:cs="Times New Roman"/>
                <w:bCs/>
                <w:sz w:val="24"/>
                <w:szCs w:val="24"/>
              </w:rPr>
            </w:pPr>
            <w:r>
              <w:rPr>
                <w:rFonts w:hint="eastAsia" w:cs="Times New Roman"/>
                <w:bCs/>
                <w:i/>
                <w:iCs/>
                <w:sz w:val="24"/>
                <w:szCs w:val="24"/>
              </w:rPr>
              <w:t>v</w:t>
            </w:r>
            <w:r>
              <w:rPr>
                <w:rFonts w:cs="Times New Roman"/>
                <w:bCs/>
                <w:sz w:val="24"/>
                <w:szCs w:val="24"/>
              </w:rPr>
              <w:t>——</w:t>
            </w:r>
            <w:r>
              <w:rPr>
                <w:rFonts w:hint="eastAsia" w:cs="Times New Roman"/>
                <w:bCs/>
                <w:sz w:val="24"/>
                <w:szCs w:val="24"/>
              </w:rPr>
              <w:t>罩口平均风速</w:t>
            </w:r>
            <w:r>
              <w:rPr>
                <w:rFonts w:cs="Times New Roman"/>
                <w:bCs/>
                <w:sz w:val="24"/>
                <w:szCs w:val="24"/>
              </w:rPr>
              <w:t>，m/</w:t>
            </w:r>
            <w:r>
              <w:rPr>
                <w:rFonts w:hint="eastAsia" w:cs="Times New Roman"/>
                <w:bCs/>
                <w:sz w:val="24"/>
                <w:szCs w:val="24"/>
              </w:rPr>
              <w:t>s，一般取0</w:t>
            </w:r>
            <w:r>
              <w:rPr>
                <w:rFonts w:cs="Times New Roman"/>
                <w:bCs/>
                <w:sz w:val="24"/>
                <w:szCs w:val="24"/>
              </w:rPr>
              <w:t>.5~1.25；</w:t>
            </w:r>
          </w:p>
          <w:p w14:paraId="011473D0">
            <w:pPr>
              <w:spacing w:line="360" w:lineRule="auto"/>
              <w:ind w:firstLine="1200" w:firstLineChars="500"/>
              <w:rPr>
                <w:rFonts w:cs="Times New Roman"/>
                <w:bCs/>
                <w:sz w:val="24"/>
                <w:szCs w:val="24"/>
              </w:rPr>
            </w:pPr>
            <w:r>
              <w:rPr>
                <w:rFonts w:hint="eastAsia" w:cs="Times New Roman"/>
                <w:bCs/>
                <w:i/>
                <w:iCs/>
                <w:sz w:val="24"/>
                <w:szCs w:val="24"/>
              </w:rPr>
              <w:t>F</w:t>
            </w:r>
            <w:r>
              <w:rPr>
                <w:rFonts w:cs="Times New Roman"/>
                <w:bCs/>
                <w:sz w:val="24"/>
                <w:szCs w:val="24"/>
              </w:rPr>
              <w:t>——</w:t>
            </w:r>
            <w:r>
              <w:rPr>
                <w:rFonts w:hint="eastAsia" w:cs="Times New Roman"/>
                <w:bCs/>
                <w:sz w:val="24"/>
                <w:szCs w:val="24"/>
              </w:rPr>
              <w:t>集气罩排口面面积，m</w:t>
            </w:r>
            <w:r>
              <w:rPr>
                <w:rFonts w:cs="Times New Roman"/>
                <w:bCs/>
                <w:sz w:val="24"/>
                <w:szCs w:val="24"/>
                <w:vertAlign w:val="superscript"/>
              </w:rPr>
              <w:t>2</w:t>
            </w:r>
            <w:r>
              <w:rPr>
                <w:rFonts w:hint="eastAsia" w:cs="Times New Roman"/>
                <w:bCs/>
                <w:sz w:val="24"/>
                <w:szCs w:val="24"/>
              </w:rPr>
              <w:t>。</w:t>
            </w:r>
          </w:p>
          <w:p w14:paraId="2026E406">
            <w:pPr>
              <w:spacing w:line="360" w:lineRule="auto"/>
              <w:ind w:firstLine="480" w:firstLineChars="200"/>
              <w:rPr>
                <w:rFonts w:cs="Times New Roman"/>
                <w:bCs/>
                <w:sz w:val="24"/>
                <w:szCs w:val="24"/>
              </w:rPr>
            </w:pPr>
            <w:r>
              <w:rPr>
                <w:rFonts w:hint="eastAsia" w:cs="Times New Roman"/>
                <w:bCs/>
                <w:sz w:val="24"/>
                <w:szCs w:val="24"/>
              </w:rPr>
              <w:t>根据建设单位提供的资料</w:t>
            </w:r>
            <w:r>
              <w:rPr>
                <w:rFonts w:cs="Times New Roman"/>
                <w:bCs/>
                <w:sz w:val="24"/>
                <w:szCs w:val="24"/>
              </w:rPr>
              <w:t>，本项目单台注塑成型机集气罩投影面积约0.</w:t>
            </w:r>
            <w:r>
              <w:rPr>
                <w:rFonts w:hint="eastAsia" w:cs="Times New Roman"/>
                <w:bCs/>
                <w:sz w:val="24"/>
                <w:szCs w:val="24"/>
              </w:rPr>
              <w:t>4</w:t>
            </w:r>
            <w:r>
              <w:rPr>
                <w:rFonts w:cs="Times New Roman"/>
                <w:bCs/>
                <w:sz w:val="24"/>
                <w:szCs w:val="24"/>
              </w:rPr>
              <w:t>m</w:t>
            </w:r>
            <w:r>
              <w:rPr>
                <w:rFonts w:cs="Times New Roman"/>
                <w:bCs/>
                <w:sz w:val="24"/>
                <w:szCs w:val="24"/>
                <w:vertAlign w:val="superscript"/>
              </w:rPr>
              <w:t>2</w:t>
            </w:r>
            <w:r>
              <w:rPr>
                <w:rFonts w:cs="Times New Roman"/>
                <w:bCs/>
                <w:sz w:val="24"/>
                <w:szCs w:val="24"/>
              </w:rPr>
              <w:t>，罩口平均风速取1m/s，则单台集气罩风量L=0.</w:t>
            </w:r>
            <w:r>
              <w:rPr>
                <w:rFonts w:hint="eastAsia" w:cs="Times New Roman"/>
                <w:bCs/>
                <w:sz w:val="24"/>
                <w:szCs w:val="24"/>
              </w:rPr>
              <w:t>4</w:t>
            </w:r>
            <w:r>
              <w:rPr>
                <w:rFonts w:cs="Times New Roman"/>
                <w:bCs/>
                <w:sz w:val="24"/>
                <w:szCs w:val="24"/>
              </w:rPr>
              <w:t>m</w:t>
            </w:r>
            <w:r>
              <w:rPr>
                <w:rFonts w:cs="Times New Roman"/>
                <w:bCs/>
                <w:sz w:val="24"/>
                <w:szCs w:val="24"/>
                <w:vertAlign w:val="superscript"/>
              </w:rPr>
              <w:t>2</w:t>
            </w:r>
            <w:r>
              <w:rPr>
                <w:rFonts w:cs="Times New Roman"/>
                <w:bCs/>
                <w:sz w:val="24"/>
                <w:szCs w:val="24"/>
              </w:rPr>
              <w:t>×1m/s×3600=1</w:t>
            </w:r>
            <w:r>
              <w:rPr>
                <w:rFonts w:hint="eastAsia" w:cs="Times New Roman"/>
                <w:bCs/>
                <w:sz w:val="24"/>
                <w:szCs w:val="24"/>
              </w:rPr>
              <w:t>440</w:t>
            </w:r>
            <w:r>
              <w:rPr>
                <w:rFonts w:cs="Times New Roman"/>
                <w:bCs/>
                <w:sz w:val="24"/>
                <w:szCs w:val="24"/>
              </w:rPr>
              <w:t>m</w:t>
            </w:r>
            <w:r>
              <w:rPr>
                <w:rFonts w:cs="Times New Roman"/>
                <w:bCs/>
                <w:sz w:val="24"/>
                <w:szCs w:val="24"/>
                <w:vertAlign w:val="superscript"/>
              </w:rPr>
              <w:t>3</w:t>
            </w:r>
            <w:r>
              <w:rPr>
                <w:rFonts w:cs="Times New Roman"/>
                <w:bCs/>
                <w:sz w:val="24"/>
                <w:szCs w:val="24"/>
              </w:rPr>
              <w:t>/</w:t>
            </w:r>
            <w:r>
              <w:rPr>
                <w:rFonts w:hint="eastAsia" w:cs="Times New Roman"/>
                <w:bCs/>
                <w:sz w:val="24"/>
                <w:szCs w:val="24"/>
              </w:rPr>
              <w:t>h</w:t>
            </w:r>
            <w:r>
              <w:rPr>
                <w:rFonts w:cs="Times New Roman"/>
                <w:bCs/>
                <w:sz w:val="24"/>
                <w:szCs w:val="24"/>
              </w:rPr>
              <w:t>。项目共设</w:t>
            </w:r>
            <w:r>
              <w:rPr>
                <w:rFonts w:hint="eastAsia" w:cs="Times New Roman"/>
                <w:bCs/>
                <w:sz w:val="24"/>
                <w:szCs w:val="24"/>
              </w:rPr>
              <w:t>20</w:t>
            </w:r>
            <w:r>
              <w:rPr>
                <w:rFonts w:cs="Times New Roman"/>
                <w:bCs/>
                <w:sz w:val="24"/>
                <w:szCs w:val="24"/>
              </w:rPr>
              <w:t>台</w:t>
            </w:r>
            <w:r>
              <w:rPr>
                <w:rFonts w:hint="eastAsia" w:cs="Times New Roman"/>
                <w:bCs/>
                <w:sz w:val="24"/>
                <w:szCs w:val="24"/>
              </w:rPr>
              <w:t>注塑成型机，总</w:t>
            </w:r>
            <w:r>
              <w:rPr>
                <w:rFonts w:cs="Times New Roman"/>
                <w:bCs/>
                <w:sz w:val="24"/>
                <w:szCs w:val="24"/>
              </w:rPr>
              <w:t>风量</w:t>
            </w:r>
            <w:r>
              <w:rPr>
                <w:rFonts w:hint="eastAsia" w:cs="Times New Roman"/>
                <w:bCs/>
                <w:sz w:val="24"/>
                <w:szCs w:val="24"/>
              </w:rPr>
              <w:t>约28800</w:t>
            </w:r>
            <w:r>
              <w:rPr>
                <w:rFonts w:cs="Times New Roman"/>
                <w:bCs/>
                <w:sz w:val="24"/>
                <w:szCs w:val="24"/>
              </w:rPr>
              <w:t>m</w:t>
            </w:r>
            <w:r>
              <w:rPr>
                <w:rFonts w:cs="Times New Roman"/>
                <w:bCs/>
                <w:sz w:val="24"/>
                <w:szCs w:val="24"/>
                <w:vertAlign w:val="superscript"/>
              </w:rPr>
              <w:t>3</w:t>
            </w:r>
            <w:r>
              <w:rPr>
                <w:rFonts w:cs="Times New Roman"/>
                <w:bCs/>
                <w:sz w:val="24"/>
                <w:szCs w:val="24"/>
              </w:rPr>
              <w:t>/</w:t>
            </w:r>
            <w:r>
              <w:rPr>
                <w:rFonts w:hint="eastAsia" w:cs="Times New Roman"/>
                <w:bCs/>
                <w:sz w:val="24"/>
                <w:szCs w:val="24"/>
              </w:rPr>
              <w:t>h。</w:t>
            </w:r>
          </w:p>
          <w:p w14:paraId="3B166A6E">
            <w:pPr>
              <w:spacing w:line="360" w:lineRule="auto"/>
              <w:ind w:firstLine="480" w:firstLineChars="200"/>
              <w:rPr>
                <w:rFonts w:cs="Times New Roman"/>
                <w:bCs/>
                <w:sz w:val="24"/>
                <w:szCs w:val="24"/>
              </w:rPr>
            </w:pPr>
            <w:r>
              <w:rPr>
                <w:rFonts w:hint="eastAsia" w:cs="Times New Roman"/>
                <w:bCs/>
                <w:sz w:val="24"/>
                <w:szCs w:val="24"/>
              </w:rPr>
              <w:t>综上所述，项目废气处理系统计算总风量约34800m</w:t>
            </w:r>
            <w:r>
              <w:rPr>
                <w:rFonts w:hint="eastAsia" w:cs="Times New Roman"/>
                <w:bCs/>
                <w:sz w:val="24"/>
                <w:szCs w:val="24"/>
                <w:vertAlign w:val="superscript"/>
              </w:rPr>
              <w:t>3</w:t>
            </w:r>
            <w:r>
              <w:rPr>
                <w:rFonts w:hint="eastAsia" w:cs="Times New Roman"/>
                <w:bCs/>
                <w:sz w:val="24"/>
                <w:szCs w:val="24"/>
              </w:rPr>
              <w:t>/h，考虑管道损失，本次环评按40</w:t>
            </w:r>
            <w:r>
              <w:rPr>
                <w:rFonts w:cs="Times New Roman"/>
                <w:bCs/>
                <w:sz w:val="24"/>
                <w:szCs w:val="24"/>
              </w:rPr>
              <w:t>000m</w:t>
            </w:r>
            <w:r>
              <w:rPr>
                <w:rFonts w:cs="Times New Roman"/>
                <w:bCs/>
                <w:sz w:val="24"/>
                <w:szCs w:val="24"/>
                <w:vertAlign w:val="superscript"/>
              </w:rPr>
              <w:t>3</w:t>
            </w:r>
            <w:r>
              <w:rPr>
                <w:rFonts w:cs="Times New Roman"/>
                <w:bCs/>
                <w:sz w:val="24"/>
                <w:szCs w:val="24"/>
              </w:rPr>
              <w:t>/</w:t>
            </w:r>
            <w:r>
              <w:rPr>
                <w:rFonts w:hint="eastAsia" w:cs="Times New Roman"/>
                <w:bCs/>
                <w:sz w:val="24"/>
                <w:szCs w:val="24"/>
              </w:rPr>
              <w:t>h</w:t>
            </w:r>
            <w:r>
              <w:rPr>
                <w:rFonts w:cs="Times New Roman"/>
                <w:bCs/>
                <w:sz w:val="24"/>
                <w:szCs w:val="24"/>
              </w:rPr>
              <w:t>进行取值。</w:t>
            </w:r>
          </w:p>
          <w:p w14:paraId="294F8E1E">
            <w:pPr>
              <w:spacing w:line="360" w:lineRule="auto"/>
              <w:ind w:firstLine="482" w:firstLineChars="200"/>
              <w:rPr>
                <w:b/>
                <w:bCs/>
                <w:sz w:val="24"/>
                <w:szCs w:val="24"/>
              </w:rPr>
            </w:pPr>
            <w:r>
              <w:rPr>
                <w:rFonts w:hint="eastAsia"/>
                <w:b/>
                <w:bCs/>
                <w:sz w:val="24"/>
                <w:szCs w:val="24"/>
              </w:rPr>
              <w:t>C、活性炭吸附箱计算</w:t>
            </w:r>
          </w:p>
          <w:p w14:paraId="6C0BDB8E">
            <w:pPr>
              <w:spacing w:line="360" w:lineRule="auto"/>
              <w:ind w:firstLine="480" w:firstLineChars="200"/>
              <w:rPr>
                <w:sz w:val="24"/>
                <w:szCs w:val="24"/>
              </w:rPr>
            </w:pPr>
            <w:r>
              <w:rPr>
                <w:rFonts w:hint="eastAsia"/>
                <w:sz w:val="24"/>
                <w:szCs w:val="24"/>
              </w:rPr>
              <w:t>活性炭吸附原理是利用其表面丰富的孔隙结构对有机废气进行吸附，废气通过管道进入活性炭吸附箱时，风速瞬间</w:t>
            </w:r>
            <w:r>
              <w:rPr>
                <w:rFonts w:hint="eastAsia"/>
                <w:sz w:val="24"/>
                <w:szCs w:val="24"/>
                <w:lang w:eastAsia="zh-CN"/>
              </w:rPr>
              <w:t>下降</w:t>
            </w:r>
            <w:r>
              <w:rPr>
                <w:rFonts w:hint="eastAsia"/>
                <w:sz w:val="24"/>
                <w:szCs w:val="24"/>
              </w:rPr>
              <w:t>，气体内的有机废气随气流进入活性炭过滤层，有机废气被活性炭吸附进活性炭内，而干净的空气穿过活性炭层排入大气中。</w:t>
            </w:r>
          </w:p>
          <w:p w14:paraId="1DF2D272">
            <w:pPr>
              <w:spacing w:line="360" w:lineRule="auto"/>
              <w:jc w:val="center"/>
              <w:rPr>
                <w:b/>
                <w:bCs/>
                <w:sz w:val="24"/>
                <w:szCs w:val="24"/>
              </w:rPr>
            </w:pPr>
            <w:r>
              <w:drawing>
                <wp:inline distT="0" distB="0" distL="0" distR="0">
                  <wp:extent cx="4182745" cy="2162175"/>
                  <wp:effectExtent l="0" t="0" r="8255" b="9525"/>
                  <wp:docPr id="254481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1017" name="图片 1"/>
                          <pic:cNvPicPr>
                            <a:picLocks noChangeAspect="1"/>
                          </pic:cNvPicPr>
                        </pic:nvPicPr>
                        <pic:blipFill>
                          <a:blip r:embed="rId34"/>
                          <a:stretch>
                            <a:fillRect/>
                          </a:stretch>
                        </pic:blipFill>
                        <pic:spPr>
                          <a:xfrm>
                            <a:off x="0" y="0"/>
                            <a:ext cx="4230453" cy="2186651"/>
                          </a:xfrm>
                          <a:prstGeom prst="rect">
                            <a:avLst/>
                          </a:prstGeom>
                        </pic:spPr>
                      </pic:pic>
                    </a:graphicData>
                  </a:graphic>
                </wp:inline>
              </w:drawing>
            </w:r>
          </w:p>
          <w:p w14:paraId="7D69D8F9">
            <w:pPr>
              <w:pStyle w:val="51"/>
              <w:numPr>
                <w:ilvl w:val="0"/>
                <w:numId w:val="7"/>
              </w:numPr>
              <w:spacing w:line="360" w:lineRule="auto"/>
              <w:ind w:firstLineChars="0"/>
              <w:jc w:val="center"/>
              <w:rPr>
                <w:rFonts w:eastAsia="黑体" w:cs="Times New Roman"/>
                <w:szCs w:val="21"/>
              </w:rPr>
            </w:pPr>
            <w:r>
              <w:rPr>
                <w:rFonts w:hint="eastAsia" w:eastAsia="黑体" w:cs="Times New Roman"/>
                <w:szCs w:val="21"/>
              </w:rPr>
              <w:t>活性炭吸附装置结构示意图</w:t>
            </w:r>
          </w:p>
          <w:p w14:paraId="58D735B0">
            <w:pPr>
              <w:spacing w:line="360" w:lineRule="auto"/>
              <w:ind w:firstLine="480" w:firstLineChars="200"/>
              <w:rPr>
                <w:sz w:val="24"/>
                <w:szCs w:val="24"/>
              </w:rPr>
            </w:pPr>
            <w:r>
              <w:rPr>
                <w:rFonts w:hint="eastAsia"/>
                <w:sz w:val="24"/>
                <w:szCs w:val="24"/>
              </w:rPr>
              <w:t>根据《吸附法工业有机废气治理工程技术规范》（HJ2026-2013），进入吸附装置的废气温度宜低于40℃，采用蜂窝状吸附剂时，气体流速宜低于1.20m/s；活性炭技术指标宜符合《工业有机废气净化用活性炭技术指标及试验方法》（LY/T3284）规定的优级品颗粒活性炭技术要求，碘吸附值不低于800mg/g。</w:t>
            </w:r>
          </w:p>
          <w:p w14:paraId="615E7A77">
            <w:pPr>
              <w:spacing w:line="360" w:lineRule="auto"/>
              <w:ind w:firstLine="482" w:firstLineChars="200"/>
              <w:rPr>
                <w:sz w:val="24"/>
              </w:rPr>
            </w:pPr>
            <w:r>
              <w:rPr>
                <w:rFonts w:hint="eastAsia"/>
                <w:b/>
                <w:bCs/>
                <w:sz w:val="24"/>
                <w:szCs w:val="24"/>
              </w:rPr>
              <w:t>活性炭使用量</w:t>
            </w:r>
            <w:r>
              <w:rPr>
                <w:rFonts w:hint="eastAsia"/>
                <w:sz w:val="24"/>
                <w:szCs w:val="24"/>
              </w:rPr>
              <w:t>：</w:t>
            </w:r>
            <w:r>
              <w:rPr>
                <w:rFonts w:hint="eastAsia"/>
                <w:sz w:val="24"/>
              </w:rPr>
              <w:t>参照《四川省挥发性有机物治理之活性炭使用管理常见问题工具书》，1吨VOCs产生量，需用5吨活性炭吸附。根据挥发性有机物平衡，</w:t>
            </w:r>
            <w:r>
              <w:rPr>
                <w:rFonts w:hint="eastAsia"/>
                <w:sz w:val="24"/>
                <w:szCs w:val="24"/>
              </w:rPr>
              <w:t>本项目需处理的VOCs量约3.612t/a，经计算活性炭年使用量约18.06t。</w:t>
            </w:r>
          </w:p>
          <w:p w14:paraId="114F8BDB">
            <w:pPr>
              <w:spacing w:line="360" w:lineRule="auto"/>
              <w:ind w:firstLine="482" w:firstLineChars="200"/>
              <w:rPr>
                <w:sz w:val="24"/>
                <w:szCs w:val="24"/>
              </w:rPr>
            </w:pPr>
            <w:r>
              <w:rPr>
                <w:rFonts w:hint="eastAsia"/>
                <w:b/>
                <w:bCs/>
                <w:sz w:val="24"/>
                <w:szCs w:val="24"/>
              </w:rPr>
              <w:t>活性炭更换周期</w:t>
            </w:r>
            <w:r>
              <w:rPr>
                <w:rFonts w:hint="eastAsia"/>
                <w:sz w:val="24"/>
                <w:szCs w:val="24"/>
              </w:rPr>
              <w:t>：一般来说，活性炭在累计使用500小时或填装3个月后需要换新，具体</w:t>
            </w:r>
            <w:r>
              <w:rPr>
                <w:rFonts w:hint="eastAsia"/>
                <w:sz w:val="24"/>
              </w:rPr>
              <w:t>活性炭更换周期可参考下式进行估算：</w:t>
            </w:r>
          </w:p>
          <w:p w14:paraId="33B5150B">
            <w:pPr>
              <w:spacing w:line="360" w:lineRule="auto"/>
              <w:jc w:val="center"/>
              <w:rPr>
                <w:sz w:val="24"/>
              </w:rPr>
            </w:pPr>
            <w:r>
              <w:rPr>
                <w:sz w:val="24"/>
              </w:rPr>
              <w:t>T=m×s÷（c×10</w:t>
            </w:r>
            <w:r>
              <w:rPr>
                <w:sz w:val="24"/>
                <w:vertAlign w:val="superscript"/>
              </w:rPr>
              <w:t>-6</w:t>
            </w:r>
            <w:r>
              <w:rPr>
                <w:sz w:val="24"/>
              </w:rPr>
              <w:t>×Q×t）</w:t>
            </w:r>
          </w:p>
          <w:p w14:paraId="44F52196">
            <w:pPr>
              <w:spacing w:line="360" w:lineRule="auto"/>
              <w:ind w:firstLine="480" w:firstLineChars="200"/>
              <w:rPr>
                <w:sz w:val="24"/>
              </w:rPr>
            </w:pPr>
            <w:r>
              <w:rPr>
                <w:rFonts w:hint="eastAsia"/>
                <w:sz w:val="24"/>
              </w:rPr>
              <w:t>式中，T</w:t>
            </w:r>
            <w:r>
              <w:rPr>
                <w:sz w:val="24"/>
              </w:rPr>
              <w:t>——</w:t>
            </w:r>
            <w:r>
              <w:rPr>
                <w:rFonts w:hint="eastAsia"/>
                <w:sz w:val="24"/>
              </w:rPr>
              <w:t>更换周期，d；</w:t>
            </w:r>
          </w:p>
          <w:p w14:paraId="0B164220">
            <w:pPr>
              <w:spacing w:line="360" w:lineRule="auto"/>
              <w:ind w:firstLine="1200" w:firstLineChars="500"/>
              <w:rPr>
                <w:sz w:val="24"/>
              </w:rPr>
            </w:pPr>
            <w:r>
              <w:rPr>
                <w:rFonts w:hint="eastAsia"/>
                <w:sz w:val="24"/>
              </w:rPr>
              <w:t>m</w:t>
            </w:r>
            <w:r>
              <w:rPr>
                <w:sz w:val="24"/>
              </w:rPr>
              <w:t>——</w:t>
            </w:r>
            <w:r>
              <w:rPr>
                <w:rFonts w:hint="eastAsia"/>
                <w:sz w:val="24"/>
              </w:rPr>
              <w:t>活性炭的用量，kg；</w:t>
            </w:r>
          </w:p>
          <w:p w14:paraId="6FF375CD">
            <w:pPr>
              <w:spacing w:line="360" w:lineRule="auto"/>
              <w:ind w:firstLine="1200" w:firstLineChars="500"/>
              <w:rPr>
                <w:sz w:val="24"/>
              </w:rPr>
            </w:pPr>
            <w:r>
              <w:rPr>
                <w:rFonts w:hint="eastAsia"/>
                <w:sz w:val="24"/>
              </w:rPr>
              <w:t>s</w:t>
            </w:r>
            <w:r>
              <w:rPr>
                <w:sz w:val="24"/>
              </w:rPr>
              <w:t>——</w:t>
            </w:r>
            <w:r>
              <w:rPr>
                <w:rFonts w:hint="eastAsia"/>
                <w:sz w:val="24"/>
              </w:rPr>
              <w:t>动态吸附量，%，本次环评取10%；</w:t>
            </w:r>
          </w:p>
          <w:p w14:paraId="69FB31CE">
            <w:pPr>
              <w:spacing w:line="360" w:lineRule="auto"/>
              <w:ind w:firstLine="1200" w:firstLineChars="500"/>
              <w:rPr>
                <w:sz w:val="24"/>
              </w:rPr>
            </w:pPr>
            <w:r>
              <w:rPr>
                <w:rFonts w:hint="eastAsia"/>
                <w:sz w:val="24"/>
              </w:rPr>
              <w:t>c</w:t>
            </w:r>
            <w:r>
              <w:rPr>
                <w:sz w:val="24"/>
              </w:rPr>
              <w:t>——</w:t>
            </w:r>
            <w:r>
              <w:rPr>
                <w:rFonts w:hint="eastAsia"/>
                <w:sz w:val="24"/>
              </w:rPr>
              <w:t>活性炭削减的VOCs浓度，mg/m</w:t>
            </w:r>
            <w:r>
              <w:rPr>
                <w:rFonts w:hint="eastAsia"/>
                <w:sz w:val="24"/>
                <w:vertAlign w:val="superscript"/>
              </w:rPr>
              <w:t>3</w:t>
            </w:r>
            <w:r>
              <w:rPr>
                <w:rFonts w:hint="eastAsia"/>
                <w:sz w:val="24"/>
              </w:rPr>
              <w:t>；</w:t>
            </w:r>
          </w:p>
          <w:p w14:paraId="64B2A13F">
            <w:pPr>
              <w:spacing w:line="360" w:lineRule="auto"/>
              <w:ind w:firstLine="1200" w:firstLineChars="500"/>
              <w:rPr>
                <w:sz w:val="24"/>
              </w:rPr>
            </w:pPr>
            <w:r>
              <w:rPr>
                <w:rFonts w:hint="eastAsia"/>
                <w:sz w:val="24"/>
              </w:rPr>
              <w:t>Q</w:t>
            </w:r>
            <w:r>
              <w:rPr>
                <w:sz w:val="24"/>
              </w:rPr>
              <w:t>——</w:t>
            </w:r>
            <w:r>
              <w:rPr>
                <w:rFonts w:hint="eastAsia"/>
                <w:sz w:val="24"/>
              </w:rPr>
              <w:t>风量，m</w:t>
            </w:r>
            <w:r>
              <w:rPr>
                <w:rFonts w:hint="eastAsia"/>
                <w:sz w:val="24"/>
                <w:vertAlign w:val="superscript"/>
              </w:rPr>
              <w:t>3</w:t>
            </w:r>
            <w:r>
              <w:rPr>
                <w:rFonts w:hint="eastAsia"/>
                <w:sz w:val="24"/>
              </w:rPr>
              <w:t>/h；</w:t>
            </w:r>
          </w:p>
          <w:p w14:paraId="33E0DFEE">
            <w:pPr>
              <w:spacing w:line="360" w:lineRule="auto"/>
              <w:ind w:firstLine="1200" w:firstLineChars="500"/>
              <w:rPr>
                <w:sz w:val="24"/>
              </w:rPr>
            </w:pPr>
            <w:r>
              <w:rPr>
                <w:rFonts w:hint="eastAsia"/>
                <w:sz w:val="24"/>
              </w:rPr>
              <w:t>t</w:t>
            </w:r>
            <w:r>
              <w:rPr>
                <w:sz w:val="24"/>
              </w:rPr>
              <w:t>——</w:t>
            </w:r>
            <w:r>
              <w:rPr>
                <w:rFonts w:hint="eastAsia"/>
                <w:sz w:val="24"/>
              </w:rPr>
              <w:t>运行时间，h/d。</w:t>
            </w:r>
          </w:p>
          <w:p w14:paraId="563A832F">
            <w:pPr>
              <w:spacing w:line="360" w:lineRule="auto"/>
              <w:ind w:firstLine="480" w:firstLineChars="200"/>
              <w:rPr>
                <w:sz w:val="24"/>
                <w:szCs w:val="24"/>
              </w:rPr>
            </w:pPr>
            <w:r>
              <w:rPr>
                <w:rFonts w:hint="eastAsia"/>
                <w:sz w:val="24"/>
                <w:szCs w:val="24"/>
              </w:rPr>
              <w:t>本项目生产时间8h/d，根据废气源强估算，</w:t>
            </w:r>
            <w:r>
              <w:rPr>
                <w:rFonts w:hint="eastAsia"/>
                <w:sz w:val="24"/>
              </w:rPr>
              <w:t>需削减VOCs浓度约45.15mg/m</w:t>
            </w:r>
            <w:r>
              <w:rPr>
                <w:rFonts w:hint="eastAsia"/>
                <w:sz w:val="24"/>
                <w:vertAlign w:val="superscript"/>
              </w:rPr>
              <w:t>3</w:t>
            </w:r>
            <w:r>
              <w:rPr>
                <w:rFonts w:hint="eastAsia"/>
                <w:sz w:val="24"/>
              </w:rPr>
              <w:t>，</w:t>
            </w:r>
            <w:r>
              <w:rPr>
                <w:rFonts w:hint="eastAsia"/>
                <w:sz w:val="24"/>
                <w:szCs w:val="24"/>
              </w:rPr>
              <w:t>则活性炭更</w:t>
            </w:r>
            <w:r>
              <w:rPr>
                <w:rFonts w:cs="Times New Roman"/>
                <w:sz w:val="24"/>
                <w:szCs w:val="24"/>
              </w:rPr>
              <w:t>换周期T=18060×10%÷（</w:t>
            </w:r>
            <w:r>
              <w:rPr>
                <w:rFonts w:hint="eastAsia" w:cs="Times New Roman"/>
                <w:sz w:val="24"/>
                <w:szCs w:val="24"/>
              </w:rPr>
              <w:t>45.15</w:t>
            </w:r>
            <w:r>
              <w:rPr>
                <w:rFonts w:cs="Times New Roman"/>
                <w:sz w:val="24"/>
                <w:szCs w:val="24"/>
              </w:rPr>
              <w:t>×10</w:t>
            </w:r>
            <w:r>
              <w:rPr>
                <w:rFonts w:cs="Times New Roman"/>
                <w:sz w:val="24"/>
                <w:szCs w:val="24"/>
                <w:vertAlign w:val="superscript"/>
              </w:rPr>
              <w:t>-6</w:t>
            </w:r>
            <w:r>
              <w:rPr>
                <w:rFonts w:cs="Times New Roman"/>
                <w:sz w:val="24"/>
                <w:szCs w:val="24"/>
              </w:rPr>
              <w:t>×50000×8）≈1</w:t>
            </w:r>
            <w:r>
              <w:rPr>
                <w:rFonts w:hint="eastAsia" w:cs="Times New Roman"/>
                <w:sz w:val="24"/>
                <w:szCs w:val="24"/>
              </w:rPr>
              <w:t>00</w:t>
            </w:r>
            <w:r>
              <w:rPr>
                <w:rFonts w:hint="eastAsia"/>
                <w:sz w:val="24"/>
                <w:szCs w:val="24"/>
              </w:rPr>
              <w:t>d。考虑空气中含有大量水分，活性炭使用时间过长，效果变差，为保证后期运营过程中，有机废气能够得到有效处置，环评要求活性炭更换周期不应超过3个月。</w:t>
            </w:r>
          </w:p>
          <w:p w14:paraId="2554D69A">
            <w:pPr>
              <w:spacing w:line="360" w:lineRule="auto"/>
              <w:ind w:firstLine="480" w:firstLineChars="200"/>
              <w:rPr>
                <w:sz w:val="24"/>
                <w:szCs w:val="24"/>
              </w:rPr>
            </w:pPr>
            <w:r>
              <w:rPr>
                <w:rFonts w:hint="eastAsia"/>
                <w:sz w:val="24"/>
                <w:szCs w:val="24"/>
              </w:rPr>
              <w:t>则活性炭平均每三月使用量为18.06t/12*3=4.515t。</w:t>
            </w:r>
          </w:p>
          <w:p w14:paraId="53337BAD">
            <w:pPr>
              <w:spacing w:line="360" w:lineRule="auto"/>
              <w:ind w:firstLine="482" w:firstLineChars="200"/>
              <w:rPr>
                <w:rFonts w:cs="Times New Roman"/>
                <w:bCs/>
                <w:sz w:val="24"/>
                <w:szCs w:val="24"/>
              </w:rPr>
            </w:pPr>
            <w:r>
              <w:rPr>
                <w:rFonts w:hint="eastAsia"/>
                <w:b/>
                <w:bCs/>
                <w:sz w:val="24"/>
                <w:szCs w:val="24"/>
              </w:rPr>
              <w:t>活性炭装填量</w:t>
            </w:r>
            <w:r>
              <w:rPr>
                <w:rFonts w:hint="eastAsia"/>
                <w:sz w:val="24"/>
                <w:szCs w:val="24"/>
              </w:rPr>
              <w:t>：本项目采用二级活性炭吸附，即设置2个活性炭箱体，单个活性炭箱体填充量至少应为</w:t>
            </w:r>
            <w:r>
              <w:rPr>
                <w:rFonts w:hint="eastAsia" w:cs="Times New Roman"/>
                <w:bCs/>
                <w:sz w:val="24"/>
                <w:szCs w:val="24"/>
              </w:rPr>
              <w:t>4.515t/2=2.2575t。</w:t>
            </w:r>
            <w:r>
              <w:rPr>
                <w:rFonts w:hint="eastAsia"/>
                <w:sz w:val="24"/>
                <w:szCs w:val="24"/>
              </w:rPr>
              <w:t>按空塔流</w:t>
            </w:r>
            <w:r>
              <w:rPr>
                <w:rFonts w:cs="Times New Roman"/>
                <w:sz w:val="24"/>
                <w:szCs w:val="24"/>
              </w:rPr>
              <w:t>速1.2m/s计算，活性炭箱体截面积应不小于</w:t>
            </w:r>
            <w:r>
              <w:rPr>
                <w:rFonts w:hint="eastAsia" w:cs="Times New Roman"/>
                <w:sz w:val="24"/>
                <w:szCs w:val="24"/>
              </w:rPr>
              <w:t>9.26</w:t>
            </w:r>
            <w:r>
              <w:rPr>
                <w:rFonts w:cs="Times New Roman"/>
                <w:sz w:val="24"/>
                <w:szCs w:val="24"/>
              </w:rPr>
              <w:t>m</w:t>
            </w:r>
            <w:r>
              <w:rPr>
                <w:rFonts w:cs="Times New Roman"/>
                <w:sz w:val="24"/>
                <w:szCs w:val="24"/>
                <w:vertAlign w:val="superscript"/>
              </w:rPr>
              <w:t>2</w:t>
            </w:r>
            <w:r>
              <w:rPr>
                <w:rFonts w:cs="Times New Roman"/>
                <w:sz w:val="24"/>
                <w:szCs w:val="24"/>
              </w:rPr>
              <w:t>，截面积取值</w:t>
            </w:r>
            <w:r>
              <w:rPr>
                <w:rFonts w:hint="eastAsia" w:cs="Times New Roman"/>
                <w:sz w:val="24"/>
                <w:szCs w:val="24"/>
              </w:rPr>
              <w:t>3.2</w:t>
            </w:r>
            <w:r>
              <w:rPr>
                <w:rFonts w:cs="Times New Roman"/>
                <w:sz w:val="24"/>
                <w:szCs w:val="24"/>
              </w:rPr>
              <w:t>m×</w:t>
            </w:r>
            <w:r>
              <w:rPr>
                <w:rFonts w:hint="eastAsia" w:cs="Times New Roman"/>
                <w:sz w:val="24"/>
                <w:szCs w:val="24"/>
              </w:rPr>
              <w:t>3.0</w:t>
            </w:r>
            <w:r>
              <w:rPr>
                <w:rFonts w:cs="Times New Roman"/>
                <w:sz w:val="24"/>
                <w:szCs w:val="24"/>
              </w:rPr>
              <w:t>m，实际风速 1.1</w:t>
            </w:r>
            <w:r>
              <w:rPr>
                <w:rFonts w:hint="eastAsia" w:cs="Times New Roman"/>
                <w:sz w:val="24"/>
                <w:szCs w:val="24"/>
              </w:rPr>
              <w:t>9</w:t>
            </w:r>
            <w:r>
              <w:rPr>
                <w:rFonts w:cs="Times New Roman"/>
                <w:sz w:val="24"/>
                <w:szCs w:val="24"/>
              </w:rPr>
              <w:t>m/s</w:t>
            </w:r>
            <w:r>
              <w:rPr>
                <w:rFonts w:hint="eastAsia" w:cs="Times New Roman"/>
                <w:sz w:val="24"/>
                <w:szCs w:val="24"/>
              </w:rPr>
              <w:t>&lt;1.2m/s；</w:t>
            </w:r>
            <w:r>
              <w:rPr>
                <w:rFonts w:cs="Times New Roman"/>
                <w:sz w:val="24"/>
                <w:szCs w:val="24"/>
              </w:rPr>
              <w:t>停留时</w:t>
            </w:r>
            <w:r>
              <w:rPr>
                <w:rFonts w:hint="eastAsia"/>
                <w:sz w:val="24"/>
                <w:szCs w:val="24"/>
              </w:rPr>
              <w:t xml:space="preserve">间以 0.5s计，设计活性炭装填高度为60cm，则单级活性炭吸附箱装填体积为 </w:t>
            </w:r>
            <w:r>
              <w:rPr>
                <w:rFonts w:hint="eastAsia" w:cs="Times New Roman"/>
                <w:sz w:val="24"/>
                <w:szCs w:val="24"/>
              </w:rPr>
              <w:t>3.2</w:t>
            </w:r>
            <w:r>
              <w:rPr>
                <w:rFonts w:cs="Times New Roman"/>
                <w:sz w:val="24"/>
                <w:szCs w:val="24"/>
              </w:rPr>
              <w:t>m×</w:t>
            </w:r>
            <w:r>
              <w:rPr>
                <w:rFonts w:hint="eastAsia" w:cs="Times New Roman"/>
                <w:sz w:val="24"/>
                <w:szCs w:val="24"/>
              </w:rPr>
              <w:t>3.0</w:t>
            </w:r>
            <w:r>
              <w:rPr>
                <w:rFonts w:cs="Times New Roman"/>
                <w:sz w:val="24"/>
                <w:szCs w:val="24"/>
              </w:rPr>
              <w:t>m×</w:t>
            </w:r>
            <w:r>
              <w:rPr>
                <w:rFonts w:hint="eastAsia"/>
                <w:sz w:val="24"/>
                <w:szCs w:val="24"/>
              </w:rPr>
              <w:t>0.6m=5.76m</w:t>
            </w:r>
            <w:r>
              <w:rPr>
                <w:sz w:val="24"/>
                <w:szCs w:val="24"/>
                <w:vertAlign w:val="superscript"/>
              </w:rPr>
              <w:t>3</w:t>
            </w:r>
            <w:r>
              <w:rPr>
                <w:rFonts w:hint="eastAsia"/>
                <w:sz w:val="24"/>
                <w:szCs w:val="24"/>
              </w:rPr>
              <w:t>，活性炭密度取 0.4g/cm</w:t>
            </w:r>
            <w:r>
              <w:rPr>
                <w:sz w:val="24"/>
                <w:szCs w:val="24"/>
                <w:vertAlign w:val="superscript"/>
              </w:rPr>
              <w:t>3</w:t>
            </w:r>
            <w:r>
              <w:rPr>
                <w:rFonts w:hint="eastAsia"/>
                <w:sz w:val="24"/>
                <w:szCs w:val="24"/>
              </w:rPr>
              <w:t>，装填量约2.304t。因此，二级活性炭吸附装置实际装填量应为4.608t&gt;三个月的使用量，满足废气处理需求。</w:t>
            </w:r>
          </w:p>
          <w:p w14:paraId="135F12B8">
            <w:pPr>
              <w:spacing w:line="360" w:lineRule="auto"/>
              <w:ind w:firstLine="482" w:firstLineChars="200"/>
              <w:rPr>
                <w:b/>
                <w:sz w:val="24"/>
                <w:szCs w:val="24"/>
              </w:rPr>
            </w:pPr>
            <w:r>
              <w:rPr>
                <w:rFonts w:hint="eastAsia"/>
                <w:b/>
                <w:sz w:val="24"/>
                <w:szCs w:val="24"/>
              </w:rPr>
              <w:t>③排放情况</w:t>
            </w:r>
          </w:p>
          <w:p w14:paraId="415DD424">
            <w:pPr>
              <w:spacing w:line="360" w:lineRule="auto"/>
              <w:ind w:firstLine="480" w:firstLineChars="200"/>
              <w:rPr>
                <w:rFonts w:cs="Times New Roman"/>
                <w:sz w:val="24"/>
                <w:szCs w:val="24"/>
              </w:rPr>
            </w:pPr>
            <w:r>
              <w:rPr>
                <w:rFonts w:hint="eastAsia" w:cs="Times New Roman"/>
                <w:sz w:val="24"/>
                <w:szCs w:val="24"/>
              </w:rPr>
              <w:t>根据计算，运营期有机废气排放信息见下表：</w:t>
            </w:r>
          </w:p>
          <w:p w14:paraId="0AADB363">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有机废气排放信息表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784"/>
              <w:gridCol w:w="838"/>
              <w:gridCol w:w="946"/>
              <w:gridCol w:w="838"/>
              <w:gridCol w:w="838"/>
              <w:gridCol w:w="851"/>
              <w:gridCol w:w="838"/>
              <w:gridCol w:w="840"/>
              <w:gridCol w:w="792"/>
              <w:gridCol w:w="882"/>
            </w:tblGrid>
            <w:tr w14:paraId="551A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restart"/>
                  <w:vAlign w:val="center"/>
                </w:tcPr>
                <w:p w14:paraId="6A7EBFAE">
                  <w:pPr>
                    <w:jc w:val="center"/>
                    <w:rPr>
                      <w:szCs w:val="21"/>
                    </w:rPr>
                  </w:pPr>
                  <w:r>
                    <w:rPr>
                      <w:szCs w:val="21"/>
                    </w:rPr>
                    <w:t>污染源</w:t>
                  </w:r>
                </w:p>
              </w:tc>
              <w:tc>
                <w:tcPr>
                  <w:tcW w:w="429" w:type="pct"/>
                  <w:vMerge w:val="restart"/>
                  <w:vAlign w:val="center"/>
                </w:tcPr>
                <w:p w14:paraId="1B8C578C">
                  <w:pPr>
                    <w:jc w:val="center"/>
                    <w:rPr>
                      <w:szCs w:val="21"/>
                    </w:rPr>
                  </w:pPr>
                  <w:r>
                    <w:rPr>
                      <w:szCs w:val="21"/>
                    </w:rPr>
                    <w:t>污染物种类</w:t>
                  </w:r>
                </w:p>
              </w:tc>
              <w:tc>
                <w:tcPr>
                  <w:tcW w:w="458" w:type="pct"/>
                  <w:vMerge w:val="restart"/>
                  <w:vAlign w:val="center"/>
                </w:tcPr>
                <w:p w14:paraId="72074776">
                  <w:pPr>
                    <w:jc w:val="center"/>
                    <w:rPr>
                      <w:szCs w:val="21"/>
                    </w:rPr>
                  </w:pPr>
                  <w:r>
                    <w:rPr>
                      <w:szCs w:val="21"/>
                    </w:rPr>
                    <w:t>污染物产生</w:t>
                  </w:r>
                  <w:r>
                    <w:rPr>
                      <w:rFonts w:hint="eastAsia"/>
                      <w:szCs w:val="21"/>
                    </w:rPr>
                    <w:t>量</w:t>
                  </w:r>
                </w:p>
                <w:p w14:paraId="1C4D5D26">
                  <w:pPr>
                    <w:jc w:val="center"/>
                    <w:rPr>
                      <w:szCs w:val="21"/>
                    </w:rPr>
                  </w:pPr>
                  <w:r>
                    <w:rPr>
                      <w:szCs w:val="21"/>
                    </w:rPr>
                    <w:t>(</w:t>
                  </w:r>
                  <w:r>
                    <w:rPr>
                      <w:rFonts w:hint="eastAsia"/>
                      <w:szCs w:val="21"/>
                    </w:rPr>
                    <w:t>t</w:t>
                  </w:r>
                  <w:r>
                    <w:rPr>
                      <w:szCs w:val="21"/>
                    </w:rPr>
                    <w:t>/a)</w:t>
                  </w:r>
                </w:p>
              </w:tc>
              <w:tc>
                <w:tcPr>
                  <w:tcW w:w="3248" w:type="pct"/>
                  <w:gridSpan w:val="7"/>
                  <w:vAlign w:val="center"/>
                </w:tcPr>
                <w:p w14:paraId="5EFB4834">
                  <w:pPr>
                    <w:jc w:val="center"/>
                    <w:rPr>
                      <w:szCs w:val="21"/>
                    </w:rPr>
                  </w:pPr>
                  <w:r>
                    <w:rPr>
                      <w:szCs w:val="21"/>
                    </w:rPr>
                    <w:t>排放情况</w:t>
                  </w:r>
                </w:p>
              </w:tc>
              <w:tc>
                <w:tcPr>
                  <w:tcW w:w="482" w:type="pct"/>
                  <w:vMerge w:val="restart"/>
                  <w:vAlign w:val="center"/>
                </w:tcPr>
                <w:p w14:paraId="690DE514">
                  <w:pPr>
                    <w:jc w:val="center"/>
                    <w:rPr>
                      <w:szCs w:val="21"/>
                    </w:rPr>
                  </w:pPr>
                  <w:r>
                    <w:rPr>
                      <w:szCs w:val="21"/>
                    </w:rPr>
                    <w:t>排气筒编号</w:t>
                  </w:r>
                </w:p>
              </w:tc>
            </w:tr>
            <w:tr w14:paraId="0CD9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67B9C929">
                  <w:pPr>
                    <w:jc w:val="center"/>
                    <w:rPr>
                      <w:szCs w:val="21"/>
                    </w:rPr>
                  </w:pPr>
                </w:p>
              </w:tc>
              <w:tc>
                <w:tcPr>
                  <w:tcW w:w="429" w:type="pct"/>
                  <w:vMerge w:val="continue"/>
                  <w:vAlign w:val="center"/>
                </w:tcPr>
                <w:p w14:paraId="5D672526">
                  <w:pPr>
                    <w:jc w:val="center"/>
                    <w:rPr>
                      <w:szCs w:val="21"/>
                    </w:rPr>
                  </w:pPr>
                </w:p>
              </w:tc>
              <w:tc>
                <w:tcPr>
                  <w:tcW w:w="458" w:type="pct"/>
                  <w:vMerge w:val="continue"/>
                  <w:vAlign w:val="center"/>
                </w:tcPr>
                <w:p w14:paraId="59091B4A">
                  <w:pPr>
                    <w:jc w:val="center"/>
                    <w:rPr>
                      <w:szCs w:val="21"/>
                    </w:rPr>
                  </w:pPr>
                </w:p>
              </w:tc>
              <w:tc>
                <w:tcPr>
                  <w:tcW w:w="517" w:type="pct"/>
                  <w:vMerge w:val="restart"/>
                  <w:vAlign w:val="center"/>
                </w:tcPr>
                <w:p w14:paraId="4D68C2B8">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381" w:type="pct"/>
                  <w:gridSpan w:val="3"/>
                  <w:vAlign w:val="center"/>
                </w:tcPr>
                <w:p w14:paraId="4702E8B5">
                  <w:pPr>
                    <w:jc w:val="center"/>
                    <w:rPr>
                      <w:szCs w:val="21"/>
                    </w:rPr>
                  </w:pPr>
                  <w:r>
                    <w:rPr>
                      <w:szCs w:val="21"/>
                    </w:rPr>
                    <w:t>有组织</w:t>
                  </w:r>
                </w:p>
              </w:tc>
              <w:tc>
                <w:tcPr>
                  <w:tcW w:w="917" w:type="pct"/>
                  <w:gridSpan w:val="2"/>
                  <w:vAlign w:val="center"/>
                </w:tcPr>
                <w:p w14:paraId="55A635C1">
                  <w:pPr>
                    <w:jc w:val="center"/>
                    <w:rPr>
                      <w:szCs w:val="21"/>
                    </w:rPr>
                  </w:pPr>
                  <w:r>
                    <w:rPr>
                      <w:szCs w:val="21"/>
                    </w:rPr>
                    <w:t>无组织</w:t>
                  </w:r>
                </w:p>
              </w:tc>
              <w:tc>
                <w:tcPr>
                  <w:tcW w:w="433" w:type="pct"/>
                  <w:vMerge w:val="restart"/>
                  <w:vAlign w:val="center"/>
                </w:tcPr>
                <w:p w14:paraId="64690A52">
                  <w:pPr>
                    <w:jc w:val="center"/>
                    <w:rPr>
                      <w:szCs w:val="21"/>
                    </w:rPr>
                  </w:pPr>
                  <w:r>
                    <w:rPr>
                      <w:szCs w:val="21"/>
                    </w:rPr>
                    <w:t>排放时间</w:t>
                  </w:r>
                  <w:r>
                    <w:rPr>
                      <w:rFonts w:hint="eastAsia"/>
                      <w:szCs w:val="21"/>
                    </w:rPr>
                    <w:t>(</w:t>
                  </w:r>
                  <w:r>
                    <w:rPr>
                      <w:szCs w:val="21"/>
                    </w:rPr>
                    <w:t>h)</w:t>
                  </w:r>
                </w:p>
              </w:tc>
              <w:tc>
                <w:tcPr>
                  <w:tcW w:w="482" w:type="pct"/>
                  <w:vMerge w:val="continue"/>
                  <w:vAlign w:val="center"/>
                </w:tcPr>
                <w:p w14:paraId="2CBDEA7F">
                  <w:pPr>
                    <w:jc w:val="center"/>
                    <w:rPr>
                      <w:szCs w:val="21"/>
                    </w:rPr>
                  </w:pPr>
                </w:p>
              </w:tc>
            </w:tr>
            <w:tr w14:paraId="59F7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192F177E">
                  <w:pPr>
                    <w:jc w:val="center"/>
                    <w:rPr>
                      <w:szCs w:val="21"/>
                    </w:rPr>
                  </w:pPr>
                </w:p>
              </w:tc>
              <w:tc>
                <w:tcPr>
                  <w:tcW w:w="429" w:type="pct"/>
                  <w:vMerge w:val="continue"/>
                  <w:vAlign w:val="center"/>
                </w:tcPr>
                <w:p w14:paraId="3EA50382">
                  <w:pPr>
                    <w:jc w:val="center"/>
                    <w:rPr>
                      <w:szCs w:val="21"/>
                    </w:rPr>
                  </w:pPr>
                </w:p>
              </w:tc>
              <w:tc>
                <w:tcPr>
                  <w:tcW w:w="458" w:type="pct"/>
                  <w:vMerge w:val="continue"/>
                  <w:vAlign w:val="center"/>
                </w:tcPr>
                <w:p w14:paraId="5B8457AF">
                  <w:pPr>
                    <w:jc w:val="center"/>
                    <w:rPr>
                      <w:szCs w:val="21"/>
                    </w:rPr>
                  </w:pPr>
                </w:p>
              </w:tc>
              <w:tc>
                <w:tcPr>
                  <w:tcW w:w="517" w:type="pct"/>
                  <w:vMerge w:val="continue"/>
                  <w:vAlign w:val="center"/>
                </w:tcPr>
                <w:p w14:paraId="7F24BD05">
                  <w:pPr>
                    <w:jc w:val="center"/>
                    <w:rPr>
                      <w:szCs w:val="21"/>
                    </w:rPr>
                  </w:pPr>
                </w:p>
              </w:tc>
              <w:tc>
                <w:tcPr>
                  <w:tcW w:w="458" w:type="pct"/>
                  <w:vAlign w:val="center"/>
                </w:tcPr>
                <w:p w14:paraId="3F7470F6">
                  <w:pPr>
                    <w:jc w:val="center"/>
                    <w:rPr>
                      <w:szCs w:val="21"/>
                    </w:rPr>
                  </w:pPr>
                  <w:r>
                    <w:rPr>
                      <w:szCs w:val="21"/>
                    </w:rPr>
                    <w:t>mg/m</w:t>
                  </w:r>
                  <w:r>
                    <w:rPr>
                      <w:szCs w:val="21"/>
                      <w:vertAlign w:val="superscript"/>
                    </w:rPr>
                    <w:t>3</w:t>
                  </w:r>
                </w:p>
              </w:tc>
              <w:tc>
                <w:tcPr>
                  <w:tcW w:w="458" w:type="pct"/>
                  <w:vAlign w:val="center"/>
                </w:tcPr>
                <w:p w14:paraId="711E68DA">
                  <w:pPr>
                    <w:jc w:val="center"/>
                    <w:rPr>
                      <w:szCs w:val="21"/>
                    </w:rPr>
                  </w:pPr>
                  <w:r>
                    <w:rPr>
                      <w:szCs w:val="21"/>
                    </w:rPr>
                    <w:t>kg/h</w:t>
                  </w:r>
                </w:p>
              </w:tc>
              <w:tc>
                <w:tcPr>
                  <w:tcW w:w="465" w:type="pct"/>
                  <w:vAlign w:val="center"/>
                </w:tcPr>
                <w:p w14:paraId="36A96B15">
                  <w:pPr>
                    <w:jc w:val="center"/>
                    <w:rPr>
                      <w:szCs w:val="21"/>
                    </w:rPr>
                  </w:pPr>
                  <w:r>
                    <w:rPr>
                      <w:rFonts w:hint="eastAsia"/>
                      <w:szCs w:val="21"/>
                    </w:rPr>
                    <w:t>t</w:t>
                  </w:r>
                  <w:r>
                    <w:rPr>
                      <w:szCs w:val="21"/>
                    </w:rPr>
                    <w:t>/a</w:t>
                  </w:r>
                </w:p>
              </w:tc>
              <w:tc>
                <w:tcPr>
                  <w:tcW w:w="458" w:type="pct"/>
                  <w:vAlign w:val="center"/>
                </w:tcPr>
                <w:p w14:paraId="1C7DD016">
                  <w:pPr>
                    <w:jc w:val="center"/>
                    <w:rPr>
                      <w:szCs w:val="21"/>
                    </w:rPr>
                  </w:pPr>
                  <w:r>
                    <w:rPr>
                      <w:szCs w:val="21"/>
                    </w:rPr>
                    <w:t>kg/h</w:t>
                  </w:r>
                </w:p>
              </w:tc>
              <w:tc>
                <w:tcPr>
                  <w:tcW w:w="459" w:type="pct"/>
                  <w:vAlign w:val="center"/>
                </w:tcPr>
                <w:p w14:paraId="21A48C19">
                  <w:pPr>
                    <w:jc w:val="center"/>
                    <w:rPr>
                      <w:szCs w:val="21"/>
                    </w:rPr>
                  </w:pPr>
                  <w:r>
                    <w:rPr>
                      <w:szCs w:val="21"/>
                    </w:rPr>
                    <w:t>t/a</w:t>
                  </w:r>
                </w:p>
              </w:tc>
              <w:tc>
                <w:tcPr>
                  <w:tcW w:w="433" w:type="pct"/>
                  <w:vMerge w:val="continue"/>
                  <w:vAlign w:val="center"/>
                </w:tcPr>
                <w:p w14:paraId="409F6616">
                  <w:pPr>
                    <w:jc w:val="center"/>
                    <w:rPr>
                      <w:szCs w:val="21"/>
                    </w:rPr>
                  </w:pPr>
                </w:p>
              </w:tc>
              <w:tc>
                <w:tcPr>
                  <w:tcW w:w="482" w:type="pct"/>
                  <w:vMerge w:val="continue"/>
                  <w:vAlign w:val="center"/>
                </w:tcPr>
                <w:p w14:paraId="3E1C2D03">
                  <w:pPr>
                    <w:jc w:val="center"/>
                    <w:rPr>
                      <w:szCs w:val="21"/>
                    </w:rPr>
                  </w:pPr>
                </w:p>
              </w:tc>
            </w:tr>
            <w:tr w14:paraId="026F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restart"/>
                  <w:vAlign w:val="center"/>
                </w:tcPr>
                <w:p w14:paraId="0E20DC11">
                  <w:pPr>
                    <w:jc w:val="center"/>
                    <w:rPr>
                      <w:szCs w:val="21"/>
                    </w:rPr>
                  </w:pPr>
                  <w:r>
                    <w:rPr>
                      <w:rFonts w:hint="eastAsia"/>
                      <w:szCs w:val="21"/>
                    </w:rPr>
                    <w:t>注塑成型、丝印/热转印</w:t>
                  </w:r>
                </w:p>
              </w:tc>
              <w:tc>
                <w:tcPr>
                  <w:tcW w:w="429" w:type="pct"/>
                  <w:vAlign w:val="center"/>
                </w:tcPr>
                <w:p w14:paraId="1DA72450">
                  <w:pPr>
                    <w:jc w:val="center"/>
                    <w:rPr>
                      <w:szCs w:val="21"/>
                    </w:rPr>
                  </w:pPr>
                  <w:r>
                    <w:rPr>
                      <w:rFonts w:hint="eastAsia"/>
                      <w:szCs w:val="21"/>
                    </w:rPr>
                    <w:t>VOCs</w:t>
                  </w:r>
                </w:p>
              </w:tc>
              <w:tc>
                <w:tcPr>
                  <w:tcW w:w="458" w:type="pct"/>
                  <w:vAlign w:val="center"/>
                </w:tcPr>
                <w:p w14:paraId="3028C404">
                  <w:pPr>
                    <w:widowControl/>
                    <w:jc w:val="center"/>
                    <w:rPr>
                      <w:rFonts w:cs="Times New Roman"/>
                      <w:kern w:val="0"/>
                      <w:szCs w:val="21"/>
                    </w:rPr>
                  </w:pPr>
                  <w:r>
                    <w:rPr>
                      <w:rFonts w:hint="eastAsia" w:cs="Times New Roman"/>
                      <w:kern w:val="0"/>
                      <w:szCs w:val="21"/>
                    </w:rPr>
                    <w:t>4.459</w:t>
                  </w:r>
                </w:p>
              </w:tc>
              <w:tc>
                <w:tcPr>
                  <w:tcW w:w="517" w:type="pct"/>
                  <w:vMerge w:val="restart"/>
                  <w:vAlign w:val="center"/>
                </w:tcPr>
                <w:p w14:paraId="26F494B6">
                  <w:pPr>
                    <w:jc w:val="center"/>
                    <w:rPr>
                      <w:rFonts w:cs="Times New Roman"/>
                      <w:szCs w:val="21"/>
                    </w:rPr>
                  </w:pPr>
                  <w:r>
                    <w:rPr>
                      <w:rFonts w:hint="eastAsia" w:cs="Times New Roman"/>
                      <w:szCs w:val="21"/>
                    </w:rPr>
                    <w:t>40000</w:t>
                  </w:r>
                </w:p>
              </w:tc>
              <w:tc>
                <w:tcPr>
                  <w:tcW w:w="458" w:type="pct"/>
                  <w:vAlign w:val="center"/>
                </w:tcPr>
                <w:p w14:paraId="0FF9D9FE">
                  <w:pPr>
                    <w:jc w:val="center"/>
                    <w:rPr>
                      <w:rFonts w:cs="Times New Roman"/>
                      <w:szCs w:val="21"/>
                    </w:rPr>
                  </w:pPr>
                  <w:r>
                    <w:rPr>
                      <w:rFonts w:eastAsia="等线" w:cs="Times New Roman"/>
                      <w:szCs w:val="21"/>
                    </w:rPr>
                    <w:t>5.0166</w:t>
                  </w:r>
                </w:p>
              </w:tc>
              <w:tc>
                <w:tcPr>
                  <w:tcW w:w="458" w:type="pct"/>
                  <w:vAlign w:val="center"/>
                </w:tcPr>
                <w:p w14:paraId="7F2CB0DF">
                  <w:pPr>
                    <w:jc w:val="center"/>
                    <w:rPr>
                      <w:rFonts w:cs="Times New Roman"/>
                      <w:szCs w:val="21"/>
                    </w:rPr>
                  </w:pPr>
                  <w:r>
                    <w:rPr>
                      <w:rFonts w:eastAsia="等线" w:cs="Times New Roman"/>
                      <w:szCs w:val="21"/>
                    </w:rPr>
                    <w:t>0.2007</w:t>
                  </w:r>
                </w:p>
              </w:tc>
              <w:tc>
                <w:tcPr>
                  <w:tcW w:w="465" w:type="pct"/>
                  <w:vAlign w:val="center"/>
                </w:tcPr>
                <w:p w14:paraId="708A65C7">
                  <w:pPr>
                    <w:jc w:val="center"/>
                    <w:rPr>
                      <w:rFonts w:cs="Times New Roman"/>
                      <w:szCs w:val="21"/>
                    </w:rPr>
                  </w:pPr>
                  <w:r>
                    <w:rPr>
                      <w:rFonts w:eastAsia="等线" w:cs="Times New Roman"/>
                      <w:szCs w:val="21"/>
                    </w:rPr>
                    <w:t>0.4013</w:t>
                  </w:r>
                </w:p>
              </w:tc>
              <w:tc>
                <w:tcPr>
                  <w:tcW w:w="458" w:type="pct"/>
                  <w:vAlign w:val="center"/>
                </w:tcPr>
                <w:p w14:paraId="086F6C6C">
                  <w:pPr>
                    <w:jc w:val="center"/>
                    <w:rPr>
                      <w:rFonts w:cs="Times New Roman"/>
                      <w:szCs w:val="21"/>
                    </w:rPr>
                  </w:pPr>
                  <w:r>
                    <w:rPr>
                      <w:rFonts w:eastAsia="等线" w:cs="Times New Roman"/>
                      <w:szCs w:val="21"/>
                    </w:rPr>
                    <w:t>0.2229</w:t>
                  </w:r>
                </w:p>
              </w:tc>
              <w:tc>
                <w:tcPr>
                  <w:tcW w:w="459" w:type="pct"/>
                  <w:vAlign w:val="center"/>
                </w:tcPr>
                <w:p w14:paraId="359F18B8">
                  <w:pPr>
                    <w:jc w:val="center"/>
                    <w:rPr>
                      <w:rFonts w:cs="Times New Roman"/>
                      <w:szCs w:val="21"/>
                    </w:rPr>
                  </w:pPr>
                  <w:r>
                    <w:rPr>
                      <w:rFonts w:eastAsia="等线" w:cs="Times New Roman"/>
                      <w:szCs w:val="21"/>
                    </w:rPr>
                    <w:t>0.4457</w:t>
                  </w:r>
                </w:p>
              </w:tc>
              <w:tc>
                <w:tcPr>
                  <w:tcW w:w="433" w:type="pct"/>
                  <w:vMerge w:val="restart"/>
                  <w:vAlign w:val="center"/>
                </w:tcPr>
                <w:p w14:paraId="33840823">
                  <w:pPr>
                    <w:jc w:val="center"/>
                    <w:rPr>
                      <w:szCs w:val="21"/>
                    </w:rPr>
                  </w:pPr>
                  <w:r>
                    <w:rPr>
                      <w:rFonts w:hint="eastAsia"/>
                      <w:szCs w:val="21"/>
                    </w:rPr>
                    <w:t>2000</w:t>
                  </w:r>
                </w:p>
              </w:tc>
              <w:tc>
                <w:tcPr>
                  <w:tcW w:w="482" w:type="pct"/>
                  <w:vMerge w:val="restart"/>
                  <w:vAlign w:val="center"/>
                </w:tcPr>
                <w:p w14:paraId="6B38F084">
                  <w:pPr>
                    <w:jc w:val="center"/>
                    <w:rPr>
                      <w:szCs w:val="21"/>
                      <w:highlight w:val="yellow"/>
                    </w:rPr>
                  </w:pPr>
                  <w:r>
                    <w:rPr>
                      <w:rFonts w:hint="eastAsia"/>
                      <w:szCs w:val="21"/>
                    </w:rPr>
                    <w:t>DA005</w:t>
                  </w:r>
                </w:p>
              </w:tc>
            </w:tr>
            <w:tr w14:paraId="1B28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25E5B133">
                  <w:pPr>
                    <w:jc w:val="center"/>
                    <w:rPr>
                      <w:szCs w:val="21"/>
                    </w:rPr>
                  </w:pPr>
                </w:p>
              </w:tc>
              <w:tc>
                <w:tcPr>
                  <w:tcW w:w="429" w:type="pct"/>
                  <w:vAlign w:val="center"/>
                </w:tcPr>
                <w:p w14:paraId="77CBB5EF">
                  <w:pPr>
                    <w:jc w:val="center"/>
                    <w:rPr>
                      <w:szCs w:val="21"/>
                    </w:rPr>
                  </w:pPr>
                  <w:r>
                    <w:rPr>
                      <w:rFonts w:hint="eastAsia"/>
                      <w:szCs w:val="21"/>
                    </w:rPr>
                    <w:t>苯乙烯</w:t>
                  </w:r>
                </w:p>
              </w:tc>
              <w:tc>
                <w:tcPr>
                  <w:tcW w:w="458" w:type="pct"/>
                  <w:vAlign w:val="center"/>
                </w:tcPr>
                <w:p w14:paraId="5D0F8BCE">
                  <w:pPr>
                    <w:widowControl/>
                    <w:jc w:val="center"/>
                    <w:rPr>
                      <w:rFonts w:cs="Times New Roman"/>
                      <w:kern w:val="0"/>
                      <w:szCs w:val="21"/>
                    </w:rPr>
                  </w:pPr>
                  <w:r>
                    <w:rPr>
                      <w:rFonts w:hint="eastAsia" w:cs="Times New Roman"/>
                      <w:kern w:val="0"/>
                      <w:szCs w:val="21"/>
                    </w:rPr>
                    <w:t>0.0424</w:t>
                  </w:r>
                </w:p>
              </w:tc>
              <w:tc>
                <w:tcPr>
                  <w:tcW w:w="517" w:type="pct"/>
                  <w:vMerge w:val="continue"/>
                  <w:vAlign w:val="center"/>
                </w:tcPr>
                <w:p w14:paraId="387352F3">
                  <w:pPr>
                    <w:jc w:val="center"/>
                    <w:rPr>
                      <w:rFonts w:cs="Times New Roman"/>
                      <w:szCs w:val="21"/>
                    </w:rPr>
                  </w:pPr>
                </w:p>
              </w:tc>
              <w:tc>
                <w:tcPr>
                  <w:tcW w:w="458" w:type="pct"/>
                  <w:vAlign w:val="center"/>
                </w:tcPr>
                <w:p w14:paraId="3B420A72">
                  <w:pPr>
                    <w:jc w:val="center"/>
                    <w:rPr>
                      <w:rFonts w:cs="Times New Roman"/>
                      <w:szCs w:val="21"/>
                    </w:rPr>
                  </w:pPr>
                  <w:r>
                    <w:rPr>
                      <w:rFonts w:eastAsia="等线" w:cs="Times New Roman"/>
                      <w:szCs w:val="21"/>
                    </w:rPr>
                    <w:t>0.0477</w:t>
                  </w:r>
                </w:p>
              </w:tc>
              <w:tc>
                <w:tcPr>
                  <w:tcW w:w="458" w:type="pct"/>
                  <w:vAlign w:val="center"/>
                </w:tcPr>
                <w:p w14:paraId="6F978CE8">
                  <w:pPr>
                    <w:jc w:val="center"/>
                    <w:rPr>
                      <w:rFonts w:cs="Times New Roman"/>
                      <w:szCs w:val="21"/>
                    </w:rPr>
                  </w:pPr>
                  <w:r>
                    <w:rPr>
                      <w:rFonts w:eastAsia="等线" w:cs="Times New Roman"/>
                      <w:szCs w:val="21"/>
                    </w:rPr>
                    <w:t>0.0019</w:t>
                  </w:r>
                </w:p>
              </w:tc>
              <w:tc>
                <w:tcPr>
                  <w:tcW w:w="465" w:type="pct"/>
                  <w:vAlign w:val="center"/>
                </w:tcPr>
                <w:p w14:paraId="240583CA">
                  <w:pPr>
                    <w:jc w:val="center"/>
                    <w:rPr>
                      <w:rFonts w:eastAsia="等线" w:cs="Times New Roman"/>
                      <w:szCs w:val="21"/>
                    </w:rPr>
                  </w:pPr>
                  <w:r>
                    <w:rPr>
                      <w:rFonts w:eastAsia="等线" w:cs="Times New Roman"/>
                      <w:szCs w:val="21"/>
                    </w:rPr>
                    <w:t>0.0038</w:t>
                  </w:r>
                </w:p>
              </w:tc>
              <w:tc>
                <w:tcPr>
                  <w:tcW w:w="458" w:type="pct"/>
                  <w:vAlign w:val="center"/>
                </w:tcPr>
                <w:p w14:paraId="029D9841">
                  <w:pPr>
                    <w:jc w:val="center"/>
                    <w:rPr>
                      <w:rFonts w:eastAsia="等线" w:cs="Times New Roman"/>
                      <w:szCs w:val="21"/>
                    </w:rPr>
                  </w:pPr>
                  <w:r>
                    <w:rPr>
                      <w:rFonts w:eastAsia="等线" w:cs="Times New Roman"/>
                      <w:szCs w:val="21"/>
                    </w:rPr>
                    <w:t>0.0021</w:t>
                  </w:r>
                </w:p>
              </w:tc>
              <w:tc>
                <w:tcPr>
                  <w:tcW w:w="459" w:type="pct"/>
                  <w:vAlign w:val="center"/>
                </w:tcPr>
                <w:p w14:paraId="72E6AE1B">
                  <w:pPr>
                    <w:jc w:val="center"/>
                    <w:rPr>
                      <w:rFonts w:eastAsia="等线" w:cs="Times New Roman"/>
                      <w:szCs w:val="21"/>
                    </w:rPr>
                  </w:pPr>
                  <w:r>
                    <w:rPr>
                      <w:rFonts w:eastAsia="等线" w:cs="Times New Roman"/>
                      <w:szCs w:val="21"/>
                    </w:rPr>
                    <w:t>0.0042</w:t>
                  </w:r>
                </w:p>
              </w:tc>
              <w:tc>
                <w:tcPr>
                  <w:tcW w:w="433" w:type="pct"/>
                  <w:vMerge w:val="continue"/>
                  <w:vAlign w:val="center"/>
                </w:tcPr>
                <w:p w14:paraId="16B2405E">
                  <w:pPr>
                    <w:jc w:val="center"/>
                    <w:rPr>
                      <w:szCs w:val="21"/>
                    </w:rPr>
                  </w:pPr>
                </w:p>
              </w:tc>
              <w:tc>
                <w:tcPr>
                  <w:tcW w:w="482" w:type="pct"/>
                  <w:vMerge w:val="continue"/>
                  <w:vAlign w:val="center"/>
                </w:tcPr>
                <w:p w14:paraId="4F5C189C">
                  <w:pPr>
                    <w:jc w:val="center"/>
                    <w:rPr>
                      <w:szCs w:val="21"/>
                    </w:rPr>
                  </w:pPr>
                </w:p>
              </w:tc>
            </w:tr>
            <w:tr w14:paraId="5D57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1287FC56">
                  <w:pPr>
                    <w:jc w:val="center"/>
                    <w:rPr>
                      <w:szCs w:val="21"/>
                    </w:rPr>
                  </w:pPr>
                </w:p>
              </w:tc>
              <w:tc>
                <w:tcPr>
                  <w:tcW w:w="429" w:type="pct"/>
                  <w:vAlign w:val="center"/>
                </w:tcPr>
                <w:p w14:paraId="05E8390D">
                  <w:pPr>
                    <w:jc w:val="center"/>
                    <w:rPr>
                      <w:szCs w:val="21"/>
                    </w:rPr>
                  </w:pPr>
                  <w:r>
                    <w:rPr>
                      <w:rFonts w:hint="eastAsia" w:cs="Times New Roman"/>
                      <w:szCs w:val="21"/>
                    </w:rPr>
                    <w:t>丙烯腈</w:t>
                  </w:r>
                </w:p>
              </w:tc>
              <w:tc>
                <w:tcPr>
                  <w:tcW w:w="458" w:type="pct"/>
                  <w:vAlign w:val="center"/>
                </w:tcPr>
                <w:p w14:paraId="38E157FA">
                  <w:pPr>
                    <w:widowControl/>
                    <w:jc w:val="center"/>
                    <w:rPr>
                      <w:rFonts w:cs="Times New Roman"/>
                      <w:kern w:val="0"/>
                      <w:szCs w:val="21"/>
                    </w:rPr>
                  </w:pPr>
                  <w:r>
                    <w:rPr>
                      <w:rFonts w:hint="eastAsia" w:cs="Times New Roman"/>
                      <w:kern w:val="0"/>
                      <w:szCs w:val="21"/>
                    </w:rPr>
                    <w:t>0.0176</w:t>
                  </w:r>
                </w:p>
              </w:tc>
              <w:tc>
                <w:tcPr>
                  <w:tcW w:w="517" w:type="pct"/>
                  <w:vMerge w:val="continue"/>
                  <w:vAlign w:val="center"/>
                </w:tcPr>
                <w:p w14:paraId="37F8EAC3">
                  <w:pPr>
                    <w:jc w:val="center"/>
                    <w:rPr>
                      <w:rFonts w:cs="Times New Roman"/>
                      <w:szCs w:val="21"/>
                    </w:rPr>
                  </w:pPr>
                </w:p>
              </w:tc>
              <w:tc>
                <w:tcPr>
                  <w:tcW w:w="458" w:type="pct"/>
                  <w:vAlign w:val="center"/>
                </w:tcPr>
                <w:p w14:paraId="6353059E">
                  <w:pPr>
                    <w:jc w:val="center"/>
                    <w:rPr>
                      <w:rFonts w:cs="Times New Roman"/>
                      <w:szCs w:val="21"/>
                    </w:rPr>
                  </w:pPr>
                  <w:r>
                    <w:rPr>
                      <w:rFonts w:eastAsia="等线" w:cs="Times New Roman"/>
                      <w:szCs w:val="21"/>
                    </w:rPr>
                    <w:t>0.0198</w:t>
                  </w:r>
                </w:p>
              </w:tc>
              <w:tc>
                <w:tcPr>
                  <w:tcW w:w="458" w:type="pct"/>
                  <w:vAlign w:val="center"/>
                </w:tcPr>
                <w:p w14:paraId="030B62E2">
                  <w:pPr>
                    <w:jc w:val="center"/>
                    <w:rPr>
                      <w:rFonts w:cs="Times New Roman"/>
                      <w:szCs w:val="21"/>
                    </w:rPr>
                  </w:pPr>
                  <w:r>
                    <w:rPr>
                      <w:rFonts w:eastAsia="等线" w:cs="Times New Roman"/>
                      <w:szCs w:val="21"/>
                    </w:rPr>
                    <w:t>0.0008</w:t>
                  </w:r>
                </w:p>
              </w:tc>
              <w:tc>
                <w:tcPr>
                  <w:tcW w:w="465" w:type="pct"/>
                  <w:vAlign w:val="center"/>
                </w:tcPr>
                <w:p w14:paraId="66DD1B77">
                  <w:pPr>
                    <w:jc w:val="center"/>
                    <w:rPr>
                      <w:rFonts w:eastAsia="等线" w:cs="Times New Roman"/>
                      <w:szCs w:val="21"/>
                    </w:rPr>
                  </w:pPr>
                  <w:r>
                    <w:rPr>
                      <w:rFonts w:eastAsia="等线" w:cs="Times New Roman"/>
                      <w:szCs w:val="21"/>
                    </w:rPr>
                    <w:t>0.0016</w:t>
                  </w:r>
                </w:p>
              </w:tc>
              <w:tc>
                <w:tcPr>
                  <w:tcW w:w="458" w:type="pct"/>
                  <w:vAlign w:val="center"/>
                </w:tcPr>
                <w:p w14:paraId="4B739A3F">
                  <w:pPr>
                    <w:jc w:val="center"/>
                    <w:rPr>
                      <w:rFonts w:eastAsia="等线" w:cs="Times New Roman"/>
                      <w:szCs w:val="21"/>
                    </w:rPr>
                  </w:pPr>
                  <w:r>
                    <w:rPr>
                      <w:rFonts w:eastAsia="等线" w:cs="Times New Roman"/>
                      <w:szCs w:val="21"/>
                    </w:rPr>
                    <w:t>0.0009</w:t>
                  </w:r>
                </w:p>
              </w:tc>
              <w:tc>
                <w:tcPr>
                  <w:tcW w:w="459" w:type="pct"/>
                  <w:vAlign w:val="center"/>
                </w:tcPr>
                <w:p w14:paraId="2CF13097">
                  <w:pPr>
                    <w:jc w:val="center"/>
                    <w:rPr>
                      <w:rFonts w:eastAsia="等线" w:cs="Times New Roman"/>
                      <w:szCs w:val="21"/>
                    </w:rPr>
                  </w:pPr>
                  <w:r>
                    <w:rPr>
                      <w:rFonts w:eastAsia="等线" w:cs="Times New Roman"/>
                      <w:szCs w:val="21"/>
                    </w:rPr>
                    <w:t>0.0018</w:t>
                  </w:r>
                </w:p>
              </w:tc>
              <w:tc>
                <w:tcPr>
                  <w:tcW w:w="433" w:type="pct"/>
                  <w:vMerge w:val="continue"/>
                  <w:vAlign w:val="center"/>
                </w:tcPr>
                <w:p w14:paraId="3BE1D232">
                  <w:pPr>
                    <w:jc w:val="center"/>
                    <w:rPr>
                      <w:szCs w:val="21"/>
                    </w:rPr>
                  </w:pPr>
                </w:p>
              </w:tc>
              <w:tc>
                <w:tcPr>
                  <w:tcW w:w="482" w:type="pct"/>
                  <w:vMerge w:val="continue"/>
                  <w:vAlign w:val="center"/>
                </w:tcPr>
                <w:p w14:paraId="61498AA0">
                  <w:pPr>
                    <w:jc w:val="center"/>
                    <w:rPr>
                      <w:szCs w:val="21"/>
                    </w:rPr>
                  </w:pPr>
                </w:p>
              </w:tc>
            </w:tr>
            <w:tr w14:paraId="5AB57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1263689B">
                  <w:pPr>
                    <w:jc w:val="center"/>
                    <w:rPr>
                      <w:szCs w:val="21"/>
                    </w:rPr>
                  </w:pPr>
                </w:p>
              </w:tc>
              <w:tc>
                <w:tcPr>
                  <w:tcW w:w="429" w:type="pct"/>
                  <w:vAlign w:val="center"/>
                </w:tcPr>
                <w:p w14:paraId="0AB0C034">
                  <w:pPr>
                    <w:jc w:val="center"/>
                    <w:rPr>
                      <w:szCs w:val="21"/>
                    </w:rPr>
                  </w:pPr>
                  <w:r>
                    <w:rPr>
                      <w:rFonts w:hint="eastAsia" w:cs="Times New Roman"/>
                      <w:szCs w:val="21"/>
                    </w:rPr>
                    <w:t>1,3-丁二烯</w:t>
                  </w:r>
                </w:p>
              </w:tc>
              <w:tc>
                <w:tcPr>
                  <w:tcW w:w="458" w:type="pct"/>
                  <w:vAlign w:val="center"/>
                </w:tcPr>
                <w:p w14:paraId="39CA3FB7">
                  <w:pPr>
                    <w:widowControl/>
                    <w:jc w:val="center"/>
                    <w:rPr>
                      <w:rFonts w:cs="Times New Roman"/>
                      <w:kern w:val="0"/>
                      <w:szCs w:val="21"/>
                    </w:rPr>
                  </w:pPr>
                  <w:r>
                    <w:rPr>
                      <w:rFonts w:hint="eastAsia" w:cs="Times New Roman"/>
                      <w:kern w:val="0"/>
                      <w:szCs w:val="21"/>
                    </w:rPr>
                    <w:t>0.0071</w:t>
                  </w:r>
                </w:p>
              </w:tc>
              <w:tc>
                <w:tcPr>
                  <w:tcW w:w="517" w:type="pct"/>
                  <w:vMerge w:val="continue"/>
                  <w:vAlign w:val="center"/>
                </w:tcPr>
                <w:p w14:paraId="1EFB2B7F">
                  <w:pPr>
                    <w:jc w:val="center"/>
                    <w:rPr>
                      <w:rFonts w:cs="Times New Roman"/>
                      <w:szCs w:val="21"/>
                    </w:rPr>
                  </w:pPr>
                </w:p>
              </w:tc>
              <w:tc>
                <w:tcPr>
                  <w:tcW w:w="458" w:type="pct"/>
                  <w:vAlign w:val="center"/>
                </w:tcPr>
                <w:p w14:paraId="24C05CB6">
                  <w:pPr>
                    <w:jc w:val="center"/>
                    <w:rPr>
                      <w:rFonts w:cs="Times New Roman"/>
                      <w:szCs w:val="21"/>
                    </w:rPr>
                  </w:pPr>
                  <w:r>
                    <w:rPr>
                      <w:rFonts w:eastAsia="等线" w:cs="Times New Roman"/>
                      <w:szCs w:val="21"/>
                    </w:rPr>
                    <w:t>0.0080</w:t>
                  </w:r>
                </w:p>
              </w:tc>
              <w:tc>
                <w:tcPr>
                  <w:tcW w:w="458" w:type="pct"/>
                  <w:vAlign w:val="center"/>
                </w:tcPr>
                <w:p w14:paraId="02B18717">
                  <w:pPr>
                    <w:jc w:val="center"/>
                    <w:rPr>
                      <w:rFonts w:cs="Times New Roman"/>
                      <w:szCs w:val="21"/>
                    </w:rPr>
                  </w:pPr>
                  <w:r>
                    <w:rPr>
                      <w:rFonts w:eastAsia="等线" w:cs="Times New Roman"/>
                      <w:szCs w:val="21"/>
                    </w:rPr>
                    <w:t>0.0003</w:t>
                  </w:r>
                </w:p>
              </w:tc>
              <w:tc>
                <w:tcPr>
                  <w:tcW w:w="465" w:type="pct"/>
                  <w:vAlign w:val="center"/>
                </w:tcPr>
                <w:p w14:paraId="6F983014">
                  <w:pPr>
                    <w:jc w:val="center"/>
                    <w:rPr>
                      <w:rFonts w:eastAsia="等线" w:cs="Times New Roman"/>
                      <w:szCs w:val="21"/>
                    </w:rPr>
                  </w:pPr>
                  <w:r>
                    <w:rPr>
                      <w:rFonts w:eastAsia="等线" w:cs="Times New Roman"/>
                      <w:szCs w:val="21"/>
                    </w:rPr>
                    <w:t>0.0006</w:t>
                  </w:r>
                </w:p>
              </w:tc>
              <w:tc>
                <w:tcPr>
                  <w:tcW w:w="458" w:type="pct"/>
                  <w:vAlign w:val="center"/>
                </w:tcPr>
                <w:p w14:paraId="3C796E59">
                  <w:pPr>
                    <w:jc w:val="center"/>
                    <w:rPr>
                      <w:rFonts w:eastAsia="等线" w:cs="Times New Roman"/>
                      <w:szCs w:val="21"/>
                    </w:rPr>
                  </w:pPr>
                  <w:r>
                    <w:rPr>
                      <w:rFonts w:eastAsia="等线" w:cs="Times New Roman"/>
                      <w:szCs w:val="21"/>
                    </w:rPr>
                    <w:t>0.0004</w:t>
                  </w:r>
                </w:p>
              </w:tc>
              <w:tc>
                <w:tcPr>
                  <w:tcW w:w="459" w:type="pct"/>
                  <w:vAlign w:val="center"/>
                </w:tcPr>
                <w:p w14:paraId="198B1949">
                  <w:pPr>
                    <w:jc w:val="center"/>
                    <w:rPr>
                      <w:rFonts w:eastAsia="等线" w:cs="Times New Roman"/>
                      <w:szCs w:val="21"/>
                    </w:rPr>
                  </w:pPr>
                  <w:r>
                    <w:rPr>
                      <w:rFonts w:eastAsia="等线" w:cs="Times New Roman"/>
                      <w:szCs w:val="21"/>
                    </w:rPr>
                    <w:t>0.0007</w:t>
                  </w:r>
                </w:p>
              </w:tc>
              <w:tc>
                <w:tcPr>
                  <w:tcW w:w="433" w:type="pct"/>
                  <w:vMerge w:val="continue"/>
                  <w:vAlign w:val="center"/>
                </w:tcPr>
                <w:p w14:paraId="0855CDE7">
                  <w:pPr>
                    <w:jc w:val="center"/>
                    <w:rPr>
                      <w:szCs w:val="21"/>
                    </w:rPr>
                  </w:pPr>
                </w:p>
              </w:tc>
              <w:tc>
                <w:tcPr>
                  <w:tcW w:w="482" w:type="pct"/>
                  <w:vMerge w:val="continue"/>
                  <w:vAlign w:val="center"/>
                </w:tcPr>
                <w:p w14:paraId="5EC8DC3A">
                  <w:pPr>
                    <w:jc w:val="center"/>
                    <w:rPr>
                      <w:szCs w:val="21"/>
                    </w:rPr>
                  </w:pPr>
                </w:p>
              </w:tc>
            </w:tr>
            <w:tr w14:paraId="3AF6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52C9CA79">
                  <w:pPr>
                    <w:jc w:val="center"/>
                    <w:rPr>
                      <w:szCs w:val="21"/>
                    </w:rPr>
                  </w:pPr>
                </w:p>
              </w:tc>
              <w:tc>
                <w:tcPr>
                  <w:tcW w:w="429" w:type="pct"/>
                  <w:vAlign w:val="center"/>
                </w:tcPr>
                <w:p w14:paraId="2269570E">
                  <w:pPr>
                    <w:jc w:val="center"/>
                    <w:rPr>
                      <w:szCs w:val="21"/>
                    </w:rPr>
                  </w:pPr>
                  <w:r>
                    <w:rPr>
                      <w:rFonts w:hint="eastAsia" w:cs="Times New Roman"/>
                      <w:szCs w:val="21"/>
                    </w:rPr>
                    <w:t>甲苯</w:t>
                  </w:r>
                </w:p>
              </w:tc>
              <w:tc>
                <w:tcPr>
                  <w:tcW w:w="458" w:type="pct"/>
                  <w:vAlign w:val="center"/>
                </w:tcPr>
                <w:p w14:paraId="3E3D786C">
                  <w:pPr>
                    <w:widowControl/>
                    <w:jc w:val="center"/>
                    <w:rPr>
                      <w:rFonts w:cs="Times New Roman"/>
                      <w:kern w:val="0"/>
                      <w:szCs w:val="21"/>
                    </w:rPr>
                  </w:pPr>
                  <w:r>
                    <w:rPr>
                      <w:rFonts w:hint="eastAsia" w:cs="Times New Roman"/>
                      <w:kern w:val="0"/>
                      <w:szCs w:val="21"/>
                    </w:rPr>
                    <w:t>0.055</w:t>
                  </w:r>
                </w:p>
              </w:tc>
              <w:tc>
                <w:tcPr>
                  <w:tcW w:w="517" w:type="pct"/>
                  <w:vMerge w:val="continue"/>
                  <w:vAlign w:val="center"/>
                </w:tcPr>
                <w:p w14:paraId="574193E3">
                  <w:pPr>
                    <w:jc w:val="center"/>
                    <w:rPr>
                      <w:rFonts w:cs="Times New Roman"/>
                      <w:szCs w:val="21"/>
                    </w:rPr>
                  </w:pPr>
                </w:p>
              </w:tc>
              <w:tc>
                <w:tcPr>
                  <w:tcW w:w="458" w:type="pct"/>
                  <w:vAlign w:val="center"/>
                </w:tcPr>
                <w:p w14:paraId="09D33E57">
                  <w:pPr>
                    <w:jc w:val="center"/>
                    <w:rPr>
                      <w:rFonts w:cs="Times New Roman"/>
                      <w:szCs w:val="21"/>
                    </w:rPr>
                  </w:pPr>
                  <w:r>
                    <w:rPr>
                      <w:rFonts w:eastAsia="等线" w:cs="Times New Roman"/>
                      <w:szCs w:val="21"/>
                    </w:rPr>
                    <w:t>0.0619</w:t>
                  </w:r>
                </w:p>
              </w:tc>
              <w:tc>
                <w:tcPr>
                  <w:tcW w:w="458" w:type="pct"/>
                  <w:vAlign w:val="center"/>
                </w:tcPr>
                <w:p w14:paraId="080B3F0A">
                  <w:pPr>
                    <w:jc w:val="center"/>
                    <w:rPr>
                      <w:rFonts w:cs="Times New Roman"/>
                      <w:szCs w:val="21"/>
                    </w:rPr>
                  </w:pPr>
                  <w:r>
                    <w:rPr>
                      <w:rFonts w:eastAsia="等线" w:cs="Times New Roman"/>
                      <w:szCs w:val="21"/>
                    </w:rPr>
                    <w:t>0.0025</w:t>
                  </w:r>
                </w:p>
              </w:tc>
              <w:tc>
                <w:tcPr>
                  <w:tcW w:w="465" w:type="pct"/>
                  <w:vAlign w:val="center"/>
                </w:tcPr>
                <w:p w14:paraId="327E1549">
                  <w:pPr>
                    <w:jc w:val="center"/>
                    <w:rPr>
                      <w:rFonts w:eastAsia="等线" w:cs="Times New Roman"/>
                      <w:szCs w:val="21"/>
                    </w:rPr>
                  </w:pPr>
                  <w:r>
                    <w:rPr>
                      <w:rFonts w:eastAsia="等线" w:cs="Times New Roman"/>
                      <w:szCs w:val="21"/>
                    </w:rPr>
                    <w:t>0.0050</w:t>
                  </w:r>
                </w:p>
              </w:tc>
              <w:tc>
                <w:tcPr>
                  <w:tcW w:w="458" w:type="pct"/>
                  <w:vAlign w:val="center"/>
                </w:tcPr>
                <w:p w14:paraId="2A036345">
                  <w:pPr>
                    <w:jc w:val="center"/>
                    <w:rPr>
                      <w:rFonts w:eastAsia="等线" w:cs="Times New Roman"/>
                      <w:szCs w:val="21"/>
                    </w:rPr>
                  </w:pPr>
                  <w:r>
                    <w:rPr>
                      <w:rFonts w:eastAsia="等线" w:cs="Times New Roman"/>
                      <w:szCs w:val="21"/>
                    </w:rPr>
                    <w:t>0.0028</w:t>
                  </w:r>
                </w:p>
              </w:tc>
              <w:tc>
                <w:tcPr>
                  <w:tcW w:w="459" w:type="pct"/>
                  <w:vAlign w:val="center"/>
                </w:tcPr>
                <w:p w14:paraId="5F04080F">
                  <w:pPr>
                    <w:jc w:val="center"/>
                    <w:rPr>
                      <w:rFonts w:eastAsia="等线" w:cs="Times New Roman"/>
                      <w:szCs w:val="21"/>
                    </w:rPr>
                  </w:pPr>
                  <w:r>
                    <w:rPr>
                      <w:rFonts w:eastAsia="等线" w:cs="Times New Roman"/>
                      <w:szCs w:val="21"/>
                    </w:rPr>
                    <w:t>0.0055</w:t>
                  </w:r>
                </w:p>
              </w:tc>
              <w:tc>
                <w:tcPr>
                  <w:tcW w:w="433" w:type="pct"/>
                  <w:vMerge w:val="continue"/>
                  <w:vAlign w:val="center"/>
                </w:tcPr>
                <w:p w14:paraId="38B617EB">
                  <w:pPr>
                    <w:jc w:val="center"/>
                    <w:rPr>
                      <w:szCs w:val="21"/>
                    </w:rPr>
                  </w:pPr>
                </w:p>
              </w:tc>
              <w:tc>
                <w:tcPr>
                  <w:tcW w:w="482" w:type="pct"/>
                  <w:vMerge w:val="continue"/>
                  <w:vAlign w:val="center"/>
                </w:tcPr>
                <w:p w14:paraId="3CC05E80">
                  <w:pPr>
                    <w:jc w:val="center"/>
                    <w:rPr>
                      <w:szCs w:val="21"/>
                    </w:rPr>
                  </w:pPr>
                </w:p>
              </w:tc>
            </w:tr>
            <w:tr w14:paraId="1808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Merge w:val="continue"/>
                  <w:vAlign w:val="center"/>
                </w:tcPr>
                <w:p w14:paraId="0C1453DE">
                  <w:pPr>
                    <w:jc w:val="center"/>
                    <w:rPr>
                      <w:szCs w:val="21"/>
                    </w:rPr>
                  </w:pPr>
                </w:p>
              </w:tc>
              <w:tc>
                <w:tcPr>
                  <w:tcW w:w="429" w:type="pct"/>
                  <w:vAlign w:val="center"/>
                </w:tcPr>
                <w:p w14:paraId="02E212EA">
                  <w:pPr>
                    <w:jc w:val="center"/>
                    <w:rPr>
                      <w:rFonts w:cs="Times New Roman"/>
                      <w:szCs w:val="21"/>
                    </w:rPr>
                  </w:pPr>
                  <w:r>
                    <w:rPr>
                      <w:rFonts w:hint="eastAsia" w:cs="Times New Roman"/>
                      <w:szCs w:val="21"/>
                    </w:rPr>
                    <w:t>乙苯</w:t>
                  </w:r>
                </w:p>
              </w:tc>
              <w:tc>
                <w:tcPr>
                  <w:tcW w:w="458" w:type="pct"/>
                  <w:vAlign w:val="center"/>
                </w:tcPr>
                <w:p w14:paraId="35FC5561">
                  <w:pPr>
                    <w:widowControl/>
                    <w:jc w:val="center"/>
                    <w:rPr>
                      <w:rFonts w:cs="Times New Roman"/>
                      <w:kern w:val="0"/>
                      <w:szCs w:val="21"/>
                    </w:rPr>
                  </w:pPr>
                  <w:r>
                    <w:rPr>
                      <w:rFonts w:hint="eastAsia" w:cs="Times New Roman"/>
                      <w:kern w:val="0"/>
                      <w:szCs w:val="21"/>
                    </w:rPr>
                    <w:t>0.0254</w:t>
                  </w:r>
                </w:p>
              </w:tc>
              <w:tc>
                <w:tcPr>
                  <w:tcW w:w="517" w:type="pct"/>
                  <w:vMerge w:val="continue"/>
                  <w:vAlign w:val="center"/>
                </w:tcPr>
                <w:p w14:paraId="2C6430D3">
                  <w:pPr>
                    <w:jc w:val="center"/>
                    <w:rPr>
                      <w:rFonts w:cs="Times New Roman"/>
                      <w:szCs w:val="21"/>
                    </w:rPr>
                  </w:pPr>
                </w:p>
              </w:tc>
              <w:tc>
                <w:tcPr>
                  <w:tcW w:w="458" w:type="pct"/>
                  <w:vAlign w:val="center"/>
                </w:tcPr>
                <w:p w14:paraId="1AB1DD2E">
                  <w:pPr>
                    <w:jc w:val="center"/>
                    <w:rPr>
                      <w:rFonts w:cs="Times New Roman"/>
                      <w:szCs w:val="21"/>
                    </w:rPr>
                  </w:pPr>
                  <w:r>
                    <w:rPr>
                      <w:rFonts w:eastAsia="等线" w:cs="Times New Roman"/>
                      <w:szCs w:val="21"/>
                    </w:rPr>
                    <w:t>0.0286</w:t>
                  </w:r>
                </w:p>
              </w:tc>
              <w:tc>
                <w:tcPr>
                  <w:tcW w:w="458" w:type="pct"/>
                  <w:vAlign w:val="center"/>
                </w:tcPr>
                <w:p w14:paraId="347EEEF9">
                  <w:pPr>
                    <w:jc w:val="center"/>
                    <w:rPr>
                      <w:rFonts w:cs="Times New Roman"/>
                      <w:szCs w:val="21"/>
                    </w:rPr>
                  </w:pPr>
                  <w:r>
                    <w:rPr>
                      <w:rFonts w:eastAsia="等线" w:cs="Times New Roman"/>
                      <w:szCs w:val="21"/>
                    </w:rPr>
                    <w:t>0.0011</w:t>
                  </w:r>
                </w:p>
              </w:tc>
              <w:tc>
                <w:tcPr>
                  <w:tcW w:w="465" w:type="pct"/>
                  <w:vAlign w:val="center"/>
                </w:tcPr>
                <w:p w14:paraId="04A2A851">
                  <w:pPr>
                    <w:jc w:val="center"/>
                    <w:rPr>
                      <w:rFonts w:eastAsia="等线" w:cs="Times New Roman"/>
                      <w:szCs w:val="21"/>
                    </w:rPr>
                  </w:pPr>
                  <w:r>
                    <w:rPr>
                      <w:rFonts w:eastAsia="等线" w:cs="Times New Roman"/>
                      <w:szCs w:val="21"/>
                    </w:rPr>
                    <w:t>0.0023</w:t>
                  </w:r>
                </w:p>
              </w:tc>
              <w:tc>
                <w:tcPr>
                  <w:tcW w:w="458" w:type="pct"/>
                  <w:vAlign w:val="center"/>
                </w:tcPr>
                <w:p w14:paraId="6F1FE771">
                  <w:pPr>
                    <w:jc w:val="center"/>
                    <w:rPr>
                      <w:rFonts w:eastAsia="等线" w:cs="Times New Roman"/>
                      <w:szCs w:val="21"/>
                    </w:rPr>
                  </w:pPr>
                  <w:r>
                    <w:rPr>
                      <w:rFonts w:eastAsia="等线" w:cs="Times New Roman"/>
                      <w:szCs w:val="21"/>
                    </w:rPr>
                    <w:t>0.0013</w:t>
                  </w:r>
                </w:p>
              </w:tc>
              <w:tc>
                <w:tcPr>
                  <w:tcW w:w="459" w:type="pct"/>
                  <w:vAlign w:val="center"/>
                </w:tcPr>
                <w:p w14:paraId="35FEC6D9">
                  <w:pPr>
                    <w:jc w:val="center"/>
                    <w:rPr>
                      <w:rFonts w:eastAsia="等线" w:cs="Times New Roman"/>
                      <w:szCs w:val="21"/>
                    </w:rPr>
                  </w:pPr>
                  <w:r>
                    <w:rPr>
                      <w:rFonts w:eastAsia="等线" w:cs="Times New Roman"/>
                      <w:szCs w:val="21"/>
                    </w:rPr>
                    <w:t>0.0025</w:t>
                  </w:r>
                </w:p>
              </w:tc>
              <w:tc>
                <w:tcPr>
                  <w:tcW w:w="433" w:type="pct"/>
                  <w:vMerge w:val="continue"/>
                  <w:vAlign w:val="center"/>
                </w:tcPr>
                <w:p w14:paraId="0A1F42C9">
                  <w:pPr>
                    <w:jc w:val="center"/>
                    <w:rPr>
                      <w:szCs w:val="21"/>
                    </w:rPr>
                  </w:pPr>
                </w:p>
              </w:tc>
              <w:tc>
                <w:tcPr>
                  <w:tcW w:w="482" w:type="pct"/>
                  <w:vMerge w:val="continue"/>
                  <w:vAlign w:val="center"/>
                </w:tcPr>
                <w:p w14:paraId="6C51C53A">
                  <w:pPr>
                    <w:jc w:val="center"/>
                    <w:rPr>
                      <w:szCs w:val="21"/>
                    </w:rPr>
                  </w:pPr>
                </w:p>
              </w:tc>
            </w:tr>
          </w:tbl>
          <w:p w14:paraId="430AB21F">
            <w:pPr>
              <w:spacing w:line="360" w:lineRule="auto"/>
              <w:ind w:firstLine="480" w:firstLineChars="200"/>
              <w:rPr>
                <w:rFonts w:cs="Times New Roman"/>
                <w:sz w:val="24"/>
                <w:szCs w:val="24"/>
              </w:rPr>
            </w:pPr>
            <w:r>
              <w:rPr>
                <w:rFonts w:hint="eastAsia" w:cs="Times New Roman"/>
                <w:sz w:val="24"/>
                <w:szCs w:val="24"/>
              </w:rPr>
              <w:t>由上表可知，运营期有机废气经处理后VOCs、甲苯、乙苯排放浓度、排放速率均满足《四川省固定污染源大气挥发性有机物排放标准》（DB51/2377-2017）表3（印刷）、表4排放限值，苯乙烯、丙烯腈、1,3-丁二烯排放浓度满足《合成树脂工业污染物排放标准》（GB31572-2015）（含2024年修改单）表5排放限值。</w:t>
            </w:r>
          </w:p>
          <w:p w14:paraId="767EF3EE">
            <w:pPr>
              <w:spacing w:line="360" w:lineRule="auto"/>
              <w:ind w:firstLine="482" w:firstLineChars="200"/>
              <w:rPr>
                <w:rFonts w:cs="Times New Roman"/>
                <w:b/>
                <w:bCs/>
                <w:sz w:val="24"/>
                <w:szCs w:val="24"/>
              </w:rPr>
            </w:pPr>
            <w:r>
              <w:rPr>
                <w:rFonts w:hint="eastAsia" w:cs="Times New Roman"/>
                <w:b/>
                <w:bCs/>
                <w:sz w:val="24"/>
                <w:szCs w:val="24"/>
              </w:rPr>
              <w:t>2）食堂油烟</w:t>
            </w:r>
          </w:p>
          <w:p w14:paraId="7F60F70E">
            <w:pPr>
              <w:spacing w:line="360" w:lineRule="auto"/>
              <w:ind w:firstLine="482" w:firstLineChars="200"/>
              <w:rPr>
                <w:rFonts w:cs="Times New Roman"/>
                <w:b/>
                <w:bCs/>
                <w:sz w:val="24"/>
                <w:szCs w:val="24"/>
              </w:rPr>
            </w:pPr>
            <w:r>
              <w:rPr>
                <w:rFonts w:hint="eastAsia" w:cs="Times New Roman"/>
                <w:b/>
                <w:bCs/>
                <w:sz w:val="24"/>
                <w:szCs w:val="24"/>
              </w:rPr>
              <w:t>①产生情况</w:t>
            </w:r>
          </w:p>
          <w:p w14:paraId="45F2CF31">
            <w:pPr>
              <w:spacing w:line="360" w:lineRule="auto"/>
              <w:ind w:firstLine="480" w:firstLineChars="200"/>
              <w:rPr>
                <w:rFonts w:cs="Times New Roman"/>
                <w:sz w:val="24"/>
                <w:szCs w:val="24"/>
              </w:rPr>
            </w:pPr>
            <w:r>
              <w:rPr>
                <w:rFonts w:cs="Times New Roman"/>
                <w:sz w:val="24"/>
                <w:szCs w:val="24"/>
              </w:rPr>
              <w:t>食堂油烟主要产生于食物烹饪、加工过程，其挥发出油脂、有机质及热分解或裂解产物，从而产生油烟。本</w:t>
            </w:r>
            <w:r>
              <w:rPr>
                <w:rFonts w:hint="eastAsia" w:cs="Times New Roman"/>
                <w:sz w:val="24"/>
                <w:szCs w:val="24"/>
              </w:rPr>
              <w:t>次扩建新增</w:t>
            </w:r>
            <w:r>
              <w:rPr>
                <w:rFonts w:cs="Times New Roman"/>
                <w:sz w:val="24"/>
                <w:szCs w:val="24"/>
              </w:rPr>
              <w:t>劳动定员</w:t>
            </w:r>
            <w:r>
              <w:rPr>
                <w:rFonts w:hint="eastAsia" w:cs="Times New Roman"/>
                <w:sz w:val="24"/>
                <w:szCs w:val="24"/>
              </w:rPr>
              <w:t>26</w:t>
            </w:r>
            <w:r>
              <w:rPr>
                <w:rFonts w:cs="Times New Roman"/>
                <w:sz w:val="24"/>
                <w:szCs w:val="24"/>
              </w:rPr>
              <w:t>人，</w:t>
            </w:r>
            <w:r>
              <w:rPr>
                <w:rFonts w:hint="eastAsia" w:cs="Times New Roman"/>
                <w:sz w:val="24"/>
                <w:szCs w:val="24"/>
              </w:rPr>
              <w:t>扩建后全厂劳动定员110人，</w:t>
            </w:r>
            <w:r>
              <w:rPr>
                <w:rFonts w:cs="Times New Roman"/>
                <w:sz w:val="24"/>
                <w:szCs w:val="24"/>
              </w:rPr>
              <w:t>根据</w:t>
            </w:r>
            <w:r>
              <w:rPr>
                <w:rFonts w:hint="eastAsia" w:cs="Times New Roman"/>
                <w:sz w:val="24"/>
                <w:szCs w:val="24"/>
              </w:rPr>
              <w:t>《排放源统计调查产排污核算方法和系数手册》（公告2021年第24号）中“生活源产排污核算方法和系数手册”，油烟</w:t>
            </w:r>
            <w:r>
              <w:rPr>
                <w:rFonts w:cs="Times New Roman"/>
                <w:sz w:val="24"/>
                <w:szCs w:val="24"/>
              </w:rPr>
              <w:t>产生系数按301g/人·年计，</w:t>
            </w:r>
            <w:r>
              <w:rPr>
                <w:rFonts w:hint="eastAsia" w:cs="Times New Roman"/>
                <w:sz w:val="24"/>
                <w:szCs w:val="24"/>
              </w:rPr>
              <w:t>则本次扩建新增</w:t>
            </w:r>
            <w:r>
              <w:rPr>
                <w:rFonts w:cs="Times New Roman"/>
                <w:sz w:val="24"/>
                <w:szCs w:val="24"/>
              </w:rPr>
              <w:t>食堂油烟</w:t>
            </w:r>
            <w:r>
              <w:rPr>
                <w:rFonts w:hint="eastAsia" w:cs="Times New Roman"/>
                <w:sz w:val="24"/>
                <w:szCs w:val="24"/>
              </w:rPr>
              <w:t>产生量约</w:t>
            </w:r>
            <w:r>
              <w:rPr>
                <w:rFonts w:cs="Times New Roman"/>
                <w:sz w:val="24"/>
                <w:szCs w:val="24"/>
              </w:rPr>
              <w:t>0.0</w:t>
            </w:r>
            <w:r>
              <w:rPr>
                <w:rFonts w:hint="eastAsia" w:cs="Times New Roman"/>
                <w:sz w:val="24"/>
                <w:szCs w:val="24"/>
              </w:rPr>
              <w:t>078</w:t>
            </w:r>
            <w:r>
              <w:rPr>
                <w:rFonts w:cs="Times New Roman"/>
                <w:sz w:val="24"/>
                <w:szCs w:val="24"/>
              </w:rPr>
              <w:t>t/a</w:t>
            </w:r>
            <w:r>
              <w:rPr>
                <w:rFonts w:hint="eastAsia" w:cs="Times New Roman"/>
                <w:sz w:val="24"/>
                <w:szCs w:val="24"/>
              </w:rPr>
              <w:t>，扩建后全厂食堂油烟产生量约0.0331t/a。</w:t>
            </w:r>
          </w:p>
          <w:p w14:paraId="0F03756D">
            <w:pPr>
              <w:spacing w:line="360" w:lineRule="auto"/>
              <w:ind w:firstLine="482" w:firstLineChars="200"/>
              <w:rPr>
                <w:b/>
                <w:sz w:val="24"/>
                <w:szCs w:val="24"/>
              </w:rPr>
            </w:pPr>
            <w:r>
              <w:rPr>
                <w:rFonts w:hint="eastAsia"/>
                <w:b/>
                <w:sz w:val="24"/>
                <w:szCs w:val="24"/>
              </w:rPr>
              <w:t>②治理措施</w:t>
            </w:r>
          </w:p>
          <w:p w14:paraId="12BC9C49">
            <w:pPr>
              <w:spacing w:line="360" w:lineRule="auto"/>
              <w:ind w:firstLine="480" w:firstLineChars="200"/>
              <w:rPr>
                <w:rFonts w:cs="Times New Roman"/>
                <w:sz w:val="24"/>
                <w:szCs w:val="24"/>
              </w:rPr>
            </w:pPr>
            <w:r>
              <w:rPr>
                <w:rFonts w:hint="eastAsia" w:cs="Times New Roman"/>
                <w:sz w:val="24"/>
                <w:szCs w:val="24"/>
              </w:rPr>
              <w:t>项目依托厂区食堂油烟净化器（TA004，风机风量4000m</w:t>
            </w:r>
            <w:r>
              <w:rPr>
                <w:rFonts w:hint="eastAsia" w:cs="Times New Roman"/>
                <w:sz w:val="24"/>
                <w:szCs w:val="24"/>
                <w:vertAlign w:val="superscript"/>
              </w:rPr>
              <w:t>3</w:t>
            </w:r>
            <w:r>
              <w:rPr>
                <w:rFonts w:hint="eastAsia" w:cs="Times New Roman"/>
                <w:sz w:val="24"/>
                <w:szCs w:val="24"/>
              </w:rPr>
              <w:t>/h，处理效率8</w:t>
            </w:r>
            <w:r>
              <w:rPr>
                <w:rFonts w:cs="Times New Roman"/>
                <w:sz w:val="24"/>
                <w:szCs w:val="24"/>
              </w:rPr>
              <w:t>5%</w:t>
            </w:r>
            <w:r>
              <w:rPr>
                <w:rFonts w:hint="eastAsia" w:cs="Times New Roman"/>
                <w:sz w:val="24"/>
                <w:szCs w:val="24"/>
              </w:rPr>
              <w:t>），油烟经处理后通过油烟管道引至食堂屋顶排放（DA004）。</w:t>
            </w:r>
          </w:p>
          <w:p w14:paraId="4DD08039">
            <w:pPr>
              <w:spacing w:line="360" w:lineRule="auto"/>
              <w:ind w:firstLine="482" w:firstLineChars="200"/>
              <w:rPr>
                <w:b/>
                <w:sz w:val="24"/>
                <w:szCs w:val="24"/>
              </w:rPr>
            </w:pPr>
            <w:r>
              <w:rPr>
                <w:rFonts w:hint="eastAsia"/>
                <w:b/>
                <w:sz w:val="24"/>
                <w:szCs w:val="24"/>
              </w:rPr>
              <w:t>③排放情况</w:t>
            </w:r>
          </w:p>
          <w:p w14:paraId="52D3E73E">
            <w:pPr>
              <w:spacing w:line="360" w:lineRule="auto"/>
              <w:ind w:firstLine="480" w:firstLineChars="200"/>
              <w:rPr>
                <w:rFonts w:cs="Times New Roman"/>
                <w:sz w:val="24"/>
                <w:szCs w:val="24"/>
              </w:rPr>
            </w:pPr>
            <w:r>
              <w:rPr>
                <w:rFonts w:hint="eastAsia" w:cs="Times New Roman"/>
                <w:sz w:val="24"/>
                <w:szCs w:val="24"/>
              </w:rPr>
              <w:t>根据计算，运营期食堂油烟排放信息见下表：</w:t>
            </w:r>
          </w:p>
          <w:p w14:paraId="54D86CC3">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食堂油烟排放信息表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196"/>
              <w:gridCol w:w="900"/>
              <w:gridCol w:w="1162"/>
              <w:gridCol w:w="1028"/>
              <w:gridCol w:w="1028"/>
              <w:gridCol w:w="1043"/>
              <w:gridCol w:w="971"/>
              <w:gridCol w:w="1078"/>
            </w:tblGrid>
            <w:tr w14:paraId="23DF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vAlign w:val="center"/>
                </w:tcPr>
                <w:p w14:paraId="10493EDD">
                  <w:pPr>
                    <w:jc w:val="center"/>
                    <w:rPr>
                      <w:szCs w:val="21"/>
                    </w:rPr>
                  </w:pPr>
                  <w:r>
                    <w:rPr>
                      <w:szCs w:val="21"/>
                    </w:rPr>
                    <w:t>污染源</w:t>
                  </w:r>
                </w:p>
              </w:tc>
              <w:tc>
                <w:tcPr>
                  <w:tcW w:w="654" w:type="pct"/>
                  <w:vMerge w:val="restart"/>
                  <w:vAlign w:val="center"/>
                </w:tcPr>
                <w:p w14:paraId="64FD59A2">
                  <w:pPr>
                    <w:jc w:val="center"/>
                    <w:rPr>
                      <w:szCs w:val="21"/>
                    </w:rPr>
                  </w:pPr>
                  <w:r>
                    <w:rPr>
                      <w:szCs w:val="21"/>
                    </w:rPr>
                    <w:t>污染物种类</w:t>
                  </w:r>
                </w:p>
              </w:tc>
              <w:tc>
                <w:tcPr>
                  <w:tcW w:w="492" w:type="pct"/>
                  <w:vMerge w:val="restart"/>
                  <w:vAlign w:val="center"/>
                </w:tcPr>
                <w:p w14:paraId="66648247">
                  <w:pPr>
                    <w:jc w:val="center"/>
                    <w:rPr>
                      <w:szCs w:val="21"/>
                    </w:rPr>
                  </w:pPr>
                  <w:r>
                    <w:rPr>
                      <w:szCs w:val="21"/>
                    </w:rPr>
                    <w:t>污染物产生</w:t>
                  </w:r>
                  <w:r>
                    <w:rPr>
                      <w:rFonts w:hint="eastAsia"/>
                      <w:szCs w:val="21"/>
                    </w:rPr>
                    <w:t>量</w:t>
                  </w:r>
                </w:p>
                <w:p w14:paraId="38E6C33F">
                  <w:pPr>
                    <w:jc w:val="center"/>
                    <w:rPr>
                      <w:szCs w:val="21"/>
                    </w:rPr>
                  </w:pPr>
                  <w:r>
                    <w:rPr>
                      <w:szCs w:val="21"/>
                    </w:rPr>
                    <w:t>(</w:t>
                  </w:r>
                  <w:r>
                    <w:rPr>
                      <w:rFonts w:hint="eastAsia"/>
                      <w:szCs w:val="21"/>
                    </w:rPr>
                    <w:t>t</w:t>
                  </w:r>
                  <w:r>
                    <w:rPr>
                      <w:szCs w:val="21"/>
                    </w:rPr>
                    <w:t>/a)</w:t>
                  </w:r>
                </w:p>
              </w:tc>
              <w:tc>
                <w:tcPr>
                  <w:tcW w:w="2860" w:type="pct"/>
                  <w:gridSpan w:val="5"/>
                  <w:vAlign w:val="center"/>
                </w:tcPr>
                <w:p w14:paraId="07DD1F7B">
                  <w:pPr>
                    <w:jc w:val="center"/>
                    <w:rPr>
                      <w:szCs w:val="21"/>
                    </w:rPr>
                  </w:pPr>
                  <w:r>
                    <w:rPr>
                      <w:szCs w:val="21"/>
                    </w:rPr>
                    <w:t>排放情况</w:t>
                  </w:r>
                </w:p>
              </w:tc>
              <w:tc>
                <w:tcPr>
                  <w:tcW w:w="589" w:type="pct"/>
                  <w:vMerge w:val="restart"/>
                  <w:vAlign w:val="center"/>
                </w:tcPr>
                <w:p w14:paraId="490D721F">
                  <w:pPr>
                    <w:jc w:val="center"/>
                    <w:rPr>
                      <w:szCs w:val="21"/>
                    </w:rPr>
                  </w:pPr>
                  <w:r>
                    <w:rPr>
                      <w:szCs w:val="21"/>
                    </w:rPr>
                    <w:t>排气筒编号</w:t>
                  </w:r>
                </w:p>
              </w:tc>
            </w:tr>
            <w:tr w14:paraId="3E52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14:paraId="6134CE26">
                  <w:pPr>
                    <w:jc w:val="center"/>
                    <w:rPr>
                      <w:szCs w:val="21"/>
                    </w:rPr>
                  </w:pPr>
                </w:p>
              </w:tc>
              <w:tc>
                <w:tcPr>
                  <w:tcW w:w="654" w:type="pct"/>
                  <w:vMerge w:val="continue"/>
                  <w:vAlign w:val="center"/>
                </w:tcPr>
                <w:p w14:paraId="41D5707B">
                  <w:pPr>
                    <w:jc w:val="center"/>
                    <w:rPr>
                      <w:szCs w:val="21"/>
                    </w:rPr>
                  </w:pPr>
                </w:p>
              </w:tc>
              <w:tc>
                <w:tcPr>
                  <w:tcW w:w="492" w:type="pct"/>
                  <w:vMerge w:val="continue"/>
                  <w:vAlign w:val="center"/>
                </w:tcPr>
                <w:p w14:paraId="3448EF02">
                  <w:pPr>
                    <w:jc w:val="center"/>
                    <w:rPr>
                      <w:szCs w:val="21"/>
                    </w:rPr>
                  </w:pPr>
                </w:p>
              </w:tc>
              <w:tc>
                <w:tcPr>
                  <w:tcW w:w="635" w:type="pct"/>
                  <w:vMerge w:val="restart"/>
                  <w:vAlign w:val="center"/>
                </w:tcPr>
                <w:p w14:paraId="6D05EEC6">
                  <w:pPr>
                    <w:jc w:val="center"/>
                    <w:rPr>
                      <w:szCs w:val="21"/>
                    </w:rPr>
                  </w:pPr>
                  <w:r>
                    <w:rPr>
                      <w:szCs w:val="21"/>
                    </w:rPr>
                    <w:t>废气量</w:t>
                  </w:r>
                  <w:r>
                    <w:rPr>
                      <w:rFonts w:hint="eastAsia"/>
                      <w:szCs w:val="21"/>
                    </w:rPr>
                    <w:t>(</w:t>
                  </w:r>
                  <w:r>
                    <w:rPr>
                      <w:szCs w:val="21"/>
                    </w:rPr>
                    <w:t>m</w:t>
                  </w:r>
                  <w:r>
                    <w:rPr>
                      <w:szCs w:val="21"/>
                      <w:vertAlign w:val="superscript"/>
                    </w:rPr>
                    <w:t>3</w:t>
                  </w:r>
                  <w:r>
                    <w:rPr>
                      <w:szCs w:val="21"/>
                    </w:rPr>
                    <w:t>/h</w:t>
                  </w:r>
                  <w:r>
                    <w:rPr>
                      <w:rFonts w:hint="eastAsia"/>
                      <w:szCs w:val="21"/>
                    </w:rPr>
                    <w:t>)</w:t>
                  </w:r>
                </w:p>
              </w:tc>
              <w:tc>
                <w:tcPr>
                  <w:tcW w:w="1694" w:type="pct"/>
                  <w:gridSpan w:val="3"/>
                  <w:vAlign w:val="center"/>
                </w:tcPr>
                <w:p w14:paraId="17A613F9">
                  <w:pPr>
                    <w:jc w:val="center"/>
                    <w:rPr>
                      <w:szCs w:val="21"/>
                    </w:rPr>
                  </w:pPr>
                  <w:r>
                    <w:rPr>
                      <w:szCs w:val="21"/>
                    </w:rPr>
                    <w:t>有组织</w:t>
                  </w:r>
                </w:p>
              </w:tc>
              <w:tc>
                <w:tcPr>
                  <w:tcW w:w="531" w:type="pct"/>
                  <w:vMerge w:val="restart"/>
                  <w:vAlign w:val="center"/>
                </w:tcPr>
                <w:p w14:paraId="5958FC9D">
                  <w:pPr>
                    <w:jc w:val="center"/>
                    <w:rPr>
                      <w:szCs w:val="21"/>
                    </w:rPr>
                  </w:pPr>
                  <w:r>
                    <w:rPr>
                      <w:szCs w:val="21"/>
                    </w:rPr>
                    <w:t>排放时间</w:t>
                  </w:r>
                  <w:r>
                    <w:rPr>
                      <w:rFonts w:hint="eastAsia"/>
                      <w:szCs w:val="21"/>
                    </w:rPr>
                    <w:t>(</w:t>
                  </w:r>
                  <w:r>
                    <w:rPr>
                      <w:szCs w:val="21"/>
                    </w:rPr>
                    <w:t>h)</w:t>
                  </w:r>
                </w:p>
              </w:tc>
              <w:tc>
                <w:tcPr>
                  <w:tcW w:w="589" w:type="pct"/>
                  <w:vMerge w:val="continue"/>
                  <w:vAlign w:val="center"/>
                </w:tcPr>
                <w:p w14:paraId="45E005FA">
                  <w:pPr>
                    <w:jc w:val="center"/>
                    <w:rPr>
                      <w:szCs w:val="21"/>
                    </w:rPr>
                  </w:pPr>
                </w:p>
              </w:tc>
            </w:tr>
            <w:tr w14:paraId="14C4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14:paraId="6DCB7A1E">
                  <w:pPr>
                    <w:jc w:val="center"/>
                    <w:rPr>
                      <w:szCs w:val="21"/>
                    </w:rPr>
                  </w:pPr>
                </w:p>
              </w:tc>
              <w:tc>
                <w:tcPr>
                  <w:tcW w:w="654" w:type="pct"/>
                  <w:vMerge w:val="continue"/>
                  <w:vAlign w:val="center"/>
                </w:tcPr>
                <w:p w14:paraId="3218CFE7">
                  <w:pPr>
                    <w:jc w:val="center"/>
                    <w:rPr>
                      <w:szCs w:val="21"/>
                    </w:rPr>
                  </w:pPr>
                </w:p>
              </w:tc>
              <w:tc>
                <w:tcPr>
                  <w:tcW w:w="492" w:type="pct"/>
                  <w:vMerge w:val="continue"/>
                  <w:vAlign w:val="center"/>
                </w:tcPr>
                <w:p w14:paraId="7CECA642">
                  <w:pPr>
                    <w:jc w:val="center"/>
                    <w:rPr>
                      <w:szCs w:val="21"/>
                    </w:rPr>
                  </w:pPr>
                </w:p>
              </w:tc>
              <w:tc>
                <w:tcPr>
                  <w:tcW w:w="635" w:type="pct"/>
                  <w:vMerge w:val="continue"/>
                  <w:vAlign w:val="center"/>
                </w:tcPr>
                <w:p w14:paraId="1DB32DE9">
                  <w:pPr>
                    <w:jc w:val="center"/>
                    <w:rPr>
                      <w:szCs w:val="21"/>
                    </w:rPr>
                  </w:pPr>
                </w:p>
              </w:tc>
              <w:tc>
                <w:tcPr>
                  <w:tcW w:w="562" w:type="pct"/>
                  <w:vAlign w:val="center"/>
                </w:tcPr>
                <w:p w14:paraId="7DF507E7">
                  <w:pPr>
                    <w:jc w:val="center"/>
                    <w:rPr>
                      <w:szCs w:val="21"/>
                    </w:rPr>
                  </w:pPr>
                  <w:r>
                    <w:rPr>
                      <w:szCs w:val="21"/>
                    </w:rPr>
                    <w:t>mg/m</w:t>
                  </w:r>
                  <w:r>
                    <w:rPr>
                      <w:szCs w:val="21"/>
                      <w:vertAlign w:val="superscript"/>
                    </w:rPr>
                    <w:t>3</w:t>
                  </w:r>
                </w:p>
              </w:tc>
              <w:tc>
                <w:tcPr>
                  <w:tcW w:w="562" w:type="pct"/>
                  <w:vAlign w:val="center"/>
                </w:tcPr>
                <w:p w14:paraId="3C3D14F7">
                  <w:pPr>
                    <w:jc w:val="center"/>
                    <w:rPr>
                      <w:szCs w:val="21"/>
                    </w:rPr>
                  </w:pPr>
                  <w:r>
                    <w:rPr>
                      <w:szCs w:val="21"/>
                    </w:rPr>
                    <w:t>kg/h</w:t>
                  </w:r>
                </w:p>
              </w:tc>
              <w:tc>
                <w:tcPr>
                  <w:tcW w:w="570" w:type="pct"/>
                  <w:vAlign w:val="center"/>
                </w:tcPr>
                <w:p w14:paraId="0E5A1EE0">
                  <w:pPr>
                    <w:jc w:val="center"/>
                    <w:rPr>
                      <w:szCs w:val="21"/>
                    </w:rPr>
                  </w:pPr>
                  <w:r>
                    <w:rPr>
                      <w:rFonts w:hint="eastAsia"/>
                      <w:szCs w:val="21"/>
                    </w:rPr>
                    <w:t>t</w:t>
                  </w:r>
                  <w:r>
                    <w:rPr>
                      <w:szCs w:val="21"/>
                    </w:rPr>
                    <w:t>/a</w:t>
                  </w:r>
                </w:p>
              </w:tc>
              <w:tc>
                <w:tcPr>
                  <w:tcW w:w="531" w:type="pct"/>
                  <w:vMerge w:val="continue"/>
                  <w:vAlign w:val="center"/>
                </w:tcPr>
                <w:p w14:paraId="325F345E">
                  <w:pPr>
                    <w:jc w:val="center"/>
                    <w:rPr>
                      <w:szCs w:val="21"/>
                    </w:rPr>
                  </w:pPr>
                </w:p>
              </w:tc>
              <w:tc>
                <w:tcPr>
                  <w:tcW w:w="589" w:type="pct"/>
                  <w:vMerge w:val="continue"/>
                  <w:vAlign w:val="center"/>
                </w:tcPr>
                <w:p w14:paraId="0968CE72">
                  <w:pPr>
                    <w:jc w:val="center"/>
                    <w:rPr>
                      <w:szCs w:val="21"/>
                    </w:rPr>
                  </w:pPr>
                </w:p>
              </w:tc>
            </w:tr>
            <w:tr w14:paraId="2520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vAlign w:val="center"/>
                </w:tcPr>
                <w:p w14:paraId="41405B53">
                  <w:pPr>
                    <w:jc w:val="center"/>
                    <w:rPr>
                      <w:szCs w:val="21"/>
                    </w:rPr>
                  </w:pPr>
                  <w:r>
                    <w:rPr>
                      <w:rFonts w:hint="eastAsia"/>
                      <w:szCs w:val="21"/>
                    </w:rPr>
                    <w:t>食堂</w:t>
                  </w:r>
                </w:p>
              </w:tc>
              <w:tc>
                <w:tcPr>
                  <w:tcW w:w="654" w:type="pct"/>
                  <w:vAlign w:val="center"/>
                </w:tcPr>
                <w:p w14:paraId="211A5356">
                  <w:pPr>
                    <w:jc w:val="center"/>
                    <w:rPr>
                      <w:szCs w:val="21"/>
                    </w:rPr>
                  </w:pPr>
                  <w:r>
                    <w:rPr>
                      <w:rFonts w:hint="eastAsia"/>
                      <w:szCs w:val="21"/>
                    </w:rPr>
                    <w:t>油烟</w:t>
                  </w:r>
                </w:p>
                <w:p w14:paraId="5CFC5911">
                  <w:pPr>
                    <w:jc w:val="center"/>
                    <w:rPr>
                      <w:szCs w:val="21"/>
                    </w:rPr>
                  </w:pPr>
                  <w:r>
                    <w:rPr>
                      <w:rFonts w:hint="eastAsia"/>
                      <w:szCs w:val="21"/>
                    </w:rPr>
                    <w:t>（新增）</w:t>
                  </w:r>
                </w:p>
              </w:tc>
              <w:tc>
                <w:tcPr>
                  <w:tcW w:w="492" w:type="pct"/>
                  <w:vAlign w:val="center"/>
                </w:tcPr>
                <w:p w14:paraId="57F1B9D1">
                  <w:pPr>
                    <w:widowControl/>
                    <w:jc w:val="center"/>
                    <w:rPr>
                      <w:rFonts w:cs="Times New Roman"/>
                      <w:kern w:val="0"/>
                      <w:szCs w:val="21"/>
                    </w:rPr>
                  </w:pPr>
                  <w:r>
                    <w:rPr>
                      <w:rFonts w:hint="eastAsia" w:cs="Times New Roman"/>
                      <w:kern w:val="0"/>
                      <w:szCs w:val="21"/>
                    </w:rPr>
                    <w:t>0.0078</w:t>
                  </w:r>
                </w:p>
              </w:tc>
              <w:tc>
                <w:tcPr>
                  <w:tcW w:w="635" w:type="pct"/>
                  <w:vAlign w:val="center"/>
                </w:tcPr>
                <w:p w14:paraId="6F725C31">
                  <w:pPr>
                    <w:jc w:val="center"/>
                    <w:rPr>
                      <w:rFonts w:cs="Times New Roman"/>
                      <w:szCs w:val="21"/>
                    </w:rPr>
                  </w:pPr>
                  <w:r>
                    <w:rPr>
                      <w:rFonts w:hint="eastAsia" w:eastAsia="等线" w:cs="Times New Roman"/>
                      <w:szCs w:val="21"/>
                    </w:rPr>
                    <w:t>/</w:t>
                  </w:r>
                </w:p>
              </w:tc>
              <w:tc>
                <w:tcPr>
                  <w:tcW w:w="562" w:type="pct"/>
                  <w:vAlign w:val="center"/>
                </w:tcPr>
                <w:p w14:paraId="1147B8C4">
                  <w:pPr>
                    <w:jc w:val="center"/>
                    <w:rPr>
                      <w:rFonts w:eastAsia="等线" w:cs="Times New Roman"/>
                      <w:szCs w:val="21"/>
                    </w:rPr>
                  </w:pPr>
                  <w:r>
                    <w:rPr>
                      <w:rFonts w:hint="eastAsia" w:eastAsia="等线" w:cs="Times New Roman"/>
                      <w:szCs w:val="21"/>
                    </w:rPr>
                    <w:t>/</w:t>
                  </w:r>
                </w:p>
              </w:tc>
              <w:tc>
                <w:tcPr>
                  <w:tcW w:w="562" w:type="pct"/>
                  <w:vAlign w:val="center"/>
                </w:tcPr>
                <w:p w14:paraId="0787FF83">
                  <w:pPr>
                    <w:jc w:val="center"/>
                    <w:rPr>
                      <w:rFonts w:eastAsia="等线" w:cs="Times New Roman"/>
                      <w:szCs w:val="21"/>
                    </w:rPr>
                  </w:pPr>
                  <w:r>
                    <w:rPr>
                      <w:rFonts w:hint="eastAsia" w:eastAsia="等线" w:cs="Times New Roman"/>
                      <w:szCs w:val="21"/>
                    </w:rPr>
                    <w:t>0.0008</w:t>
                  </w:r>
                </w:p>
              </w:tc>
              <w:tc>
                <w:tcPr>
                  <w:tcW w:w="570" w:type="pct"/>
                  <w:vAlign w:val="center"/>
                </w:tcPr>
                <w:p w14:paraId="076202EF">
                  <w:pPr>
                    <w:jc w:val="center"/>
                    <w:rPr>
                      <w:rFonts w:eastAsia="等线" w:cs="Times New Roman"/>
                      <w:szCs w:val="21"/>
                    </w:rPr>
                  </w:pPr>
                  <w:r>
                    <w:rPr>
                      <w:rFonts w:hint="eastAsia" w:eastAsia="等线" w:cs="Times New Roman"/>
                      <w:szCs w:val="21"/>
                    </w:rPr>
                    <w:t>0.0012</w:t>
                  </w:r>
                </w:p>
              </w:tc>
              <w:tc>
                <w:tcPr>
                  <w:tcW w:w="531" w:type="pct"/>
                  <w:vAlign w:val="center"/>
                </w:tcPr>
                <w:p w14:paraId="56174318">
                  <w:pPr>
                    <w:jc w:val="center"/>
                    <w:rPr>
                      <w:szCs w:val="21"/>
                    </w:rPr>
                  </w:pPr>
                  <w:r>
                    <w:rPr>
                      <w:rFonts w:hint="eastAsia"/>
                      <w:szCs w:val="21"/>
                    </w:rPr>
                    <w:t>/</w:t>
                  </w:r>
                </w:p>
              </w:tc>
              <w:tc>
                <w:tcPr>
                  <w:tcW w:w="589" w:type="pct"/>
                  <w:vAlign w:val="center"/>
                </w:tcPr>
                <w:p w14:paraId="5575D95E">
                  <w:pPr>
                    <w:jc w:val="center"/>
                    <w:rPr>
                      <w:szCs w:val="21"/>
                    </w:rPr>
                  </w:pPr>
                  <w:r>
                    <w:rPr>
                      <w:rFonts w:hint="eastAsia"/>
                      <w:szCs w:val="21"/>
                    </w:rPr>
                    <w:t>/</w:t>
                  </w:r>
                </w:p>
              </w:tc>
            </w:tr>
            <w:tr w14:paraId="7BE8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vAlign w:val="center"/>
                </w:tcPr>
                <w:p w14:paraId="580D2B9C">
                  <w:pPr>
                    <w:jc w:val="center"/>
                    <w:rPr>
                      <w:szCs w:val="21"/>
                    </w:rPr>
                  </w:pPr>
                </w:p>
              </w:tc>
              <w:tc>
                <w:tcPr>
                  <w:tcW w:w="654" w:type="pct"/>
                  <w:vAlign w:val="center"/>
                </w:tcPr>
                <w:p w14:paraId="1967F07E">
                  <w:pPr>
                    <w:jc w:val="center"/>
                    <w:rPr>
                      <w:szCs w:val="21"/>
                    </w:rPr>
                  </w:pPr>
                  <w:r>
                    <w:rPr>
                      <w:rFonts w:hint="eastAsia"/>
                      <w:szCs w:val="21"/>
                    </w:rPr>
                    <w:t>油烟</w:t>
                  </w:r>
                </w:p>
                <w:p w14:paraId="0C4ED88A">
                  <w:pPr>
                    <w:jc w:val="center"/>
                    <w:rPr>
                      <w:szCs w:val="21"/>
                    </w:rPr>
                  </w:pPr>
                  <w:r>
                    <w:rPr>
                      <w:rFonts w:hint="eastAsia"/>
                      <w:szCs w:val="21"/>
                    </w:rPr>
                    <w:t>（全厂）</w:t>
                  </w:r>
                </w:p>
              </w:tc>
              <w:tc>
                <w:tcPr>
                  <w:tcW w:w="492" w:type="pct"/>
                  <w:vAlign w:val="center"/>
                </w:tcPr>
                <w:p w14:paraId="47D5E9F1">
                  <w:pPr>
                    <w:widowControl/>
                    <w:jc w:val="center"/>
                    <w:rPr>
                      <w:rFonts w:cs="Times New Roman"/>
                      <w:kern w:val="0"/>
                      <w:szCs w:val="21"/>
                    </w:rPr>
                  </w:pPr>
                  <w:r>
                    <w:rPr>
                      <w:rFonts w:hint="eastAsia" w:cs="Times New Roman"/>
                      <w:kern w:val="0"/>
                      <w:szCs w:val="21"/>
                    </w:rPr>
                    <w:t>0.0331</w:t>
                  </w:r>
                </w:p>
              </w:tc>
              <w:tc>
                <w:tcPr>
                  <w:tcW w:w="635" w:type="pct"/>
                  <w:vAlign w:val="center"/>
                </w:tcPr>
                <w:p w14:paraId="747CAB26">
                  <w:pPr>
                    <w:jc w:val="center"/>
                    <w:rPr>
                      <w:rFonts w:cs="Times New Roman"/>
                      <w:szCs w:val="21"/>
                    </w:rPr>
                  </w:pPr>
                  <w:r>
                    <w:rPr>
                      <w:rFonts w:hint="eastAsia" w:cs="Times New Roman"/>
                      <w:szCs w:val="21"/>
                    </w:rPr>
                    <w:t>4</w:t>
                  </w:r>
                  <w:r>
                    <w:rPr>
                      <w:rFonts w:cs="Times New Roman"/>
                      <w:szCs w:val="21"/>
                    </w:rPr>
                    <w:t>000</w:t>
                  </w:r>
                </w:p>
              </w:tc>
              <w:tc>
                <w:tcPr>
                  <w:tcW w:w="562" w:type="pct"/>
                  <w:vAlign w:val="center"/>
                </w:tcPr>
                <w:p w14:paraId="6DBEC085">
                  <w:pPr>
                    <w:jc w:val="center"/>
                    <w:rPr>
                      <w:rFonts w:cs="Times New Roman"/>
                      <w:szCs w:val="21"/>
                    </w:rPr>
                  </w:pPr>
                  <w:r>
                    <w:rPr>
                      <w:rFonts w:eastAsia="等线" w:cs="Times New Roman"/>
                      <w:szCs w:val="21"/>
                    </w:rPr>
                    <w:t>0.8275</w:t>
                  </w:r>
                </w:p>
              </w:tc>
              <w:tc>
                <w:tcPr>
                  <w:tcW w:w="562" w:type="pct"/>
                  <w:vAlign w:val="center"/>
                </w:tcPr>
                <w:p w14:paraId="49ECA7ED">
                  <w:pPr>
                    <w:jc w:val="center"/>
                    <w:rPr>
                      <w:rFonts w:cs="Times New Roman"/>
                      <w:szCs w:val="21"/>
                    </w:rPr>
                  </w:pPr>
                  <w:r>
                    <w:rPr>
                      <w:rFonts w:eastAsia="等线" w:cs="Times New Roman"/>
                      <w:szCs w:val="21"/>
                    </w:rPr>
                    <w:t>0.0033</w:t>
                  </w:r>
                </w:p>
              </w:tc>
              <w:tc>
                <w:tcPr>
                  <w:tcW w:w="570" w:type="pct"/>
                  <w:vAlign w:val="center"/>
                </w:tcPr>
                <w:p w14:paraId="16F30172">
                  <w:pPr>
                    <w:jc w:val="center"/>
                    <w:rPr>
                      <w:rFonts w:cs="Times New Roman"/>
                      <w:szCs w:val="21"/>
                    </w:rPr>
                  </w:pPr>
                  <w:r>
                    <w:rPr>
                      <w:rFonts w:eastAsia="等线" w:cs="Times New Roman"/>
                      <w:szCs w:val="21"/>
                    </w:rPr>
                    <w:t>0.0050</w:t>
                  </w:r>
                </w:p>
              </w:tc>
              <w:tc>
                <w:tcPr>
                  <w:tcW w:w="531" w:type="pct"/>
                  <w:vAlign w:val="center"/>
                </w:tcPr>
                <w:p w14:paraId="038B3DCC">
                  <w:pPr>
                    <w:jc w:val="center"/>
                    <w:rPr>
                      <w:szCs w:val="21"/>
                    </w:rPr>
                  </w:pPr>
                  <w:r>
                    <w:rPr>
                      <w:rFonts w:hint="eastAsia"/>
                      <w:szCs w:val="21"/>
                    </w:rPr>
                    <w:t>1500</w:t>
                  </w:r>
                </w:p>
              </w:tc>
              <w:tc>
                <w:tcPr>
                  <w:tcW w:w="589" w:type="pct"/>
                  <w:vAlign w:val="center"/>
                </w:tcPr>
                <w:p w14:paraId="0FCE6440">
                  <w:pPr>
                    <w:jc w:val="center"/>
                    <w:rPr>
                      <w:szCs w:val="21"/>
                      <w:highlight w:val="yellow"/>
                    </w:rPr>
                  </w:pPr>
                  <w:r>
                    <w:rPr>
                      <w:rFonts w:hint="eastAsia"/>
                      <w:szCs w:val="21"/>
                    </w:rPr>
                    <w:t>DA004</w:t>
                  </w:r>
                </w:p>
              </w:tc>
            </w:tr>
          </w:tbl>
          <w:p w14:paraId="248309BD">
            <w:pPr>
              <w:spacing w:line="360" w:lineRule="auto"/>
              <w:ind w:firstLine="480" w:firstLineChars="200"/>
              <w:rPr>
                <w:rFonts w:cs="Times New Roman"/>
                <w:sz w:val="24"/>
                <w:szCs w:val="24"/>
              </w:rPr>
            </w:pPr>
            <w:r>
              <w:rPr>
                <w:rFonts w:hint="eastAsia" w:cs="Times New Roman"/>
                <w:sz w:val="24"/>
                <w:szCs w:val="24"/>
              </w:rPr>
              <w:t>由上表可知，运营期食堂油烟经处理后排放浓度满足《饮食业油烟排放标准（试行）》（GB18483-2001）中排放限值。</w:t>
            </w:r>
          </w:p>
          <w:p w14:paraId="5219589F">
            <w:pPr>
              <w:spacing w:line="360" w:lineRule="auto"/>
              <w:ind w:firstLine="482" w:firstLineChars="200"/>
              <w:rPr>
                <w:rFonts w:cs="Times New Roman"/>
                <w:b/>
                <w:bCs/>
                <w:sz w:val="24"/>
                <w:szCs w:val="24"/>
              </w:rPr>
            </w:pPr>
            <w:r>
              <w:rPr>
                <w:rFonts w:hint="eastAsia" w:cs="Times New Roman"/>
                <w:b/>
                <w:bCs/>
                <w:sz w:val="24"/>
                <w:szCs w:val="24"/>
              </w:rPr>
              <w:t>（</w:t>
            </w:r>
            <w:r>
              <w:rPr>
                <w:rFonts w:cs="Times New Roman"/>
                <w:b/>
                <w:bCs/>
                <w:sz w:val="24"/>
                <w:szCs w:val="24"/>
              </w:rPr>
              <w:t>2</w:t>
            </w:r>
            <w:r>
              <w:rPr>
                <w:rFonts w:hint="eastAsia" w:cs="Times New Roman"/>
                <w:b/>
                <w:bCs/>
                <w:sz w:val="24"/>
                <w:szCs w:val="24"/>
              </w:rPr>
              <w:t>）排放形式、排放口基本信息</w:t>
            </w:r>
          </w:p>
          <w:p w14:paraId="3169B81C">
            <w:pPr>
              <w:spacing w:line="360" w:lineRule="auto"/>
              <w:ind w:firstLine="480" w:firstLineChars="200"/>
              <w:rPr>
                <w:rFonts w:cs="Times New Roman"/>
                <w:sz w:val="24"/>
                <w:szCs w:val="24"/>
              </w:rPr>
            </w:pPr>
            <w:r>
              <w:rPr>
                <w:rFonts w:hint="eastAsia" w:cs="Times New Roman"/>
                <w:sz w:val="24"/>
                <w:szCs w:val="24"/>
              </w:rPr>
              <w:t>项目主要废气排放形式、排放口基本信息见下表。</w:t>
            </w:r>
          </w:p>
          <w:p w14:paraId="3D9935D7">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废气治理设施、排放形式一览表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1646"/>
              <w:gridCol w:w="1196"/>
              <w:gridCol w:w="1348"/>
              <w:gridCol w:w="1180"/>
              <w:gridCol w:w="1180"/>
              <w:gridCol w:w="1256"/>
            </w:tblGrid>
            <w:tr w14:paraId="57B8B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vMerge w:val="restart"/>
                  <w:vAlign w:val="center"/>
                </w:tcPr>
                <w:p w14:paraId="16E06FC9">
                  <w:pPr>
                    <w:jc w:val="center"/>
                    <w:rPr>
                      <w:szCs w:val="21"/>
                    </w:rPr>
                  </w:pPr>
                  <w:r>
                    <w:rPr>
                      <w:szCs w:val="21"/>
                    </w:rPr>
                    <w:t>废气</w:t>
                  </w:r>
                  <w:r>
                    <w:rPr>
                      <w:rFonts w:hint="eastAsia"/>
                      <w:szCs w:val="21"/>
                    </w:rPr>
                    <w:t>类型</w:t>
                  </w:r>
                </w:p>
              </w:tc>
              <w:tc>
                <w:tcPr>
                  <w:tcW w:w="900" w:type="pct"/>
                  <w:vMerge w:val="restart"/>
                  <w:vAlign w:val="center"/>
                </w:tcPr>
                <w:p w14:paraId="3B2D29B1">
                  <w:pPr>
                    <w:jc w:val="center"/>
                    <w:rPr>
                      <w:szCs w:val="21"/>
                    </w:rPr>
                  </w:pPr>
                  <w:r>
                    <w:rPr>
                      <w:szCs w:val="21"/>
                    </w:rPr>
                    <w:t>污染</w:t>
                  </w:r>
                  <w:r>
                    <w:rPr>
                      <w:rFonts w:hint="eastAsia"/>
                      <w:szCs w:val="21"/>
                    </w:rPr>
                    <w:t>因子</w:t>
                  </w:r>
                </w:p>
              </w:tc>
              <w:tc>
                <w:tcPr>
                  <w:tcW w:w="654" w:type="pct"/>
                  <w:vMerge w:val="restart"/>
                  <w:vAlign w:val="center"/>
                </w:tcPr>
                <w:p w14:paraId="4EA54391">
                  <w:pPr>
                    <w:jc w:val="center"/>
                    <w:rPr>
                      <w:szCs w:val="21"/>
                    </w:rPr>
                  </w:pPr>
                  <w:r>
                    <w:rPr>
                      <w:szCs w:val="21"/>
                    </w:rPr>
                    <w:t>排放形式</w:t>
                  </w:r>
                </w:p>
              </w:tc>
              <w:tc>
                <w:tcPr>
                  <w:tcW w:w="2714" w:type="pct"/>
                  <w:gridSpan w:val="4"/>
                  <w:vAlign w:val="center"/>
                </w:tcPr>
                <w:p w14:paraId="351DEA78">
                  <w:pPr>
                    <w:jc w:val="center"/>
                    <w:rPr>
                      <w:szCs w:val="21"/>
                    </w:rPr>
                  </w:pPr>
                  <w:r>
                    <w:rPr>
                      <w:szCs w:val="21"/>
                    </w:rPr>
                    <w:t>污染物治理设施</w:t>
                  </w:r>
                </w:p>
              </w:tc>
            </w:tr>
            <w:tr w14:paraId="113D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vMerge w:val="continue"/>
                  <w:vAlign w:val="center"/>
                </w:tcPr>
                <w:p w14:paraId="64D5210B">
                  <w:pPr>
                    <w:jc w:val="center"/>
                    <w:rPr>
                      <w:szCs w:val="21"/>
                    </w:rPr>
                  </w:pPr>
                </w:p>
              </w:tc>
              <w:tc>
                <w:tcPr>
                  <w:tcW w:w="900" w:type="pct"/>
                  <w:vMerge w:val="continue"/>
                  <w:vAlign w:val="center"/>
                </w:tcPr>
                <w:p w14:paraId="5F619257">
                  <w:pPr>
                    <w:jc w:val="center"/>
                    <w:rPr>
                      <w:szCs w:val="21"/>
                    </w:rPr>
                  </w:pPr>
                </w:p>
              </w:tc>
              <w:tc>
                <w:tcPr>
                  <w:tcW w:w="654" w:type="pct"/>
                  <w:vMerge w:val="continue"/>
                  <w:vAlign w:val="center"/>
                </w:tcPr>
                <w:p w14:paraId="3D37EA4C">
                  <w:pPr>
                    <w:jc w:val="center"/>
                    <w:rPr>
                      <w:szCs w:val="21"/>
                    </w:rPr>
                  </w:pPr>
                </w:p>
              </w:tc>
              <w:tc>
                <w:tcPr>
                  <w:tcW w:w="737" w:type="pct"/>
                  <w:vAlign w:val="center"/>
                </w:tcPr>
                <w:p w14:paraId="25244585">
                  <w:pPr>
                    <w:jc w:val="center"/>
                    <w:rPr>
                      <w:szCs w:val="21"/>
                    </w:rPr>
                  </w:pPr>
                  <w:r>
                    <w:rPr>
                      <w:rFonts w:hint="eastAsia"/>
                      <w:szCs w:val="21"/>
                    </w:rPr>
                    <w:t>治理</w:t>
                  </w:r>
                  <w:r>
                    <w:rPr>
                      <w:szCs w:val="21"/>
                    </w:rPr>
                    <w:t>设施名称及工艺</w:t>
                  </w:r>
                </w:p>
              </w:tc>
              <w:tc>
                <w:tcPr>
                  <w:tcW w:w="645" w:type="pct"/>
                  <w:vAlign w:val="center"/>
                </w:tcPr>
                <w:p w14:paraId="7B8BC5F8">
                  <w:pPr>
                    <w:jc w:val="center"/>
                    <w:rPr>
                      <w:szCs w:val="21"/>
                    </w:rPr>
                  </w:pPr>
                  <w:r>
                    <w:rPr>
                      <w:rFonts w:hint="eastAsia"/>
                      <w:szCs w:val="21"/>
                    </w:rPr>
                    <w:t>收集效率（%）</w:t>
                  </w:r>
                </w:p>
              </w:tc>
              <w:tc>
                <w:tcPr>
                  <w:tcW w:w="645" w:type="pct"/>
                  <w:vAlign w:val="center"/>
                </w:tcPr>
                <w:p w14:paraId="3C36C650">
                  <w:pPr>
                    <w:jc w:val="center"/>
                    <w:rPr>
                      <w:szCs w:val="21"/>
                    </w:rPr>
                  </w:pPr>
                  <w:r>
                    <w:rPr>
                      <w:szCs w:val="21"/>
                    </w:rPr>
                    <w:t>去除率</w:t>
                  </w:r>
                  <w:r>
                    <w:rPr>
                      <w:rFonts w:hint="eastAsia"/>
                      <w:szCs w:val="21"/>
                    </w:rPr>
                    <w:t>（%）</w:t>
                  </w:r>
                </w:p>
              </w:tc>
              <w:tc>
                <w:tcPr>
                  <w:tcW w:w="687" w:type="pct"/>
                  <w:vAlign w:val="center"/>
                </w:tcPr>
                <w:p w14:paraId="1C62B16C">
                  <w:pPr>
                    <w:jc w:val="center"/>
                    <w:rPr>
                      <w:szCs w:val="21"/>
                    </w:rPr>
                  </w:pPr>
                  <w:r>
                    <w:rPr>
                      <w:szCs w:val="21"/>
                    </w:rPr>
                    <w:t>是否为可行性技术</w:t>
                  </w:r>
                </w:p>
              </w:tc>
            </w:tr>
            <w:tr w14:paraId="5632F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vAlign w:val="center"/>
                </w:tcPr>
                <w:p w14:paraId="769525AB">
                  <w:pPr>
                    <w:jc w:val="center"/>
                    <w:rPr>
                      <w:szCs w:val="21"/>
                    </w:rPr>
                  </w:pPr>
                  <w:r>
                    <w:rPr>
                      <w:rFonts w:hint="eastAsia"/>
                      <w:szCs w:val="21"/>
                    </w:rPr>
                    <w:t>有机废气</w:t>
                  </w:r>
                </w:p>
              </w:tc>
              <w:tc>
                <w:tcPr>
                  <w:tcW w:w="900" w:type="pct"/>
                  <w:vAlign w:val="center"/>
                </w:tcPr>
                <w:p w14:paraId="52D31764">
                  <w:pPr>
                    <w:jc w:val="center"/>
                    <w:rPr>
                      <w:szCs w:val="21"/>
                    </w:rPr>
                  </w:pPr>
                  <w:r>
                    <w:rPr>
                      <w:rFonts w:hint="eastAsia"/>
                      <w:szCs w:val="21"/>
                    </w:rPr>
                    <w:t>VOCs、苯乙烯、丙烯腈、1,3-丁二烯、甲苯、乙苯</w:t>
                  </w:r>
                </w:p>
              </w:tc>
              <w:tc>
                <w:tcPr>
                  <w:tcW w:w="654" w:type="pct"/>
                  <w:vAlign w:val="center"/>
                </w:tcPr>
                <w:p w14:paraId="0735445A">
                  <w:pPr>
                    <w:jc w:val="center"/>
                    <w:rPr>
                      <w:szCs w:val="21"/>
                    </w:rPr>
                  </w:pPr>
                  <w:r>
                    <w:rPr>
                      <w:rFonts w:hint="eastAsia"/>
                      <w:szCs w:val="21"/>
                    </w:rPr>
                    <w:t>有组织</w:t>
                  </w:r>
                </w:p>
              </w:tc>
              <w:tc>
                <w:tcPr>
                  <w:tcW w:w="737" w:type="pct"/>
                  <w:vAlign w:val="center"/>
                </w:tcPr>
                <w:p w14:paraId="218BEF30">
                  <w:pPr>
                    <w:jc w:val="center"/>
                    <w:rPr>
                      <w:szCs w:val="21"/>
                    </w:rPr>
                  </w:pPr>
                  <w:r>
                    <w:rPr>
                      <w:rFonts w:hint="eastAsia"/>
                      <w:szCs w:val="21"/>
                    </w:rPr>
                    <w:t>二级活性炭吸附装置</w:t>
                  </w:r>
                </w:p>
              </w:tc>
              <w:tc>
                <w:tcPr>
                  <w:tcW w:w="645" w:type="pct"/>
                  <w:vAlign w:val="center"/>
                </w:tcPr>
                <w:p w14:paraId="1063CAA6">
                  <w:pPr>
                    <w:jc w:val="center"/>
                    <w:rPr>
                      <w:szCs w:val="21"/>
                    </w:rPr>
                  </w:pPr>
                  <w:r>
                    <w:rPr>
                      <w:szCs w:val="21"/>
                    </w:rPr>
                    <w:t>90</w:t>
                  </w:r>
                  <w:r>
                    <w:rPr>
                      <w:rFonts w:hint="eastAsia"/>
                      <w:szCs w:val="21"/>
                    </w:rPr>
                    <w:t>/95</w:t>
                  </w:r>
                </w:p>
              </w:tc>
              <w:tc>
                <w:tcPr>
                  <w:tcW w:w="645" w:type="pct"/>
                  <w:vAlign w:val="center"/>
                </w:tcPr>
                <w:p w14:paraId="5F61FD59">
                  <w:pPr>
                    <w:jc w:val="center"/>
                    <w:rPr>
                      <w:szCs w:val="21"/>
                    </w:rPr>
                  </w:pPr>
                  <w:r>
                    <w:rPr>
                      <w:szCs w:val="21"/>
                    </w:rPr>
                    <w:t>90</w:t>
                  </w:r>
                </w:p>
              </w:tc>
              <w:tc>
                <w:tcPr>
                  <w:tcW w:w="687" w:type="pct"/>
                  <w:vAlign w:val="center"/>
                </w:tcPr>
                <w:p w14:paraId="4D411E44">
                  <w:pPr>
                    <w:jc w:val="center"/>
                    <w:rPr>
                      <w:szCs w:val="21"/>
                    </w:rPr>
                  </w:pPr>
                  <w:r>
                    <w:rPr>
                      <w:rFonts w:hint="eastAsia"/>
                      <w:szCs w:val="21"/>
                    </w:rPr>
                    <w:t>是</w:t>
                  </w:r>
                </w:p>
              </w:tc>
            </w:tr>
            <w:tr w14:paraId="77199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pct"/>
                  <w:vAlign w:val="center"/>
                </w:tcPr>
                <w:p w14:paraId="0BB3FF5B">
                  <w:pPr>
                    <w:jc w:val="center"/>
                    <w:rPr>
                      <w:szCs w:val="21"/>
                    </w:rPr>
                  </w:pPr>
                  <w:r>
                    <w:rPr>
                      <w:rFonts w:hint="eastAsia"/>
                      <w:szCs w:val="21"/>
                    </w:rPr>
                    <w:t>食堂油烟</w:t>
                  </w:r>
                </w:p>
              </w:tc>
              <w:tc>
                <w:tcPr>
                  <w:tcW w:w="900" w:type="pct"/>
                  <w:vAlign w:val="center"/>
                </w:tcPr>
                <w:p w14:paraId="1357EB73">
                  <w:pPr>
                    <w:jc w:val="center"/>
                    <w:rPr>
                      <w:szCs w:val="21"/>
                    </w:rPr>
                  </w:pPr>
                  <w:r>
                    <w:rPr>
                      <w:rFonts w:hint="eastAsia"/>
                      <w:szCs w:val="21"/>
                    </w:rPr>
                    <w:t>油烟</w:t>
                  </w:r>
                </w:p>
              </w:tc>
              <w:tc>
                <w:tcPr>
                  <w:tcW w:w="654" w:type="pct"/>
                  <w:vAlign w:val="center"/>
                </w:tcPr>
                <w:p w14:paraId="2EF066C2">
                  <w:pPr>
                    <w:jc w:val="center"/>
                    <w:rPr>
                      <w:szCs w:val="21"/>
                    </w:rPr>
                  </w:pPr>
                  <w:r>
                    <w:rPr>
                      <w:rFonts w:hint="eastAsia"/>
                      <w:szCs w:val="21"/>
                    </w:rPr>
                    <w:t>有组织</w:t>
                  </w:r>
                </w:p>
              </w:tc>
              <w:tc>
                <w:tcPr>
                  <w:tcW w:w="737" w:type="pct"/>
                  <w:vAlign w:val="center"/>
                </w:tcPr>
                <w:p w14:paraId="57A2DAFF">
                  <w:pPr>
                    <w:jc w:val="center"/>
                    <w:rPr>
                      <w:szCs w:val="21"/>
                    </w:rPr>
                  </w:pPr>
                  <w:r>
                    <w:rPr>
                      <w:rFonts w:hint="eastAsia"/>
                      <w:szCs w:val="21"/>
                    </w:rPr>
                    <w:t>油烟净化器</w:t>
                  </w:r>
                </w:p>
              </w:tc>
              <w:tc>
                <w:tcPr>
                  <w:tcW w:w="645" w:type="pct"/>
                  <w:vAlign w:val="center"/>
                </w:tcPr>
                <w:p w14:paraId="1DB83D29">
                  <w:pPr>
                    <w:jc w:val="center"/>
                    <w:rPr>
                      <w:szCs w:val="21"/>
                    </w:rPr>
                  </w:pPr>
                  <w:r>
                    <w:rPr>
                      <w:rFonts w:hint="eastAsia"/>
                      <w:szCs w:val="21"/>
                    </w:rPr>
                    <w:t>1</w:t>
                  </w:r>
                  <w:r>
                    <w:rPr>
                      <w:szCs w:val="21"/>
                    </w:rPr>
                    <w:t>00</w:t>
                  </w:r>
                </w:p>
              </w:tc>
              <w:tc>
                <w:tcPr>
                  <w:tcW w:w="645" w:type="pct"/>
                  <w:vAlign w:val="center"/>
                </w:tcPr>
                <w:p w14:paraId="400EFD2D">
                  <w:pPr>
                    <w:jc w:val="center"/>
                    <w:rPr>
                      <w:szCs w:val="21"/>
                    </w:rPr>
                  </w:pPr>
                  <w:r>
                    <w:rPr>
                      <w:rFonts w:hint="eastAsia"/>
                      <w:szCs w:val="21"/>
                    </w:rPr>
                    <w:t>8</w:t>
                  </w:r>
                  <w:r>
                    <w:rPr>
                      <w:szCs w:val="21"/>
                    </w:rPr>
                    <w:t>5</w:t>
                  </w:r>
                </w:p>
              </w:tc>
              <w:tc>
                <w:tcPr>
                  <w:tcW w:w="687" w:type="pct"/>
                  <w:vAlign w:val="center"/>
                </w:tcPr>
                <w:p w14:paraId="1A13726E">
                  <w:pPr>
                    <w:jc w:val="center"/>
                    <w:rPr>
                      <w:szCs w:val="21"/>
                    </w:rPr>
                  </w:pPr>
                  <w:r>
                    <w:rPr>
                      <w:rFonts w:hint="eastAsia"/>
                      <w:szCs w:val="21"/>
                    </w:rPr>
                    <w:t>是</w:t>
                  </w:r>
                </w:p>
              </w:tc>
            </w:tr>
          </w:tbl>
          <w:p w14:paraId="4E1FE8C1">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废气排放口基本信息表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920"/>
              <w:gridCol w:w="952"/>
              <w:gridCol w:w="1150"/>
              <w:gridCol w:w="1152"/>
              <w:gridCol w:w="1025"/>
              <w:gridCol w:w="1025"/>
              <w:gridCol w:w="1025"/>
              <w:gridCol w:w="943"/>
            </w:tblGrid>
            <w:tr w14:paraId="7BAF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vMerge w:val="restart"/>
                  <w:vAlign w:val="center"/>
                </w:tcPr>
                <w:p w14:paraId="46528998">
                  <w:pPr>
                    <w:jc w:val="center"/>
                    <w:rPr>
                      <w:szCs w:val="21"/>
                    </w:rPr>
                  </w:pPr>
                  <w:r>
                    <w:rPr>
                      <w:szCs w:val="21"/>
                    </w:rPr>
                    <w:t>排放口编号</w:t>
                  </w:r>
                </w:p>
              </w:tc>
              <w:tc>
                <w:tcPr>
                  <w:tcW w:w="505" w:type="pct"/>
                  <w:vMerge w:val="restart"/>
                  <w:vAlign w:val="center"/>
                </w:tcPr>
                <w:p w14:paraId="67755B31">
                  <w:pPr>
                    <w:jc w:val="center"/>
                    <w:rPr>
                      <w:szCs w:val="21"/>
                    </w:rPr>
                  </w:pPr>
                  <w:r>
                    <w:rPr>
                      <w:szCs w:val="21"/>
                    </w:rPr>
                    <w:t>排放口名称</w:t>
                  </w:r>
                </w:p>
              </w:tc>
              <w:tc>
                <w:tcPr>
                  <w:tcW w:w="505" w:type="pct"/>
                  <w:vMerge w:val="restart"/>
                  <w:vAlign w:val="center"/>
                </w:tcPr>
                <w:p w14:paraId="1C3851E0">
                  <w:pPr>
                    <w:jc w:val="center"/>
                    <w:rPr>
                      <w:szCs w:val="21"/>
                    </w:rPr>
                  </w:pPr>
                  <w:r>
                    <w:rPr>
                      <w:szCs w:val="21"/>
                    </w:rPr>
                    <w:t>污染物种类</w:t>
                  </w:r>
                </w:p>
              </w:tc>
              <w:tc>
                <w:tcPr>
                  <w:tcW w:w="1263" w:type="pct"/>
                  <w:gridSpan w:val="2"/>
                  <w:vAlign w:val="center"/>
                </w:tcPr>
                <w:p w14:paraId="37A9C781">
                  <w:pPr>
                    <w:jc w:val="center"/>
                    <w:rPr>
                      <w:szCs w:val="21"/>
                    </w:rPr>
                  </w:pPr>
                  <w:r>
                    <w:rPr>
                      <w:szCs w:val="21"/>
                    </w:rPr>
                    <w:t>排放口地理坐标</w:t>
                  </w:r>
                </w:p>
              </w:tc>
              <w:tc>
                <w:tcPr>
                  <w:tcW w:w="562" w:type="pct"/>
                  <w:vMerge w:val="restart"/>
                  <w:vAlign w:val="center"/>
                </w:tcPr>
                <w:p w14:paraId="0757847F">
                  <w:pPr>
                    <w:jc w:val="center"/>
                    <w:rPr>
                      <w:szCs w:val="21"/>
                    </w:rPr>
                  </w:pPr>
                  <w:r>
                    <w:rPr>
                      <w:szCs w:val="21"/>
                    </w:rPr>
                    <w:t>排气筒高度</w:t>
                  </w:r>
                  <w:r>
                    <w:rPr>
                      <w:rFonts w:hint="eastAsia"/>
                      <w:szCs w:val="21"/>
                    </w:rPr>
                    <w:t>(</w:t>
                  </w:r>
                  <w:r>
                    <w:rPr>
                      <w:szCs w:val="21"/>
                    </w:rPr>
                    <w:t>m</w:t>
                  </w:r>
                  <w:r>
                    <w:rPr>
                      <w:rFonts w:hint="eastAsia"/>
                      <w:szCs w:val="21"/>
                    </w:rPr>
                    <w:t>)</w:t>
                  </w:r>
                </w:p>
              </w:tc>
              <w:tc>
                <w:tcPr>
                  <w:tcW w:w="562" w:type="pct"/>
                  <w:vMerge w:val="restart"/>
                  <w:vAlign w:val="center"/>
                </w:tcPr>
                <w:p w14:paraId="4382AD71">
                  <w:pPr>
                    <w:jc w:val="center"/>
                    <w:rPr>
                      <w:szCs w:val="21"/>
                    </w:rPr>
                  </w:pPr>
                  <w:r>
                    <w:rPr>
                      <w:szCs w:val="21"/>
                    </w:rPr>
                    <w:t>排气筒内径</w:t>
                  </w:r>
                  <w:r>
                    <w:rPr>
                      <w:rFonts w:hint="eastAsia"/>
                      <w:szCs w:val="21"/>
                    </w:rPr>
                    <w:t>(</w:t>
                  </w:r>
                  <w:r>
                    <w:rPr>
                      <w:szCs w:val="21"/>
                    </w:rPr>
                    <w:t>m</w:t>
                  </w:r>
                  <w:r>
                    <w:rPr>
                      <w:rFonts w:hint="eastAsia"/>
                      <w:szCs w:val="21"/>
                    </w:rPr>
                    <w:t>)</w:t>
                  </w:r>
                </w:p>
              </w:tc>
              <w:tc>
                <w:tcPr>
                  <w:tcW w:w="562" w:type="pct"/>
                  <w:vMerge w:val="restart"/>
                  <w:vAlign w:val="center"/>
                </w:tcPr>
                <w:p w14:paraId="07448F76">
                  <w:pPr>
                    <w:jc w:val="center"/>
                    <w:rPr>
                      <w:szCs w:val="21"/>
                    </w:rPr>
                  </w:pPr>
                  <w:r>
                    <w:rPr>
                      <w:szCs w:val="21"/>
                    </w:rPr>
                    <w:t>排放温度</w:t>
                  </w:r>
                  <w:r>
                    <w:rPr>
                      <w:rFonts w:hint="eastAsia"/>
                      <w:szCs w:val="21"/>
                    </w:rPr>
                    <w:t>(</w:t>
                  </w:r>
                  <w:r>
                    <w:rPr>
                      <w:rFonts w:hint="eastAsia" w:ascii="宋体" w:hAnsi="宋体" w:cs="宋体"/>
                      <w:szCs w:val="21"/>
                    </w:rPr>
                    <w:t>℃</w:t>
                  </w:r>
                  <w:r>
                    <w:rPr>
                      <w:rFonts w:hint="eastAsia"/>
                      <w:szCs w:val="21"/>
                    </w:rPr>
                    <w:t>)</w:t>
                  </w:r>
                </w:p>
              </w:tc>
              <w:tc>
                <w:tcPr>
                  <w:tcW w:w="517" w:type="pct"/>
                  <w:vMerge w:val="restart"/>
                  <w:vAlign w:val="center"/>
                </w:tcPr>
                <w:p w14:paraId="6C405950">
                  <w:pPr>
                    <w:jc w:val="center"/>
                    <w:rPr>
                      <w:szCs w:val="21"/>
                    </w:rPr>
                  </w:pPr>
                  <w:r>
                    <w:rPr>
                      <w:szCs w:val="21"/>
                    </w:rPr>
                    <w:t>排放口类型</w:t>
                  </w:r>
                </w:p>
              </w:tc>
            </w:tr>
            <w:tr w14:paraId="4661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24" w:type="pct"/>
                  <w:vMerge w:val="continue"/>
                  <w:vAlign w:val="center"/>
                </w:tcPr>
                <w:p w14:paraId="0C957340">
                  <w:pPr>
                    <w:jc w:val="center"/>
                    <w:rPr>
                      <w:szCs w:val="21"/>
                    </w:rPr>
                  </w:pPr>
                </w:p>
              </w:tc>
              <w:tc>
                <w:tcPr>
                  <w:tcW w:w="505" w:type="pct"/>
                  <w:vMerge w:val="continue"/>
                  <w:vAlign w:val="center"/>
                </w:tcPr>
                <w:p w14:paraId="5C732102">
                  <w:pPr>
                    <w:jc w:val="center"/>
                    <w:rPr>
                      <w:szCs w:val="21"/>
                    </w:rPr>
                  </w:pPr>
                </w:p>
              </w:tc>
              <w:tc>
                <w:tcPr>
                  <w:tcW w:w="505" w:type="pct"/>
                  <w:vMerge w:val="continue"/>
                  <w:vAlign w:val="center"/>
                </w:tcPr>
                <w:p w14:paraId="47C643DC">
                  <w:pPr>
                    <w:jc w:val="center"/>
                    <w:rPr>
                      <w:szCs w:val="21"/>
                    </w:rPr>
                  </w:pPr>
                </w:p>
              </w:tc>
              <w:tc>
                <w:tcPr>
                  <w:tcW w:w="631" w:type="pct"/>
                  <w:vAlign w:val="center"/>
                </w:tcPr>
                <w:p w14:paraId="1C262B9C">
                  <w:pPr>
                    <w:jc w:val="center"/>
                    <w:rPr>
                      <w:szCs w:val="21"/>
                    </w:rPr>
                  </w:pPr>
                  <w:r>
                    <w:rPr>
                      <w:szCs w:val="21"/>
                    </w:rPr>
                    <w:t>经度</w:t>
                  </w:r>
                </w:p>
              </w:tc>
              <w:tc>
                <w:tcPr>
                  <w:tcW w:w="632" w:type="pct"/>
                  <w:vAlign w:val="center"/>
                </w:tcPr>
                <w:p w14:paraId="7F63CD98">
                  <w:pPr>
                    <w:jc w:val="center"/>
                    <w:rPr>
                      <w:szCs w:val="21"/>
                    </w:rPr>
                  </w:pPr>
                  <w:r>
                    <w:rPr>
                      <w:szCs w:val="21"/>
                    </w:rPr>
                    <w:t>纬度</w:t>
                  </w:r>
                </w:p>
              </w:tc>
              <w:tc>
                <w:tcPr>
                  <w:tcW w:w="562" w:type="pct"/>
                  <w:vMerge w:val="continue"/>
                  <w:vAlign w:val="center"/>
                </w:tcPr>
                <w:p w14:paraId="32D33CD3">
                  <w:pPr>
                    <w:jc w:val="center"/>
                    <w:rPr>
                      <w:szCs w:val="21"/>
                    </w:rPr>
                  </w:pPr>
                </w:p>
              </w:tc>
              <w:tc>
                <w:tcPr>
                  <w:tcW w:w="562" w:type="pct"/>
                  <w:vMerge w:val="continue"/>
                  <w:vAlign w:val="center"/>
                </w:tcPr>
                <w:p w14:paraId="6CD14730">
                  <w:pPr>
                    <w:jc w:val="center"/>
                    <w:rPr>
                      <w:szCs w:val="21"/>
                    </w:rPr>
                  </w:pPr>
                </w:p>
              </w:tc>
              <w:tc>
                <w:tcPr>
                  <w:tcW w:w="562" w:type="pct"/>
                  <w:vMerge w:val="continue"/>
                  <w:vAlign w:val="center"/>
                </w:tcPr>
                <w:p w14:paraId="33A4E2CA">
                  <w:pPr>
                    <w:jc w:val="center"/>
                    <w:rPr>
                      <w:szCs w:val="21"/>
                    </w:rPr>
                  </w:pPr>
                </w:p>
              </w:tc>
              <w:tc>
                <w:tcPr>
                  <w:tcW w:w="517" w:type="pct"/>
                  <w:vMerge w:val="continue"/>
                  <w:vAlign w:val="center"/>
                </w:tcPr>
                <w:p w14:paraId="579D3E04">
                  <w:pPr>
                    <w:jc w:val="center"/>
                    <w:rPr>
                      <w:szCs w:val="21"/>
                    </w:rPr>
                  </w:pPr>
                </w:p>
              </w:tc>
            </w:tr>
            <w:tr w14:paraId="66A0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13A708A2">
                  <w:pPr>
                    <w:jc w:val="center"/>
                    <w:rPr>
                      <w:szCs w:val="21"/>
                    </w:rPr>
                  </w:pPr>
                  <w:r>
                    <w:rPr>
                      <w:rFonts w:hint="eastAsia"/>
                      <w:szCs w:val="21"/>
                    </w:rPr>
                    <w:t>DA005</w:t>
                  </w:r>
                </w:p>
              </w:tc>
              <w:tc>
                <w:tcPr>
                  <w:tcW w:w="505" w:type="pct"/>
                  <w:vAlign w:val="center"/>
                </w:tcPr>
                <w:p w14:paraId="0A02EEB2">
                  <w:pPr>
                    <w:jc w:val="center"/>
                    <w:rPr>
                      <w:szCs w:val="21"/>
                    </w:rPr>
                  </w:pPr>
                  <w:r>
                    <w:rPr>
                      <w:rFonts w:hint="eastAsia"/>
                      <w:szCs w:val="21"/>
                    </w:rPr>
                    <w:t>有机废气排气筒</w:t>
                  </w:r>
                </w:p>
              </w:tc>
              <w:tc>
                <w:tcPr>
                  <w:tcW w:w="505" w:type="pct"/>
                  <w:vAlign w:val="center"/>
                </w:tcPr>
                <w:p w14:paraId="2D8BCCDA">
                  <w:pPr>
                    <w:jc w:val="center"/>
                    <w:rPr>
                      <w:szCs w:val="21"/>
                    </w:rPr>
                  </w:pPr>
                  <w:r>
                    <w:rPr>
                      <w:rFonts w:hint="eastAsia"/>
                      <w:szCs w:val="21"/>
                    </w:rPr>
                    <w:t>VOCs、苯乙烯、丙烯腈、1,3-丁二烯、甲苯、乙苯</w:t>
                  </w:r>
                </w:p>
              </w:tc>
              <w:tc>
                <w:tcPr>
                  <w:tcW w:w="631" w:type="pct"/>
                  <w:vAlign w:val="center"/>
                </w:tcPr>
                <w:p w14:paraId="6D8391B4">
                  <w:pPr>
                    <w:jc w:val="center"/>
                    <w:rPr>
                      <w:rFonts w:cs="Times New Roman"/>
                      <w:szCs w:val="21"/>
                    </w:rPr>
                  </w:pPr>
                  <w:r>
                    <w:rPr>
                      <w:rFonts w:cs="Times New Roman"/>
                      <w:szCs w:val="21"/>
                    </w:rPr>
                    <w:t>105°16'</w:t>
                  </w:r>
                </w:p>
                <w:p w14:paraId="6478F8B2">
                  <w:pPr>
                    <w:jc w:val="center"/>
                    <w:rPr>
                      <w:rFonts w:cs="Times New Roman"/>
                      <w:szCs w:val="21"/>
                    </w:rPr>
                  </w:pPr>
                  <w:r>
                    <w:rPr>
                      <w:rFonts w:cs="Times New Roman"/>
                      <w:szCs w:val="21"/>
                    </w:rPr>
                    <w:t>46.34"</w:t>
                  </w:r>
                </w:p>
              </w:tc>
              <w:tc>
                <w:tcPr>
                  <w:tcW w:w="632" w:type="pct"/>
                  <w:vAlign w:val="center"/>
                </w:tcPr>
                <w:p w14:paraId="395552E5">
                  <w:pPr>
                    <w:jc w:val="center"/>
                    <w:rPr>
                      <w:rFonts w:cs="Times New Roman"/>
                      <w:szCs w:val="21"/>
                    </w:rPr>
                  </w:pPr>
                  <w:r>
                    <w:rPr>
                      <w:rFonts w:cs="Times New Roman"/>
                      <w:szCs w:val="21"/>
                    </w:rPr>
                    <w:t>30°35'</w:t>
                  </w:r>
                </w:p>
                <w:p w14:paraId="133E4C56">
                  <w:pPr>
                    <w:jc w:val="center"/>
                    <w:rPr>
                      <w:rFonts w:cs="Times New Roman"/>
                      <w:szCs w:val="21"/>
                    </w:rPr>
                  </w:pPr>
                  <w:r>
                    <w:rPr>
                      <w:rFonts w:cs="Times New Roman"/>
                      <w:szCs w:val="21"/>
                    </w:rPr>
                    <w:t>26.14"</w:t>
                  </w:r>
                </w:p>
              </w:tc>
              <w:tc>
                <w:tcPr>
                  <w:tcW w:w="562" w:type="pct"/>
                  <w:vAlign w:val="center"/>
                </w:tcPr>
                <w:p w14:paraId="58033BEF">
                  <w:pPr>
                    <w:jc w:val="center"/>
                    <w:rPr>
                      <w:szCs w:val="21"/>
                    </w:rPr>
                  </w:pPr>
                  <w:r>
                    <w:rPr>
                      <w:rFonts w:hint="eastAsia"/>
                      <w:szCs w:val="21"/>
                    </w:rPr>
                    <w:t>1</w:t>
                  </w:r>
                  <w:r>
                    <w:rPr>
                      <w:szCs w:val="21"/>
                    </w:rPr>
                    <w:t>5</w:t>
                  </w:r>
                </w:p>
              </w:tc>
              <w:tc>
                <w:tcPr>
                  <w:tcW w:w="562" w:type="pct"/>
                  <w:vAlign w:val="center"/>
                </w:tcPr>
                <w:p w14:paraId="0F1F1E9D">
                  <w:pPr>
                    <w:jc w:val="center"/>
                    <w:rPr>
                      <w:szCs w:val="21"/>
                    </w:rPr>
                  </w:pPr>
                  <w:r>
                    <w:rPr>
                      <w:rFonts w:hint="eastAsia"/>
                      <w:szCs w:val="21"/>
                    </w:rPr>
                    <w:t>1</w:t>
                  </w:r>
                </w:p>
              </w:tc>
              <w:tc>
                <w:tcPr>
                  <w:tcW w:w="562" w:type="pct"/>
                  <w:vAlign w:val="center"/>
                </w:tcPr>
                <w:p w14:paraId="37E617E5">
                  <w:pPr>
                    <w:jc w:val="center"/>
                    <w:rPr>
                      <w:szCs w:val="21"/>
                    </w:rPr>
                  </w:pPr>
                  <w:r>
                    <w:rPr>
                      <w:rFonts w:hint="eastAsia"/>
                      <w:szCs w:val="21"/>
                    </w:rPr>
                    <w:t>常温</w:t>
                  </w:r>
                </w:p>
              </w:tc>
              <w:tc>
                <w:tcPr>
                  <w:tcW w:w="517" w:type="pct"/>
                  <w:vAlign w:val="center"/>
                </w:tcPr>
                <w:p w14:paraId="112F8223">
                  <w:pPr>
                    <w:jc w:val="center"/>
                    <w:rPr>
                      <w:szCs w:val="21"/>
                    </w:rPr>
                  </w:pPr>
                  <w:r>
                    <w:rPr>
                      <w:szCs w:val="21"/>
                    </w:rPr>
                    <w:t>一般排放口</w:t>
                  </w:r>
                </w:p>
              </w:tc>
            </w:tr>
            <w:tr w14:paraId="7750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14850042">
                  <w:pPr>
                    <w:jc w:val="center"/>
                    <w:rPr>
                      <w:szCs w:val="21"/>
                      <w:highlight w:val="yellow"/>
                    </w:rPr>
                  </w:pPr>
                  <w:r>
                    <w:rPr>
                      <w:rFonts w:hint="eastAsia"/>
                      <w:szCs w:val="21"/>
                    </w:rPr>
                    <w:t>DA004</w:t>
                  </w:r>
                </w:p>
              </w:tc>
              <w:tc>
                <w:tcPr>
                  <w:tcW w:w="505" w:type="pct"/>
                  <w:vAlign w:val="center"/>
                </w:tcPr>
                <w:p w14:paraId="4D6790EF">
                  <w:pPr>
                    <w:jc w:val="center"/>
                    <w:rPr>
                      <w:szCs w:val="21"/>
                    </w:rPr>
                  </w:pPr>
                  <w:r>
                    <w:rPr>
                      <w:rFonts w:hint="eastAsia"/>
                      <w:szCs w:val="21"/>
                    </w:rPr>
                    <w:t>食堂排气筒</w:t>
                  </w:r>
                </w:p>
              </w:tc>
              <w:tc>
                <w:tcPr>
                  <w:tcW w:w="505" w:type="pct"/>
                  <w:vAlign w:val="center"/>
                </w:tcPr>
                <w:p w14:paraId="192FFA11">
                  <w:pPr>
                    <w:jc w:val="center"/>
                    <w:rPr>
                      <w:szCs w:val="21"/>
                    </w:rPr>
                  </w:pPr>
                  <w:r>
                    <w:rPr>
                      <w:rFonts w:hint="eastAsia"/>
                      <w:szCs w:val="21"/>
                    </w:rPr>
                    <w:t>油烟</w:t>
                  </w:r>
                </w:p>
              </w:tc>
              <w:tc>
                <w:tcPr>
                  <w:tcW w:w="631" w:type="pct"/>
                  <w:vAlign w:val="center"/>
                </w:tcPr>
                <w:p w14:paraId="4CB73EE1">
                  <w:pPr>
                    <w:jc w:val="center"/>
                    <w:rPr>
                      <w:rFonts w:cs="Times New Roman"/>
                      <w:szCs w:val="21"/>
                    </w:rPr>
                  </w:pPr>
                  <w:r>
                    <w:rPr>
                      <w:rFonts w:cs="Times New Roman"/>
                      <w:szCs w:val="21"/>
                    </w:rPr>
                    <w:t>105°16'</w:t>
                  </w:r>
                </w:p>
                <w:p w14:paraId="6D328F39">
                  <w:pPr>
                    <w:jc w:val="center"/>
                    <w:rPr>
                      <w:rFonts w:cs="Times New Roman"/>
                      <w:szCs w:val="21"/>
                    </w:rPr>
                  </w:pPr>
                  <w:r>
                    <w:rPr>
                      <w:rFonts w:cs="Times New Roman"/>
                      <w:szCs w:val="21"/>
                    </w:rPr>
                    <w:t>49.44"</w:t>
                  </w:r>
                </w:p>
              </w:tc>
              <w:tc>
                <w:tcPr>
                  <w:tcW w:w="632" w:type="pct"/>
                  <w:vAlign w:val="center"/>
                </w:tcPr>
                <w:p w14:paraId="3D52223D">
                  <w:pPr>
                    <w:jc w:val="center"/>
                    <w:rPr>
                      <w:rFonts w:cs="Times New Roman"/>
                      <w:szCs w:val="21"/>
                    </w:rPr>
                  </w:pPr>
                  <w:r>
                    <w:rPr>
                      <w:rFonts w:cs="Times New Roman"/>
                      <w:szCs w:val="21"/>
                    </w:rPr>
                    <w:t>30°35'</w:t>
                  </w:r>
                </w:p>
                <w:p w14:paraId="63939E88">
                  <w:pPr>
                    <w:jc w:val="center"/>
                    <w:rPr>
                      <w:rFonts w:cs="Times New Roman"/>
                      <w:szCs w:val="21"/>
                    </w:rPr>
                  </w:pPr>
                  <w:r>
                    <w:rPr>
                      <w:rFonts w:cs="Times New Roman"/>
                      <w:szCs w:val="21"/>
                    </w:rPr>
                    <w:t>27.59"</w:t>
                  </w:r>
                </w:p>
              </w:tc>
              <w:tc>
                <w:tcPr>
                  <w:tcW w:w="562" w:type="pct"/>
                  <w:vAlign w:val="center"/>
                </w:tcPr>
                <w:p w14:paraId="3135C523">
                  <w:pPr>
                    <w:jc w:val="center"/>
                    <w:rPr>
                      <w:szCs w:val="21"/>
                    </w:rPr>
                  </w:pPr>
                  <w:r>
                    <w:rPr>
                      <w:szCs w:val="21"/>
                    </w:rPr>
                    <w:t>15</w:t>
                  </w:r>
                </w:p>
              </w:tc>
              <w:tc>
                <w:tcPr>
                  <w:tcW w:w="562" w:type="pct"/>
                  <w:vAlign w:val="center"/>
                </w:tcPr>
                <w:p w14:paraId="76D8A19C">
                  <w:pPr>
                    <w:jc w:val="center"/>
                    <w:rPr>
                      <w:szCs w:val="21"/>
                    </w:rPr>
                  </w:pPr>
                  <w:r>
                    <w:rPr>
                      <w:szCs w:val="21"/>
                    </w:rPr>
                    <w:t>0.2</w:t>
                  </w:r>
                </w:p>
              </w:tc>
              <w:tc>
                <w:tcPr>
                  <w:tcW w:w="562" w:type="pct"/>
                  <w:vAlign w:val="center"/>
                </w:tcPr>
                <w:p w14:paraId="6FBCCBF7">
                  <w:pPr>
                    <w:jc w:val="center"/>
                    <w:rPr>
                      <w:szCs w:val="21"/>
                    </w:rPr>
                  </w:pPr>
                  <w:r>
                    <w:rPr>
                      <w:rFonts w:hint="eastAsia"/>
                      <w:szCs w:val="21"/>
                    </w:rPr>
                    <w:t>常温</w:t>
                  </w:r>
                </w:p>
              </w:tc>
              <w:tc>
                <w:tcPr>
                  <w:tcW w:w="517" w:type="pct"/>
                  <w:vAlign w:val="center"/>
                </w:tcPr>
                <w:p w14:paraId="38E9AAF5">
                  <w:pPr>
                    <w:jc w:val="center"/>
                    <w:rPr>
                      <w:szCs w:val="21"/>
                    </w:rPr>
                  </w:pPr>
                  <w:r>
                    <w:rPr>
                      <w:szCs w:val="21"/>
                    </w:rPr>
                    <w:t>一般排放口</w:t>
                  </w:r>
                </w:p>
              </w:tc>
            </w:tr>
          </w:tbl>
          <w:p w14:paraId="5D989062">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）污染物排放信息</w:t>
            </w:r>
          </w:p>
          <w:p w14:paraId="40E7EB6C">
            <w:pPr>
              <w:spacing w:line="360" w:lineRule="auto"/>
              <w:ind w:firstLine="480" w:firstLineChars="200"/>
              <w:rPr>
                <w:sz w:val="24"/>
                <w:szCs w:val="24"/>
              </w:rPr>
            </w:pPr>
            <w:r>
              <w:rPr>
                <w:sz w:val="24"/>
                <w:szCs w:val="24"/>
              </w:rPr>
              <w:t>运营期</w:t>
            </w:r>
            <w:r>
              <w:rPr>
                <w:rFonts w:hint="eastAsia"/>
                <w:sz w:val="24"/>
                <w:szCs w:val="24"/>
              </w:rPr>
              <w:t>废气污染物排放信息见下表。</w:t>
            </w:r>
          </w:p>
          <w:p w14:paraId="1C3F76B0">
            <w:pPr>
              <w:spacing w:line="360" w:lineRule="auto"/>
              <w:ind w:firstLine="480" w:firstLineChars="200"/>
              <w:rPr>
                <w:sz w:val="24"/>
                <w:szCs w:val="24"/>
              </w:rPr>
            </w:pPr>
          </w:p>
          <w:p w14:paraId="49B8F95B">
            <w:pPr>
              <w:spacing w:line="360" w:lineRule="auto"/>
              <w:ind w:firstLine="480" w:firstLineChars="200"/>
              <w:rPr>
                <w:sz w:val="24"/>
                <w:szCs w:val="24"/>
              </w:rPr>
            </w:pPr>
          </w:p>
          <w:p w14:paraId="5842F378">
            <w:pPr>
              <w:spacing w:line="360" w:lineRule="auto"/>
              <w:ind w:firstLine="480" w:firstLineChars="200"/>
              <w:rPr>
                <w:sz w:val="24"/>
                <w:szCs w:val="24"/>
              </w:rPr>
            </w:pPr>
          </w:p>
          <w:p w14:paraId="1B833383">
            <w:pPr>
              <w:spacing w:line="360" w:lineRule="auto"/>
              <w:ind w:firstLine="480" w:firstLineChars="200"/>
              <w:rPr>
                <w:sz w:val="24"/>
                <w:szCs w:val="24"/>
              </w:rPr>
            </w:pPr>
          </w:p>
          <w:p w14:paraId="135BF82B">
            <w:pPr>
              <w:spacing w:line="360" w:lineRule="auto"/>
              <w:ind w:firstLine="480" w:firstLineChars="200"/>
              <w:rPr>
                <w:sz w:val="24"/>
                <w:szCs w:val="24"/>
              </w:rPr>
            </w:pPr>
          </w:p>
          <w:p w14:paraId="4A4C395A">
            <w:pPr>
              <w:spacing w:line="360" w:lineRule="auto"/>
              <w:ind w:firstLine="480" w:firstLineChars="200"/>
              <w:rPr>
                <w:sz w:val="24"/>
                <w:szCs w:val="24"/>
              </w:rPr>
            </w:pPr>
          </w:p>
          <w:p w14:paraId="69410038">
            <w:pPr>
              <w:spacing w:line="360" w:lineRule="auto"/>
              <w:ind w:firstLine="480" w:firstLineChars="200"/>
              <w:rPr>
                <w:sz w:val="24"/>
                <w:szCs w:val="24"/>
              </w:rPr>
            </w:pPr>
          </w:p>
          <w:p w14:paraId="7DB24BF7">
            <w:pPr>
              <w:spacing w:line="360" w:lineRule="auto"/>
              <w:ind w:firstLine="480" w:firstLineChars="200"/>
              <w:rPr>
                <w:sz w:val="24"/>
                <w:szCs w:val="24"/>
              </w:rPr>
            </w:pPr>
          </w:p>
          <w:p w14:paraId="3C194AF3">
            <w:pPr>
              <w:spacing w:line="360" w:lineRule="auto"/>
              <w:ind w:firstLine="480" w:firstLineChars="200"/>
              <w:rPr>
                <w:sz w:val="24"/>
                <w:szCs w:val="24"/>
              </w:rPr>
            </w:pPr>
          </w:p>
          <w:p w14:paraId="315D2ECF">
            <w:pPr>
              <w:spacing w:line="360" w:lineRule="auto"/>
              <w:ind w:firstLine="480" w:firstLineChars="200"/>
              <w:rPr>
                <w:sz w:val="24"/>
                <w:szCs w:val="24"/>
              </w:rPr>
            </w:pPr>
          </w:p>
          <w:p w14:paraId="5ED98F91">
            <w:pPr>
              <w:spacing w:line="360" w:lineRule="auto"/>
              <w:ind w:firstLine="480" w:firstLineChars="200"/>
              <w:rPr>
                <w:sz w:val="24"/>
                <w:szCs w:val="24"/>
              </w:rPr>
            </w:pPr>
          </w:p>
          <w:p w14:paraId="5B659BBE">
            <w:pPr>
              <w:spacing w:line="360" w:lineRule="auto"/>
              <w:ind w:firstLine="480" w:firstLineChars="200"/>
              <w:rPr>
                <w:sz w:val="24"/>
                <w:szCs w:val="24"/>
              </w:rPr>
            </w:pPr>
          </w:p>
          <w:p w14:paraId="6414C1B5">
            <w:pPr>
              <w:spacing w:line="360" w:lineRule="auto"/>
              <w:ind w:firstLine="480" w:firstLineChars="200"/>
              <w:rPr>
                <w:sz w:val="24"/>
                <w:szCs w:val="24"/>
              </w:rPr>
            </w:pPr>
          </w:p>
          <w:p w14:paraId="191ED900">
            <w:pPr>
              <w:spacing w:line="360" w:lineRule="auto"/>
              <w:ind w:firstLine="480" w:firstLineChars="200"/>
              <w:rPr>
                <w:sz w:val="24"/>
                <w:szCs w:val="24"/>
              </w:rPr>
            </w:pPr>
          </w:p>
          <w:p w14:paraId="391A3237">
            <w:pPr>
              <w:spacing w:line="360" w:lineRule="auto"/>
              <w:ind w:firstLine="480" w:firstLineChars="200"/>
              <w:rPr>
                <w:sz w:val="24"/>
                <w:szCs w:val="24"/>
              </w:rPr>
            </w:pPr>
          </w:p>
          <w:p w14:paraId="0D0E6EB9">
            <w:pPr>
              <w:spacing w:line="360" w:lineRule="auto"/>
              <w:ind w:firstLine="480" w:firstLineChars="200"/>
              <w:rPr>
                <w:sz w:val="24"/>
                <w:szCs w:val="24"/>
              </w:rPr>
            </w:pPr>
          </w:p>
          <w:p w14:paraId="74E6C888">
            <w:pPr>
              <w:spacing w:line="360" w:lineRule="auto"/>
              <w:ind w:firstLine="480" w:firstLineChars="200"/>
              <w:rPr>
                <w:sz w:val="24"/>
                <w:szCs w:val="24"/>
              </w:rPr>
            </w:pPr>
          </w:p>
          <w:p w14:paraId="0B5815FF">
            <w:pPr>
              <w:spacing w:line="360" w:lineRule="auto"/>
              <w:ind w:firstLine="480" w:firstLineChars="200"/>
              <w:rPr>
                <w:sz w:val="24"/>
                <w:szCs w:val="24"/>
              </w:rPr>
            </w:pPr>
          </w:p>
          <w:p w14:paraId="4D5097ED">
            <w:pPr>
              <w:spacing w:line="360" w:lineRule="auto"/>
              <w:ind w:firstLine="480" w:firstLineChars="200"/>
              <w:rPr>
                <w:sz w:val="24"/>
                <w:szCs w:val="24"/>
              </w:rPr>
            </w:pPr>
          </w:p>
          <w:p w14:paraId="0571EAF3">
            <w:pPr>
              <w:spacing w:line="360" w:lineRule="auto"/>
              <w:ind w:firstLine="480" w:firstLineChars="200"/>
              <w:rPr>
                <w:sz w:val="24"/>
                <w:szCs w:val="24"/>
              </w:rPr>
            </w:pPr>
          </w:p>
          <w:p w14:paraId="7E4F2DD6">
            <w:pPr>
              <w:spacing w:line="360" w:lineRule="auto"/>
              <w:ind w:firstLine="480" w:firstLineChars="200"/>
              <w:rPr>
                <w:sz w:val="24"/>
                <w:szCs w:val="24"/>
              </w:rPr>
            </w:pPr>
          </w:p>
          <w:p w14:paraId="3E9E6879">
            <w:pPr>
              <w:spacing w:line="360" w:lineRule="auto"/>
              <w:ind w:firstLine="480" w:firstLineChars="200"/>
              <w:rPr>
                <w:sz w:val="24"/>
                <w:szCs w:val="24"/>
              </w:rPr>
            </w:pPr>
          </w:p>
        </w:tc>
      </w:tr>
    </w:tbl>
    <w:p w14:paraId="31C32113">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60"/>
      </w:tblGrid>
      <w:tr w14:paraId="401FA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14:paraId="092A635A">
            <w:pPr>
              <w:pStyle w:val="51"/>
              <w:numPr>
                <w:ilvl w:val="0"/>
                <w:numId w:val="6"/>
              </w:numPr>
              <w:spacing w:line="360" w:lineRule="auto"/>
              <w:ind w:firstLineChars="0"/>
              <w:jc w:val="center"/>
              <w:rPr>
                <w:rFonts w:eastAsia="黑体" w:cs="Times New Roman"/>
                <w:szCs w:val="21"/>
              </w:rPr>
            </w:pPr>
            <w:r>
              <w:rPr>
                <w:rFonts w:eastAsia="黑体" w:cs="Times New Roman"/>
                <w:szCs w:val="21"/>
              </w:rPr>
              <w:t>运营期</w:t>
            </w:r>
            <w:r>
              <w:rPr>
                <w:rFonts w:hint="eastAsia" w:eastAsia="黑体" w:cs="Times New Roman"/>
                <w:szCs w:val="21"/>
              </w:rPr>
              <w:t>废气污染物排放信息表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845"/>
              <w:gridCol w:w="848"/>
              <w:gridCol w:w="845"/>
              <w:gridCol w:w="848"/>
              <w:gridCol w:w="1272"/>
              <w:gridCol w:w="848"/>
              <w:gridCol w:w="845"/>
              <w:gridCol w:w="805"/>
              <w:gridCol w:w="806"/>
              <w:gridCol w:w="806"/>
              <w:gridCol w:w="806"/>
              <w:gridCol w:w="806"/>
              <w:gridCol w:w="800"/>
              <w:gridCol w:w="883"/>
              <w:gridCol w:w="705"/>
              <w:gridCol w:w="695"/>
            </w:tblGrid>
            <w:tr w14:paraId="1B79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restart"/>
                  <w:vAlign w:val="center"/>
                </w:tcPr>
                <w:p w14:paraId="2FCDD980">
                  <w:pPr>
                    <w:jc w:val="center"/>
                    <w:rPr>
                      <w:rFonts w:cs="Times New Roman"/>
                      <w:sz w:val="18"/>
                      <w:szCs w:val="18"/>
                    </w:rPr>
                  </w:pPr>
                  <w:r>
                    <w:rPr>
                      <w:rFonts w:cs="Times New Roman"/>
                      <w:sz w:val="18"/>
                      <w:szCs w:val="18"/>
                    </w:rPr>
                    <w:t>污染物</w:t>
                  </w:r>
                  <w:r>
                    <w:rPr>
                      <w:rFonts w:hint="eastAsia" w:cs="Times New Roman"/>
                      <w:sz w:val="18"/>
                      <w:szCs w:val="18"/>
                    </w:rPr>
                    <w:t>类型</w:t>
                  </w:r>
                </w:p>
              </w:tc>
              <w:tc>
                <w:tcPr>
                  <w:tcW w:w="295" w:type="pct"/>
                  <w:vMerge w:val="restart"/>
                  <w:vAlign w:val="center"/>
                </w:tcPr>
                <w:p w14:paraId="071DBDDF">
                  <w:pPr>
                    <w:jc w:val="center"/>
                    <w:rPr>
                      <w:rFonts w:cs="Times New Roman"/>
                      <w:sz w:val="18"/>
                      <w:szCs w:val="18"/>
                    </w:rPr>
                  </w:pPr>
                  <w:r>
                    <w:rPr>
                      <w:rFonts w:cs="Times New Roman"/>
                      <w:sz w:val="18"/>
                      <w:szCs w:val="18"/>
                    </w:rPr>
                    <w:t>污染物种类</w:t>
                  </w:r>
                </w:p>
              </w:tc>
              <w:tc>
                <w:tcPr>
                  <w:tcW w:w="296" w:type="pct"/>
                  <w:vMerge w:val="restart"/>
                  <w:vAlign w:val="center"/>
                </w:tcPr>
                <w:p w14:paraId="1B09DA99">
                  <w:pPr>
                    <w:jc w:val="center"/>
                    <w:rPr>
                      <w:rFonts w:cs="Times New Roman"/>
                      <w:sz w:val="18"/>
                      <w:szCs w:val="18"/>
                    </w:rPr>
                  </w:pPr>
                  <w:r>
                    <w:rPr>
                      <w:rFonts w:cs="Times New Roman"/>
                      <w:sz w:val="18"/>
                      <w:szCs w:val="18"/>
                    </w:rPr>
                    <w:t>核算方法</w:t>
                  </w:r>
                </w:p>
              </w:tc>
              <w:tc>
                <w:tcPr>
                  <w:tcW w:w="295" w:type="pct"/>
                  <w:vMerge w:val="restart"/>
                  <w:vAlign w:val="center"/>
                </w:tcPr>
                <w:p w14:paraId="6413D71A">
                  <w:pPr>
                    <w:jc w:val="center"/>
                    <w:rPr>
                      <w:rFonts w:cs="Times New Roman"/>
                      <w:sz w:val="18"/>
                      <w:szCs w:val="18"/>
                    </w:rPr>
                  </w:pPr>
                  <w:r>
                    <w:rPr>
                      <w:rFonts w:cs="Times New Roman"/>
                      <w:sz w:val="18"/>
                      <w:szCs w:val="18"/>
                    </w:rPr>
                    <w:t>污染物产生</w:t>
                  </w:r>
                  <w:r>
                    <w:rPr>
                      <w:rFonts w:hint="eastAsia" w:cs="Times New Roman"/>
                      <w:sz w:val="18"/>
                      <w:szCs w:val="18"/>
                    </w:rPr>
                    <w:t>量(</w:t>
                  </w:r>
                  <w:r>
                    <w:rPr>
                      <w:rFonts w:cs="Times New Roman"/>
                      <w:sz w:val="18"/>
                      <w:szCs w:val="18"/>
                    </w:rPr>
                    <w:t>t</w:t>
                  </w:r>
                  <w:r>
                    <w:rPr>
                      <w:rFonts w:hint="eastAsia" w:cs="Times New Roman"/>
                      <w:sz w:val="18"/>
                      <w:szCs w:val="18"/>
                    </w:rPr>
                    <w:t>/a)</w:t>
                  </w:r>
                </w:p>
              </w:tc>
              <w:tc>
                <w:tcPr>
                  <w:tcW w:w="1035" w:type="pct"/>
                  <w:gridSpan w:val="3"/>
                  <w:vAlign w:val="center"/>
                </w:tcPr>
                <w:p w14:paraId="682FF123">
                  <w:pPr>
                    <w:jc w:val="center"/>
                    <w:rPr>
                      <w:rFonts w:cs="Times New Roman"/>
                      <w:sz w:val="18"/>
                      <w:szCs w:val="18"/>
                    </w:rPr>
                  </w:pPr>
                  <w:r>
                    <w:rPr>
                      <w:rFonts w:cs="Times New Roman"/>
                      <w:sz w:val="18"/>
                      <w:szCs w:val="18"/>
                    </w:rPr>
                    <w:t>治理措施</w:t>
                  </w:r>
                </w:p>
              </w:tc>
              <w:tc>
                <w:tcPr>
                  <w:tcW w:w="1979" w:type="pct"/>
                  <w:gridSpan w:val="7"/>
                  <w:vAlign w:val="center"/>
                </w:tcPr>
                <w:p w14:paraId="1242ACC0">
                  <w:pPr>
                    <w:jc w:val="center"/>
                    <w:rPr>
                      <w:rFonts w:cs="Times New Roman"/>
                      <w:sz w:val="18"/>
                      <w:szCs w:val="18"/>
                    </w:rPr>
                  </w:pPr>
                  <w:r>
                    <w:rPr>
                      <w:rFonts w:cs="Times New Roman"/>
                      <w:sz w:val="18"/>
                      <w:szCs w:val="18"/>
                    </w:rPr>
                    <w:t>污染物排放</w:t>
                  </w:r>
                </w:p>
              </w:tc>
              <w:tc>
                <w:tcPr>
                  <w:tcW w:w="308" w:type="pct"/>
                  <w:vMerge w:val="restart"/>
                  <w:vAlign w:val="center"/>
                </w:tcPr>
                <w:p w14:paraId="22E9FDD8">
                  <w:pPr>
                    <w:jc w:val="center"/>
                    <w:rPr>
                      <w:rFonts w:cs="Times New Roman"/>
                      <w:sz w:val="18"/>
                      <w:szCs w:val="18"/>
                    </w:rPr>
                  </w:pPr>
                  <w:r>
                    <w:rPr>
                      <w:rFonts w:cs="Times New Roman"/>
                      <w:sz w:val="18"/>
                      <w:szCs w:val="18"/>
                    </w:rPr>
                    <w:t>排放口编号</w:t>
                  </w:r>
                </w:p>
              </w:tc>
              <w:tc>
                <w:tcPr>
                  <w:tcW w:w="489" w:type="pct"/>
                  <w:gridSpan w:val="2"/>
                  <w:vAlign w:val="center"/>
                </w:tcPr>
                <w:p w14:paraId="05BC14E0">
                  <w:pPr>
                    <w:jc w:val="center"/>
                    <w:rPr>
                      <w:rFonts w:cs="Times New Roman"/>
                      <w:sz w:val="18"/>
                      <w:szCs w:val="18"/>
                    </w:rPr>
                  </w:pPr>
                  <w:r>
                    <w:rPr>
                      <w:rFonts w:cs="Times New Roman"/>
                      <w:sz w:val="18"/>
                      <w:szCs w:val="18"/>
                    </w:rPr>
                    <w:t>排放标准</w:t>
                  </w:r>
                </w:p>
              </w:tc>
            </w:tr>
            <w:tr w14:paraId="0397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304" w:type="pct"/>
                  <w:vMerge w:val="continue"/>
                  <w:vAlign w:val="center"/>
                </w:tcPr>
                <w:p w14:paraId="1E6A5D0E">
                  <w:pPr>
                    <w:jc w:val="center"/>
                    <w:rPr>
                      <w:rFonts w:cs="Times New Roman"/>
                      <w:sz w:val="18"/>
                      <w:szCs w:val="18"/>
                    </w:rPr>
                  </w:pPr>
                </w:p>
              </w:tc>
              <w:tc>
                <w:tcPr>
                  <w:tcW w:w="295" w:type="pct"/>
                  <w:vMerge w:val="continue"/>
                  <w:vAlign w:val="center"/>
                </w:tcPr>
                <w:p w14:paraId="7180987B">
                  <w:pPr>
                    <w:jc w:val="center"/>
                    <w:rPr>
                      <w:rFonts w:cs="Times New Roman"/>
                      <w:sz w:val="18"/>
                      <w:szCs w:val="18"/>
                    </w:rPr>
                  </w:pPr>
                </w:p>
              </w:tc>
              <w:tc>
                <w:tcPr>
                  <w:tcW w:w="296" w:type="pct"/>
                  <w:vMerge w:val="continue"/>
                  <w:vAlign w:val="center"/>
                </w:tcPr>
                <w:p w14:paraId="6D66A1F0">
                  <w:pPr>
                    <w:jc w:val="center"/>
                    <w:rPr>
                      <w:rFonts w:cs="Times New Roman"/>
                      <w:sz w:val="18"/>
                      <w:szCs w:val="18"/>
                    </w:rPr>
                  </w:pPr>
                </w:p>
              </w:tc>
              <w:tc>
                <w:tcPr>
                  <w:tcW w:w="295" w:type="pct"/>
                  <w:vMerge w:val="continue"/>
                  <w:vAlign w:val="center"/>
                </w:tcPr>
                <w:p w14:paraId="155F6CC0">
                  <w:pPr>
                    <w:jc w:val="center"/>
                    <w:rPr>
                      <w:rFonts w:cs="Times New Roman"/>
                      <w:sz w:val="18"/>
                      <w:szCs w:val="18"/>
                    </w:rPr>
                  </w:pPr>
                </w:p>
              </w:tc>
              <w:tc>
                <w:tcPr>
                  <w:tcW w:w="296" w:type="pct"/>
                  <w:vMerge w:val="restart"/>
                  <w:vAlign w:val="center"/>
                </w:tcPr>
                <w:p w14:paraId="08DBBF45">
                  <w:pPr>
                    <w:jc w:val="center"/>
                    <w:rPr>
                      <w:rFonts w:cs="Times New Roman"/>
                      <w:sz w:val="18"/>
                      <w:szCs w:val="18"/>
                    </w:rPr>
                  </w:pPr>
                  <w:r>
                    <w:rPr>
                      <w:rFonts w:hint="eastAsia" w:cs="Times New Roman"/>
                      <w:sz w:val="18"/>
                      <w:szCs w:val="18"/>
                    </w:rPr>
                    <w:t>收集效率(%)</w:t>
                  </w:r>
                </w:p>
              </w:tc>
              <w:tc>
                <w:tcPr>
                  <w:tcW w:w="444" w:type="pct"/>
                  <w:vMerge w:val="restart"/>
                  <w:vAlign w:val="center"/>
                </w:tcPr>
                <w:p w14:paraId="71457269">
                  <w:pPr>
                    <w:jc w:val="center"/>
                    <w:rPr>
                      <w:rFonts w:cs="Times New Roman"/>
                      <w:sz w:val="18"/>
                      <w:szCs w:val="18"/>
                    </w:rPr>
                  </w:pPr>
                  <w:r>
                    <w:rPr>
                      <w:rFonts w:hint="eastAsia" w:cs="Times New Roman"/>
                      <w:sz w:val="18"/>
                      <w:szCs w:val="18"/>
                    </w:rPr>
                    <w:t>治理工艺</w:t>
                  </w:r>
                </w:p>
              </w:tc>
              <w:tc>
                <w:tcPr>
                  <w:tcW w:w="296" w:type="pct"/>
                  <w:vMerge w:val="restart"/>
                  <w:vAlign w:val="center"/>
                </w:tcPr>
                <w:p w14:paraId="104316C4">
                  <w:pPr>
                    <w:jc w:val="center"/>
                    <w:rPr>
                      <w:rFonts w:cs="Times New Roman"/>
                      <w:sz w:val="18"/>
                      <w:szCs w:val="18"/>
                    </w:rPr>
                  </w:pPr>
                  <w:r>
                    <w:rPr>
                      <w:rFonts w:cs="Times New Roman"/>
                      <w:sz w:val="18"/>
                      <w:szCs w:val="18"/>
                    </w:rPr>
                    <w:t>去除效率</w:t>
                  </w:r>
                  <w:r>
                    <w:rPr>
                      <w:rFonts w:hint="eastAsia" w:cs="Times New Roman"/>
                      <w:sz w:val="18"/>
                      <w:szCs w:val="18"/>
                    </w:rPr>
                    <w:t>(</w:t>
                  </w:r>
                  <w:r>
                    <w:rPr>
                      <w:rFonts w:cs="Times New Roman"/>
                      <w:sz w:val="18"/>
                      <w:szCs w:val="18"/>
                    </w:rPr>
                    <w:t>%</w:t>
                  </w:r>
                  <w:r>
                    <w:rPr>
                      <w:rFonts w:hint="eastAsia" w:cs="Times New Roman"/>
                      <w:sz w:val="18"/>
                      <w:szCs w:val="18"/>
                    </w:rPr>
                    <w:t>)</w:t>
                  </w:r>
                </w:p>
              </w:tc>
              <w:tc>
                <w:tcPr>
                  <w:tcW w:w="295" w:type="pct"/>
                  <w:vMerge w:val="restart"/>
                  <w:vAlign w:val="center"/>
                </w:tcPr>
                <w:p w14:paraId="78CD10FA">
                  <w:pPr>
                    <w:jc w:val="center"/>
                    <w:rPr>
                      <w:rFonts w:cs="Times New Roman"/>
                      <w:sz w:val="18"/>
                      <w:szCs w:val="18"/>
                    </w:rPr>
                  </w:pPr>
                  <w:r>
                    <w:rPr>
                      <w:rFonts w:cs="Times New Roman"/>
                      <w:sz w:val="18"/>
                      <w:szCs w:val="18"/>
                    </w:rPr>
                    <w:t>废气量</w:t>
                  </w:r>
                  <w:r>
                    <w:rPr>
                      <w:rFonts w:hint="eastAsia" w:cs="Times New Roman"/>
                      <w:sz w:val="18"/>
                      <w:szCs w:val="18"/>
                    </w:rPr>
                    <w:t>(</w:t>
                  </w:r>
                  <w:r>
                    <w:rPr>
                      <w:rFonts w:cs="Times New Roman"/>
                      <w:sz w:val="18"/>
                      <w:szCs w:val="18"/>
                    </w:rPr>
                    <w:t>m</w:t>
                  </w:r>
                  <w:r>
                    <w:rPr>
                      <w:rFonts w:cs="Times New Roman"/>
                      <w:sz w:val="18"/>
                      <w:szCs w:val="18"/>
                      <w:vertAlign w:val="superscript"/>
                    </w:rPr>
                    <w:t>3</w:t>
                  </w:r>
                  <w:r>
                    <w:rPr>
                      <w:rFonts w:cs="Times New Roman"/>
                      <w:sz w:val="18"/>
                      <w:szCs w:val="18"/>
                    </w:rPr>
                    <w:t>/h</w:t>
                  </w:r>
                  <w:r>
                    <w:rPr>
                      <w:rFonts w:hint="eastAsia" w:cs="Times New Roman"/>
                      <w:sz w:val="18"/>
                      <w:szCs w:val="18"/>
                    </w:rPr>
                    <w:t>)</w:t>
                  </w:r>
                </w:p>
              </w:tc>
              <w:tc>
                <w:tcPr>
                  <w:tcW w:w="842" w:type="pct"/>
                  <w:gridSpan w:val="3"/>
                  <w:vAlign w:val="center"/>
                </w:tcPr>
                <w:p w14:paraId="6E11345D">
                  <w:pPr>
                    <w:jc w:val="center"/>
                    <w:rPr>
                      <w:rFonts w:cs="Times New Roman"/>
                      <w:sz w:val="18"/>
                      <w:szCs w:val="18"/>
                    </w:rPr>
                  </w:pPr>
                  <w:r>
                    <w:rPr>
                      <w:rFonts w:hint="eastAsia" w:cs="Times New Roman"/>
                      <w:sz w:val="18"/>
                      <w:szCs w:val="18"/>
                    </w:rPr>
                    <w:t>有组织</w:t>
                  </w:r>
                </w:p>
              </w:tc>
              <w:tc>
                <w:tcPr>
                  <w:tcW w:w="562" w:type="pct"/>
                  <w:gridSpan w:val="2"/>
                  <w:vAlign w:val="center"/>
                </w:tcPr>
                <w:p w14:paraId="2512C335">
                  <w:pPr>
                    <w:jc w:val="center"/>
                    <w:rPr>
                      <w:rFonts w:cs="Times New Roman"/>
                      <w:sz w:val="18"/>
                      <w:szCs w:val="18"/>
                    </w:rPr>
                  </w:pPr>
                  <w:r>
                    <w:rPr>
                      <w:rFonts w:cs="Times New Roman"/>
                      <w:sz w:val="18"/>
                      <w:szCs w:val="18"/>
                    </w:rPr>
                    <w:t>无组织</w:t>
                  </w:r>
                </w:p>
              </w:tc>
              <w:tc>
                <w:tcPr>
                  <w:tcW w:w="279" w:type="pct"/>
                  <w:vMerge w:val="restart"/>
                  <w:vAlign w:val="center"/>
                </w:tcPr>
                <w:p w14:paraId="5BD77FA0">
                  <w:pPr>
                    <w:jc w:val="center"/>
                    <w:rPr>
                      <w:rFonts w:cs="Times New Roman"/>
                      <w:sz w:val="18"/>
                      <w:szCs w:val="18"/>
                    </w:rPr>
                  </w:pPr>
                  <w:r>
                    <w:rPr>
                      <w:rFonts w:cs="Times New Roman"/>
                      <w:sz w:val="18"/>
                      <w:szCs w:val="18"/>
                    </w:rPr>
                    <w:t>排放时间</w:t>
                  </w:r>
                  <w:r>
                    <w:rPr>
                      <w:rFonts w:hint="eastAsia" w:cs="Times New Roman"/>
                      <w:sz w:val="18"/>
                      <w:szCs w:val="18"/>
                    </w:rPr>
                    <w:t>(</w:t>
                  </w:r>
                  <w:r>
                    <w:rPr>
                      <w:rFonts w:cs="Times New Roman"/>
                      <w:sz w:val="18"/>
                      <w:szCs w:val="18"/>
                    </w:rPr>
                    <w:t>h</w:t>
                  </w:r>
                  <w:r>
                    <w:rPr>
                      <w:rFonts w:hint="eastAsia" w:cs="Times New Roman"/>
                      <w:sz w:val="18"/>
                      <w:szCs w:val="18"/>
                    </w:rPr>
                    <w:t>)</w:t>
                  </w:r>
                </w:p>
              </w:tc>
              <w:tc>
                <w:tcPr>
                  <w:tcW w:w="308" w:type="pct"/>
                  <w:vMerge w:val="continue"/>
                  <w:vAlign w:val="center"/>
                </w:tcPr>
                <w:p w14:paraId="7547FFE1">
                  <w:pPr>
                    <w:jc w:val="center"/>
                    <w:rPr>
                      <w:rFonts w:cs="Times New Roman"/>
                      <w:sz w:val="18"/>
                      <w:szCs w:val="18"/>
                    </w:rPr>
                  </w:pPr>
                </w:p>
              </w:tc>
              <w:tc>
                <w:tcPr>
                  <w:tcW w:w="246" w:type="pct"/>
                  <w:vMerge w:val="restart"/>
                  <w:vAlign w:val="center"/>
                </w:tcPr>
                <w:p w14:paraId="66304403">
                  <w:pPr>
                    <w:jc w:val="center"/>
                    <w:rPr>
                      <w:rFonts w:cs="Times New Roman"/>
                      <w:sz w:val="18"/>
                      <w:szCs w:val="18"/>
                    </w:rPr>
                  </w:pPr>
                  <w:r>
                    <w:rPr>
                      <w:rFonts w:cs="Times New Roman"/>
                      <w:sz w:val="18"/>
                      <w:szCs w:val="18"/>
                    </w:rPr>
                    <w:t>kg/h</w:t>
                  </w:r>
                </w:p>
              </w:tc>
              <w:tc>
                <w:tcPr>
                  <w:tcW w:w="243" w:type="pct"/>
                  <w:vMerge w:val="restart"/>
                  <w:vAlign w:val="center"/>
                </w:tcPr>
                <w:p w14:paraId="64AE08DF">
                  <w:pPr>
                    <w:jc w:val="center"/>
                    <w:rPr>
                      <w:rFonts w:cs="Times New Roman"/>
                      <w:sz w:val="18"/>
                      <w:szCs w:val="18"/>
                    </w:rPr>
                  </w:pPr>
                  <w:r>
                    <w:rPr>
                      <w:rFonts w:hint="eastAsia" w:cs="Times New Roman"/>
                      <w:sz w:val="18"/>
                      <w:szCs w:val="18"/>
                    </w:rPr>
                    <w:t>mg/m</w:t>
                  </w:r>
                  <w:r>
                    <w:rPr>
                      <w:rFonts w:hint="eastAsia" w:cs="Times New Roman"/>
                      <w:sz w:val="18"/>
                      <w:szCs w:val="18"/>
                      <w:vertAlign w:val="superscript"/>
                    </w:rPr>
                    <w:t>3</w:t>
                  </w:r>
                </w:p>
              </w:tc>
            </w:tr>
            <w:tr w14:paraId="3CCD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blHeader/>
              </w:trPr>
              <w:tc>
                <w:tcPr>
                  <w:tcW w:w="304" w:type="pct"/>
                  <w:vMerge w:val="continue"/>
                  <w:vAlign w:val="center"/>
                </w:tcPr>
                <w:p w14:paraId="59DCD626">
                  <w:pPr>
                    <w:jc w:val="center"/>
                    <w:rPr>
                      <w:rFonts w:cs="Times New Roman"/>
                      <w:sz w:val="18"/>
                      <w:szCs w:val="18"/>
                    </w:rPr>
                  </w:pPr>
                </w:p>
              </w:tc>
              <w:tc>
                <w:tcPr>
                  <w:tcW w:w="295" w:type="pct"/>
                  <w:vMerge w:val="continue"/>
                  <w:vAlign w:val="center"/>
                </w:tcPr>
                <w:p w14:paraId="081065BF">
                  <w:pPr>
                    <w:jc w:val="center"/>
                    <w:rPr>
                      <w:rFonts w:cs="Times New Roman"/>
                      <w:sz w:val="18"/>
                      <w:szCs w:val="18"/>
                    </w:rPr>
                  </w:pPr>
                </w:p>
              </w:tc>
              <w:tc>
                <w:tcPr>
                  <w:tcW w:w="296" w:type="pct"/>
                  <w:vMerge w:val="continue"/>
                  <w:vAlign w:val="center"/>
                </w:tcPr>
                <w:p w14:paraId="781C001D">
                  <w:pPr>
                    <w:jc w:val="center"/>
                    <w:rPr>
                      <w:rFonts w:cs="Times New Roman"/>
                      <w:sz w:val="18"/>
                      <w:szCs w:val="18"/>
                    </w:rPr>
                  </w:pPr>
                </w:p>
              </w:tc>
              <w:tc>
                <w:tcPr>
                  <w:tcW w:w="295" w:type="pct"/>
                  <w:vMerge w:val="continue"/>
                  <w:vAlign w:val="center"/>
                </w:tcPr>
                <w:p w14:paraId="653D4D6C">
                  <w:pPr>
                    <w:jc w:val="center"/>
                    <w:rPr>
                      <w:rFonts w:cs="Times New Roman"/>
                      <w:sz w:val="18"/>
                      <w:szCs w:val="18"/>
                    </w:rPr>
                  </w:pPr>
                </w:p>
              </w:tc>
              <w:tc>
                <w:tcPr>
                  <w:tcW w:w="296" w:type="pct"/>
                  <w:vMerge w:val="continue"/>
                  <w:vAlign w:val="center"/>
                </w:tcPr>
                <w:p w14:paraId="7BD00FDB">
                  <w:pPr>
                    <w:jc w:val="center"/>
                    <w:rPr>
                      <w:rFonts w:cs="Times New Roman"/>
                      <w:sz w:val="18"/>
                      <w:szCs w:val="18"/>
                    </w:rPr>
                  </w:pPr>
                </w:p>
              </w:tc>
              <w:tc>
                <w:tcPr>
                  <w:tcW w:w="444" w:type="pct"/>
                  <w:vMerge w:val="continue"/>
                  <w:vAlign w:val="center"/>
                </w:tcPr>
                <w:p w14:paraId="77FD4CC6">
                  <w:pPr>
                    <w:jc w:val="center"/>
                    <w:rPr>
                      <w:rFonts w:cs="Times New Roman"/>
                      <w:sz w:val="18"/>
                      <w:szCs w:val="18"/>
                    </w:rPr>
                  </w:pPr>
                </w:p>
              </w:tc>
              <w:tc>
                <w:tcPr>
                  <w:tcW w:w="296" w:type="pct"/>
                  <w:vMerge w:val="continue"/>
                  <w:vAlign w:val="center"/>
                </w:tcPr>
                <w:p w14:paraId="4B7750D3">
                  <w:pPr>
                    <w:jc w:val="center"/>
                    <w:rPr>
                      <w:rFonts w:cs="Times New Roman"/>
                      <w:sz w:val="18"/>
                      <w:szCs w:val="18"/>
                    </w:rPr>
                  </w:pPr>
                </w:p>
              </w:tc>
              <w:tc>
                <w:tcPr>
                  <w:tcW w:w="295" w:type="pct"/>
                  <w:vMerge w:val="continue"/>
                  <w:vAlign w:val="center"/>
                </w:tcPr>
                <w:p w14:paraId="3B648319">
                  <w:pPr>
                    <w:jc w:val="center"/>
                    <w:rPr>
                      <w:rFonts w:cs="Times New Roman"/>
                      <w:sz w:val="18"/>
                      <w:szCs w:val="18"/>
                    </w:rPr>
                  </w:pPr>
                </w:p>
              </w:tc>
              <w:tc>
                <w:tcPr>
                  <w:tcW w:w="281" w:type="pct"/>
                  <w:vAlign w:val="center"/>
                </w:tcPr>
                <w:p w14:paraId="1A0624C2">
                  <w:pPr>
                    <w:jc w:val="center"/>
                    <w:rPr>
                      <w:rFonts w:cs="Times New Roman"/>
                      <w:sz w:val="18"/>
                      <w:szCs w:val="18"/>
                    </w:rPr>
                  </w:pPr>
                  <w:r>
                    <w:rPr>
                      <w:rFonts w:hint="eastAsia" w:cs="Times New Roman"/>
                      <w:sz w:val="18"/>
                      <w:szCs w:val="18"/>
                    </w:rPr>
                    <w:t>mg/</w:t>
                  </w:r>
                  <w:r>
                    <w:rPr>
                      <w:rFonts w:cs="Times New Roman"/>
                      <w:sz w:val="18"/>
                      <w:szCs w:val="18"/>
                    </w:rPr>
                    <w:t>m</w:t>
                  </w:r>
                  <w:r>
                    <w:rPr>
                      <w:rFonts w:cs="Times New Roman"/>
                      <w:sz w:val="18"/>
                      <w:szCs w:val="18"/>
                      <w:vertAlign w:val="superscript"/>
                    </w:rPr>
                    <w:t>3</w:t>
                  </w:r>
                </w:p>
              </w:tc>
              <w:tc>
                <w:tcPr>
                  <w:tcW w:w="281" w:type="pct"/>
                  <w:vAlign w:val="center"/>
                </w:tcPr>
                <w:p w14:paraId="78BCF5AC">
                  <w:pPr>
                    <w:jc w:val="center"/>
                    <w:rPr>
                      <w:rFonts w:cs="Times New Roman"/>
                      <w:sz w:val="18"/>
                      <w:szCs w:val="18"/>
                    </w:rPr>
                  </w:pPr>
                  <w:r>
                    <w:rPr>
                      <w:rFonts w:cs="Times New Roman"/>
                      <w:sz w:val="18"/>
                      <w:szCs w:val="18"/>
                    </w:rPr>
                    <w:t>k</w:t>
                  </w:r>
                  <w:r>
                    <w:rPr>
                      <w:rFonts w:hint="eastAsia" w:cs="Times New Roman"/>
                      <w:sz w:val="18"/>
                      <w:szCs w:val="18"/>
                    </w:rPr>
                    <w:t>g/h</w:t>
                  </w:r>
                </w:p>
              </w:tc>
              <w:tc>
                <w:tcPr>
                  <w:tcW w:w="281" w:type="pct"/>
                  <w:vAlign w:val="center"/>
                </w:tcPr>
                <w:p w14:paraId="0429C777">
                  <w:pPr>
                    <w:jc w:val="center"/>
                    <w:rPr>
                      <w:rFonts w:cs="Times New Roman"/>
                      <w:sz w:val="18"/>
                      <w:szCs w:val="18"/>
                    </w:rPr>
                  </w:pPr>
                  <w:r>
                    <w:rPr>
                      <w:rFonts w:hint="eastAsia" w:cs="Times New Roman"/>
                      <w:sz w:val="18"/>
                      <w:szCs w:val="18"/>
                    </w:rPr>
                    <w:t>t/a</w:t>
                  </w:r>
                </w:p>
              </w:tc>
              <w:tc>
                <w:tcPr>
                  <w:tcW w:w="281" w:type="pct"/>
                  <w:vAlign w:val="center"/>
                </w:tcPr>
                <w:p w14:paraId="51D5DCFF">
                  <w:pPr>
                    <w:jc w:val="center"/>
                    <w:rPr>
                      <w:rFonts w:cs="Times New Roman"/>
                      <w:sz w:val="18"/>
                      <w:szCs w:val="18"/>
                    </w:rPr>
                  </w:pPr>
                  <w:r>
                    <w:rPr>
                      <w:rFonts w:cs="Times New Roman"/>
                      <w:sz w:val="18"/>
                      <w:szCs w:val="18"/>
                    </w:rPr>
                    <w:t>k</w:t>
                  </w:r>
                  <w:r>
                    <w:rPr>
                      <w:rFonts w:hint="eastAsia" w:cs="Times New Roman"/>
                      <w:sz w:val="18"/>
                      <w:szCs w:val="18"/>
                    </w:rPr>
                    <w:t>g/h</w:t>
                  </w:r>
                </w:p>
              </w:tc>
              <w:tc>
                <w:tcPr>
                  <w:tcW w:w="281" w:type="pct"/>
                  <w:vAlign w:val="center"/>
                </w:tcPr>
                <w:p w14:paraId="148C0864">
                  <w:pPr>
                    <w:jc w:val="center"/>
                    <w:rPr>
                      <w:rFonts w:cs="Times New Roman"/>
                      <w:sz w:val="18"/>
                      <w:szCs w:val="18"/>
                    </w:rPr>
                  </w:pPr>
                  <w:r>
                    <w:rPr>
                      <w:rFonts w:hint="eastAsia" w:cs="Times New Roman"/>
                      <w:sz w:val="18"/>
                      <w:szCs w:val="18"/>
                    </w:rPr>
                    <w:t>t/a</w:t>
                  </w:r>
                </w:p>
              </w:tc>
              <w:tc>
                <w:tcPr>
                  <w:tcW w:w="279" w:type="pct"/>
                  <w:vMerge w:val="continue"/>
                  <w:vAlign w:val="center"/>
                </w:tcPr>
                <w:p w14:paraId="5B2AB16E">
                  <w:pPr>
                    <w:jc w:val="center"/>
                    <w:rPr>
                      <w:rFonts w:cs="Times New Roman"/>
                      <w:sz w:val="18"/>
                      <w:szCs w:val="18"/>
                    </w:rPr>
                  </w:pPr>
                </w:p>
              </w:tc>
              <w:tc>
                <w:tcPr>
                  <w:tcW w:w="308" w:type="pct"/>
                  <w:vMerge w:val="continue"/>
                  <w:vAlign w:val="center"/>
                </w:tcPr>
                <w:p w14:paraId="0FE59F48">
                  <w:pPr>
                    <w:jc w:val="center"/>
                    <w:rPr>
                      <w:rFonts w:cs="Times New Roman"/>
                      <w:sz w:val="18"/>
                      <w:szCs w:val="18"/>
                    </w:rPr>
                  </w:pPr>
                </w:p>
              </w:tc>
              <w:tc>
                <w:tcPr>
                  <w:tcW w:w="246" w:type="pct"/>
                  <w:vMerge w:val="continue"/>
                  <w:vAlign w:val="center"/>
                </w:tcPr>
                <w:p w14:paraId="771C4A38">
                  <w:pPr>
                    <w:jc w:val="center"/>
                    <w:rPr>
                      <w:rFonts w:cs="Times New Roman"/>
                      <w:sz w:val="18"/>
                      <w:szCs w:val="18"/>
                    </w:rPr>
                  </w:pPr>
                </w:p>
              </w:tc>
              <w:tc>
                <w:tcPr>
                  <w:tcW w:w="243" w:type="pct"/>
                  <w:vMerge w:val="continue"/>
                  <w:vAlign w:val="center"/>
                </w:tcPr>
                <w:p w14:paraId="135847F9">
                  <w:pPr>
                    <w:jc w:val="center"/>
                    <w:rPr>
                      <w:rFonts w:cs="Times New Roman"/>
                      <w:sz w:val="18"/>
                      <w:szCs w:val="18"/>
                    </w:rPr>
                  </w:pPr>
                </w:p>
              </w:tc>
            </w:tr>
            <w:tr w14:paraId="0E7A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restart"/>
                  <w:vAlign w:val="center"/>
                </w:tcPr>
                <w:p w14:paraId="3FECE876">
                  <w:pPr>
                    <w:jc w:val="center"/>
                    <w:rPr>
                      <w:sz w:val="18"/>
                      <w:szCs w:val="18"/>
                    </w:rPr>
                  </w:pPr>
                  <w:r>
                    <w:rPr>
                      <w:rFonts w:hint="eastAsia"/>
                      <w:sz w:val="18"/>
                      <w:szCs w:val="18"/>
                    </w:rPr>
                    <w:t>有机废气</w:t>
                  </w:r>
                </w:p>
              </w:tc>
              <w:tc>
                <w:tcPr>
                  <w:tcW w:w="295" w:type="pct"/>
                  <w:vAlign w:val="center"/>
                </w:tcPr>
                <w:p w14:paraId="7E9EC3F7">
                  <w:pPr>
                    <w:jc w:val="center"/>
                    <w:rPr>
                      <w:rFonts w:cs="Times New Roman"/>
                      <w:sz w:val="18"/>
                      <w:szCs w:val="18"/>
                    </w:rPr>
                  </w:pPr>
                  <w:r>
                    <w:rPr>
                      <w:rFonts w:hint="eastAsia"/>
                      <w:sz w:val="18"/>
                      <w:szCs w:val="18"/>
                    </w:rPr>
                    <w:t>VOCs</w:t>
                  </w:r>
                </w:p>
              </w:tc>
              <w:tc>
                <w:tcPr>
                  <w:tcW w:w="296" w:type="pct"/>
                  <w:vMerge w:val="restart"/>
                  <w:vAlign w:val="center"/>
                </w:tcPr>
                <w:p w14:paraId="2BD0D76A">
                  <w:pPr>
                    <w:jc w:val="center"/>
                    <w:rPr>
                      <w:rFonts w:cs="Times New Roman"/>
                      <w:sz w:val="18"/>
                      <w:szCs w:val="18"/>
                    </w:rPr>
                  </w:pPr>
                  <w:r>
                    <w:rPr>
                      <w:rFonts w:hint="eastAsia" w:cs="Times New Roman"/>
                      <w:sz w:val="18"/>
                      <w:szCs w:val="18"/>
                    </w:rPr>
                    <w:t>产污系数法</w:t>
                  </w:r>
                </w:p>
              </w:tc>
              <w:tc>
                <w:tcPr>
                  <w:tcW w:w="295" w:type="pct"/>
                  <w:vAlign w:val="center"/>
                </w:tcPr>
                <w:p w14:paraId="05E4BA94">
                  <w:pPr>
                    <w:jc w:val="center"/>
                    <w:rPr>
                      <w:rFonts w:cs="Times New Roman"/>
                      <w:kern w:val="0"/>
                      <w:sz w:val="18"/>
                      <w:szCs w:val="18"/>
                    </w:rPr>
                  </w:pPr>
                  <w:r>
                    <w:rPr>
                      <w:rFonts w:hint="eastAsia" w:cs="Times New Roman"/>
                      <w:kern w:val="0"/>
                      <w:sz w:val="18"/>
                      <w:szCs w:val="18"/>
                    </w:rPr>
                    <w:t>4.459</w:t>
                  </w:r>
                </w:p>
              </w:tc>
              <w:tc>
                <w:tcPr>
                  <w:tcW w:w="296" w:type="pct"/>
                  <w:vMerge w:val="restart"/>
                  <w:vAlign w:val="center"/>
                </w:tcPr>
                <w:p w14:paraId="32D674AB">
                  <w:pPr>
                    <w:jc w:val="center"/>
                    <w:rPr>
                      <w:rFonts w:cs="Times New Roman"/>
                      <w:sz w:val="18"/>
                      <w:szCs w:val="18"/>
                    </w:rPr>
                  </w:pPr>
                  <w:r>
                    <w:rPr>
                      <w:rFonts w:cs="Times New Roman"/>
                      <w:sz w:val="18"/>
                      <w:szCs w:val="18"/>
                    </w:rPr>
                    <w:t>90</w:t>
                  </w:r>
                  <w:r>
                    <w:rPr>
                      <w:rFonts w:hint="eastAsia" w:cs="Times New Roman"/>
                      <w:sz w:val="18"/>
                      <w:szCs w:val="18"/>
                    </w:rPr>
                    <w:t>/95</w:t>
                  </w:r>
                </w:p>
              </w:tc>
              <w:tc>
                <w:tcPr>
                  <w:tcW w:w="444" w:type="pct"/>
                  <w:vMerge w:val="restart"/>
                  <w:vAlign w:val="center"/>
                </w:tcPr>
                <w:p w14:paraId="684680BC">
                  <w:pPr>
                    <w:jc w:val="center"/>
                    <w:rPr>
                      <w:rFonts w:cs="Times New Roman"/>
                      <w:sz w:val="18"/>
                      <w:szCs w:val="18"/>
                    </w:rPr>
                  </w:pPr>
                  <w:r>
                    <w:rPr>
                      <w:rFonts w:hint="eastAsia" w:cs="Times New Roman"/>
                      <w:sz w:val="18"/>
                      <w:szCs w:val="18"/>
                    </w:rPr>
                    <w:t>二级活性炭吸附</w:t>
                  </w:r>
                </w:p>
              </w:tc>
              <w:tc>
                <w:tcPr>
                  <w:tcW w:w="296" w:type="pct"/>
                  <w:vMerge w:val="restart"/>
                  <w:vAlign w:val="center"/>
                </w:tcPr>
                <w:p w14:paraId="73C5AA79">
                  <w:pPr>
                    <w:jc w:val="center"/>
                    <w:rPr>
                      <w:rFonts w:cs="Times New Roman"/>
                      <w:sz w:val="18"/>
                      <w:szCs w:val="18"/>
                    </w:rPr>
                  </w:pPr>
                  <w:r>
                    <w:rPr>
                      <w:rFonts w:hint="eastAsia" w:cs="Times New Roman"/>
                      <w:sz w:val="18"/>
                      <w:szCs w:val="18"/>
                    </w:rPr>
                    <w:t>90</w:t>
                  </w:r>
                </w:p>
              </w:tc>
              <w:tc>
                <w:tcPr>
                  <w:tcW w:w="295" w:type="pct"/>
                  <w:vMerge w:val="restart"/>
                  <w:vAlign w:val="center"/>
                </w:tcPr>
                <w:p w14:paraId="0129DFAB">
                  <w:pPr>
                    <w:jc w:val="center"/>
                    <w:rPr>
                      <w:rFonts w:cs="Times New Roman"/>
                      <w:sz w:val="18"/>
                      <w:szCs w:val="18"/>
                    </w:rPr>
                  </w:pPr>
                  <w:r>
                    <w:rPr>
                      <w:rFonts w:hint="eastAsia" w:cs="Times New Roman"/>
                      <w:sz w:val="18"/>
                      <w:szCs w:val="18"/>
                    </w:rPr>
                    <w:t>40000</w:t>
                  </w:r>
                </w:p>
              </w:tc>
              <w:tc>
                <w:tcPr>
                  <w:tcW w:w="281" w:type="pct"/>
                  <w:vAlign w:val="center"/>
                </w:tcPr>
                <w:p w14:paraId="3E765267">
                  <w:pPr>
                    <w:jc w:val="center"/>
                    <w:rPr>
                      <w:rFonts w:cs="Times New Roman"/>
                      <w:sz w:val="18"/>
                      <w:szCs w:val="18"/>
                    </w:rPr>
                  </w:pPr>
                  <w:r>
                    <w:rPr>
                      <w:rFonts w:eastAsia="等线" w:cs="Times New Roman"/>
                      <w:sz w:val="18"/>
                      <w:szCs w:val="18"/>
                    </w:rPr>
                    <w:t>5.0166</w:t>
                  </w:r>
                </w:p>
              </w:tc>
              <w:tc>
                <w:tcPr>
                  <w:tcW w:w="281" w:type="pct"/>
                  <w:vAlign w:val="center"/>
                </w:tcPr>
                <w:p w14:paraId="5C44047F">
                  <w:pPr>
                    <w:widowControl/>
                    <w:jc w:val="center"/>
                    <w:rPr>
                      <w:rFonts w:cs="Times New Roman"/>
                      <w:sz w:val="18"/>
                      <w:szCs w:val="18"/>
                    </w:rPr>
                  </w:pPr>
                  <w:r>
                    <w:rPr>
                      <w:rFonts w:eastAsia="等线" w:cs="Times New Roman"/>
                      <w:sz w:val="18"/>
                      <w:szCs w:val="18"/>
                    </w:rPr>
                    <w:t>0.2007</w:t>
                  </w:r>
                </w:p>
              </w:tc>
              <w:tc>
                <w:tcPr>
                  <w:tcW w:w="281" w:type="pct"/>
                  <w:vAlign w:val="center"/>
                </w:tcPr>
                <w:p w14:paraId="386D6197">
                  <w:pPr>
                    <w:jc w:val="center"/>
                    <w:rPr>
                      <w:rFonts w:cs="Times New Roman"/>
                      <w:sz w:val="18"/>
                      <w:szCs w:val="18"/>
                    </w:rPr>
                  </w:pPr>
                  <w:r>
                    <w:rPr>
                      <w:rFonts w:eastAsia="等线" w:cs="Times New Roman"/>
                      <w:sz w:val="18"/>
                      <w:szCs w:val="18"/>
                    </w:rPr>
                    <w:t>0.4013</w:t>
                  </w:r>
                </w:p>
              </w:tc>
              <w:tc>
                <w:tcPr>
                  <w:tcW w:w="281" w:type="pct"/>
                  <w:vAlign w:val="center"/>
                </w:tcPr>
                <w:p w14:paraId="5745B572">
                  <w:pPr>
                    <w:jc w:val="center"/>
                    <w:rPr>
                      <w:rFonts w:cs="Times New Roman"/>
                      <w:sz w:val="18"/>
                      <w:szCs w:val="18"/>
                    </w:rPr>
                  </w:pPr>
                  <w:r>
                    <w:rPr>
                      <w:rFonts w:eastAsia="等线" w:cs="Times New Roman"/>
                      <w:sz w:val="18"/>
                      <w:szCs w:val="18"/>
                    </w:rPr>
                    <w:t>0.2229</w:t>
                  </w:r>
                </w:p>
              </w:tc>
              <w:tc>
                <w:tcPr>
                  <w:tcW w:w="281" w:type="pct"/>
                  <w:vAlign w:val="center"/>
                </w:tcPr>
                <w:p w14:paraId="284EBD38">
                  <w:pPr>
                    <w:jc w:val="center"/>
                    <w:rPr>
                      <w:rFonts w:cs="Times New Roman"/>
                      <w:sz w:val="18"/>
                      <w:szCs w:val="18"/>
                    </w:rPr>
                  </w:pPr>
                  <w:r>
                    <w:rPr>
                      <w:rFonts w:eastAsia="等线" w:cs="Times New Roman"/>
                      <w:sz w:val="18"/>
                      <w:szCs w:val="18"/>
                    </w:rPr>
                    <w:t>0.4457</w:t>
                  </w:r>
                </w:p>
              </w:tc>
              <w:tc>
                <w:tcPr>
                  <w:tcW w:w="279" w:type="pct"/>
                  <w:vMerge w:val="restart"/>
                  <w:vAlign w:val="center"/>
                </w:tcPr>
                <w:p w14:paraId="6FBDC8E9">
                  <w:pPr>
                    <w:jc w:val="center"/>
                    <w:rPr>
                      <w:rFonts w:cs="Times New Roman"/>
                      <w:sz w:val="18"/>
                      <w:szCs w:val="18"/>
                    </w:rPr>
                  </w:pPr>
                  <w:r>
                    <w:rPr>
                      <w:rFonts w:hint="eastAsia" w:cs="Times New Roman"/>
                      <w:sz w:val="18"/>
                      <w:szCs w:val="18"/>
                    </w:rPr>
                    <w:t>2000</w:t>
                  </w:r>
                </w:p>
              </w:tc>
              <w:tc>
                <w:tcPr>
                  <w:tcW w:w="308" w:type="pct"/>
                  <w:vMerge w:val="restart"/>
                  <w:vAlign w:val="center"/>
                </w:tcPr>
                <w:p w14:paraId="5ED17BFE">
                  <w:pPr>
                    <w:jc w:val="center"/>
                    <w:rPr>
                      <w:rFonts w:cs="Times New Roman"/>
                      <w:sz w:val="18"/>
                      <w:szCs w:val="18"/>
                    </w:rPr>
                  </w:pPr>
                  <w:r>
                    <w:rPr>
                      <w:rFonts w:hint="eastAsia" w:cs="Times New Roman"/>
                      <w:sz w:val="18"/>
                      <w:szCs w:val="18"/>
                    </w:rPr>
                    <w:t>DA005</w:t>
                  </w:r>
                </w:p>
              </w:tc>
              <w:tc>
                <w:tcPr>
                  <w:tcW w:w="246" w:type="pct"/>
                  <w:vAlign w:val="center"/>
                </w:tcPr>
                <w:p w14:paraId="258EA81A">
                  <w:pPr>
                    <w:jc w:val="center"/>
                    <w:rPr>
                      <w:rFonts w:cs="Times New Roman"/>
                      <w:sz w:val="18"/>
                      <w:szCs w:val="18"/>
                    </w:rPr>
                  </w:pPr>
                  <w:r>
                    <w:rPr>
                      <w:rFonts w:hint="eastAsia" w:cs="Times New Roman"/>
                      <w:sz w:val="18"/>
                      <w:szCs w:val="18"/>
                    </w:rPr>
                    <w:t>3.4</w:t>
                  </w:r>
                </w:p>
              </w:tc>
              <w:tc>
                <w:tcPr>
                  <w:tcW w:w="243" w:type="pct"/>
                  <w:vAlign w:val="center"/>
                </w:tcPr>
                <w:p w14:paraId="6CD3A557">
                  <w:pPr>
                    <w:jc w:val="center"/>
                    <w:rPr>
                      <w:rFonts w:cs="Times New Roman"/>
                      <w:sz w:val="18"/>
                      <w:szCs w:val="18"/>
                    </w:rPr>
                  </w:pPr>
                  <w:r>
                    <w:rPr>
                      <w:rFonts w:hint="eastAsia" w:cs="Times New Roman"/>
                      <w:sz w:val="18"/>
                      <w:szCs w:val="18"/>
                    </w:rPr>
                    <w:t>60</w:t>
                  </w:r>
                </w:p>
              </w:tc>
            </w:tr>
            <w:tr w14:paraId="5FAD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3426131A">
                  <w:pPr>
                    <w:jc w:val="center"/>
                    <w:rPr>
                      <w:sz w:val="18"/>
                      <w:szCs w:val="18"/>
                    </w:rPr>
                  </w:pPr>
                </w:p>
              </w:tc>
              <w:tc>
                <w:tcPr>
                  <w:tcW w:w="295" w:type="pct"/>
                  <w:vAlign w:val="center"/>
                </w:tcPr>
                <w:p w14:paraId="33B7A71C">
                  <w:pPr>
                    <w:jc w:val="center"/>
                    <w:rPr>
                      <w:rFonts w:cs="Times New Roman"/>
                      <w:sz w:val="18"/>
                      <w:szCs w:val="18"/>
                    </w:rPr>
                  </w:pPr>
                  <w:r>
                    <w:rPr>
                      <w:rFonts w:hint="eastAsia"/>
                      <w:sz w:val="18"/>
                      <w:szCs w:val="18"/>
                    </w:rPr>
                    <w:t>苯乙烯</w:t>
                  </w:r>
                </w:p>
              </w:tc>
              <w:tc>
                <w:tcPr>
                  <w:tcW w:w="296" w:type="pct"/>
                  <w:vMerge w:val="continue"/>
                  <w:vAlign w:val="center"/>
                </w:tcPr>
                <w:p w14:paraId="2792AEC5">
                  <w:pPr>
                    <w:jc w:val="center"/>
                    <w:rPr>
                      <w:rFonts w:cs="Times New Roman"/>
                      <w:sz w:val="18"/>
                      <w:szCs w:val="18"/>
                    </w:rPr>
                  </w:pPr>
                </w:p>
              </w:tc>
              <w:tc>
                <w:tcPr>
                  <w:tcW w:w="295" w:type="pct"/>
                  <w:vAlign w:val="center"/>
                </w:tcPr>
                <w:p w14:paraId="41478DFD">
                  <w:pPr>
                    <w:jc w:val="center"/>
                    <w:rPr>
                      <w:rFonts w:cs="Times New Roman"/>
                      <w:kern w:val="0"/>
                      <w:sz w:val="18"/>
                      <w:szCs w:val="18"/>
                    </w:rPr>
                  </w:pPr>
                  <w:r>
                    <w:rPr>
                      <w:rFonts w:hint="eastAsia" w:cs="Times New Roman"/>
                      <w:kern w:val="0"/>
                      <w:sz w:val="18"/>
                      <w:szCs w:val="18"/>
                    </w:rPr>
                    <w:t>0.0424</w:t>
                  </w:r>
                </w:p>
              </w:tc>
              <w:tc>
                <w:tcPr>
                  <w:tcW w:w="296" w:type="pct"/>
                  <w:vMerge w:val="continue"/>
                  <w:vAlign w:val="center"/>
                </w:tcPr>
                <w:p w14:paraId="711EF541">
                  <w:pPr>
                    <w:jc w:val="center"/>
                    <w:rPr>
                      <w:rFonts w:cs="Times New Roman"/>
                      <w:sz w:val="18"/>
                      <w:szCs w:val="18"/>
                    </w:rPr>
                  </w:pPr>
                </w:p>
              </w:tc>
              <w:tc>
                <w:tcPr>
                  <w:tcW w:w="444" w:type="pct"/>
                  <w:vMerge w:val="continue"/>
                  <w:vAlign w:val="center"/>
                </w:tcPr>
                <w:p w14:paraId="4BB3B05B">
                  <w:pPr>
                    <w:jc w:val="center"/>
                    <w:rPr>
                      <w:rFonts w:cs="Times New Roman"/>
                      <w:sz w:val="18"/>
                      <w:szCs w:val="18"/>
                    </w:rPr>
                  </w:pPr>
                </w:p>
              </w:tc>
              <w:tc>
                <w:tcPr>
                  <w:tcW w:w="296" w:type="pct"/>
                  <w:vMerge w:val="continue"/>
                  <w:vAlign w:val="center"/>
                </w:tcPr>
                <w:p w14:paraId="478162B5">
                  <w:pPr>
                    <w:jc w:val="center"/>
                    <w:rPr>
                      <w:rFonts w:cs="Times New Roman"/>
                      <w:sz w:val="18"/>
                      <w:szCs w:val="18"/>
                    </w:rPr>
                  </w:pPr>
                </w:p>
              </w:tc>
              <w:tc>
                <w:tcPr>
                  <w:tcW w:w="295" w:type="pct"/>
                  <w:vMerge w:val="continue"/>
                  <w:vAlign w:val="center"/>
                </w:tcPr>
                <w:p w14:paraId="49B496D1">
                  <w:pPr>
                    <w:jc w:val="center"/>
                    <w:rPr>
                      <w:rFonts w:cs="Times New Roman"/>
                      <w:sz w:val="18"/>
                      <w:szCs w:val="18"/>
                    </w:rPr>
                  </w:pPr>
                </w:p>
              </w:tc>
              <w:tc>
                <w:tcPr>
                  <w:tcW w:w="281" w:type="pct"/>
                  <w:vAlign w:val="center"/>
                </w:tcPr>
                <w:p w14:paraId="300A9A55">
                  <w:pPr>
                    <w:jc w:val="center"/>
                    <w:rPr>
                      <w:rFonts w:eastAsia="等线" w:cs="Times New Roman"/>
                      <w:sz w:val="18"/>
                      <w:szCs w:val="18"/>
                    </w:rPr>
                  </w:pPr>
                  <w:r>
                    <w:rPr>
                      <w:rFonts w:eastAsia="等线" w:cs="Times New Roman"/>
                      <w:sz w:val="18"/>
                      <w:szCs w:val="18"/>
                    </w:rPr>
                    <w:t>0.0477</w:t>
                  </w:r>
                </w:p>
              </w:tc>
              <w:tc>
                <w:tcPr>
                  <w:tcW w:w="281" w:type="pct"/>
                  <w:vAlign w:val="center"/>
                </w:tcPr>
                <w:p w14:paraId="21CF7085">
                  <w:pPr>
                    <w:widowControl/>
                    <w:jc w:val="center"/>
                    <w:rPr>
                      <w:rFonts w:eastAsia="等线" w:cs="Times New Roman"/>
                      <w:sz w:val="18"/>
                      <w:szCs w:val="18"/>
                    </w:rPr>
                  </w:pPr>
                  <w:r>
                    <w:rPr>
                      <w:rFonts w:eastAsia="等线" w:cs="Times New Roman"/>
                      <w:sz w:val="18"/>
                      <w:szCs w:val="18"/>
                    </w:rPr>
                    <w:t>0.0019</w:t>
                  </w:r>
                </w:p>
              </w:tc>
              <w:tc>
                <w:tcPr>
                  <w:tcW w:w="281" w:type="pct"/>
                  <w:vAlign w:val="center"/>
                </w:tcPr>
                <w:p w14:paraId="2E1C564A">
                  <w:pPr>
                    <w:jc w:val="center"/>
                    <w:rPr>
                      <w:rFonts w:eastAsia="等线" w:cs="Times New Roman"/>
                      <w:sz w:val="18"/>
                      <w:szCs w:val="18"/>
                    </w:rPr>
                  </w:pPr>
                  <w:r>
                    <w:rPr>
                      <w:rFonts w:eastAsia="等线" w:cs="Times New Roman"/>
                      <w:sz w:val="18"/>
                      <w:szCs w:val="18"/>
                    </w:rPr>
                    <w:t>0.0038</w:t>
                  </w:r>
                </w:p>
              </w:tc>
              <w:tc>
                <w:tcPr>
                  <w:tcW w:w="281" w:type="pct"/>
                  <w:vAlign w:val="center"/>
                </w:tcPr>
                <w:p w14:paraId="102722A9">
                  <w:pPr>
                    <w:jc w:val="center"/>
                    <w:rPr>
                      <w:rFonts w:eastAsia="等线" w:cs="Times New Roman"/>
                      <w:sz w:val="18"/>
                      <w:szCs w:val="18"/>
                    </w:rPr>
                  </w:pPr>
                  <w:r>
                    <w:rPr>
                      <w:rFonts w:eastAsia="等线" w:cs="Times New Roman"/>
                      <w:sz w:val="18"/>
                      <w:szCs w:val="18"/>
                    </w:rPr>
                    <w:t>0.0021</w:t>
                  </w:r>
                </w:p>
              </w:tc>
              <w:tc>
                <w:tcPr>
                  <w:tcW w:w="281" w:type="pct"/>
                  <w:vAlign w:val="center"/>
                </w:tcPr>
                <w:p w14:paraId="486975B3">
                  <w:pPr>
                    <w:jc w:val="center"/>
                    <w:rPr>
                      <w:rFonts w:eastAsia="等线" w:cs="Times New Roman"/>
                      <w:sz w:val="18"/>
                      <w:szCs w:val="18"/>
                    </w:rPr>
                  </w:pPr>
                  <w:r>
                    <w:rPr>
                      <w:rFonts w:eastAsia="等线" w:cs="Times New Roman"/>
                      <w:sz w:val="18"/>
                      <w:szCs w:val="18"/>
                    </w:rPr>
                    <w:t>0.0042</w:t>
                  </w:r>
                </w:p>
              </w:tc>
              <w:tc>
                <w:tcPr>
                  <w:tcW w:w="279" w:type="pct"/>
                  <w:vMerge w:val="continue"/>
                  <w:vAlign w:val="center"/>
                </w:tcPr>
                <w:p w14:paraId="10D538BC">
                  <w:pPr>
                    <w:jc w:val="center"/>
                    <w:rPr>
                      <w:rFonts w:cs="Times New Roman"/>
                      <w:sz w:val="18"/>
                      <w:szCs w:val="18"/>
                    </w:rPr>
                  </w:pPr>
                </w:p>
              </w:tc>
              <w:tc>
                <w:tcPr>
                  <w:tcW w:w="308" w:type="pct"/>
                  <w:vMerge w:val="continue"/>
                  <w:vAlign w:val="center"/>
                </w:tcPr>
                <w:p w14:paraId="5EEE3C91">
                  <w:pPr>
                    <w:jc w:val="center"/>
                    <w:rPr>
                      <w:rFonts w:cs="Times New Roman"/>
                      <w:sz w:val="18"/>
                      <w:szCs w:val="18"/>
                    </w:rPr>
                  </w:pPr>
                </w:p>
              </w:tc>
              <w:tc>
                <w:tcPr>
                  <w:tcW w:w="246" w:type="pct"/>
                  <w:vAlign w:val="center"/>
                </w:tcPr>
                <w:p w14:paraId="74967052">
                  <w:pPr>
                    <w:jc w:val="center"/>
                    <w:rPr>
                      <w:rFonts w:cs="Times New Roman"/>
                      <w:sz w:val="18"/>
                      <w:szCs w:val="18"/>
                    </w:rPr>
                  </w:pPr>
                  <w:r>
                    <w:rPr>
                      <w:rFonts w:hint="eastAsia" w:cs="Times New Roman"/>
                      <w:sz w:val="18"/>
                      <w:szCs w:val="18"/>
                    </w:rPr>
                    <w:t>/</w:t>
                  </w:r>
                </w:p>
              </w:tc>
              <w:tc>
                <w:tcPr>
                  <w:tcW w:w="243" w:type="pct"/>
                  <w:vAlign w:val="center"/>
                </w:tcPr>
                <w:p w14:paraId="4A5FFE56">
                  <w:pPr>
                    <w:jc w:val="center"/>
                    <w:rPr>
                      <w:rFonts w:cs="Times New Roman"/>
                      <w:sz w:val="18"/>
                      <w:szCs w:val="18"/>
                    </w:rPr>
                  </w:pPr>
                  <w:r>
                    <w:rPr>
                      <w:rFonts w:hint="eastAsia" w:cs="Times New Roman"/>
                      <w:sz w:val="18"/>
                      <w:szCs w:val="18"/>
                    </w:rPr>
                    <w:t>20</w:t>
                  </w:r>
                </w:p>
              </w:tc>
            </w:tr>
            <w:tr w14:paraId="68878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2060FA29">
                  <w:pPr>
                    <w:jc w:val="center"/>
                    <w:rPr>
                      <w:sz w:val="18"/>
                      <w:szCs w:val="18"/>
                    </w:rPr>
                  </w:pPr>
                </w:p>
              </w:tc>
              <w:tc>
                <w:tcPr>
                  <w:tcW w:w="295" w:type="pct"/>
                  <w:vAlign w:val="center"/>
                </w:tcPr>
                <w:p w14:paraId="4369BAEE">
                  <w:pPr>
                    <w:jc w:val="center"/>
                    <w:rPr>
                      <w:rFonts w:cs="Times New Roman"/>
                      <w:sz w:val="18"/>
                      <w:szCs w:val="18"/>
                    </w:rPr>
                  </w:pPr>
                  <w:r>
                    <w:rPr>
                      <w:rFonts w:hint="eastAsia" w:cs="Times New Roman"/>
                      <w:sz w:val="18"/>
                      <w:szCs w:val="18"/>
                    </w:rPr>
                    <w:t>丙烯腈</w:t>
                  </w:r>
                </w:p>
              </w:tc>
              <w:tc>
                <w:tcPr>
                  <w:tcW w:w="296" w:type="pct"/>
                  <w:vMerge w:val="continue"/>
                  <w:vAlign w:val="center"/>
                </w:tcPr>
                <w:p w14:paraId="4A35139A">
                  <w:pPr>
                    <w:jc w:val="center"/>
                    <w:rPr>
                      <w:rFonts w:cs="Times New Roman"/>
                      <w:sz w:val="18"/>
                      <w:szCs w:val="18"/>
                    </w:rPr>
                  </w:pPr>
                </w:p>
              </w:tc>
              <w:tc>
                <w:tcPr>
                  <w:tcW w:w="295" w:type="pct"/>
                  <w:vAlign w:val="center"/>
                </w:tcPr>
                <w:p w14:paraId="713DDE4C">
                  <w:pPr>
                    <w:jc w:val="center"/>
                    <w:rPr>
                      <w:rFonts w:cs="Times New Roman"/>
                      <w:kern w:val="0"/>
                      <w:sz w:val="18"/>
                      <w:szCs w:val="18"/>
                    </w:rPr>
                  </w:pPr>
                  <w:r>
                    <w:rPr>
                      <w:rFonts w:hint="eastAsia" w:cs="Times New Roman"/>
                      <w:kern w:val="0"/>
                      <w:sz w:val="18"/>
                      <w:szCs w:val="18"/>
                    </w:rPr>
                    <w:t>0.0176</w:t>
                  </w:r>
                </w:p>
              </w:tc>
              <w:tc>
                <w:tcPr>
                  <w:tcW w:w="296" w:type="pct"/>
                  <w:vMerge w:val="continue"/>
                  <w:vAlign w:val="center"/>
                </w:tcPr>
                <w:p w14:paraId="6D860444">
                  <w:pPr>
                    <w:jc w:val="center"/>
                    <w:rPr>
                      <w:rFonts w:cs="Times New Roman"/>
                      <w:sz w:val="18"/>
                      <w:szCs w:val="18"/>
                    </w:rPr>
                  </w:pPr>
                </w:p>
              </w:tc>
              <w:tc>
                <w:tcPr>
                  <w:tcW w:w="444" w:type="pct"/>
                  <w:vMerge w:val="continue"/>
                  <w:vAlign w:val="center"/>
                </w:tcPr>
                <w:p w14:paraId="495E8BE1">
                  <w:pPr>
                    <w:jc w:val="center"/>
                    <w:rPr>
                      <w:rFonts w:cs="Times New Roman"/>
                      <w:sz w:val="18"/>
                      <w:szCs w:val="18"/>
                    </w:rPr>
                  </w:pPr>
                </w:p>
              </w:tc>
              <w:tc>
                <w:tcPr>
                  <w:tcW w:w="296" w:type="pct"/>
                  <w:vMerge w:val="continue"/>
                  <w:vAlign w:val="center"/>
                </w:tcPr>
                <w:p w14:paraId="4B291539">
                  <w:pPr>
                    <w:jc w:val="center"/>
                    <w:rPr>
                      <w:rFonts w:cs="Times New Roman"/>
                      <w:sz w:val="18"/>
                      <w:szCs w:val="18"/>
                    </w:rPr>
                  </w:pPr>
                </w:p>
              </w:tc>
              <w:tc>
                <w:tcPr>
                  <w:tcW w:w="295" w:type="pct"/>
                  <w:vMerge w:val="continue"/>
                  <w:vAlign w:val="center"/>
                </w:tcPr>
                <w:p w14:paraId="0220076C">
                  <w:pPr>
                    <w:jc w:val="center"/>
                    <w:rPr>
                      <w:rFonts w:cs="Times New Roman"/>
                      <w:sz w:val="18"/>
                      <w:szCs w:val="18"/>
                    </w:rPr>
                  </w:pPr>
                </w:p>
              </w:tc>
              <w:tc>
                <w:tcPr>
                  <w:tcW w:w="281" w:type="pct"/>
                  <w:vAlign w:val="center"/>
                </w:tcPr>
                <w:p w14:paraId="21C97A4D">
                  <w:pPr>
                    <w:jc w:val="center"/>
                    <w:rPr>
                      <w:rFonts w:eastAsia="等线" w:cs="Times New Roman"/>
                      <w:sz w:val="18"/>
                      <w:szCs w:val="18"/>
                    </w:rPr>
                  </w:pPr>
                  <w:r>
                    <w:rPr>
                      <w:rFonts w:eastAsia="等线" w:cs="Times New Roman"/>
                      <w:sz w:val="18"/>
                      <w:szCs w:val="18"/>
                    </w:rPr>
                    <w:t>0.0198</w:t>
                  </w:r>
                </w:p>
              </w:tc>
              <w:tc>
                <w:tcPr>
                  <w:tcW w:w="281" w:type="pct"/>
                  <w:vAlign w:val="center"/>
                </w:tcPr>
                <w:p w14:paraId="49659B10">
                  <w:pPr>
                    <w:widowControl/>
                    <w:jc w:val="center"/>
                    <w:rPr>
                      <w:rFonts w:eastAsia="等线" w:cs="Times New Roman"/>
                      <w:sz w:val="18"/>
                      <w:szCs w:val="18"/>
                    </w:rPr>
                  </w:pPr>
                  <w:r>
                    <w:rPr>
                      <w:rFonts w:eastAsia="等线" w:cs="Times New Roman"/>
                      <w:sz w:val="18"/>
                      <w:szCs w:val="18"/>
                    </w:rPr>
                    <w:t>0.0008</w:t>
                  </w:r>
                </w:p>
              </w:tc>
              <w:tc>
                <w:tcPr>
                  <w:tcW w:w="281" w:type="pct"/>
                  <w:vAlign w:val="center"/>
                </w:tcPr>
                <w:p w14:paraId="59FAA368">
                  <w:pPr>
                    <w:jc w:val="center"/>
                    <w:rPr>
                      <w:rFonts w:eastAsia="等线" w:cs="Times New Roman"/>
                      <w:sz w:val="18"/>
                      <w:szCs w:val="18"/>
                    </w:rPr>
                  </w:pPr>
                  <w:r>
                    <w:rPr>
                      <w:rFonts w:eastAsia="等线" w:cs="Times New Roman"/>
                      <w:sz w:val="18"/>
                      <w:szCs w:val="18"/>
                    </w:rPr>
                    <w:t>0.0016</w:t>
                  </w:r>
                </w:p>
              </w:tc>
              <w:tc>
                <w:tcPr>
                  <w:tcW w:w="281" w:type="pct"/>
                  <w:vAlign w:val="center"/>
                </w:tcPr>
                <w:p w14:paraId="7F5BAA83">
                  <w:pPr>
                    <w:jc w:val="center"/>
                    <w:rPr>
                      <w:rFonts w:eastAsia="等线" w:cs="Times New Roman"/>
                      <w:sz w:val="18"/>
                      <w:szCs w:val="18"/>
                    </w:rPr>
                  </w:pPr>
                  <w:r>
                    <w:rPr>
                      <w:rFonts w:eastAsia="等线" w:cs="Times New Roman"/>
                      <w:sz w:val="18"/>
                      <w:szCs w:val="18"/>
                    </w:rPr>
                    <w:t>0.0009</w:t>
                  </w:r>
                </w:p>
              </w:tc>
              <w:tc>
                <w:tcPr>
                  <w:tcW w:w="281" w:type="pct"/>
                  <w:vAlign w:val="center"/>
                </w:tcPr>
                <w:p w14:paraId="7AA96CB5">
                  <w:pPr>
                    <w:jc w:val="center"/>
                    <w:rPr>
                      <w:rFonts w:eastAsia="等线" w:cs="Times New Roman"/>
                      <w:sz w:val="18"/>
                      <w:szCs w:val="18"/>
                    </w:rPr>
                  </w:pPr>
                  <w:r>
                    <w:rPr>
                      <w:rFonts w:eastAsia="等线" w:cs="Times New Roman"/>
                      <w:sz w:val="18"/>
                      <w:szCs w:val="18"/>
                    </w:rPr>
                    <w:t>0.0018</w:t>
                  </w:r>
                </w:p>
              </w:tc>
              <w:tc>
                <w:tcPr>
                  <w:tcW w:w="279" w:type="pct"/>
                  <w:vMerge w:val="continue"/>
                  <w:vAlign w:val="center"/>
                </w:tcPr>
                <w:p w14:paraId="50BC452D">
                  <w:pPr>
                    <w:jc w:val="center"/>
                    <w:rPr>
                      <w:rFonts w:cs="Times New Roman"/>
                      <w:sz w:val="18"/>
                      <w:szCs w:val="18"/>
                    </w:rPr>
                  </w:pPr>
                </w:p>
              </w:tc>
              <w:tc>
                <w:tcPr>
                  <w:tcW w:w="308" w:type="pct"/>
                  <w:vMerge w:val="continue"/>
                  <w:vAlign w:val="center"/>
                </w:tcPr>
                <w:p w14:paraId="61B6BF10">
                  <w:pPr>
                    <w:jc w:val="center"/>
                    <w:rPr>
                      <w:rFonts w:cs="Times New Roman"/>
                      <w:sz w:val="18"/>
                      <w:szCs w:val="18"/>
                    </w:rPr>
                  </w:pPr>
                </w:p>
              </w:tc>
              <w:tc>
                <w:tcPr>
                  <w:tcW w:w="246" w:type="pct"/>
                  <w:vAlign w:val="center"/>
                </w:tcPr>
                <w:p w14:paraId="3ACCC259">
                  <w:pPr>
                    <w:jc w:val="center"/>
                    <w:rPr>
                      <w:rFonts w:cs="Times New Roman"/>
                      <w:sz w:val="18"/>
                      <w:szCs w:val="18"/>
                    </w:rPr>
                  </w:pPr>
                  <w:r>
                    <w:rPr>
                      <w:rFonts w:hint="eastAsia" w:cs="Times New Roman"/>
                      <w:sz w:val="18"/>
                      <w:szCs w:val="18"/>
                    </w:rPr>
                    <w:t>/</w:t>
                  </w:r>
                </w:p>
              </w:tc>
              <w:tc>
                <w:tcPr>
                  <w:tcW w:w="243" w:type="pct"/>
                  <w:vAlign w:val="center"/>
                </w:tcPr>
                <w:p w14:paraId="5C489BA2">
                  <w:pPr>
                    <w:jc w:val="center"/>
                    <w:rPr>
                      <w:rFonts w:cs="Times New Roman"/>
                      <w:sz w:val="18"/>
                      <w:szCs w:val="18"/>
                    </w:rPr>
                  </w:pPr>
                  <w:r>
                    <w:rPr>
                      <w:rFonts w:hint="eastAsia" w:cs="Times New Roman"/>
                      <w:sz w:val="18"/>
                      <w:szCs w:val="18"/>
                    </w:rPr>
                    <w:t>0.5</w:t>
                  </w:r>
                </w:p>
              </w:tc>
            </w:tr>
            <w:tr w14:paraId="3856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7C615D95">
                  <w:pPr>
                    <w:jc w:val="center"/>
                    <w:rPr>
                      <w:sz w:val="18"/>
                      <w:szCs w:val="18"/>
                    </w:rPr>
                  </w:pPr>
                </w:p>
              </w:tc>
              <w:tc>
                <w:tcPr>
                  <w:tcW w:w="295" w:type="pct"/>
                  <w:vAlign w:val="center"/>
                </w:tcPr>
                <w:p w14:paraId="3E500B0D">
                  <w:pPr>
                    <w:jc w:val="center"/>
                    <w:rPr>
                      <w:rFonts w:cs="Times New Roman"/>
                      <w:sz w:val="18"/>
                      <w:szCs w:val="18"/>
                    </w:rPr>
                  </w:pPr>
                  <w:r>
                    <w:rPr>
                      <w:rFonts w:hint="eastAsia" w:cs="Times New Roman"/>
                      <w:sz w:val="18"/>
                      <w:szCs w:val="18"/>
                    </w:rPr>
                    <w:t>1,3-丁二烯</w:t>
                  </w:r>
                </w:p>
              </w:tc>
              <w:tc>
                <w:tcPr>
                  <w:tcW w:w="296" w:type="pct"/>
                  <w:vMerge w:val="continue"/>
                  <w:vAlign w:val="center"/>
                </w:tcPr>
                <w:p w14:paraId="1FC4B72F">
                  <w:pPr>
                    <w:jc w:val="center"/>
                    <w:rPr>
                      <w:rFonts w:cs="Times New Roman"/>
                      <w:sz w:val="18"/>
                      <w:szCs w:val="18"/>
                    </w:rPr>
                  </w:pPr>
                </w:p>
              </w:tc>
              <w:tc>
                <w:tcPr>
                  <w:tcW w:w="295" w:type="pct"/>
                  <w:vAlign w:val="center"/>
                </w:tcPr>
                <w:p w14:paraId="58B44829">
                  <w:pPr>
                    <w:jc w:val="center"/>
                    <w:rPr>
                      <w:rFonts w:cs="Times New Roman"/>
                      <w:kern w:val="0"/>
                      <w:sz w:val="18"/>
                      <w:szCs w:val="18"/>
                    </w:rPr>
                  </w:pPr>
                  <w:r>
                    <w:rPr>
                      <w:rFonts w:hint="eastAsia" w:cs="Times New Roman"/>
                      <w:kern w:val="0"/>
                      <w:sz w:val="18"/>
                      <w:szCs w:val="18"/>
                    </w:rPr>
                    <w:t>0.0071</w:t>
                  </w:r>
                </w:p>
              </w:tc>
              <w:tc>
                <w:tcPr>
                  <w:tcW w:w="296" w:type="pct"/>
                  <w:vMerge w:val="continue"/>
                  <w:vAlign w:val="center"/>
                </w:tcPr>
                <w:p w14:paraId="17412EAE">
                  <w:pPr>
                    <w:jc w:val="center"/>
                    <w:rPr>
                      <w:rFonts w:cs="Times New Roman"/>
                      <w:sz w:val="18"/>
                      <w:szCs w:val="18"/>
                    </w:rPr>
                  </w:pPr>
                </w:p>
              </w:tc>
              <w:tc>
                <w:tcPr>
                  <w:tcW w:w="444" w:type="pct"/>
                  <w:vMerge w:val="continue"/>
                  <w:vAlign w:val="center"/>
                </w:tcPr>
                <w:p w14:paraId="3AA87E43">
                  <w:pPr>
                    <w:jc w:val="center"/>
                    <w:rPr>
                      <w:rFonts w:cs="Times New Roman"/>
                      <w:sz w:val="18"/>
                      <w:szCs w:val="18"/>
                    </w:rPr>
                  </w:pPr>
                </w:p>
              </w:tc>
              <w:tc>
                <w:tcPr>
                  <w:tcW w:w="296" w:type="pct"/>
                  <w:vMerge w:val="continue"/>
                  <w:vAlign w:val="center"/>
                </w:tcPr>
                <w:p w14:paraId="6D009AE4">
                  <w:pPr>
                    <w:jc w:val="center"/>
                    <w:rPr>
                      <w:rFonts w:cs="Times New Roman"/>
                      <w:sz w:val="18"/>
                      <w:szCs w:val="18"/>
                    </w:rPr>
                  </w:pPr>
                </w:p>
              </w:tc>
              <w:tc>
                <w:tcPr>
                  <w:tcW w:w="295" w:type="pct"/>
                  <w:vMerge w:val="continue"/>
                  <w:vAlign w:val="center"/>
                </w:tcPr>
                <w:p w14:paraId="4B4312C4">
                  <w:pPr>
                    <w:jc w:val="center"/>
                    <w:rPr>
                      <w:rFonts w:cs="Times New Roman"/>
                      <w:sz w:val="18"/>
                      <w:szCs w:val="18"/>
                    </w:rPr>
                  </w:pPr>
                </w:p>
              </w:tc>
              <w:tc>
                <w:tcPr>
                  <w:tcW w:w="281" w:type="pct"/>
                  <w:vAlign w:val="center"/>
                </w:tcPr>
                <w:p w14:paraId="6733BF72">
                  <w:pPr>
                    <w:jc w:val="center"/>
                    <w:rPr>
                      <w:rFonts w:eastAsia="等线" w:cs="Times New Roman"/>
                      <w:sz w:val="18"/>
                      <w:szCs w:val="18"/>
                    </w:rPr>
                  </w:pPr>
                  <w:r>
                    <w:rPr>
                      <w:rFonts w:eastAsia="等线" w:cs="Times New Roman"/>
                      <w:sz w:val="18"/>
                      <w:szCs w:val="18"/>
                    </w:rPr>
                    <w:t>0.0080</w:t>
                  </w:r>
                </w:p>
              </w:tc>
              <w:tc>
                <w:tcPr>
                  <w:tcW w:w="281" w:type="pct"/>
                  <w:vAlign w:val="center"/>
                </w:tcPr>
                <w:p w14:paraId="474454E0">
                  <w:pPr>
                    <w:widowControl/>
                    <w:jc w:val="center"/>
                    <w:rPr>
                      <w:rFonts w:eastAsia="等线" w:cs="Times New Roman"/>
                      <w:sz w:val="18"/>
                      <w:szCs w:val="18"/>
                    </w:rPr>
                  </w:pPr>
                  <w:r>
                    <w:rPr>
                      <w:rFonts w:eastAsia="等线" w:cs="Times New Roman"/>
                      <w:sz w:val="18"/>
                      <w:szCs w:val="18"/>
                    </w:rPr>
                    <w:t>0.0003</w:t>
                  </w:r>
                </w:p>
              </w:tc>
              <w:tc>
                <w:tcPr>
                  <w:tcW w:w="281" w:type="pct"/>
                  <w:vAlign w:val="center"/>
                </w:tcPr>
                <w:p w14:paraId="2378F4C3">
                  <w:pPr>
                    <w:jc w:val="center"/>
                    <w:rPr>
                      <w:rFonts w:eastAsia="等线" w:cs="Times New Roman"/>
                      <w:sz w:val="18"/>
                      <w:szCs w:val="18"/>
                    </w:rPr>
                  </w:pPr>
                  <w:r>
                    <w:rPr>
                      <w:rFonts w:eastAsia="等线" w:cs="Times New Roman"/>
                      <w:sz w:val="18"/>
                      <w:szCs w:val="18"/>
                    </w:rPr>
                    <w:t>0.0006</w:t>
                  </w:r>
                </w:p>
              </w:tc>
              <w:tc>
                <w:tcPr>
                  <w:tcW w:w="281" w:type="pct"/>
                  <w:vAlign w:val="center"/>
                </w:tcPr>
                <w:p w14:paraId="72529914">
                  <w:pPr>
                    <w:jc w:val="center"/>
                    <w:rPr>
                      <w:rFonts w:eastAsia="等线" w:cs="Times New Roman"/>
                      <w:sz w:val="18"/>
                      <w:szCs w:val="18"/>
                    </w:rPr>
                  </w:pPr>
                  <w:r>
                    <w:rPr>
                      <w:rFonts w:eastAsia="等线" w:cs="Times New Roman"/>
                      <w:sz w:val="18"/>
                      <w:szCs w:val="18"/>
                    </w:rPr>
                    <w:t>0.0004</w:t>
                  </w:r>
                </w:p>
              </w:tc>
              <w:tc>
                <w:tcPr>
                  <w:tcW w:w="281" w:type="pct"/>
                  <w:vAlign w:val="center"/>
                </w:tcPr>
                <w:p w14:paraId="65C795F7">
                  <w:pPr>
                    <w:jc w:val="center"/>
                    <w:rPr>
                      <w:rFonts w:eastAsia="等线" w:cs="Times New Roman"/>
                      <w:sz w:val="18"/>
                      <w:szCs w:val="18"/>
                    </w:rPr>
                  </w:pPr>
                  <w:r>
                    <w:rPr>
                      <w:rFonts w:eastAsia="等线" w:cs="Times New Roman"/>
                      <w:sz w:val="18"/>
                      <w:szCs w:val="18"/>
                    </w:rPr>
                    <w:t>0.0007</w:t>
                  </w:r>
                </w:p>
              </w:tc>
              <w:tc>
                <w:tcPr>
                  <w:tcW w:w="279" w:type="pct"/>
                  <w:vMerge w:val="continue"/>
                  <w:vAlign w:val="center"/>
                </w:tcPr>
                <w:p w14:paraId="34D10EC1">
                  <w:pPr>
                    <w:jc w:val="center"/>
                    <w:rPr>
                      <w:rFonts w:cs="Times New Roman"/>
                      <w:sz w:val="18"/>
                      <w:szCs w:val="18"/>
                    </w:rPr>
                  </w:pPr>
                </w:p>
              </w:tc>
              <w:tc>
                <w:tcPr>
                  <w:tcW w:w="308" w:type="pct"/>
                  <w:vMerge w:val="continue"/>
                  <w:vAlign w:val="center"/>
                </w:tcPr>
                <w:p w14:paraId="532FDCC7">
                  <w:pPr>
                    <w:jc w:val="center"/>
                    <w:rPr>
                      <w:rFonts w:cs="Times New Roman"/>
                      <w:sz w:val="18"/>
                      <w:szCs w:val="18"/>
                    </w:rPr>
                  </w:pPr>
                </w:p>
              </w:tc>
              <w:tc>
                <w:tcPr>
                  <w:tcW w:w="246" w:type="pct"/>
                  <w:vAlign w:val="center"/>
                </w:tcPr>
                <w:p w14:paraId="6E358FE3">
                  <w:pPr>
                    <w:jc w:val="center"/>
                    <w:rPr>
                      <w:rFonts w:cs="Times New Roman"/>
                      <w:sz w:val="18"/>
                      <w:szCs w:val="18"/>
                    </w:rPr>
                  </w:pPr>
                  <w:r>
                    <w:rPr>
                      <w:rFonts w:hint="eastAsia" w:cs="Times New Roman"/>
                      <w:sz w:val="18"/>
                      <w:szCs w:val="18"/>
                    </w:rPr>
                    <w:t>/</w:t>
                  </w:r>
                </w:p>
              </w:tc>
              <w:tc>
                <w:tcPr>
                  <w:tcW w:w="243" w:type="pct"/>
                  <w:vAlign w:val="center"/>
                </w:tcPr>
                <w:p w14:paraId="17DDF041">
                  <w:pPr>
                    <w:jc w:val="center"/>
                    <w:rPr>
                      <w:rFonts w:cs="Times New Roman"/>
                      <w:sz w:val="18"/>
                      <w:szCs w:val="18"/>
                    </w:rPr>
                  </w:pPr>
                  <w:r>
                    <w:rPr>
                      <w:rFonts w:hint="eastAsia" w:cs="Times New Roman"/>
                      <w:sz w:val="18"/>
                      <w:szCs w:val="18"/>
                    </w:rPr>
                    <w:t>1</w:t>
                  </w:r>
                </w:p>
              </w:tc>
            </w:tr>
            <w:tr w14:paraId="3507B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1C5BD4D0">
                  <w:pPr>
                    <w:jc w:val="center"/>
                    <w:rPr>
                      <w:sz w:val="18"/>
                      <w:szCs w:val="18"/>
                    </w:rPr>
                  </w:pPr>
                </w:p>
              </w:tc>
              <w:tc>
                <w:tcPr>
                  <w:tcW w:w="295" w:type="pct"/>
                  <w:vAlign w:val="center"/>
                </w:tcPr>
                <w:p w14:paraId="09FFFF97">
                  <w:pPr>
                    <w:jc w:val="center"/>
                    <w:rPr>
                      <w:rFonts w:cs="Times New Roman"/>
                      <w:sz w:val="18"/>
                      <w:szCs w:val="18"/>
                    </w:rPr>
                  </w:pPr>
                  <w:r>
                    <w:rPr>
                      <w:rFonts w:hint="eastAsia" w:cs="Times New Roman"/>
                      <w:sz w:val="18"/>
                      <w:szCs w:val="18"/>
                    </w:rPr>
                    <w:t>甲苯</w:t>
                  </w:r>
                </w:p>
              </w:tc>
              <w:tc>
                <w:tcPr>
                  <w:tcW w:w="296" w:type="pct"/>
                  <w:vMerge w:val="continue"/>
                  <w:vAlign w:val="center"/>
                </w:tcPr>
                <w:p w14:paraId="3CFCF708">
                  <w:pPr>
                    <w:jc w:val="center"/>
                    <w:rPr>
                      <w:rFonts w:cs="Times New Roman"/>
                      <w:sz w:val="18"/>
                      <w:szCs w:val="18"/>
                    </w:rPr>
                  </w:pPr>
                </w:p>
              </w:tc>
              <w:tc>
                <w:tcPr>
                  <w:tcW w:w="295" w:type="pct"/>
                  <w:vAlign w:val="center"/>
                </w:tcPr>
                <w:p w14:paraId="4F9DCA11">
                  <w:pPr>
                    <w:jc w:val="center"/>
                    <w:rPr>
                      <w:rFonts w:cs="Times New Roman"/>
                      <w:kern w:val="0"/>
                      <w:sz w:val="18"/>
                      <w:szCs w:val="18"/>
                    </w:rPr>
                  </w:pPr>
                  <w:r>
                    <w:rPr>
                      <w:rFonts w:hint="eastAsia" w:cs="Times New Roman"/>
                      <w:kern w:val="0"/>
                      <w:sz w:val="18"/>
                      <w:szCs w:val="18"/>
                    </w:rPr>
                    <w:t>0.055</w:t>
                  </w:r>
                </w:p>
              </w:tc>
              <w:tc>
                <w:tcPr>
                  <w:tcW w:w="296" w:type="pct"/>
                  <w:vMerge w:val="continue"/>
                  <w:vAlign w:val="center"/>
                </w:tcPr>
                <w:p w14:paraId="735DD80C">
                  <w:pPr>
                    <w:jc w:val="center"/>
                    <w:rPr>
                      <w:rFonts w:cs="Times New Roman"/>
                      <w:sz w:val="18"/>
                      <w:szCs w:val="18"/>
                    </w:rPr>
                  </w:pPr>
                </w:p>
              </w:tc>
              <w:tc>
                <w:tcPr>
                  <w:tcW w:w="444" w:type="pct"/>
                  <w:vMerge w:val="continue"/>
                  <w:vAlign w:val="center"/>
                </w:tcPr>
                <w:p w14:paraId="72363772">
                  <w:pPr>
                    <w:jc w:val="center"/>
                    <w:rPr>
                      <w:rFonts w:cs="Times New Roman"/>
                      <w:sz w:val="18"/>
                      <w:szCs w:val="18"/>
                    </w:rPr>
                  </w:pPr>
                </w:p>
              </w:tc>
              <w:tc>
                <w:tcPr>
                  <w:tcW w:w="296" w:type="pct"/>
                  <w:vMerge w:val="continue"/>
                  <w:vAlign w:val="center"/>
                </w:tcPr>
                <w:p w14:paraId="24FA109E">
                  <w:pPr>
                    <w:jc w:val="center"/>
                    <w:rPr>
                      <w:rFonts w:cs="Times New Roman"/>
                      <w:sz w:val="18"/>
                      <w:szCs w:val="18"/>
                    </w:rPr>
                  </w:pPr>
                </w:p>
              </w:tc>
              <w:tc>
                <w:tcPr>
                  <w:tcW w:w="295" w:type="pct"/>
                  <w:vMerge w:val="continue"/>
                  <w:vAlign w:val="center"/>
                </w:tcPr>
                <w:p w14:paraId="285C4F26">
                  <w:pPr>
                    <w:jc w:val="center"/>
                    <w:rPr>
                      <w:rFonts w:cs="Times New Roman"/>
                      <w:sz w:val="18"/>
                      <w:szCs w:val="18"/>
                    </w:rPr>
                  </w:pPr>
                </w:p>
              </w:tc>
              <w:tc>
                <w:tcPr>
                  <w:tcW w:w="281" w:type="pct"/>
                  <w:vAlign w:val="center"/>
                </w:tcPr>
                <w:p w14:paraId="78551ECC">
                  <w:pPr>
                    <w:jc w:val="center"/>
                    <w:rPr>
                      <w:rFonts w:eastAsia="等线" w:cs="Times New Roman"/>
                      <w:sz w:val="18"/>
                      <w:szCs w:val="18"/>
                    </w:rPr>
                  </w:pPr>
                  <w:r>
                    <w:rPr>
                      <w:rFonts w:eastAsia="等线" w:cs="Times New Roman"/>
                      <w:sz w:val="18"/>
                      <w:szCs w:val="18"/>
                    </w:rPr>
                    <w:t>0.0619</w:t>
                  </w:r>
                </w:p>
              </w:tc>
              <w:tc>
                <w:tcPr>
                  <w:tcW w:w="281" w:type="pct"/>
                  <w:vAlign w:val="center"/>
                </w:tcPr>
                <w:p w14:paraId="748B6893">
                  <w:pPr>
                    <w:widowControl/>
                    <w:jc w:val="center"/>
                    <w:rPr>
                      <w:rFonts w:eastAsia="等线" w:cs="Times New Roman"/>
                      <w:sz w:val="18"/>
                      <w:szCs w:val="18"/>
                    </w:rPr>
                  </w:pPr>
                  <w:r>
                    <w:rPr>
                      <w:rFonts w:eastAsia="等线" w:cs="Times New Roman"/>
                      <w:sz w:val="18"/>
                      <w:szCs w:val="18"/>
                    </w:rPr>
                    <w:t>0.0025</w:t>
                  </w:r>
                </w:p>
              </w:tc>
              <w:tc>
                <w:tcPr>
                  <w:tcW w:w="281" w:type="pct"/>
                  <w:vAlign w:val="center"/>
                </w:tcPr>
                <w:p w14:paraId="2337C1F8">
                  <w:pPr>
                    <w:jc w:val="center"/>
                    <w:rPr>
                      <w:rFonts w:eastAsia="等线" w:cs="Times New Roman"/>
                      <w:sz w:val="18"/>
                      <w:szCs w:val="18"/>
                    </w:rPr>
                  </w:pPr>
                  <w:r>
                    <w:rPr>
                      <w:rFonts w:eastAsia="等线" w:cs="Times New Roman"/>
                      <w:sz w:val="18"/>
                      <w:szCs w:val="18"/>
                    </w:rPr>
                    <w:t>0.0050</w:t>
                  </w:r>
                </w:p>
              </w:tc>
              <w:tc>
                <w:tcPr>
                  <w:tcW w:w="281" w:type="pct"/>
                  <w:vAlign w:val="center"/>
                </w:tcPr>
                <w:p w14:paraId="2D191698">
                  <w:pPr>
                    <w:jc w:val="center"/>
                    <w:rPr>
                      <w:rFonts w:eastAsia="等线" w:cs="Times New Roman"/>
                      <w:sz w:val="18"/>
                      <w:szCs w:val="18"/>
                    </w:rPr>
                  </w:pPr>
                  <w:r>
                    <w:rPr>
                      <w:rFonts w:eastAsia="等线" w:cs="Times New Roman"/>
                      <w:sz w:val="18"/>
                      <w:szCs w:val="18"/>
                    </w:rPr>
                    <w:t>0.0028</w:t>
                  </w:r>
                </w:p>
              </w:tc>
              <w:tc>
                <w:tcPr>
                  <w:tcW w:w="281" w:type="pct"/>
                  <w:vAlign w:val="center"/>
                </w:tcPr>
                <w:p w14:paraId="36849458">
                  <w:pPr>
                    <w:jc w:val="center"/>
                    <w:rPr>
                      <w:rFonts w:eastAsia="等线" w:cs="Times New Roman"/>
                      <w:sz w:val="18"/>
                      <w:szCs w:val="18"/>
                    </w:rPr>
                  </w:pPr>
                  <w:r>
                    <w:rPr>
                      <w:rFonts w:eastAsia="等线" w:cs="Times New Roman"/>
                      <w:sz w:val="18"/>
                      <w:szCs w:val="18"/>
                    </w:rPr>
                    <w:t>0.0055</w:t>
                  </w:r>
                </w:p>
              </w:tc>
              <w:tc>
                <w:tcPr>
                  <w:tcW w:w="279" w:type="pct"/>
                  <w:vMerge w:val="continue"/>
                  <w:vAlign w:val="center"/>
                </w:tcPr>
                <w:p w14:paraId="173BC69E">
                  <w:pPr>
                    <w:jc w:val="center"/>
                    <w:rPr>
                      <w:rFonts w:cs="Times New Roman"/>
                      <w:sz w:val="18"/>
                      <w:szCs w:val="18"/>
                    </w:rPr>
                  </w:pPr>
                </w:p>
              </w:tc>
              <w:tc>
                <w:tcPr>
                  <w:tcW w:w="308" w:type="pct"/>
                  <w:vMerge w:val="continue"/>
                  <w:vAlign w:val="center"/>
                </w:tcPr>
                <w:p w14:paraId="6B3F5C49">
                  <w:pPr>
                    <w:jc w:val="center"/>
                    <w:rPr>
                      <w:rFonts w:cs="Times New Roman"/>
                      <w:sz w:val="18"/>
                      <w:szCs w:val="18"/>
                    </w:rPr>
                  </w:pPr>
                </w:p>
              </w:tc>
              <w:tc>
                <w:tcPr>
                  <w:tcW w:w="246" w:type="pct"/>
                  <w:vAlign w:val="center"/>
                </w:tcPr>
                <w:p w14:paraId="78C441E5">
                  <w:pPr>
                    <w:jc w:val="center"/>
                    <w:rPr>
                      <w:rFonts w:cs="Times New Roman"/>
                      <w:sz w:val="18"/>
                      <w:szCs w:val="18"/>
                    </w:rPr>
                  </w:pPr>
                  <w:r>
                    <w:rPr>
                      <w:rFonts w:hint="eastAsia" w:cs="Times New Roman"/>
                      <w:sz w:val="18"/>
                      <w:szCs w:val="18"/>
                    </w:rPr>
                    <w:t>0.6</w:t>
                  </w:r>
                </w:p>
              </w:tc>
              <w:tc>
                <w:tcPr>
                  <w:tcW w:w="243" w:type="pct"/>
                  <w:vAlign w:val="center"/>
                </w:tcPr>
                <w:p w14:paraId="1C20E541">
                  <w:pPr>
                    <w:jc w:val="center"/>
                    <w:rPr>
                      <w:rFonts w:cs="Times New Roman"/>
                      <w:sz w:val="18"/>
                      <w:szCs w:val="18"/>
                    </w:rPr>
                  </w:pPr>
                  <w:r>
                    <w:rPr>
                      <w:rFonts w:hint="eastAsia" w:cs="Times New Roman"/>
                      <w:sz w:val="18"/>
                      <w:szCs w:val="18"/>
                    </w:rPr>
                    <w:t>3</w:t>
                  </w:r>
                </w:p>
              </w:tc>
            </w:tr>
            <w:tr w14:paraId="10DC6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5F24164A">
                  <w:pPr>
                    <w:jc w:val="center"/>
                    <w:rPr>
                      <w:sz w:val="18"/>
                      <w:szCs w:val="18"/>
                    </w:rPr>
                  </w:pPr>
                </w:p>
              </w:tc>
              <w:tc>
                <w:tcPr>
                  <w:tcW w:w="295" w:type="pct"/>
                  <w:vAlign w:val="center"/>
                </w:tcPr>
                <w:p w14:paraId="067802F5">
                  <w:pPr>
                    <w:jc w:val="center"/>
                    <w:rPr>
                      <w:rFonts w:cs="Times New Roman"/>
                      <w:sz w:val="18"/>
                      <w:szCs w:val="18"/>
                    </w:rPr>
                  </w:pPr>
                  <w:r>
                    <w:rPr>
                      <w:rFonts w:hint="eastAsia" w:cs="Times New Roman"/>
                      <w:sz w:val="18"/>
                      <w:szCs w:val="18"/>
                    </w:rPr>
                    <w:t>乙苯</w:t>
                  </w:r>
                </w:p>
              </w:tc>
              <w:tc>
                <w:tcPr>
                  <w:tcW w:w="296" w:type="pct"/>
                  <w:vMerge w:val="continue"/>
                  <w:vAlign w:val="center"/>
                </w:tcPr>
                <w:p w14:paraId="45161DF6">
                  <w:pPr>
                    <w:jc w:val="center"/>
                    <w:rPr>
                      <w:rFonts w:cs="Times New Roman"/>
                      <w:sz w:val="18"/>
                      <w:szCs w:val="18"/>
                    </w:rPr>
                  </w:pPr>
                </w:p>
              </w:tc>
              <w:tc>
                <w:tcPr>
                  <w:tcW w:w="295" w:type="pct"/>
                  <w:vAlign w:val="center"/>
                </w:tcPr>
                <w:p w14:paraId="7C883F9A">
                  <w:pPr>
                    <w:jc w:val="center"/>
                    <w:rPr>
                      <w:rFonts w:cs="Times New Roman"/>
                      <w:kern w:val="0"/>
                      <w:sz w:val="18"/>
                      <w:szCs w:val="18"/>
                    </w:rPr>
                  </w:pPr>
                  <w:r>
                    <w:rPr>
                      <w:rFonts w:hint="eastAsia" w:cs="Times New Roman"/>
                      <w:kern w:val="0"/>
                      <w:sz w:val="18"/>
                      <w:szCs w:val="18"/>
                    </w:rPr>
                    <w:t>0.0254</w:t>
                  </w:r>
                </w:p>
              </w:tc>
              <w:tc>
                <w:tcPr>
                  <w:tcW w:w="296" w:type="pct"/>
                  <w:vMerge w:val="continue"/>
                  <w:vAlign w:val="center"/>
                </w:tcPr>
                <w:p w14:paraId="11FD03F7">
                  <w:pPr>
                    <w:jc w:val="center"/>
                    <w:rPr>
                      <w:rFonts w:cs="Times New Roman"/>
                      <w:sz w:val="18"/>
                      <w:szCs w:val="18"/>
                    </w:rPr>
                  </w:pPr>
                </w:p>
              </w:tc>
              <w:tc>
                <w:tcPr>
                  <w:tcW w:w="444" w:type="pct"/>
                  <w:vMerge w:val="continue"/>
                  <w:vAlign w:val="center"/>
                </w:tcPr>
                <w:p w14:paraId="328DC883">
                  <w:pPr>
                    <w:jc w:val="center"/>
                    <w:rPr>
                      <w:rFonts w:cs="Times New Roman"/>
                      <w:sz w:val="18"/>
                      <w:szCs w:val="18"/>
                    </w:rPr>
                  </w:pPr>
                </w:p>
              </w:tc>
              <w:tc>
                <w:tcPr>
                  <w:tcW w:w="296" w:type="pct"/>
                  <w:vMerge w:val="continue"/>
                  <w:vAlign w:val="center"/>
                </w:tcPr>
                <w:p w14:paraId="045222C2">
                  <w:pPr>
                    <w:jc w:val="center"/>
                    <w:rPr>
                      <w:rFonts w:cs="Times New Roman"/>
                      <w:sz w:val="18"/>
                      <w:szCs w:val="18"/>
                    </w:rPr>
                  </w:pPr>
                </w:p>
              </w:tc>
              <w:tc>
                <w:tcPr>
                  <w:tcW w:w="295" w:type="pct"/>
                  <w:vMerge w:val="continue"/>
                  <w:vAlign w:val="center"/>
                </w:tcPr>
                <w:p w14:paraId="5E0C25CC">
                  <w:pPr>
                    <w:jc w:val="center"/>
                    <w:rPr>
                      <w:rFonts w:cs="Times New Roman"/>
                      <w:sz w:val="18"/>
                      <w:szCs w:val="18"/>
                    </w:rPr>
                  </w:pPr>
                </w:p>
              </w:tc>
              <w:tc>
                <w:tcPr>
                  <w:tcW w:w="281" w:type="pct"/>
                  <w:vAlign w:val="center"/>
                </w:tcPr>
                <w:p w14:paraId="1312DB3A">
                  <w:pPr>
                    <w:jc w:val="center"/>
                    <w:rPr>
                      <w:rFonts w:eastAsia="等线" w:cs="Times New Roman"/>
                      <w:sz w:val="18"/>
                      <w:szCs w:val="18"/>
                    </w:rPr>
                  </w:pPr>
                  <w:r>
                    <w:rPr>
                      <w:rFonts w:eastAsia="等线" w:cs="Times New Roman"/>
                      <w:sz w:val="18"/>
                      <w:szCs w:val="18"/>
                    </w:rPr>
                    <w:t>0.0286</w:t>
                  </w:r>
                </w:p>
              </w:tc>
              <w:tc>
                <w:tcPr>
                  <w:tcW w:w="281" w:type="pct"/>
                  <w:vAlign w:val="center"/>
                </w:tcPr>
                <w:p w14:paraId="55710AEC">
                  <w:pPr>
                    <w:widowControl/>
                    <w:jc w:val="center"/>
                    <w:rPr>
                      <w:rFonts w:eastAsia="等线" w:cs="Times New Roman"/>
                      <w:sz w:val="18"/>
                      <w:szCs w:val="18"/>
                    </w:rPr>
                  </w:pPr>
                  <w:r>
                    <w:rPr>
                      <w:rFonts w:eastAsia="等线" w:cs="Times New Roman"/>
                      <w:sz w:val="18"/>
                      <w:szCs w:val="18"/>
                    </w:rPr>
                    <w:t>0.0011</w:t>
                  </w:r>
                </w:p>
              </w:tc>
              <w:tc>
                <w:tcPr>
                  <w:tcW w:w="281" w:type="pct"/>
                  <w:vAlign w:val="center"/>
                </w:tcPr>
                <w:p w14:paraId="6CBCEB2E">
                  <w:pPr>
                    <w:jc w:val="center"/>
                    <w:rPr>
                      <w:rFonts w:eastAsia="等线" w:cs="Times New Roman"/>
                      <w:sz w:val="18"/>
                      <w:szCs w:val="18"/>
                    </w:rPr>
                  </w:pPr>
                  <w:r>
                    <w:rPr>
                      <w:rFonts w:eastAsia="等线" w:cs="Times New Roman"/>
                      <w:sz w:val="18"/>
                      <w:szCs w:val="18"/>
                    </w:rPr>
                    <w:t>0.0023</w:t>
                  </w:r>
                </w:p>
              </w:tc>
              <w:tc>
                <w:tcPr>
                  <w:tcW w:w="281" w:type="pct"/>
                  <w:vAlign w:val="center"/>
                </w:tcPr>
                <w:p w14:paraId="26972FAF">
                  <w:pPr>
                    <w:jc w:val="center"/>
                    <w:rPr>
                      <w:rFonts w:eastAsia="等线" w:cs="Times New Roman"/>
                      <w:sz w:val="18"/>
                      <w:szCs w:val="18"/>
                    </w:rPr>
                  </w:pPr>
                  <w:r>
                    <w:rPr>
                      <w:rFonts w:eastAsia="等线" w:cs="Times New Roman"/>
                      <w:sz w:val="18"/>
                      <w:szCs w:val="18"/>
                    </w:rPr>
                    <w:t>0.0013</w:t>
                  </w:r>
                </w:p>
              </w:tc>
              <w:tc>
                <w:tcPr>
                  <w:tcW w:w="281" w:type="pct"/>
                  <w:vAlign w:val="center"/>
                </w:tcPr>
                <w:p w14:paraId="110D1CAD">
                  <w:pPr>
                    <w:jc w:val="center"/>
                    <w:rPr>
                      <w:rFonts w:eastAsia="等线" w:cs="Times New Roman"/>
                      <w:sz w:val="18"/>
                      <w:szCs w:val="18"/>
                    </w:rPr>
                  </w:pPr>
                  <w:r>
                    <w:rPr>
                      <w:rFonts w:eastAsia="等线" w:cs="Times New Roman"/>
                      <w:sz w:val="18"/>
                      <w:szCs w:val="18"/>
                    </w:rPr>
                    <w:t>0.0025</w:t>
                  </w:r>
                </w:p>
              </w:tc>
              <w:tc>
                <w:tcPr>
                  <w:tcW w:w="279" w:type="pct"/>
                  <w:vMerge w:val="continue"/>
                  <w:vAlign w:val="center"/>
                </w:tcPr>
                <w:p w14:paraId="3F11D2FE">
                  <w:pPr>
                    <w:jc w:val="center"/>
                    <w:rPr>
                      <w:rFonts w:cs="Times New Roman"/>
                      <w:sz w:val="18"/>
                      <w:szCs w:val="18"/>
                    </w:rPr>
                  </w:pPr>
                </w:p>
              </w:tc>
              <w:tc>
                <w:tcPr>
                  <w:tcW w:w="308" w:type="pct"/>
                  <w:vMerge w:val="continue"/>
                  <w:vAlign w:val="center"/>
                </w:tcPr>
                <w:p w14:paraId="29D83251">
                  <w:pPr>
                    <w:jc w:val="center"/>
                    <w:rPr>
                      <w:rFonts w:cs="Times New Roman"/>
                      <w:sz w:val="18"/>
                      <w:szCs w:val="18"/>
                    </w:rPr>
                  </w:pPr>
                </w:p>
              </w:tc>
              <w:tc>
                <w:tcPr>
                  <w:tcW w:w="246" w:type="pct"/>
                  <w:vAlign w:val="center"/>
                </w:tcPr>
                <w:p w14:paraId="660F114F">
                  <w:pPr>
                    <w:jc w:val="center"/>
                    <w:rPr>
                      <w:rFonts w:cs="Times New Roman"/>
                      <w:sz w:val="18"/>
                      <w:szCs w:val="18"/>
                    </w:rPr>
                  </w:pPr>
                  <w:r>
                    <w:rPr>
                      <w:rFonts w:hint="eastAsia" w:cs="Times New Roman"/>
                      <w:sz w:val="18"/>
                      <w:szCs w:val="18"/>
                    </w:rPr>
                    <w:t>1.4</w:t>
                  </w:r>
                </w:p>
              </w:tc>
              <w:tc>
                <w:tcPr>
                  <w:tcW w:w="243" w:type="pct"/>
                  <w:vAlign w:val="center"/>
                </w:tcPr>
                <w:p w14:paraId="6B17F344">
                  <w:pPr>
                    <w:jc w:val="center"/>
                    <w:rPr>
                      <w:rFonts w:cs="Times New Roman"/>
                      <w:sz w:val="18"/>
                      <w:szCs w:val="18"/>
                    </w:rPr>
                  </w:pPr>
                  <w:r>
                    <w:rPr>
                      <w:rFonts w:hint="eastAsia" w:cs="Times New Roman"/>
                      <w:sz w:val="18"/>
                      <w:szCs w:val="18"/>
                    </w:rPr>
                    <w:t>40</w:t>
                  </w:r>
                </w:p>
              </w:tc>
            </w:tr>
            <w:tr w14:paraId="1E17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restart"/>
                  <w:vAlign w:val="center"/>
                </w:tcPr>
                <w:p w14:paraId="25A46420">
                  <w:pPr>
                    <w:jc w:val="center"/>
                    <w:rPr>
                      <w:sz w:val="18"/>
                      <w:szCs w:val="18"/>
                    </w:rPr>
                  </w:pPr>
                  <w:r>
                    <w:rPr>
                      <w:rFonts w:hint="eastAsia"/>
                      <w:sz w:val="18"/>
                      <w:szCs w:val="18"/>
                    </w:rPr>
                    <w:t>食堂油烟</w:t>
                  </w:r>
                </w:p>
              </w:tc>
              <w:tc>
                <w:tcPr>
                  <w:tcW w:w="295" w:type="pct"/>
                  <w:vMerge w:val="restart"/>
                  <w:vAlign w:val="center"/>
                </w:tcPr>
                <w:p w14:paraId="2EA1EF80">
                  <w:pPr>
                    <w:jc w:val="center"/>
                    <w:rPr>
                      <w:rFonts w:cs="Times New Roman"/>
                      <w:sz w:val="18"/>
                      <w:szCs w:val="18"/>
                    </w:rPr>
                  </w:pPr>
                  <w:r>
                    <w:rPr>
                      <w:rFonts w:hint="eastAsia" w:cs="Times New Roman"/>
                      <w:sz w:val="18"/>
                      <w:szCs w:val="18"/>
                    </w:rPr>
                    <w:t>油烟</w:t>
                  </w:r>
                </w:p>
              </w:tc>
              <w:tc>
                <w:tcPr>
                  <w:tcW w:w="296" w:type="pct"/>
                  <w:vMerge w:val="restart"/>
                  <w:vAlign w:val="center"/>
                </w:tcPr>
                <w:p w14:paraId="156DCD1B">
                  <w:pPr>
                    <w:jc w:val="center"/>
                    <w:rPr>
                      <w:rFonts w:cs="Times New Roman"/>
                      <w:sz w:val="18"/>
                      <w:szCs w:val="18"/>
                    </w:rPr>
                  </w:pPr>
                  <w:r>
                    <w:rPr>
                      <w:rFonts w:hint="eastAsia" w:cs="Times New Roman"/>
                      <w:sz w:val="18"/>
                      <w:szCs w:val="18"/>
                    </w:rPr>
                    <w:t>产污系数法</w:t>
                  </w:r>
                </w:p>
              </w:tc>
              <w:tc>
                <w:tcPr>
                  <w:tcW w:w="295" w:type="pct"/>
                  <w:vAlign w:val="center"/>
                </w:tcPr>
                <w:p w14:paraId="306242DA">
                  <w:pPr>
                    <w:jc w:val="center"/>
                    <w:rPr>
                      <w:rFonts w:cs="Times New Roman"/>
                      <w:kern w:val="0"/>
                      <w:sz w:val="18"/>
                      <w:szCs w:val="18"/>
                    </w:rPr>
                  </w:pPr>
                  <w:r>
                    <w:rPr>
                      <w:rFonts w:hint="eastAsia" w:cs="Times New Roman"/>
                      <w:kern w:val="0"/>
                      <w:sz w:val="18"/>
                      <w:szCs w:val="18"/>
                    </w:rPr>
                    <w:t>0.0078</w:t>
                  </w:r>
                </w:p>
              </w:tc>
              <w:tc>
                <w:tcPr>
                  <w:tcW w:w="296" w:type="pct"/>
                  <w:vMerge w:val="restart"/>
                  <w:vAlign w:val="center"/>
                </w:tcPr>
                <w:p w14:paraId="44AB67F5">
                  <w:pPr>
                    <w:jc w:val="center"/>
                    <w:rPr>
                      <w:rFonts w:cs="Times New Roman"/>
                      <w:sz w:val="18"/>
                      <w:szCs w:val="18"/>
                    </w:rPr>
                  </w:pPr>
                  <w:r>
                    <w:rPr>
                      <w:rFonts w:hint="eastAsia" w:cs="Times New Roman"/>
                      <w:sz w:val="18"/>
                      <w:szCs w:val="18"/>
                    </w:rPr>
                    <w:t>1</w:t>
                  </w:r>
                  <w:r>
                    <w:rPr>
                      <w:rFonts w:cs="Times New Roman"/>
                      <w:sz w:val="18"/>
                      <w:szCs w:val="18"/>
                    </w:rPr>
                    <w:t>00</w:t>
                  </w:r>
                </w:p>
              </w:tc>
              <w:tc>
                <w:tcPr>
                  <w:tcW w:w="444" w:type="pct"/>
                  <w:vMerge w:val="restart"/>
                  <w:vAlign w:val="center"/>
                </w:tcPr>
                <w:p w14:paraId="7EBFF5C5">
                  <w:pPr>
                    <w:jc w:val="center"/>
                    <w:rPr>
                      <w:rFonts w:cs="Times New Roman"/>
                      <w:sz w:val="18"/>
                      <w:szCs w:val="18"/>
                    </w:rPr>
                  </w:pPr>
                  <w:r>
                    <w:rPr>
                      <w:rFonts w:hint="eastAsia" w:cs="Times New Roman"/>
                      <w:sz w:val="18"/>
                      <w:szCs w:val="18"/>
                    </w:rPr>
                    <w:t>油烟净化器</w:t>
                  </w:r>
                </w:p>
              </w:tc>
              <w:tc>
                <w:tcPr>
                  <w:tcW w:w="296" w:type="pct"/>
                  <w:vMerge w:val="restart"/>
                  <w:vAlign w:val="center"/>
                </w:tcPr>
                <w:p w14:paraId="2544899E">
                  <w:pPr>
                    <w:jc w:val="center"/>
                    <w:rPr>
                      <w:rFonts w:cs="Times New Roman"/>
                      <w:sz w:val="18"/>
                      <w:szCs w:val="18"/>
                    </w:rPr>
                  </w:pPr>
                  <w:r>
                    <w:rPr>
                      <w:rFonts w:hint="eastAsia" w:cs="Times New Roman"/>
                      <w:sz w:val="18"/>
                      <w:szCs w:val="18"/>
                    </w:rPr>
                    <w:t>8</w:t>
                  </w:r>
                  <w:r>
                    <w:rPr>
                      <w:rFonts w:cs="Times New Roman"/>
                      <w:sz w:val="18"/>
                      <w:szCs w:val="18"/>
                    </w:rPr>
                    <w:t>5</w:t>
                  </w:r>
                </w:p>
              </w:tc>
              <w:tc>
                <w:tcPr>
                  <w:tcW w:w="295" w:type="pct"/>
                  <w:vAlign w:val="center"/>
                </w:tcPr>
                <w:p w14:paraId="51604066">
                  <w:pPr>
                    <w:jc w:val="center"/>
                    <w:rPr>
                      <w:rFonts w:eastAsia="等线" w:cs="Times New Roman"/>
                      <w:sz w:val="18"/>
                      <w:szCs w:val="18"/>
                    </w:rPr>
                  </w:pPr>
                  <w:r>
                    <w:rPr>
                      <w:rFonts w:hint="eastAsia" w:eastAsia="等线" w:cs="Times New Roman"/>
                      <w:sz w:val="18"/>
                      <w:szCs w:val="18"/>
                    </w:rPr>
                    <w:t>/</w:t>
                  </w:r>
                </w:p>
              </w:tc>
              <w:tc>
                <w:tcPr>
                  <w:tcW w:w="281" w:type="pct"/>
                  <w:vAlign w:val="center"/>
                </w:tcPr>
                <w:p w14:paraId="74936643">
                  <w:pPr>
                    <w:jc w:val="center"/>
                    <w:rPr>
                      <w:rFonts w:eastAsia="等线" w:cs="Times New Roman"/>
                      <w:sz w:val="18"/>
                      <w:szCs w:val="18"/>
                    </w:rPr>
                  </w:pPr>
                  <w:r>
                    <w:rPr>
                      <w:rFonts w:hint="eastAsia" w:eastAsia="等线" w:cs="Times New Roman"/>
                      <w:sz w:val="18"/>
                      <w:szCs w:val="18"/>
                    </w:rPr>
                    <w:t>/</w:t>
                  </w:r>
                </w:p>
              </w:tc>
              <w:tc>
                <w:tcPr>
                  <w:tcW w:w="281" w:type="pct"/>
                  <w:vAlign w:val="center"/>
                </w:tcPr>
                <w:p w14:paraId="55C7170B">
                  <w:pPr>
                    <w:widowControl/>
                    <w:jc w:val="center"/>
                    <w:rPr>
                      <w:rFonts w:eastAsia="等线" w:cs="Times New Roman"/>
                      <w:sz w:val="18"/>
                      <w:szCs w:val="18"/>
                    </w:rPr>
                  </w:pPr>
                  <w:r>
                    <w:rPr>
                      <w:rFonts w:hint="eastAsia" w:eastAsia="等线" w:cs="Times New Roman"/>
                      <w:sz w:val="18"/>
                      <w:szCs w:val="18"/>
                    </w:rPr>
                    <w:t>0.0008</w:t>
                  </w:r>
                </w:p>
              </w:tc>
              <w:tc>
                <w:tcPr>
                  <w:tcW w:w="281" w:type="pct"/>
                  <w:vAlign w:val="center"/>
                </w:tcPr>
                <w:p w14:paraId="51CBE0D4">
                  <w:pPr>
                    <w:jc w:val="center"/>
                    <w:rPr>
                      <w:rFonts w:eastAsia="等线" w:cs="Times New Roman"/>
                      <w:sz w:val="18"/>
                      <w:szCs w:val="18"/>
                    </w:rPr>
                  </w:pPr>
                  <w:r>
                    <w:rPr>
                      <w:rFonts w:hint="eastAsia" w:eastAsia="等线" w:cs="Times New Roman"/>
                      <w:sz w:val="18"/>
                      <w:szCs w:val="18"/>
                    </w:rPr>
                    <w:t>0.0012</w:t>
                  </w:r>
                </w:p>
              </w:tc>
              <w:tc>
                <w:tcPr>
                  <w:tcW w:w="281" w:type="pct"/>
                  <w:vAlign w:val="center"/>
                </w:tcPr>
                <w:p w14:paraId="157D0B12">
                  <w:pPr>
                    <w:jc w:val="center"/>
                    <w:rPr>
                      <w:rFonts w:cs="Times New Roman"/>
                      <w:sz w:val="18"/>
                      <w:szCs w:val="18"/>
                    </w:rPr>
                  </w:pPr>
                  <w:r>
                    <w:rPr>
                      <w:rFonts w:hint="eastAsia" w:cs="Times New Roman"/>
                      <w:sz w:val="18"/>
                      <w:szCs w:val="18"/>
                    </w:rPr>
                    <w:t>/</w:t>
                  </w:r>
                </w:p>
              </w:tc>
              <w:tc>
                <w:tcPr>
                  <w:tcW w:w="281" w:type="pct"/>
                  <w:vAlign w:val="center"/>
                </w:tcPr>
                <w:p w14:paraId="791E7426">
                  <w:pPr>
                    <w:jc w:val="center"/>
                    <w:rPr>
                      <w:rFonts w:cs="Times New Roman"/>
                      <w:sz w:val="18"/>
                      <w:szCs w:val="18"/>
                    </w:rPr>
                  </w:pPr>
                  <w:r>
                    <w:rPr>
                      <w:rFonts w:hint="eastAsia" w:cs="Times New Roman"/>
                      <w:sz w:val="18"/>
                      <w:szCs w:val="18"/>
                    </w:rPr>
                    <w:t>/</w:t>
                  </w:r>
                </w:p>
              </w:tc>
              <w:tc>
                <w:tcPr>
                  <w:tcW w:w="279" w:type="pct"/>
                  <w:vAlign w:val="center"/>
                </w:tcPr>
                <w:p w14:paraId="205AC201">
                  <w:pPr>
                    <w:jc w:val="center"/>
                    <w:rPr>
                      <w:rFonts w:cs="Times New Roman"/>
                      <w:sz w:val="18"/>
                      <w:szCs w:val="18"/>
                    </w:rPr>
                  </w:pPr>
                  <w:r>
                    <w:rPr>
                      <w:rFonts w:hint="eastAsia" w:cs="Times New Roman"/>
                      <w:sz w:val="18"/>
                      <w:szCs w:val="18"/>
                    </w:rPr>
                    <w:t>1500</w:t>
                  </w:r>
                </w:p>
              </w:tc>
              <w:tc>
                <w:tcPr>
                  <w:tcW w:w="308" w:type="pct"/>
                  <w:vAlign w:val="center"/>
                </w:tcPr>
                <w:p w14:paraId="54D15EED">
                  <w:pPr>
                    <w:jc w:val="center"/>
                    <w:rPr>
                      <w:rFonts w:cs="Times New Roman"/>
                      <w:sz w:val="18"/>
                      <w:szCs w:val="18"/>
                    </w:rPr>
                  </w:pPr>
                  <w:r>
                    <w:rPr>
                      <w:rFonts w:hint="eastAsia" w:cs="Times New Roman"/>
                      <w:sz w:val="18"/>
                      <w:szCs w:val="18"/>
                    </w:rPr>
                    <w:t>/</w:t>
                  </w:r>
                </w:p>
              </w:tc>
              <w:tc>
                <w:tcPr>
                  <w:tcW w:w="246" w:type="pct"/>
                  <w:vAlign w:val="center"/>
                </w:tcPr>
                <w:p w14:paraId="7F339DA2">
                  <w:pPr>
                    <w:jc w:val="center"/>
                    <w:rPr>
                      <w:rFonts w:cs="Times New Roman"/>
                      <w:sz w:val="18"/>
                      <w:szCs w:val="18"/>
                    </w:rPr>
                  </w:pPr>
                  <w:r>
                    <w:rPr>
                      <w:rFonts w:hint="eastAsia" w:cs="Times New Roman"/>
                      <w:sz w:val="18"/>
                      <w:szCs w:val="18"/>
                    </w:rPr>
                    <w:t>/</w:t>
                  </w:r>
                </w:p>
              </w:tc>
              <w:tc>
                <w:tcPr>
                  <w:tcW w:w="243" w:type="pct"/>
                  <w:vAlign w:val="center"/>
                </w:tcPr>
                <w:p w14:paraId="7A33537F">
                  <w:pPr>
                    <w:jc w:val="center"/>
                    <w:rPr>
                      <w:rFonts w:cs="Times New Roman"/>
                      <w:sz w:val="18"/>
                      <w:szCs w:val="18"/>
                    </w:rPr>
                  </w:pPr>
                  <w:r>
                    <w:rPr>
                      <w:rFonts w:hint="eastAsia" w:cs="Times New Roman"/>
                      <w:sz w:val="18"/>
                      <w:szCs w:val="18"/>
                    </w:rPr>
                    <w:t>/</w:t>
                  </w:r>
                </w:p>
              </w:tc>
            </w:tr>
            <w:tr w14:paraId="2C1E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304" w:type="pct"/>
                  <w:vMerge w:val="continue"/>
                  <w:vAlign w:val="center"/>
                </w:tcPr>
                <w:p w14:paraId="7F4FA529">
                  <w:pPr>
                    <w:jc w:val="center"/>
                    <w:rPr>
                      <w:sz w:val="18"/>
                      <w:szCs w:val="18"/>
                    </w:rPr>
                  </w:pPr>
                </w:p>
              </w:tc>
              <w:tc>
                <w:tcPr>
                  <w:tcW w:w="295" w:type="pct"/>
                  <w:vMerge w:val="continue"/>
                  <w:vAlign w:val="center"/>
                </w:tcPr>
                <w:p w14:paraId="2D800C48">
                  <w:pPr>
                    <w:jc w:val="center"/>
                    <w:rPr>
                      <w:rFonts w:cs="Times New Roman"/>
                      <w:sz w:val="18"/>
                      <w:szCs w:val="18"/>
                    </w:rPr>
                  </w:pPr>
                </w:p>
              </w:tc>
              <w:tc>
                <w:tcPr>
                  <w:tcW w:w="296" w:type="pct"/>
                  <w:vMerge w:val="continue"/>
                  <w:vAlign w:val="center"/>
                </w:tcPr>
                <w:p w14:paraId="2463FFB3">
                  <w:pPr>
                    <w:jc w:val="center"/>
                    <w:rPr>
                      <w:rFonts w:cs="Times New Roman"/>
                      <w:sz w:val="18"/>
                      <w:szCs w:val="18"/>
                    </w:rPr>
                  </w:pPr>
                </w:p>
              </w:tc>
              <w:tc>
                <w:tcPr>
                  <w:tcW w:w="295" w:type="pct"/>
                  <w:vAlign w:val="center"/>
                </w:tcPr>
                <w:p w14:paraId="2B552BD4">
                  <w:pPr>
                    <w:jc w:val="center"/>
                    <w:rPr>
                      <w:rFonts w:cs="Times New Roman"/>
                      <w:kern w:val="0"/>
                      <w:sz w:val="18"/>
                      <w:szCs w:val="18"/>
                    </w:rPr>
                  </w:pPr>
                  <w:r>
                    <w:rPr>
                      <w:rFonts w:hint="eastAsia" w:cs="Times New Roman"/>
                      <w:kern w:val="0"/>
                      <w:sz w:val="18"/>
                      <w:szCs w:val="18"/>
                    </w:rPr>
                    <w:t>0.0331</w:t>
                  </w:r>
                </w:p>
              </w:tc>
              <w:tc>
                <w:tcPr>
                  <w:tcW w:w="296" w:type="pct"/>
                  <w:vMerge w:val="continue"/>
                  <w:vAlign w:val="center"/>
                </w:tcPr>
                <w:p w14:paraId="7D7F2786">
                  <w:pPr>
                    <w:jc w:val="center"/>
                    <w:rPr>
                      <w:rFonts w:cs="Times New Roman"/>
                      <w:sz w:val="18"/>
                      <w:szCs w:val="18"/>
                    </w:rPr>
                  </w:pPr>
                </w:p>
              </w:tc>
              <w:tc>
                <w:tcPr>
                  <w:tcW w:w="444" w:type="pct"/>
                  <w:vMerge w:val="continue"/>
                  <w:vAlign w:val="center"/>
                </w:tcPr>
                <w:p w14:paraId="121C32C6">
                  <w:pPr>
                    <w:jc w:val="center"/>
                    <w:rPr>
                      <w:rFonts w:cs="Times New Roman"/>
                      <w:sz w:val="18"/>
                      <w:szCs w:val="18"/>
                    </w:rPr>
                  </w:pPr>
                </w:p>
              </w:tc>
              <w:tc>
                <w:tcPr>
                  <w:tcW w:w="296" w:type="pct"/>
                  <w:vMerge w:val="continue"/>
                  <w:vAlign w:val="center"/>
                </w:tcPr>
                <w:p w14:paraId="5ED48967">
                  <w:pPr>
                    <w:jc w:val="center"/>
                    <w:rPr>
                      <w:rFonts w:cs="Times New Roman"/>
                      <w:sz w:val="18"/>
                      <w:szCs w:val="18"/>
                    </w:rPr>
                  </w:pPr>
                </w:p>
              </w:tc>
              <w:tc>
                <w:tcPr>
                  <w:tcW w:w="295" w:type="pct"/>
                  <w:vAlign w:val="center"/>
                </w:tcPr>
                <w:p w14:paraId="1AA82C75">
                  <w:pPr>
                    <w:jc w:val="center"/>
                    <w:rPr>
                      <w:rFonts w:cs="Times New Roman"/>
                      <w:sz w:val="18"/>
                      <w:szCs w:val="18"/>
                    </w:rPr>
                  </w:pPr>
                  <w:r>
                    <w:rPr>
                      <w:rFonts w:hint="eastAsia" w:eastAsia="等线" w:cs="Times New Roman"/>
                      <w:sz w:val="18"/>
                      <w:szCs w:val="18"/>
                    </w:rPr>
                    <w:t>4000</w:t>
                  </w:r>
                </w:p>
              </w:tc>
              <w:tc>
                <w:tcPr>
                  <w:tcW w:w="281" w:type="pct"/>
                  <w:vAlign w:val="center"/>
                </w:tcPr>
                <w:p w14:paraId="40BE3788">
                  <w:pPr>
                    <w:jc w:val="center"/>
                    <w:rPr>
                      <w:rFonts w:cs="Times New Roman"/>
                      <w:sz w:val="18"/>
                      <w:szCs w:val="18"/>
                    </w:rPr>
                  </w:pPr>
                  <w:r>
                    <w:rPr>
                      <w:rFonts w:eastAsia="等线" w:cs="Times New Roman"/>
                      <w:sz w:val="18"/>
                      <w:szCs w:val="18"/>
                    </w:rPr>
                    <w:t>0.8275</w:t>
                  </w:r>
                </w:p>
              </w:tc>
              <w:tc>
                <w:tcPr>
                  <w:tcW w:w="281" w:type="pct"/>
                  <w:vAlign w:val="center"/>
                </w:tcPr>
                <w:p w14:paraId="5C652AA1">
                  <w:pPr>
                    <w:widowControl/>
                    <w:jc w:val="center"/>
                    <w:rPr>
                      <w:rFonts w:cs="Times New Roman"/>
                      <w:sz w:val="18"/>
                      <w:szCs w:val="18"/>
                    </w:rPr>
                  </w:pPr>
                  <w:r>
                    <w:rPr>
                      <w:rFonts w:eastAsia="等线" w:cs="Times New Roman"/>
                      <w:sz w:val="18"/>
                      <w:szCs w:val="18"/>
                    </w:rPr>
                    <w:t>0.0033</w:t>
                  </w:r>
                </w:p>
              </w:tc>
              <w:tc>
                <w:tcPr>
                  <w:tcW w:w="281" w:type="pct"/>
                  <w:vAlign w:val="center"/>
                </w:tcPr>
                <w:p w14:paraId="3021549B">
                  <w:pPr>
                    <w:jc w:val="center"/>
                    <w:rPr>
                      <w:rFonts w:cs="Times New Roman"/>
                      <w:sz w:val="18"/>
                      <w:szCs w:val="18"/>
                    </w:rPr>
                  </w:pPr>
                  <w:r>
                    <w:rPr>
                      <w:rFonts w:eastAsia="等线" w:cs="Times New Roman"/>
                      <w:sz w:val="18"/>
                      <w:szCs w:val="18"/>
                    </w:rPr>
                    <w:t>0.0050</w:t>
                  </w:r>
                </w:p>
              </w:tc>
              <w:tc>
                <w:tcPr>
                  <w:tcW w:w="281" w:type="pct"/>
                  <w:vAlign w:val="center"/>
                </w:tcPr>
                <w:p w14:paraId="09B78A4A">
                  <w:pPr>
                    <w:jc w:val="center"/>
                    <w:rPr>
                      <w:rFonts w:cs="Times New Roman"/>
                      <w:sz w:val="18"/>
                      <w:szCs w:val="18"/>
                    </w:rPr>
                  </w:pPr>
                  <w:r>
                    <w:rPr>
                      <w:rFonts w:hint="eastAsia" w:cs="Times New Roman"/>
                      <w:sz w:val="18"/>
                      <w:szCs w:val="18"/>
                    </w:rPr>
                    <w:t>/</w:t>
                  </w:r>
                </w:p>
              </w:tc>
              <w:tc>
                <w:tcPr>
                  <w:tcW w:w="281" w:type="pct"/>
                  <w:vAlign w:val="center"/>
                </w:tcPr>
                <w:p w14:paraId="6140F366">
                  <w:pPr>
                    <w:jc w:val="center"/>
                    <w:rPr>
                      <w:rFonts w:cs="Times New Roman"/>
                      <w:sz w:val="18"/>
                      <w:szCs w:val="18"/>
                    </w:rPr>
                  </w:pPr>
                  <w:r>
                    <w:rPr>
                      <w:rFonts w:hint="eastAsia" w:cs="Times New Roman"/>
                      <w:sz w:val="18"/>
                      <w:szCs w:val="18"/>
                    </w:rPr>
                    <w:t>/</w:t>
                  </w:r>
                </w:p>
              </w:tc>
              <w:tc>
                <w:tcPr>
                  <w:tcW w:w="279" w:type="pct"/>
                  <w:vAlign w:val="center"/>
                </w:tcPr>
                <w:p w14:paraId="13C68AF1">
                  <w:pPr>
                    <w:jc w:val="center"/>
                    <w:rPr>
                      <w:rFonts w:cs="Times New Roman"/>
                      <w:sz w:val="18"/>
                      <w:szCs w:val="18"/>
                    </w:rPr>
                  </w:pPr>
                  <w:r>
                    <w:rPr>
                      <w:rFonts w:hint="eastAsia" w:cs="Times New Roman"/>
                      <w:sz w:val="18"/>
                      <w:szCs w:val="18"/>
                    </w:rPr>
                    <w:t>1500</w:t>
                  </w:r>
                </w:p>
              </w:tc>
              <w:tc>
                <w:tcPr>
                  <w:tcW w:w="308" w:type="pct"/>
                  <w:vAlign w:val="center"/>
                </w:tcPr>
                <w:p w14:paraId="42CCEED5">
                  <w:pPr>
                    <w:jc w:val="center"/>
                    <w:rPr>
                      <w:rFonts w:cs="Times New Roman"/>
                      <w:sz w:val="18"/>
                      <w:szCs w:val="18"/>
                    </w:rPr>
                  </w:pPr>
                  <w:r>
                    <w:rPr>
                      <w:rFonts w:hint="eastAsia" w:cs="Times New Roman"/>
                      <w:sz w:val="18"/>
                      <w:szCs w:val="18"/>
                    </w:rPr>
                    <w:t>DA004</w:t>
                  </w:r>
                </w:p>
              </w:tc>
              <w:tc>
                <w:tcPr>
                  <w:tcW w:w="246" w:type="pct"/>
                  <w:vAlign w:val="center"/>
                </w:tcPr>
                <w:p w14:paraId="4AF32C75">
                  <w:pPr>
                    <w:jc w:val="center"/>
                    <w:rPr>
                      <w:rFonts w:cs="Times New Roman"/>
                      <w:sz w:val="18"/>
                      <w:szCs w:val="18"/>
                    </w:rPr>
                  </w:pPr>
                  <w:r>
                    <w:rPr>
                      <w:rFonts w:hint="eastAsia" w:cs="Times New Roman"/>
                      <w:sz w:val="18"/>
                      <w:szCs w:val="18"/>
                    </w:rPr>
                    <w:t>/</w:t>
                  </w:r>
                </w:p>
              </w:tc>
              <w:tc>
                <w:tcPr>
                  <w:tcW w:w="243" w:type="pct"/>
                  <w:vAlign w:val="center"/>
                </w:tcPr>
                <w:p w14:paraId="6DFD5E7E">
                  <w:pPr>
                    <w:jc w:val="center"/>
                    <w:rPr>
                      <w:rFonts w:cs="Times New Roman"/>
                      <w:sz w:val="18"/>
                      <w:szCs w:val="18"/>
                    </w:rPr>
                  </w:pPr>
                  <w:r>
                    <w:rPr>
                      <w:rFonts w:hint="eastAsia" w:cs="Times New Roman"/>
                      <w:sz w:val="18"/>
                      <w:szCs w:val="18"/>
                    </w:rPr>
                    <w:t>2</w:t>
                  </w:r>
                  <w:r>
                    <w:rPr>
                      <w:rFonts w:cs="Times New Roman"/>
                      <w:sz w:val="18"/>
                      <w:szCs w:val="18"/>
                    </w:rPr>
                    <w:t>.0</w:t>
                  </w:r>
                </w:p>
              </w:tc>
            </w:tr>
          </w:tbl>
          <w:p w14:paraId="389F6BC0">
            <w:pPr>
              <w:spacing w:line="360" w:lineRule="auto"/>
              <w:rPr>
                <w:rFonts w:hint="eastAsia" w:ascii="宋体" w:hAnsi="宋体"/>
                <w:sz w:val="24"/>
                <w:szCs w:val="24"/>
              </w:rPr>
            </w:pPr>
          </w:p>
          <w:p w14:paraId="56F573B9">
            <w:pPr>
              <w:spacing w:line="360" w:lineRule="auto"/>
              <w:rPr>
                <w:rFonts w:hint="eastAsia" w:ascii="宋体" w:hAnsi="宋体"/>
                <w:sz w:val="24"/>
                <w:szCs w:val="24"/>
              </w:rPr>
            </w:pPr>
          </w:p>
          <w:p w14:paraId="21656B48">
            <w:pPr>
              <w:spacing w:line="360" w:lineRule="auto"/>
              <w:rPr>
                <w:rFonts w:hint="eastAsia" w:ascii="宋体" w:hAnsi="宋体"/>
                <w:sz w:val="24"/>
                <w:szCs w:val="24"/>
              </w:rPr>
            </w:pPr>
          </w:p>
          <w:p w14:paraId="4AD17249">
            <w:pPr>
              <w:spacing w:line="360" w:lineRule="auto"/>
              <w:rPr>
                <w:rFonts w:hint="eastAsia" w:ascii="宋体" w:hAnsi="宋体"/>
                <w:sz w:val="24"/>
                <w:szCs w:val="24"/>
              </w:rPr>
            </w:pPr>
          </w:p>
          <w:p w14:paraId="601A3F26">
            <w:pPr>
              <w:spacing w:line="360" w:lineRule="auto"/>
              <w:rPr>
                <w:rFonts w:hint="eastAsia" w:ascii="宋体" w:hAnsi="宋体"/>
                <w:sz w:val="24"/>
                <w:szCs w:val="24"/>
              </w:rPr>
            </w:pPr>
          </w:p>
          <w:p w14:paraId="69F56C78">
            <w:pPr>
              <w:spacing w:line="360" w:lineRule="auto"/>
              <w:rPr>
                <w:rFonts w:hint="eastAsia" w:ascii="宋体" w:hAnsi="宋体"/>
                <w:sz w:val="24"/>
                <w:szCs w:val="24"/>
              </w:rPr>
            </w:pPr>
          </w:p>
          <w:p w14:paraId="074F255E">
            <w:pPr>
              <w:spacing w:line="360" w:lineRule="auto"/>
              <w:rPr>
                <w:rFonts w:hint="eastAsia" w:ascii="宋体" w:hAnsi="宋体"/>
                <w:sz w:val="24"/>
                <w:szCs w:val="24"/>
              </w:rPr>
            </w:pPr>
          </w:p>
          <w:p w14:paraId="02593E99">
            <w:pPr>
              <w:spacing w:line="360" w:lineRule="auto"/>
              <w:rPr>
                <w:rFonts w:hint="eastAsia" w:ascii="宋体" w:hAnsi="宋体"/>
                <w:sz w:val="24"/>
                <w:szCs w:val="24"/>
              </w:rPr>
            </w:pPr>
          </w:p>
          <w:p w14:paraId="13A81853">
            <w:pPr>
              <w:spacing w:line="360" w:lineRule="auto"/>
              <w:rPr>
                <w:rFonts w:hint="eastAsia" w:ascii="宋体" w:hAnsi="宋体"/>
                <w:sz w:val="24"/>
                <w:szCs w:val="24"/>
              </w:rPr>
            </w:pPr>
          </w:p>
          <w:p w14:paraId="34C336F2">
            <w:pPr>
              <w:spacing w:line="360" w:lineRule="auto"/>
              <w:rPr>
                <w:rFonts w:hint="eastAsia" w:ascii="宋体" w:hAnsi="宋体"/>
                <w:sz w:val="24"/>
                <w:szCs w:val="24"/>
              </w:rPr>
            </w:pPr>
          </w:p>
        </w:tc>
      </w:tr>
    </w:tbl>
    <w:p w14:paraId="594E8186">
      <w:pPr>
        <w:rPr>
          <w:rFonts w:hint="eastAsia" w:ascii="宋体" w:hAnsi="宋体"/>
          <w:sz w:val="28"/>
          <w:szCs w:val="28"/>
        </w:rPr>
        <w:sectPr>
          <w:pgSz w:w="16838" w:h="11906" w:orient="landscape"/>
          <w:pgMar w:top="1134" w:right="1134" w:bottom="1134" w:left="1134" w:header="851" w:footer="992" w:gutter="0"/>
          <w:cols w:space="720" w:num="1"/>
          <w:docGrid w:type="lines" w:linePitch="312" w:charSpace="0"/>
        </w:sect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9385"/>
      </w:tblGrid>
      <w:tr w14:paraId="109D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38" w:type="pct"/>
            <w:vAlign w:val="center"/>
          </w:tcPr>
          <w:p w14:paraId="78829A2C">
            <w:pPr>
              <w:spacing w:line="360" w:lineRule="auto"/>
              <w:jc w:val="center"/>
              <w:rPr>
                <w:rFonts w:cs="Times New Roman"/>
                <w:sz w:val="24"/>
                <w:szCs w:val="24"/>
              </w:rPr>
            </w:pPr>
            <w:r>
              <w:rPr>
                <w:rFonts w:hint="eastAsia" w:cs="Times New Roman"/>
                <w:sz w:val="24"/>
                <w:szCs w:val="24"/>
              </w:rPr>
              <w:t>运营期环境影响和保护措施</w:t>
            </w:r>
          </w:p>
        </w:tc>
        <w:tc>
          <w:tcPr>
            <w:tcW w:w="4762" w:type="pct"/>
            <w:vAlign w:val="center"/>
          </w:tcPr>
          <w:p w14:paraId="4561919B">
            <w:pPr>
              <w:spacing w:line="360" w:lineRule="auto"/>
              <w:ind w:firstLine="480" w:firstLineChars="200"/>
              <w:rPr>
                <w:rFonts w:cs="Times New Roman"/>
                <w:sz w:val="24"/>
                <w:szCs w:val="24"/>
              </w:rPr>
            </w:pPr>
            <w:r>
              <w:rPr>
                <w:rFonts w:hint="eastAsia" w:cs="Times New Roman"/>
                <w:sz w:val="24"/>
                <w:szCs w:val="24"/>
              </w:rPr>
              <w:t>本次扩建项目新增废气污染物排放统计如下：</w:t>
            </w:r>
          </w:p>
          <w:p w14:paraId="1207212C">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扩建项目新增</w:t>
            </w:r>
            <w:r>
              <w:rPr>
                <w:rFonts w:eastAsia="黑体" w:cstheme="minorHAnsi"/>
                <w:szCs w:val="21"/>
              </w:rPr>
              <w:t>废气</w:t>
            </w:r>
            <w:r>
              <w:rPr>
                <w:rFonts w:hint="eastAsia" w:eastAsia="黑体" w:cstheme="minorHAnsi"/>
                <w:szCs w:val="21"/>
              </w:rPr>
              <w:t>污染物排放统计表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2403"/>
              <w:gridCol w:w="2403"/>
              <w:gridCol w:w="2400"/>
            </w:tblGrid>
            <w:tr w14:paraId="691C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1066" w:type="pct"/>
                  <w:vAlign w:val="center"/>
                </w:tcPr>
                <w:p w14:paraId="01802F7C">
                  <w:pPr>
                    <w:jc w:val="center"/>
                    <w:rPr>
                      <w:szCs w:val="21"/>
                    </w:rPr>
                  </w:pPr>
                  <w:r>
                    <w:rPr>
                      <w:szCs w:val="21"/>
                    </w:rPr>
                    <w:t>污染物</w:t>
                  </w:r>
                </w:p>
              </w:tc>
              <w:tc>
                <w:tcPr>
                  <w:tcW w:w="1312" w:type="pct"/>
                  <w:vAlign w:val="center"/>
                </w:tcPr>
                <w:p w14:paraId="2DAA4665">
                  <w:pPr>
                    <w:jc w:val="center"/>
                    <w:rPr>
                      <w:rFonts w:cs="Times New Roman"/>
                      <w:szCs w:val="21"/>
                    </w:rPr>
                  </w:pPr>
                  <w:r>
                    <w:rPr>
                      <w:rFonts w:hint="eastAsia" w:cs="Times New Roman"/>
                      <w:szCs w:val="21"/>
                    </w:rPr>
                    <w:t>有组织</w:t>
                  </w:r>
                  <w:r>
                    <w:rPr>
                      <w:rFonts w:cs="Times New Roman"/>
                      <w:szCs w:val="21"/>
                    </w:rPr>
                    <w:t>排放量</w:t>
                  </w:r>
                  <w:r>
                    <w:rPr>
                      <w:rFonts w:hint="eastAsia" w:cs="Times New Roman"/>
                      <w:szCs w:val="21"/>
                    </w:rPr>
                    <w:t>（</w:t>
                  </w:r>
                  <w:r>
                    <w:rPr>
                      <w:rFonts w:cs="Times New Roman"/>
                      <w:szCs w:val="21"/>
                    </w:rPr>
                    <w:t>t/a</w:t>
                  </w:r>
                  <w:r>
                    <w:rPr>
                      <w:rFonts w:hint="eastAsia" w:cs="Times New Roman"/>
                      <w:szCs w:val="21"/>
                    </w:rPr>
                    <w:t>）</w:t>
                  </w:r>
                </w:p>
              </w:tc>
              <w:tc>
                <w:tcPr>
                  <w:tcW w:w="1312" w:type="pct"/>
                  <w:vAlign w:val="center"/>
                </w:tcPr>
                <w:p w14:paraId="785B59D2">
                  <w:pPr>
                    <w:jc w:val="center"/>
                    <w:rPr>
                      <w:rFonts w:cs="Times New Roman"/>
                      <w:szCs w:val="21"/>
                    </w:rPr>
                  </w:pPr>
                  <w:r>
                    <w:rPr>
                      <w:rFonts w:hint="eastAsia" w:cs="Times New Roman"/>
                      <w:szCs w:val="21"/>
                    </w:rPr>
                    <w:t>无组织排放量（</w:t>
                  </w:r>
                  <w:r>
                    <w:rPr>
                      <w:rFonts w:cs="Times New Roman"/>
                      <w:szCs w:val="21"/>
                    </w:rPr>
                    <w:t>t</w:t>
                  </w:r>
                  <w:r>
                    <w:rPr>
                      <w:rFonts w:hint="eastAsia" w:cs="Times New Roman"/>
                      <w:szCs w:val="21"/>
                    </w:rPr>
                    <w:t>/a）</w:t>
                  </w:r>
                </w:p>
              </w:tc>
              <w:tc>
                <w:tcPr>
                  <w:tcW w:w="1310" w:type="pct"/>
                  <w:vAlign w:val="center"/>
                </w:tcPr>
                <w:p w14:paraId="6391BD6B">
                  <w:pPr>
                    <w:jc w:val="center"/>
                    <w:rPr>
                      <w:rFonts w:cs="Times New Roman"/>
                      <w:szCs w:val="21"/>
                    </w:rPr>
                  </w:pPr>
                  <w:r>
                    <w:rPr>
                      <w:rFonts w:cs="Times New Roman"/>
                      <w:szCs w:val="21"/>
                    </w:rPr>
                    <w:t>合计</w:t>
                  </w:r>
                  <w:r>
                    <w:rPr>
                      <w:rFonts w:hint="eastAsia" w:cs="Times New Roman"/>
                      <w:szCs w:val="21"/>
                    </w:rPr>
                    <w:t>（</w:t>
                  </w:r>
                  <w:r>
                    <w:rPr>
                      <w:rFonts w:cs="Times New Roman"/>
                      <w:szCs w:val="21"/>
                    </w:rPr>
                    <w:t>t</w:t>
                  </w:r>
                  <w:r>
                    <w:rPr>
                      <w:rFonts w:hint="eastAsia" w:cs="Times New Roman"/>
                      <w:szCs w:val="21"/>
                    </w:rPr>
                    <w:t>/a）</w:t>
                  </w:r>
                </w:p>
              </w:tc>
            </w:tr>
            <w:tr w14:paraId="5232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090B8111">
                  <w:pPr>
                    <w:jc w:val="center"/>
                    <w:rPr>
                      <w:szCs w:val="21"/>
                    </w:rPr>
                  </w:pPr>
                  <w:r>
                    <w:rPr>
                      <w:rFonts w:hint="eastAsia"/>
                      <w:szCs w:val="21"/>
                    </w:rPr>
                    <w:t>VOCs</w:t>
                  </w:r>
                </w:p>
              </w:tc>
              <w:tc>
                <w:tcPr>
                  <w:tcW w:w="1312" w:type="pct"/>
                  <w:vAlign w:val="center"/>
                </w:tcPr>
                <w:p w14:paraId="19631A68">
                  <w:pPr>
                    <w:widowControl/>
                    <w:jc w:val="center"/>
                    <w:rPr>
                      <w:rFonts w:cs="Times New Roman"/>
                      <w:szCs w:val="21"/>
                    </w:rPr>
                  </w:pPr>
                  <w:r>
                    <w:rPr>
                      <w:rFonts w:eastAsia="等线" w:cs="Times New Roman"/>
                      <w:szCs w:val="21"/>
                    </w:rPr>
                    <w:t>0.4013</w:t>
                  </w:r>
                </w:p>
              </w:tc>
              <w:tc>
                <w:tcPr>
                  <w:tcW w:w="1312" w:type="pct"/>
                  <w:vAlign w:val="center"/>
                </w:tcPr>
                <w:p w14:paraId="09F8C839">
                  <w:pPr>
                    <w:jc w:val="center"/>
                    <w:rPr>
                      <w:rFonts w:cs="Times New Roman"/>
                      <w:szCs w:val="21"/>
                    </w:rPr>
                  </w:pPr>
                  <w:r>
                    <w:rPr>
                      <w:rFonts w:eastAsia="等线" w:cs="Times New Roman"/>
                      <w:szCs w:val="21"/>
                    </w:rPr>
                    <w:t>0.4457</w:t>
                  </w:r>
                </w:p>
              </w:tc>
              <w:tc>
                <w:tcPr>
                  <w:tcW w:w="1310" w:type="pct"/>
                  <w:vAlign w:val="center"/>
                </w:tcPr>
                <w:p w14:paraId="2825EE47">
                  <w:pPr>
                    <w:jc w:val="center"/>
                    <w:rPr>
                      <w:rFonts w:cs="Times New Roman" w:eastAsiaTheme="minorEastAsia"/>
                      <w:szCs w:val="21"/>
                    </w:rPr>
                  </w:pPr>
                  <w:r>
                    <w:rPr>
                      <w:rFonts w:cs="Times New Roman" w:eastAsiaTheme="minorEastAsia"/>
                      <w:szCs w:val="21"/>
                    </w:rPr>
                    <w:t>0.8470</w:t>
                  </w:r>
                </w:p>
              </w:tc>
            </w:tr>
            <w:tr w14:paraId="59B8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044CA6F9">
                  <w:pPr>
                    <w:jc w:val="center"/>
                    <w:rPr>
                      <w:szCs w:val="21"/>
                    </w:rPr>
                  </w:pPr>
                  <w:r>
                    <w:rPr>
                      <w:rFonts w:hint="eastAsia"/>
                      <w:szCs w:val="21"/>
                    </w:rPr>
                    <w:t>苯乙烯</w:t>
                  </w:r>
                </w:p>
              </w:tc>
              <w:tc>
                <w:tcPr>
                  <w:tcW w:w="1312" w:type="pct"/>
                  <w:vAlign w:val="center"/>
                </w:tcPr>
                <w:p w14:paraId="0BAE486C">
                  <w:pPr>
                    <w:widowControl/>
                    <w:jc w:val="center"/>
                    <w:rPr>
                      <w:rFonts w:cs="Times New Roman"/>
                      <w:szCs w:val="21"/>
                    </w:rPr>
                  </w:pPr>
                  <w:r>
                    <w:rPr>
                      <w:rFonts w:eastAsia="等线" w:cs="Times New Roman"/>
                      <w:szCs w:val="21"/>
                    </w:rPr>
                    <w:t>0.0038</w:t>
                  </w:r>
                </w:p>
              </w:tc>
              <w:tc>
                <w:tcPr>
                  <w:tcW w:w="1312" w:type="pct"/>
                  <w:vAlign w:val="center"/>
                </w:tcPr>
                <w:p w14:paraId="381CFFEC">
                  <w:pPr>
                    <w:jc w:val="center"/>
                    <w:rPr>
                      <w:rFonts w:cs="Times New Roman"/>
                      <w:szCs w:val="21"/>
                    </w:rPr>
                  </w:pPr>
                  <w:r>
                    <w:rPr>
                      <w:rFonts w:eastAsia="等线" w:cs="Times New Roman"/>
                      <w:szCs w:val="21"/>
                    </w:rPr>
                    <w:t>0.0042</w:t>
                  </w:r>
                </w:p>
              </w:tc>
              <w:tc>
                <w:tcPr>
                  <w:tcW w:w="1310" w:type="pct"/>
                  <w:vAlign w:val="center"/>
                </w:tcPr>
                <w:p w14:paraId="4B92CC69">
                  <w:pPr>
                    <w:jc w:val="center"/>
                    <w:rPr>
                      <w:rFonts w:cs="Times New Roman" w:eastAsiaTheme="minorEastAsia"/>
                      <w:szCs w:val="21"/>
                    </w:rPr>
                  </w:pPr>
                  <w:r>
                    <w:rPr>
                      <w:rFonts w:cs="Times New Roman" w:eastAsiaTheme="minorEastAsia"/>
                      <w:szCs w:val="21"/>
                    </w:rPr>
                    <w:t>0.008</w:t>
                  </w:r>
                </w:p>
              </w:tc>
            </w:tr>
            <w:tr w14:paraId="0DE2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6357EE2B">
                  <w:pPr>
                    <w:jc w:val="center"/>
                    <w:rPr>
                      <w:szCs w:val="21"/>
                    </w:rPr>
                  </w:pPr>
                  <w:r>
                    <w:rPr>
                      <w:rFonts w:hint="eastAsia" w:cs="Times New Roman"/>
                      <w:szCs w:val="21"/>
                    </w:rPr>
                    <w:t>丙烯腈</w:t>
                  </w:r>
                </w:p>
              </w:tc>
              <w:tc>
                <w:tcPr>
                  <w:tcW w:w="1312" w:type="pct"/>
                  <w:vAlign w:val="center"/>
                </w:tcPr>
                <w:p w14:paraId="3F58C25C">
                  <w:pPr>
                    <w:widowControl/>
                    <w:jc w:val="center"/>
                    <w:rPr>
                      <w:rFonts w:cs="Times New Roman"/>
                      <w:szCs w:val="21"/>
                    </w:rPr>
                  </w:pPr>
                  <w:r>
                    <w:rPr>
                      <w:rFonts w:eastAsia="等线" w:cs="Times New Roman"/>
                      <w:szCs w:val="21"/>
                    </w:rPr>
                    <w:t>0.0016</w:t>
                  </w:r>
                </w:p>
              </w:tc>
              <w:tc>
                <w:tcPr>
                  <w:tcW w:w="1312" w:type="pct"/>
                  <w:vAlign w:val="center"/>
                </w:tcPr>
                <w:p w14:paraId="4B251BFD">
                  <w:pPr>
                    <w:jc w:val="center"/>
                    <w:rPr>
                      <w:rFonts w:cs="Times New Roman"/>
                      <w:szCs w:val="21"/>
                    </w:rPr>
                  </w:pPr>
                  <w:r>
                    <w:rPr>
                      <w:rFonts w:eastAsia="等线" w:cs="Times New Roman"/>
                      <w:szCs w:val="21"/>
                    </w:rPr>
                    <w:t>0.0018</w:t>
                  </w:r>
                </w:p>
              </w:tc>
              <w:tc>
                <w:tcPr>
                  <w:tcW w:w="1310" w:type="pct"/>
                  <w:vAlign w:val="center"/>
                </w:tcPr>
                <w:p w14:paraId="69AF8735">
                  <w:pPr>
                    <w:jc w:val="center"/>
                    <w:rPr>
                      <w:rFonts w:cs="Times New Roman" w:eastAsiaTheme="minorEastAsia"/>
                      <w:szCs w:val="21"/>
                    </w:rPr>
                  </w:pPr>
                  <w:r>
                    <w:rPr>
                      <w:rFonts w:cs="Times New Roman" w:eastAsiaTheme="minorEastAsia"/>
                      <w:szCs w:val="21"/>
                    </w:rPr>
                    <w:t>0.0034</w:t>
                  </w:r>
                </w:p>
              </w:tc>
            </w:tr>
            <w:tr w14:paraId="466D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4E3B4566">
                  <w:pPr>
                    <w:jc w:val="center"/>
                    <w:rPr>
                      <w:szCs w:val="21"/>
                    </w:rPr>
                  </w:pPr>
                  <w:r>
                    <w:rPr>
                      <w:rFonts w:hint="eastAsia" w:cs="Times New Roman"/>
                      <w:szCs w:val="21"/>
                    </w:rPr>
                    <w:t>1,3-丁二烯</w:t>
                  </w:r>
                </w:p>
              </w:tc>
              <w:tc>
                <w:tcPr>
                  <w:tcW w:w="1312" w:type="pct"/>
                  <w:vAlign w:val="center"/>
                </w:tcPr>
                <w:p w14:paraId="52E245E0">
                  <w:pPr>
                    <w:widowControl/>
                    <w:jc w:val="center"/>
                    <w:rPr>
                      <w:rFonts w:cs="Times New Roman"/>
                      <w:szCs w:val="21"/>
                    </w:rPr>
                  </w:pPr>
                  <w:r>
                    <w:rPr>
                      <w:rFonts w:eastAsia="等线" w:cs="Times New Roman"/>
                      <w:szCs w:val="21"/>
                    </w:rPr>
                    <w:t>0.0006</w:t>
                  </w:r>
                </w:p>
              </w:tc>
              <w:tc>
                <w:tcPr>
                  <w:tcW w:w="1312" w:type="pct"/>
                  <w:vAlign w:val="center"/>
                </w:tcPr>
                <w:p w14:paraId="4D9F8AD3">
                  <w:pPr>
                    <w:jc w:val="center"/>
                    <w:rPr>
                      <w:rFonts w:cs="Times New Roman"/>
                      <w:szCs w:val="21"/>
                    </w:rPr>
                  </w:pPr>
                  <w:r>
                    <w:rPr>
                      <w:rFonts w:eastAsia="等线" w:cs="Times New Roman"/>
                      <w:szCs w:val="21"/>
                    </w:rPr>
                    <w:t>0.0007</w:t>
                  </w:r>
                </w:p>
              </w:tc>
              <w:tc>
                <w:tcPr>
                  <w:tcW w:w="1310" w:type="pct"/>
                  <w:vAlign w:val="center"/>
                </w:tcPr>
                <w:p w14:paraId="7C9DA26E">
                  <w:pPr>
                    <w:jc w:val="center"/>
                    <w:rPr>
                      <w:rFonts w:cs="Times New Roman" w:eastAsiaTheme="minorEastAsia"/>
                      <w:szCs w:val="21"/>
                    </w:rPr>
                  </w:pPr>
                  <w:r>
                    <w:rPr>
                      <w:rFonts w:cs="Times New Roman" w:eastAsiaTheme="minorEastAsia"/>
                      <w:szCs w:val="21"/>
                    </w:rPr>
                    <w:t>0.0013</w:t>
                  </w:r>
                </w:p>
              </w:tc>
            </w:tr>
            <w:tr w14:paraId="0C18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054718B1">
                  <w:pPr>
                    <w:jc w:val="center"/>
                    <w:rPr>
                      <w:szCs w:val="21"/>
                    </w:rPr>
                  </w:pPr>
                  <w:r>
                    <w:rPr>
                      <w:rFonts w:hint="eastAsia" w:cs="Times New Roman"/>
                      <w:szCs w:val="21"/>
                    </w:rPr>
                    <w:t>甲苯</w:t>
                  </w:r>
                </w:p>
              </w:tc>
              <w:tc>
                <w:tcPr>
                  <w:tcW w:w="1312" w:type="pct"/>
                  <w:vAlign w:val="center"/>
                </w:tcPr>
                <w:p w14:paraId="138AEA10">
                  <w:pPr>
                    <w:widowControl/>
                    <w:jc w:val="center"/>
                    <w:rPr>
                      <w:rFonts w:cs="Times New Roman"/>
                      <w:szCs w:val="21"/>
                    </w:rPr>
                  </w:pPr>
                  <w:r>
                    <w:rPr>
                      <w:rFonts w:eastAsia="等线" w:cs="Times New Roman"/>
                      <w:szCs w:val="21"/>
                    </w:rPr>
                    <w:t>0.0050</w:t>
                  </w:r>
                </w:p>
              </w:tc>
              <w:tc>
                <w:tcPr>
                  <w:tcW w:w="1312" w:type="pct"/>
                  <w:vAlign w:val="center"/>
                </w:tcPr>
                <w:p w14:paraId="53421E49">
                  <w:pPr>
                    <w:jc w:val="center"/>
                    <w:rPr>
                      <w:rFonts w:cs="Times New Roman"/>
                      <w:szCs w:val="21"/>
                    </w:rPr>
                  </w:pPr>
                  <w:r>
                    <w:rPr>
                      <w:rFonts w:eastAsia="等线" w:cs="Times New Roman"/>
                      <w:szCs w:val="21"/>
                    </w:rPr>
                    <w:t>0.0055</w:t>
                  </w:r>
                </w:p>
              </w:tc>
              <w:tc>
                <w:tcPr>
                  <w:tcW w:w="1310" w:type="pct"/>
                  <w:vAlign w:val="center"/>
                </w:tcPr>
                <w:p w14:paraId="2A90B262">
                  <w:pPr>
                    <w:jc w:val="center"/>
                    <w:rPr>
                      <w:rFonts w:cs="Times New Roman" w:eastAsiaTheme="minorEastAsia"/>
                      <w:szCs w:val="21"/>
                    </w:rPr>
                  </w:pPr>
                  <w:r>
                    <w:rPr>
                      <w:rFonts w:cs="Times New Roman" w:eastAsiaTheme="minorEastAsia"/>
                      <w:szCs w:val="21"/>
                    </w:rPr>
                    <w:t>0.0105</w:t>
                  </w:r>
                </w:p>
              </w:tc>
            </w:tr>
            <w:tr w14:paraId="581F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26C80784">
                  <w:pPr>
                    <w:jc w:val="center"/>
                    <w:rPr>
                      <w:szCs w:val="21"/>
                    </w:rPr>
                  </w:pPr>
                  <w:r>
                    <w:rPr>
                      <w:rFonts w:hint="eastAsia" w:cs="Times New Roman"/>
                      <w:szCs w:val="21"/>
                    </w:rPr>
                    <w:t>乙苯</w:t>
                  </w:r>
                </w:p>
              </w:tc>
              <w:tc>
                <w:tcPr>
                  <w:tcW w:w="1312" w:type="pct"/>
                  <w:vAlign w:val="center"/>
                </w:tcPr>
                <w:p w14:paraId="62D50A79">
                  <w:pPr>
                    <w:widowControl/>
                    <w:jc w:val="center"/>
                    <w:rPr>
                      <w:rFonts w:cs="Times New Roman"/>
                      <w:szCs w:val="21"/>
                    </w:rPr>
                  </w:pPr>
                  <w:r>
                    <w:rPr>
                      <w:rFonts w:eastAsia="等线" w:cs="Times New Roman"/>
                      <w:szCs w:val="21"/>
                    </w:rPr>
                    <w:t>0.0023</w:t>
                  </w:r>
                </w:p>
              </w:tc>
              <w:tc>
                <w:tcPr>
                  <w:tcW w:w="1312" w:type="pct"/>
                  <w:vAlign w:val="center"/>
                </w:tcPr>
                <w:p w14:paraId="21FFB4A7">
                  <w:pPr>
                    <w:jc w:val="center"/>
                    <w:rPr>
                      <w:rFonts w:cs="Times New Roman"/>
                      <w:szCs w:val="21"/>
                    </w:rPr>
                  </w:pPr>
                  <w:r>
                    <w:rPr>
                      <w:rFonts w:eastAsia="等线" w:cs="Times New Roman"/>
                      <w:szCs w:val="21"/>
                    </w:rPr>
                    <w:t>0.0025</w:t>
                  </w:r>
                </w:p>
              </w:tc>
              <w:tc>
                <w:tcPr>
                  <w:tcW w:w="1310" w:type="pct"/>
                  <w:vAlign w:val="center"/>
                </w:tcPr>
                <w:p w14:paraId="69C22556">
                  <w:pPr>
                    <w:jc w:val="center"/>
                    <w:rPr>
                      <w:rFonts w:cs="Times New Roman" w:eastAsiaTheme="minorEastAsia"/>
                      <w:szCs w:val="21"/>
                    </w:rPr>
                  </w:pPr>
                  <w:r>
                    <w:rPr>
                      <w:rFonts w:cs="Times New Roman" w:eastAsiaTheme="minorEastAsia"/>
                      <w:szCs w:val="21"/>
                    </w:rPr>
                    <w:t>0.0048</w:t>
                  </w:r>
                </w:p>
              </w:tc>
            </w:tr>
            <w:tr w14:paraId="32CE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6" w:type="pct"/>
                  <w:vAlign w:val="center"/>
                </w:tcPr>
                <w:p w14:paraId="203183F5">
                  <w:pPr>
                    <w:jc w:val="center"/>
                    <w:rPr>
                      <w:szCs w:val="21"/>
                    </w:rPr>
                  </w:pPr>
                  <w:r>
                    <w:rPr>
                      <w:rFonts w:hint="eastAsia"/>
                      <w:szCs w:val="21"/>
                    </w:rPr>
                    <w:t>油烟</w:t>
                  </w:r>
                </w:p>
              </w:tc>
              <w:tc>
                <w:tcPr>
                  <w:tcW w:w="1312" w:type="pct"/>
                  <w:vAlign w:val="center"/>
                </w:tcPr>
                <w:p w14:paraId="26A02226">
                  <w:pPr>
                    <w:widowControl/>
                    <w:jc w:val="center"/>
                    <w:rPr>
                      <w:rFonts w:cs="Times New Roman"/>
                      <w:szCs w:val="21"/>
                    </w:rPr>
                  </w:pPr>
                  <w:r>
                    <w:rPr>
                      <w:rFonts w:hint="eastAsia" w:cs="Times New Roman"/>
                      <w:szCs w:val="21"/>
                    </w:rPr>
                    <w:t>0.0012</w:t>
                  </w:r>
                </w:p>
              </w:tc>
              <w:tc>
                <w:tcPr>
                  <w:tcW w:w="1312" w:type="pct"/>
                  <w:vAlign w:val="center"/>
                </w:tcPr>
                <w:p w14:paraId="684AE4F8">
                  <w:pPr>
                    <w:jc w:val="center"/>
                    <w:rPr>
                      <w:rFonts w:cs="Times New Roman"/>
                      <w:szCs w:val="21"/>
                    </w:rPr>
                  </w:pPr>
                  <w:r>
                    <w:rPr>
                      <w:rFonts w:hint="eastAsia" w:cs="Times New Roman"/>
                      <w:szCs w:val="21"/>
                    </w:rPr>
                    <w:t>0</w:t>
                  </w:r>
                </w:p>
              </w:tc>
              <w:tc>
                <w:tcPr>
                  <w:tcW w:w="1310" w:type="pct"/>
                  <w:vAlign w:val="center"/>
                </w:tcPr>
                <w:p w14:paraId="1C3EDDC8">
                  <w:pPr>
                    <w:jc w:val="center"/>
                    <w:rPr>
                      <w:rFonts w:cs="Times New Roman"/>
                      <w:szCs w:val="21"/>
                    </w:rPr>
                  </w:pPr>
                  <w:r>
                    <w:rPr>
                      <w:rFonts w:hint="eastAsia" w:cs="Times New Roman"/>
                      <w:szCs w:val="21"/>
                    </w:rPr>
                    <w:t>0.0012</w:t>
                  </w:r>
                </w:p>
              </w:tc>
            </w:tr>
          </w:tbl>
          <w:p w14:paraId="6D3A603B">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）非正常排放源分析</w:t>
            </w:r>
          </w:p>
          <w:p w14:paraId="738A9744">
            <w:pPr>
              <w:spacing w:line="360" w:lineRule="auto"/>
              <w:ind w:firstLine="482" w:firstLineChars="200"/>
              <w:rPr>
                <w:rFonts w:cs="Times New Roman"/>
                <w:b/>
                <w:bCs/>
                <w:sz w:val="24"/>
                <w:szCs w:val="24"/>
              </w:rPr>
            </w:pPr>
            <w:r>
              <w:rPr>
                <w:rFonts w:hint="eastAsia" w:cs="Times New Roman"/>
                <w:b/>
                <w:bCs/>
                <w:sz w:val="24"/>
                <w:szCs w:val="24"/>
              </w:rPr>
              <w:t>1）非正常排放情形</w:t>
            </w:r>
          </w:p>
          <w:p w14:paraId="44C9EAE5">
            <w:pPr>
              <w:spacing w:line="360" w:lineRule="auto"/>
              <w:ind w:firstLine="480" w:firstLineChars="200"/>
              <w:rPr>
                <w:sz w:val="24"/>
                <w:szCs w:val="24"/>
              </w:rPr>
            </w:pPr>
            <w:r>
              <w:rPr>
                <w:rFonts w:hint="eastAsia"/>
                <w:sz w:val="24"/>
                <w:szCs w:val="24"/>
              </w:rPr>
              <w:t>非正常排放是指生产过程中开停工、设备检修、工艺设备运转异常等非正常工况下的污染物排放，以及污染物排放控制措施达不到应有效率等情况下的排放。根据工艺设备运行分析，项目可能发生的非正常排放主要情形为活性炭吸附装置故障，由于活性炭未及时更换或处理设施故障等多种原因，活性炭吸附装置没有投入运行，需更换备件，一般在30分钟左右，最长不超过1小时，此种情况一年最多1~2次。此时另一级活性炭吸附装置继续发挥作用，挥发性有机废气处理效率将降为70%。</w:t>
            </w:r>
          </w:p>
          <w:p w14:paraId="11453EB7">
            <w:pPr>
              <w:spacing w:line="360" w:lineRule="auto"/>
              <w:ind w:firstLine="482" w:firstLineChars="200"/>
              <w:rPr>
                <w:b/>
                <w:sz w:val="24"/>
                <w:szCs w:val="24"/>
              </w:rPr>
            </w:pPr>
            <w:r>
              <w:rPr>
                <w:rFonts w:hint="eastAsia"/>
                <w:b/>
                <w:sz w:val="24"/>
                <w:szCs w:val="24"/>
              </w:rPr>
              <w:t>2）非正常排放源核算</w:t>
            </w:r>
          </w:p>
          <w:p w14:paraId="2883BF0F">
            <w:pPr>
              <w:spacing w:line="360" w:lineRule="auto"/>
              <w:ind w:firstLine="480" w:firstLineChars="200"/>
              <w:rPr>
                <w:sz w:val="24"/>
                <w:szCs w:val="24"/>
              </w:rPr>
            </w:pPr>
            <w:r>
              <w:rPr>
                <w:rFonts w:hint="eastAsia"/>
                <w:sz w:val="24"/>
                <w:szCs w:val="24"/>
              </w:rPr>
              <w:t>根据分析，项目非正常排放源核算结果见下表。</w:t>
            </w:r>
          </w:p>
          <w:p w14:paraId="221E162D">
            <w:pPr>
              <w:pStyle w:val="51"/>
              <w:numPr>
                <w:ilvl w:val="0"/>
                <w:numId w:val="6"/>
              </w:numPr>
              <w:spacing w:line="360" w:lineRule="auto"/>
              <w:ind w:firstLineChars="0"/>
              <w:jc w:val="center"/>
              <w:rPr>
                <w:rFonts w:eastAsia="黑体" w:cs="Times New Roman"/>
                <w:szCs w:val="21"/>
              </w:rPr>
            </w:pPr>
            <w:r>
              <w:rPr>
                <w:rFonts w:hint="eastAsia" w:eastAsia="黑体" w:cstheme="minorHAnsi"/>
                <w:szCs w:val="21"/>
              </w:rPr>
              <w:t>非正常排放源强核算表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2"/>
              <w:gridCol w:w="2546"/>
              <w:gridCol w:w="1198"/>
              <w:gridCol w:w="1627"/>
              <w:gridCol w:w="1396"/>
              <w:gridCol w:w="1200"/>
            </w:tblGrid>
            <w:tr w14:paraId="3B9A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651" w:type="pct"/>
                  <w:shd w:val="clear" w:color="auto" w:fill="auto"/>
                  <w:vAlign w:val="center"/>
                </w:tcPr>
                <w:p w14:paraId="3FA74C9C">
                  <w:pPr>
                    <w:jc w:val="center"/>
                    <w:rPr>
                      <w:rFonts w:cstheme="minorHAnsi"/>
                      <w:szCs w:val="21"/>
                    </w:rPr>
                  </w:pPr>
                  <w:r>
                    <w:rPr>
                      <w:rFonts w:cstheme="minorHAnsi"/>
                      <w:szCs w:val="21"/>
                    </w:rPr>
                    <w:t>非正常排放源</w:t>
                  </w:r>
                </w:p>
              </w:tc>
              <w:tc>
                <w:tcPr>
                  <w:tcW w:w="1390" w:type="pct"/>
                  <w:shd w:val="clear" w:color="auto" w:fill="auto"/>
                  <w:vAlign w:val="center"/>
                </w:tcPr>
                <w:p w14:paraId="1032D551">
                  <w:pPr>
                    <w:jc w:val="center"/>
                    <w:rPr>
                      <w:rFonts w:cstheme="minorHAnsi"/>
                      <w:szCs w:val="21"/>
                    </w:rPr>
                  </w:pPr>
                  <w:r>
                    <w:rPr>
                      <w:rFonts w:hint="eastAsia" w:cstheme="minorHAnsi"/>
                      <w:szCs w:val="21"/>
                    </w:rPr>
                    <w:t>非</w:t>
                  </w:r>
                  <w:r>
                    <w:rPr>
                      <w:rFonts w:cstheme="minorHAnsi"/>
                      <w:szCs w:val="21"/>
                    </w:rPr>
                    <w:t>正常排放原因</w:t>
                  </w:r>
                </w:p>
              </w:tc>
              <w:tc>
                <w:tcPr>
                  <w:tcW w:w="654" w:type="pct"/>
                  <w:vAlign w:val="center"/>
                </w:tcPr>
                <w:p w14:paraId="092E3356">
                  <w:pPr>
                    <w:jc w:val="center"/>
                    <w:rPr>
                      <w:rFonts w:cstheme="minorHAnsi"/>
                      <w:szCs w:val="21"/>
                    </w:rPr>
                  </w:pPr>
                  <w:r>
                    <w:rPr>
                      <w:rFonts w:cstheme="minorHAnsi"/>
                      <w:szCs w:val="21"/>
                    </w:rPr>
                    <w:t>污染因子</w:t>
                  </w:r>
                </w:p>
              </w:tc>
              <w:tc>
                <w:tcPr>
                  <w:tcW w:w="888" w:type="pct"/>
                  <w:shd w:val="clear" w:color="auto" w:fill="auto"/>
                  <w:vAlign w:val="center"/>
                </w:tcPr>
                <w:p w14:paraId="4C74127A">
                  <w:pPr>
                    <w:jc w:val="center"/>
                    <w:rPr>
                      <w:rFonts w:cstheme="minorHAnsi"/>
                      <w:szCs w:val="21"/>
                    </w:rPr>
                  </w:pPr>
                  <w:r>
                    <w:rPr>
                      <w:rFonts w:cstheme="minorHAnsi"/>
                      <w:szCs w:val="21"/>
                    </w:rPr>
                    <w:t>非正常排放速率</w:t>
                  </w:r>
                  <w:r>
                    <w:rPr>
                      <w:rFonts w:hint="eastAsia" w:cstheme="minorHAnsi"/>
                      <w:szCs w:val="21"/>
                    </w:rPr>
                    <w:t>（kg</w:t>
                  </w:r>
                  <w:r>
                    <w:rPr>
                      <w:rFonts w:cstheme="minorHAnsi"/>
                      <w:szCs w:val="21"/>
                    </w:rPr>
                    <w:t>/h</w:t>
                  </w:r>
                  <w:r>
                    <w:rPr>
                      <w:rFonts w:hint="eastAsia" w:cstheme="minorHAnsi"/>
                      <w:szCs w:val="21"/>
                    </w:rPr>
                    <w:t>）</w:t>
                  </w:r>
                </w:p>
              </w:tc>
              <w:tc>
                <w:tcPr>
                  <w:tcW w:w="762" w:type="pct"/>
                  <w:shd w:val="clear" w:color="auto" w:fill="auto"/>
                  <w:vAlign w:val="center"/>
                </w:tcPr>
                <w:p w14:paraId="1BF5C0EB">
                  <w:pPr>
                    <w:jc w:val="center"/>
                    <w:rPr>
                      <w:rFonts w:cstheme="minorHAnsi"/>
                      <w:szCs w:val="21"/>
                    </w:rPr>
                  </w:pPr>
                  <w:r>
                    <w:rPr>
                      <w:rFonts w:cstheme="minorHAnsi"/>
                      <w:szCs w:val="21"/>
                    </w:rPr>
                    <w:t>单次持续时间</w:t>
                  </w:r>
                  <w:r>
                    <w:rPr>
                      <w:rFonts w:hint="eastAsia" w:cstheme="minorHAnsi"/>
                      <w:szCs w:val="21"/>
                    </w:rPr>
                    <w:t>（</w:t>
                  </w:r>
                  <w:r>
                    <w:rPr>
                      <w:rFonts w:cstheme="minorHAnsi"/>
                      <w:szCs w:val="21"/>
                    </w:rPr>
                    <w:t>h</w:t>
                  </w:r>
                  <w:r>
                    <w:rPr>
                      <w:rFonts w:hint="eastAsia" w:cstheme="minorHAnsi"/>
                      <w:szCs w:val="21"/>
                    </w:rPr>
                    <w:t>）</w:t>
                  </w:r>
                </w:p>
              </w:tc>
              <w:tc>
                <w:tcPr>
                  <w:tcW w:w="655" w:type="pct"/>
                  <w:shd w:val="clear" w:color="auto" w:fill="auto"/>
                  <w:vAlign w:val="center"/>
                </w:tcPr>
                <w:p w14:paraId="3DF6AEBE">
                  <w:pPr>
                    <w:jc w:val="center"/>
                    <w:rPr>
                      <w:rFonts w:cstheme="minorHAnsi"/>
                      <w:szCs w:val="21"/>
                    </w:rPr>
                  </w:pPr>
                  <w:r>
                    <w:rPr>
                      <w:rFonts w:cstheme="minorHAnsi"/>
                      <w:szCs w:val="21"/>
                    </w:rPr>
                    <w:t>年发生频次</w:t>
                  </w:r>
                  <w:r>
                    <w:rPr>
                      <w:rFonts w:hint="eastAsia" w:cstheme="minorHAnsi"/>
                      <w:szCs w:val="21"/>
                    </w:rPr>
                    <w:t>（</w:t>
                  </w:r>
                  <w:r>
                    <w:rPr>
                      <w:rFonts w:cstheme="minorHAnsi"/>
                      <w:szCs w:val="21"/>
                    </w:rPr>
                    <w:t>次</w:t>
                  </w:r>
                  <w:r>
                    <w:rPr>
                      <w:rFonts w:hint="eastAsia" w:cstheme="minorHAnsi"/>
                      <w:szCs w:val="21"/>
                    </w:rPr>
                    <w:t>）</w:t>
                  </w:r>
                </w:p>
              </w:tc>
            </w:tr>
            <w:tr w14:paraId="6D11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restart"/>
                  <w:shd w:val="clear" w:color="auto" w:fill="auto"/>
                  <w:vAlign w:val="center"/>
                </w:tcPr>
                <w:p w14:paraId="0D653B25">
                  <w:pPr>
                    <w:jc w:val="center"/>
                    <w:rPr>
                      <w:rFonts w:cstheme="minorHAnsi"/>
                      <w:szCs w:val="21"/>
                      <w:highlight w:val="yellow"/>
                    </w:rPr>
                  </w:pPr>
                  <w:r>
                    <w:rPr>
                      <w:rFonts w:hint="eastAsia" w:cstheme="minorHAnsi"/>
                      <w:szCs w:val="21"/>
                    </w:rPr>
                    <w:t>DA005</w:t>
                  </w:r>
                </w:p>
              </w:tc>
              <w:tc>
                <w:tcPr>
                  <w:tcW w:w="1390" w:type="pct"/>
                  <w:vMerge w:val="restart"/>
                  <w:shd w:val="clear" w:color="auto" w:fill="auto"/>
                  <w:vAlign w:val="center"/>
                </w:tcPr>
                <w:p w14:paraId="7F9AA49F">
                  <w:pPr>
                    <w:jc w:val="center"/>
                    <w:rPr>
                      <w:rFonts w:cstheme="minorHAnsi"/>
                      <w:szCs w:val="21"/>
                    </w:rPr>
                  </w:pPr>
                  <w:r>
                    <w:rPr>
                      <w:rFonts w:hint="eastAsia" w:cstheme="minorHAnsi"/>
                      <w:szCs w:val="21"/>
                    </w:rPr>
                    <w:t>活性炭吸附装置故障，另一级活性炭继续运行，挥发性有机废气处理效率降为70%</w:t>
                  </w:r>
                </w:p>
              </w:tc>
              <w:tc>
                <w:tcPr>
                  <w:tcW w:w="654" w:type="pct"/>
                  <w:vAlign w:val="center"/>
                </w:tcPr>
                <w:p w14:paraId="6AAA7214">
                  <w:pPr>
                    <w:jc w:val="center"/>
                    <w:rPr>
                      <w:rFonts w:cs="Times New Roman"/>
                      <w:szCs w:val="21"/>
                    </w:rPr>
                  </w:pPr>
                  <w:r>
                    <w:rPr>
                      <w:rFonts w:hint="eastAsia"/>
                      <w:szCs w:val="21"/>
                    </w:rPr>
                    <w:t>VOCs</w:t>
                  </w:r>
                </w:p>
              </w:tc>
              <w:tc>
                <w:tcPr>
                  <w:tcW w:w="888" w:type="pct"/>
                  <w:shd w:val="clear" w:color="auto" w:fill="auto"/>
                  <w:vAlign w:val="center"/>
                </w:tcPr>
                <w:p w14:paraId="27E74F18">
                  <w:pPr>
                    <w:jc w:val="center"/>
                    <w:rPr>
                      <w:rFonts w:eastAsia="黑体" w:cs="Times New Roman"/>
                      <w:szCs w:val="21"/>
                    </w:rPr>
                  </w:pPr>
                  <w:r>
                    <w:rPr>
                      <w:rFonts w:eastAsia="等线" w:cs="Times New Roman"/>
                      <w:szCs w:val="21"/>
                    </w:rPr>
                    <w:t>0.6020</w:t>
                  </w:r>
                </w:p>
              </w:tc>
              <w:tc>
                <w:tcPr>
                  <w:tcW w:w="762" w:type="pct"/>
                  <w:vMerge w:val="restart"/>
                  <w:shd w:val="clear" w:color="auto" w:fill="auto"/>
                  <w:vAlign w:val="center"/>
                </w:tcPr>
                <w:p w14:paraId="6FD21FC9">
                  <w:pPr>
                    <w:jc w:val="center"/>
                    <w:rPr>
                      <w:rFonts w:cstheme="minorHAnsi"/>
                      <w:szCs w:val="21"/>
                    </w:rPr>
                  </w:pPr>
                  <w:r>
                    <w:rPr>
                      <w:rFonts w:hint="eastAsia" w:cstheme="minorHAnsi"/>
                      <w:szCs w:val="21"/>
                    </w:rPr>
                    <w:t>1</w:t>
                  </w:r>
                </w:p>
              </w:tc>
              <w:tc>
                <w:tcPr>
                  <w:tcW w:w="655" w:type="pct"/>
                  <w:vMerge w:val="restart"/>
                  <w:shd w:val="clear" w:color="auto" w:fill="auto"/>
                  <w:vAlign w:val="center"/>
                </w:tcPr>
                <w:p w14:paraId="6B1A5A94">
                  <w:pPr>
                    <w:jc w:val="center"/>
                    <w:rPr>
                      <w:rFonts w:cstheme="minorHAnsi"/>
                      <w:szCs w:val="21"/>
                    </w:rPr>
                  </w:pPr>
                  <w:r>
                    <w:rPr>
                      <w:rFonts w:hint="eastAsia" w:cstheme="minorHAnsi"/>
                      <w:szCs w:val="21"/>
                    </w:rPr>
                    <w:t>2</w:t>
                  </w:r>
                </w:p>
              </w:tc>
            </w:tr>
            <w:tr w14:paraId="4C27F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continue"/>
                  <w:shd w:val="clear" w:color="auto" w:fill="auto"/>
                  <w:vAlign w:val="center"/>
                </w:tcPr>
                <w:p w14:paraId="790719A5">
                  <w:pPr>
                    <w:jc w:val="center"/>
                    <w:rPr>
                      <w:rFonts w:cstheme="minorHAnsi"/>
                      <w:szCs w:val="21"/>
                    </w:rPr>
                  </w:pPr>
                </w:p>
              </w:tc>
              <w:tc>
                <w:tcPr>
                  <w:tcW w:w="1390" w:type="pct"/>
                  <w:vMerge w:val="continue"/>
                  <w:shd w:val="clear" w:color="auto" w:fill="auto"/>
                  <w:vAlign w:val="center"/>
                </w:tcPr>
                <w:p w14:paraId="206FCDDF">
                  <w:pPr>
                    <w:jc w:val="center"/>
                    <w:rPr>
                      <w:rFonts w:cstheme="minorHAnsi"/>
                      <w:szCs w:val="21"/>
                    </w:rPr>
                  </w:pPr>
                </w:p>
              </w:tc>
              <w:tc>
                <w:tcPr>
                  <w:tcW w:w="654" w:type="pct"/>
                  <w:vAlign w:val="center"/>
                </w:tcPr>
                <w:p w14:paraId="7C39B275">
                  <w:pPr>
                    <w:jc w:val="center"/>
                    <w:rPr>
                      <w:rFonts w:cs="Times New Roman"/>
                      <w:szCs w:val="21"/>
                    </w:rPr>
                  </w:pPr>
                  <w:r>
                    <w:rPr>
                      <w:rFonts w:hint="eastAsia"/>
                      <w:szCs w:val="21"/>
                    </w:rPr>
                    <w:t>苯乙烯</w:t>
                  </w:r>
                </w:p>
              </w:tc>
              <w:tc>
                <w:tcPr>
                  <w:tcW w:w="888" w:type="pct"/>
                  <w:shd w:val="clear" w:color="auto" w:fill="auto"/>
                  <w:vAlign w:val="center"/>
                </w:tcPr>
                <w:p w14:paraId="4C803986">
                  <w:pPr>
                    <w:jc w:val="center"/>
                    <w:rPr>
                      <w:rFonts w:eastAsia="黑体" w:cs="Times New Roman"/>
                      <w:szCs w:val="21"/>
                    </w:rPr>
                  </w:pPr>
                  <w:r>
                    <w:rPr>
                      <w:rFonts w:eastAsia="等线" w:cs="Times New Roman"/>
                      <w:szCs w:val="21"/>
                    </w:rPr>
                    <w:t>0.0057</w:t>
                  </w:r>
                </w:p>
              </w:tc>
              <w:tc>
                <w:tcPr>
                  <w:tcW w:w="762" w:type="pct"/>
                  <w:vMerge w:val="continue"/>
                  <w:shd w:val="clear" w:color="auto" w:fill="auto"/>
                  <w:vAlign w:val="center"/>
                </w:tcPr>
                <w:p w14:paraId="6E2BAFCE">
                  <w:pPr>
                    <w:jc w:val="center"/>
                    <w:rPr>
                      <w:rFonts w:cstheme="minorHAnsi"/>
                      <w:szCs w:val="21"/>
                    </w:rPr>
                  </w:pPr>
                </w:p>
              </w:tc>
              <w:tc>
                <w:tcPr>
                  <w:tcW w:w="655" w:type="pct"/>
                  <w:vMerge w:val="continue"/>
                  <w:shd w:val="clear" w:color="auto" w:fill="auto"/>
                  <w:vAlign w:val="center"/>
                </w:tcPr>
                <w:p w14:paraId="1D0461C8">
                  <w:pPr>
                    <w:jc w:val="center"/>
                    <w:rPr>
                      <w:rFonts w:cstheme="minorHAnsi"/>
                      <w:szCs w:val="21"/>
                    </w:rPr>
                  </w:pPr>
                </w:p>
              </w:tc>
            </w:tr>
            <w:tr w14:paraId="366A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continue"/>
                  <w:shd w:val="clear" w:color="auto" w:fill="auto"/>
                  <w:vAlign w:val="center"/>
                </w:tcPr>
                <w:p w14:paraId="54D3B4CE">
                  <w:pPr>
                    <w:jc w:val="center"/>
                    <w:rPr>
                      <w:rFonts w:cstheme="minorHAnsi"/>
                      <w:szCs w:val="21"/>
                    </w:rPr>
                  </w:pPr>
                </w:p>
              </w:tc>
              <w:tc>
                <w:tcPr>
                  <w:tcW w:w="1390" w:type="pct"/>
                  <w:vMerge w:val="continue"/>
                  <w:shd w:val="clear" w:color="auto" w:fill="auto"/>
                  <w:vAlign w:val="center"/>
                </w:tcPr>
                <w:p w14:paraId="58CC1601">
                  <w:pPr>
                    <w:jc w:val="center"/>
                    <w:rPr>
                      <w:rFonts w:cstheme="minorHAnsi"/>
                      <w:szCs w:val="21"/>
                    </w:rPr>
                  </w:pPr>
                </w:p>
              </w:tc>
              <w:tc>
                <w:tcPr>
                  <w:tcW w:w="654" w:type="pct"/>
                  <w:vAlign w:val="center"/>
                </w:tcPr>
                <w:p w14:paraId="28751608">
                  <w:pPr>
                    <w:jc w:val="center"/>
                    <w:rPr>
                      <w:rFonts w:cs="Times New Roman"/>
                      <w:szCs w:val="21"/>
                    </w:rPr>
                  </w:pPr>
                  <w:r>
                    <w:rPr>
                      <w:rFonts w:hint="eastAsia" w:cs="Times New Roman"/>
                      <w:szCs w:val="21"/>
                    </w:rPr>
                    <w:t>丙烯腈</w:t>
                  </w:r>
                </w:p>
              </w:tc>
              <w:tc>
                <w:tcPr>
                  <w:tcW w:w="888" w:type="pct"/>
                  <w:shd w:val="clear" w:color="auto" w:fill="auto"/>
                  <w:vAlign w:val="center"/>
                </w:tcPr>
                <w:p w14:paraId="2EDAF970">
                  <w:pPr>
                    <w:jc w:val="center"/>
                    <w:rPr>
                      <w:rFonts w:eastAsia="黑体" w:cs="Times New Roman"/>
                      <w:szCs w:val="21"/>
                    </w:rPr>
                  </w:pPr>
                  <w:r>
                    <w:rPr>
                      <w:rFonts w:eastAsia="等线" w:cs="Times New Roman"/>
                      <w:szCs w:val="21"/>
                    </w:rPr>
                    <w:t>0.0024</w:t>
                  </w:r>
                </w:p>
              </w:tc>
              <w:tc>
                <w:tcPr>
                  <w:tcW w:w="762" w:type="pct"/>
                  <w:vMerge w:val="continue"/>
                  <w:shd w:val="clear" w:color="auto" w:fill="auto"/>
                  <w:vAlign w:val="center"/>
                </w:tcPr>
                <w:p w14:paraId="21A010EF">
                  <w:pPr>
                    <w:jc w:val="center"/>
                    <w:rPr>
                      <w:rFonts w:cstheme="minorHAnsi"/>
                      <w:szCs w:val="21"/>
                    </w:rPr>
                  </w:pPr>
                </w:p>
              </w:tc>
              <w:tc>
                <w:tcPr>
                  <w:tcW w:w="655" w:type="pct"/>
                  <w:vMerge w:val="continue"/>
                  <w:shd w:val="clear" w:color="auto" w:fill="auto"/>
                  <w:vAlign w:val="center"/>
                </w:tcPr>
                <w:p w14:paraId="14B67319">
                  <w:pPr>
                    <w:jc w:val="center"/>
                    <w:rPr>
                      <w:rFonts w:cstheme="minorHAnsi"/>
                      <w:szCs w:val="21"/>
                    </w:rPr>
                  </w:pPr>
                </w:p>
              </w:tc>
            </w:tr>
            <w:tr w14:paraId="24C3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continue"/>
                  <w:shd w:val="clear" w:color="auto" w:fill="auto"/>
                  <w:vAlign w:val="center"/>
                </w:tcPr>
                <w:p w14:paraId="26EDE7E4">
                  <w:pPr>
                    <w:jc w:val="center"/>
                    <w:rPr>
                      <w:rFonts w:cstheme="minorHAnsi"/>
                      <w:szCs w:val="21"/>
                    </w:rPr>
                  </w:pPr>
                </w:p>
              </w:tc>
              <w:tc>
                <w:tcPr>
                  <w:tcW w:w="1390" w:type="pct"/>
                  <w:vMerge w:val="continue"/>
                  <w:shd w:val="clear" w:color="auto" w:fill="auto"/>
                  <w:vAlign w:val="center"/>
                </w:tcPr>
                <w:p w14:paraId="0FE5E7F4">
                  <w:pPr>
                    <w:jc w:val="center"/>
                    <w:rPr>
                      <w:rFonts w:cstheme="minorHAnsi"/>
                      <w:szCs w:val="21"/>
                    </w:rPr>
                  </w:pPr>
                </w:p>
              </w:tc>
              <w:tc>
                <w:tcPr>
                  <w:tcW w:w="654" w:type="pct"/>
                  <w:vAlign w:val="center"/>
                </w:tcPr>
                <w:p w14:paraId="0200321E">
                  <w:pPr>
                    <w:jc w:val="center"/>
                    <w:rPr>
                      <w:rFonts w:cs="Times New Roman"/>
                      <w:szCs w:val="21"/>
                    </w:rPr>
                  </w:pPr>
                  <w:r>
                    <w:rPr>
                      <w:rFonts w:hint="eastAsia" w:cs="Times New Roman"/>
                      <w:szCs w:val="21"/>
                    </w:rPr>
                    <w:t>1,3-丁二烯</w:t>
                  </w:r>
                </w:p>
              </w:tc>
              <w:tc>
                <w:tcPr>
                  <w:tcW w:w="888" w:type="pct"/>
                  <w:shd w:val="clear" w:color="auto" w:fill="auto"/>
                  <w:vAlign w:val="center"/>
                </w:tcPr>
                <w:p w14:paraId="5C8F5E65">
                  <w:pPr>
                    <w:jc w:val="center"/>
                    <w:rPr>
                      <w:rFonts w:eastAsia="黑体" w:cs="Times New Roman"/>
                      <w:szCs w:val="21"/>
                    </w:rPr>
                  </w:pPr>
                  <w:r>
                    <w:rPr>
                      <w:rFonts w:eastAsia="等线" w:cs="Times New Roman"/>
                      <w:szCs w:val="21"/>
                    </w:rPr>
                    <w:t>0.0010</w:t>
                  </w:r>
                </w:p>
              </w:tc>
              <w:tc>
                <w:tcPr>
                  <w:tcW w:w="762" w:type="pct"/>
                  <w:vMerge w:val="continue"/>
                  <w:shd w:val="clear" w:color="auto" w:fill="auto"/>
                  <w:vAlign w:val="center"/>
                </w:tcPr>
                <w:p w14:paraId="03253D10">
                  <w:pPr>
                    <w:jc w:val="center"/>
                    <w:rPr>
                      <w:rFonts w:cstheme="minorHAnsi"/>
                      <w:szCs w:val="21"/>
                    </w:rPr>
                  </w:pPr>
                </w:p>
              </w:tc>
              <w:tc>
                <w:tcPr>
                  <w:tcW w:w="655" w:type="pct"/>
                  <w:vMerge w:val="continue"/>
                  <w:shd w:val="clear" w:color="auto" w:fill="auto"/>
                  <w:vAlign w:val="center"/>
                </w:tcPr>
                <w:p w14:paraId="46A4364D">
                  <w:pPr>
                    <w:jc w:val="center"/>
                    <w:rPr>
                      <w:rFonts w:cstheme="minorHAnsi"/>
                      <w:szCs w:val="21"/>
                    </w:rPr>
                  </w:pPr>
                </w:p>
              </w:tc>
            </w:tr>
            <w:tr w14:paraId="1FBA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continue"/>
                  <w:shd w:val="clear" w:color="auto" w:fill="auto"/>
                  <w:vAlign w:val="center"/>
                </w:tcPr>
                <w:p w14:paraId="0324250A">
                  <w:pPr>
                    <w:jc w:val="center"/>
                    <w:rPr>
                      <w:rFonts w:cstheme="minorHAnsi"/>
                      <w:szCs w:val="21"/>
                    </w:rPr>
                  </w:pPr>
                </w:p>
              </w:tc>
              <w:tc>
                <w:tcPr>
                  <w:tcW w:w="1390" w:type="pct"/>
                  <w:vMerge w:val="continue"/>
                  <w:shd w:val="clear" w:color="auto" w:fill="auto"/>
                  <w:vAlign w:val="center"/>
                </w:tcPr>
                <w:p w14:paraId="1CADAB27">
                  <w:pPr>
                    <w:jc w:val="center"/>
                    <w:rPr>
                      <w:rFonts w:cstheme="minorHAnsi"/>
                      <w:szCs w:val="21"/>
                    </w:rPr>
                  </w:pPr>
                </w:p>
              </w:tc>
              <w:tc>
                <w:tcPr>
                  <w:tcW w:w="654" w:type="pct"/>
                  <w:vAlign w:val="center"/>
                </w:tcPr>
                <w:p w14:paraId="4D8BCBB0">
                  <w:pPr>
                    <w:jc w:val="center"/>
                    <w:rPr>
                      <w:rFonts w:cs="Times New Roman"/>
                      <w:szCs w:val="21"/>
                    </w:rPr>
                  </w:pPr>
                  <w:r>
                    <w:rPr>
                      <w:rFonts w:hint="eastAsia" w:cs="Times New Roman"/>
                      <w:szCs w:val="21"/>
                    </w:rPr>
                    <w:t>甲苯</w:t>
                  </w:r>
                </w:p>
              </w:tc>
              <w:tc>
                <w:tcPr>
                  <w:tcW w:w="888" w:type="pct"/>
                  <w:shd w:val="clear" w:color="auto" w:fill="auto"/>
                  <w:vAlign w:val="center"/>
                </w:tcPr>
                <w:p w14:paraId="07120B96">
                  <w:pPr>
                    <w:jc w:val="center"/>
                    <w:rPr>
                      <w:rFonts w:eastAsia="黑体" w:cs="Times New Roman"/>
                      <w:szCs w:val="21"/>
                    </w:rPr>
                  </w:pPr>
                  <w:r>
                    <w:rPr>
                      <w:rFonts w:eastAsia="等线" w:cs="Times New Roman"/>
                      <w:szCs w:val="21"/>
                    </w:rPr>
                    <w:t>0.0074</w:t>
                  </w:r>
                </w:p>
              </w:tc>
              <w:tc>
                <w:tcPr>
                  <w:tcW w:w="762" w:type="pct"/>
                  <w:vMerge w:val="continue"/>
                  <w:shd w:val="clear" w:color="auto" w:fill="auto"/>
                  <w:vAlign w:val="center"/>
                </w:tcPr>
                <w:p w14:paraId="5A533B81">
                  <w:pPr>
                    <w:jc w:val="center"/>
                    <w:rPr>
                      <w:rFonts w:cstheme="minorHAnsi"/>
                      <w:szCs w:val="21"/>
                    </w:rPr>
                  </w:pPr>
                </w:p>
              </w:tc>
              <w:tc>
                <w:tcPr>
                  <w:tcW w:w="655" w:type="pct"/>
                  <w:vMerge w:val="continue"/>
                  <w:shd w:val="clear" w:color="auto" w:fill="auto"/>
                  <w:vAlign w:val="center"/>
                </w:tcPr>
                <w:p w14:paraId="461E9EAD">
                  <w:pPr>
                    <w:jc w:val="center"/>
                    <w:rPr>
                      <w:rFonts w:cstheme="minorHAnsi"/>
                      <w:szCs w:val="21"/>
                    </w:rPr>
                  </w:pPr>
                </w:p>
              </w:tc>
            </w:tr>
            <w:tr w14:paraId="7DC2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1" w:type="pct"/>
                  <w:vMerge w:val="continue"/>
                  <w:shd w:val="clear" w:color="auto" w:fill="auto"/>
                  <w:vAlign w:val="center"/>
                </w:tcPr>
                <w:p w14:paraId="76AAEC2E">
                  <w:pPr>
                    <w:jc w:val="center"/>
                    <w:rPr>
                      <w:rFonts w:cstheme="minorHAnsi"/>
                      <w:szCs w:val="21"/>
                    </w:rPr>
                  </w:pPr>
                </w:p>
              </w:tc>
              <w:tc>
                <w:tcPr>
                  <w:tcW w:w="1390" w:type="pct"/>
                  <w:vMerge w:val="continue"/>
                  <w:shd w:val="clear" w:color="auto" w:fill="auto"/>
                  <w:vAlign w:val="center"/>
                </w:tcPr>
                <w:p w14:paraId="1633A88F">
                  <w:pPr>
                    <w:jc w:val="center"/>
                    <w:rPr>
                      <w:rFonts w:cstheme="minorHAnsi"/>
                      <w:szCs w:val="21"/>
                    </w:rPr>
                  </w:pPr>
                </w:p>
              </w:tc>
              <w:tc>
                <w:tcPr>
                  <w:tcW w:w="654" w:type="pct"/>
                  <w:vAlign w:val="center"/>
                </w:tcPr>
                <w:p w14:paraId="56D63590">
                  <w:pPr>
                    <w:jc w:val="center"/>
                    <w:rPr>
                      <w:rFonts w:cs="Times New Roman"/>
                      <w:szCs w:val="21"/>
                    </w:rPr>
                  </w:pPr>
                  <w:r>
                    <w:rPr>
                      <w:rFonts w:hint="eastAsia" w:cs="Times New Roman"/>
                      <w:szCs w:val="21"/>
                    </w:rPr>
                    <w:t>乙苯</w:t>
                  </w:r>
                </w:p>
              </w:tc>
              <w:tc>
                <w:tcPr>
                  <w:tcW w:w="888" w:type="pct"/>
                  <w:shd w:val="clear" w:color="auto" w:fill="auto"/>
                  <w:vAlign w:val="center"/>
                </w:tcPr>
                <w:p w14:paraId="72D1B751">
                  <w:pPr>
                    <w:jc w:val="center"/>
                    <w:rPr>
                      <w:rFonts w:eastAsia="黑体" w:cs="Times New Roman"/>
                      <w:szCs w:val="21"/>
                    </w:rPr>
                  </w:pPr>
                  <w:r>
                    <w:rPr>
                      <w:rFonts w:eastAsia="等线" w:cs="Times New Roman"/>
                      <w:szCs w:val="21"/>
                    </w:rPr>
                    <w:t>0.0034</w:t>
                  </w:r>
                </w:p>
              </w:tc>
              <w:tc>
                <w:tcPr>
                  <w:tcW w:w="762" w:type="pct"/>
                  <w:vMerge w:val="continue"/>
                  <w:shd w:val="clear" w:color="auto" w:fill="auto"/>
                  <w:vAlign w:val="center"/>
                </w:tcPr>
                <w:p w14:paraId="72728EBE">
                  <w:pPr>
                    <w:jc w:val="center"/>
                    <w:rPr>
                      <w:rFonts w:cstheme="minorHAnsi"/>
                      <w:szCs w:val="21"/>
                    </w:rPr>
                  </w:pPr>
                </w:p>
              </w:tc>
              <w:tc>
                <w:tcPr>
                  <w:tcW w:w="655" w:type="pct"/>
                  <w:vMerge w:val="continue"/>
                  <w:shd w:val="clear" w:color="auto" w:fill="auto"/>
                  <w:vAlign w:val="center"/>
                </w:tcPr>
                <w:p w14:paraId="2FDAF3A7">
                  <w:pPr>
                    <w:jc w:val="center"/>
                    <w:rPr>
                      <w:rFonts w:cstheme="minorHAnsi"/>
                      <w:szCs w:val="21"/>
                    </w:rPr>
                  </w:pPr>
                </w:p>
              </w:tc>
            </w:tr>
          </w:tbl>
          <w:p w14:paraId="5D8B6FB9">
            <w:pPr>
              <w:spacing w:line="360" w:lineRule="auto"/>
              <w:ind w:firstLine="482" w:firstLineChars="200"/>
              <w:rPr>
                <w:b/>
                <w:sz w:val="24"/>
                <w:szCs w:val="24"/>
              </w:rPr>
            </w:pPr>
            <w:r>
              <w:rPr>
                <w:rFonts w:hint="eastAsia"/>
                <w:b/>
                <w:sz w:val="24"/>
                <w:szCs w:val="24"/>
              </w:rPr>
              <w:t>3）非正常排放控制措施</w:t>
            </w:r>
          </w:p>
          <w:p w14:paraId="494A03DE">
            <w:pPr>
              <w:spacing w:line="360" w:lineRule="auto"/>
              <w:ind w:firstLine="480" w:firstLineChars="200"/>
              <w:rPr>
                <w:sz w:val="24"/>
                <w:szCs w:val="24"/>
              </w:rPr>
            </w:pPr>
            <w:r>
              <w:rPr>
                <w:rFonts w:hint="eastAsia"/>
                <w:sz w:val="24"/>
                <w:szCs w:val="24"/>
              </w:rPr>
              <w:t>为防范非正常排放下对环境的影响，环评要求：建设单位应合理安排设备检修，应加强环保设施的日常维护和保养，确保其稳定、正常运行；一旦废气处理设施故障停机，企业必须马上停产维修，待其正常运行后方可恢复生产。</w:t>
            </w:r>
          </w:p>
          <w:p w14:paraId="3783388F">
            <w:pPr>
              <w:spacing w:line="360" w:lineRule="auto"/>
              <w:ind w:firstLine="482" w:firstLineChars="200"/>
              <w:rPr>
                <w:b/>
                <w:sz w:val="24"/>
                <w:szCs w:val="24"/>
              </w:rPr>
            </w:pPr>
            <w:r>
              <w:rPr>
                <w:rFonts w:hint="eastAsia"/>
                <w:b/>
                <w:sz w:val="24"/>
                <w:szCs w:val="24"/>
              </w:rPr>
              <w:t>（</w:t>
            </w:r>
            <w:r>
              <w:rPr>
                <w:b/>
                <w:sz w:val="24"/>
                <w:szCs w:val="24"/>
              </w:rPr>
              <w:t>5</w:t>
            </w:r>
            <w:r>
              <w:rPr>
                <w:rFonts w:hint="eastAsia"/>
                <w:b/>
                <w:sz w:val="24"/>
                <w:szCs w:val="24"/>
              </w:rPr>
              <w:t>）废气治理技术可行性</w:t>
            </w:r>
          </w:p>
          <w:p w14:paraId="52A21589">
            <w:pPr>
              <w:spacing w:line="360" w:lineRule="auto"/>
              <w:ind w:firstLine="360" w:firstLineChars="150"/>
              <w:rPr>
                <w:sz w:val="24"/>
                <w:szCs w:val="24"/>
              </w:rPr>
            </w:pPr>
            <w:r>
              <w:rPr>
                <w:sz w:val="24"/>
                <w:szCs w:val="24"/>
              </w:rPr>
              <w:t>项目结合各排放源特征，</w:t>
            </w:r>
            <w:r>
              <w:rPr>
                <w:rFonts w:hint="eastAsia"/>
                <w:sz w:val="24"/>
                <w:szCs w:val="24"/>
              </w:rPr>
              <w:t>针对注塑成型、丝印/热转印过程产生的挥发性有机废气，采用二级活性炭吸附装置进行处理，其属于《排污许可证申请与核发技术规范 橡胶和塑料制品工业》（HJ1122-2020）和《挥发性有机物（VOCs）污染防治技术政策》中推荐治理技术。因此，项目拟采取的废气治理技术可行。</w:t>
            </w:r>
          </w:p>
          <w:p w14:paraId="4D72FCE4">
            <w:pPr>
              <w:spacing w:line="360" w:lineRule="auto"/>
              <w:ind w:firstLine="482" w:firstLineChars="200"/>
              <w:rPr>
                <w:b/>
                <w:sz w:val="24"/>
                <w:szCs w:val="24"/>
              </w:rPr>
            </w:pPr>
            <w:r>
              <w:rPr>
                <w:rFonts w:hint="eastAsia"/>
                <w:b/>
                <w:sz w:val="24"/>
                <w:szCs w:val="24"/>
              </w:rPr>
              <w:t>（</w:t>
            </w:r>
            <w:r>
              <w:rPr>
                <w:b/>
                <w:sz w:val="24"/>
                <w:szCs w:val="24"/>
              </w:rPr>
              <w:t>6</w:t>
            </w:r>
            <w:r>
              <w:rPr>
                <w:rFonts w:hint="eastAsia"/>
                <w:b/>
                <w:sz w:val="24"/>
                <w:szCs w:val="24"/>
              </w:rPr>
              <w:t>）监测要求</w:t>
            </w:r>
          </w:p>
          <w:p w14:paraId="4F5C97DC">
            <w:pPr>
              <w:spacing w:line="360" w:lineRule="auto"/>
              <w:ind w:firstLine="480" w:firstLineChars="200"/>
              <w:rPr>
                <w:sz w:val="24"/>
                <w:szCs w:val="24"/>
              </w:rPr>
            </w:pPr>
            <w:r>
              <w:rPr>
                <w:rFonts w:hint="eastAsia"/>
                <w:sz w:val="24"/>
                <w:szCs w:val="24"/>
              </w:rPr>
              <w:t>本次环评根据《排污单位自行监测技术指南 橡胶和塑料制品》（HJ1207-2021）和《挥发性有机物无组织排放控制标准》（GB37822-2019）提出项目生产运行阶段的污染源监测计划，详见下表：</w:t>
            </w:r>
          </w:p>
          <w:p w14:paraId="3B759A11">
            <w:pPr>
              <w:pStyle w:val="51"/>
              <w:numPr>
                <w:ilvl w:val="0"/>
                <w:numId w:val="6"/>
              </w:numPr>
              <w:spacing w:line="360" w:lineRule="auto"/>
              <w:ind w:firstLineChars="0"/>
              <w:jc w:val="center"/>
              <w:rPr>
                <w:rFonts w:eastAsia="黑体" w:cs="Times New Roman"/>
                <w:szCs w:val="21"/>
              </w:rPr>
            </w:pPr>
            <w:r>
              <w:rPr>
                <w:rFonts w:eastAsia="黑体"/>
                <w:szCs w:val="21"/>
              </w:rPr>
              <w:t>有组织</w:t>
            </w:r>
            <w:r>
              <w:rPr>
                <w:rFonts w:hint="eastAsia" w:eastAsia="黑体"/>
                <w:szCs w:val="21"/>
              </w:rPr>
              <w:t>废气监测方案</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2398"/>
              <w:gridCol w:w="1799"/>
              <w:gridCol w:w="3022"/>
            </w:tblGrid>
            <w:tr w14:paraId="36072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shd w:val="clear" w:color="auto" w:fill="auto"/>
                  <w:vAlign w:val="center"/>
                </w:tcPr>
                <w:p w14:paraId="1D4D17A4">
                  <w:pPr>
                    <w:jc w:val="center"/>
                    <w:rPr>
                      <w:szCs w:val="21"/>
                    </w:rPr>
                  </w:pPr>
                  <w:r>
                    <w:rPr>
                      <w:szCs w:val="21"/>
                    </w:rPr>
                    <w:t>监测点位</w:t>
                  </w:r>
                </w:p>
              </w:tc>
              <w:tc>
                <w:tcPr>
                  <w:tcW w:w="1309" w:type="pct"/>
                  <w:shd w:val="clear" w:color="auto" w:fill="auto"/>
                  <w:vAlign w:val="center"/>
                </w:tcPr>
                <w:p w14:paraId="3190BA68">
                  <w:pPr>
                    <w:jc w:val="center"/>
                    <w:rPr>
                      <w:szCs w:val="21"/>
                    </w:rPr>
                  </w:pPr>
                  <w:r>
                    <w:rPr>
                      <w:szCs w:val="21"/>
                    </w:rPr>
                    <w:t>监测指标</w:t>
                  </w:r>
                </w:p>
              </w:tc>
              <w:tc>
                <w:tcPr>
                  <w:tcW w:w="982" w:type="pct"/>
                  <w:shd w:val="clear" w:color="auto" w:fill="auto"/>
                  <w:vAlign w:val="center"/>
                </w:tcPr>
                <w:p w14:paraId="184BFABB">
                  <w:pPr>
                    <w:jc w:val="center"/>
                    <w:rPr>
                      <w:szCs w:val="21"/>
                    </w:rPr>
                  </w:pPr>
                  <w:r>
                    <w:rPr>
                      <w:szCs w:val="21"/>
                    </w:rPr>
                    <w:t>监测频次</w:t>
                  </w:r>
                </w:p>
              </w:tc>
              <w:tc>
                <w:tcPr>
                  <w:tcW w:w="1650" w:type="pct"/>
                </w:tcPr>
                <w:p w14:paraId="35DE8E55">
                  <w:pPr>
                    <w:jc w:val="center"/>
                    <w:rPr>
                      <w:szCs w:val="21"/>
                    </w:rPr>
                  </w:pPr>
                  <w:r>
                    <w:rPr>
                      <w:szCs w:val="21"/>
                    </w:rPr>
                    <w:t>执行排放标准</w:t>
                  </w:r>
                </w:p>
              </w:tc>
            </w:tr>
            <w:tr w14:paraId="198A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vMerge w:val="restart"/>
                  <w:shd w:val="clear" w:color="auto" w:fill="auto"/>
                  <w:vAlign w:val="center"/>
                </w:tcPr>
                <w:p w14:paraId="4B8DA90D">
                  <w:pPr>
                    <w:jc w:val="center"/>
                    <w:rPr>
                      <w:szCs w:val="21"/>
                      <w:highlight w:val="yellow"/>
                    </w:rPr>
                  </w:pPr>
                  <w:r>
                    <w:rPr>
                      <w:rFonts w:hint="eastAsia"/>
                      <w:szCs w:val="21"/>
                    </w:rPr>
                    <w:t>DA005</w:t>
                  </w:r>
                </w:p>
              </w:tc>
              <w:tc>
                <w:tcPr>
                  <w:tcW w:w="1309" w:type="pct"/>
                  <w:shd w:val="clear" w:color="auto" w:fill="auto"/>
                  <w:vAlign w:val="center"/>
                </w:tcPr>
                <w:p w14:paraId="149B3490">
                  <w:pPr>
                    <w:jc w:val="center"/>
                    <w:rPr>
                      <w:szCs w:val="21"/>
                    </w:rPr>
                  </w:pPr>
                  <w:r>
                    <w:rPr>
                      <w:rFonts w:hint="eastAsia"/>
                      <w:szCs w:val="21"/>
                    </w:rPr>
                    <w:t>VOCs（以非甲烷总烃计）</w:t>
                  </w:r>
                </w:p>
              </w:tc>
              <w:tc>
                <w:tcPr>
                  <w:tcW w:w="982" w:type="pct"/>
                  <w:shd w:val="clear" w:color="auto" w:fill="auto"/>
                  <w:vAlign w:val="center"/>
                </w:tcPr>
                <w:p w14:paraId="213C2DD0">
                  <w:pPr>
                    <w:jc w:val="center"/>
                    <w:rPr>
                      <w:szCs w:val="21"/>
                    </w:rPr>
                  </w:pPr>
                  <w:r>
                    <w:rPr>
                      <w:rFonts w:hint="eastAsia"/>
                      <w:szCs w:val="21"/>
                    </w:rPr>
                    <w:t>半年/次</w:t>
                  </w:r>
                </w:p>
              </w:tc>
              <w:tc>
                <w:tcPr>
                  <w:tcW w:w="1650" w:type="pct"/>
                  <w:vMerge w:val="restart"/>
                  <w:vAlign w:val="center"/>
                </w:tcPr>
                <w:p w14:paraId="1CB65291">
                  <w:pPr>
                    <w:jc w:val="center"/>
                    <w:rPr>
                      <w:szCs w:val="21"/>
                    </w:rPr>
                  </w:pPr>
                  <w:r>
                    <w:rPr>
                      <w:rFonts w:hint="eastAsia"/>
                      <w:szCs w:val="21"/>
                    </w:rPr>
                    <w:t>《四川省固定污染源大气挥发性有机物排放标准》（DB51/2377-2017）</w:t>
                  </w:r>
                </w:p>
              </w:tc>
            </w:tr>
            <w:tr w14:paraId="1699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vMerge w:val="continue"/>
                  <w:shd w:val="clear" w:color="auto" w:fill="auto"/>
                  <w:vAlign w:val="center"/>
                </w:tcPr>
                <w:p w14:paraId="5FA21FAA">
                  <w:pPr>
                    <w:jc w:val="center"/>
                    <w:rPr>
                      <w:szCs w:val="21"/>
                      <w:highlight w:val="yellow"/>
                    </w:rPr>
                  </w:pPr>
                </w:p>
              </w:tc>
              <w:tc>
                <w:tcPr>
                  <w:tcW w:w="1309" w:type="pct"/>
                  <w:shd w:val="clear" w:color="auto" w:fill="auto"/>
                  <w:vAlign w:val="center"/>
                </w:tcPr>
                <w:p w14:paraId="69A5A548">
                  <w:pPr>
                    <w:jc w:val="center"/>
                    <w:rPr>
                      <w:szCs w:val="21"/>
                    </w:rPr>
                  </w:pPr>
                  <w:r>
                    <w:rPr>
                      <w:rFonts w:hint="eastAsia"/>
                      <w:szCs w:val="21"/>
                    </w:rPr>
                    <w:t>甲苯、乙苯</w:t>
                  </w:r>
                </w:p>
              </w:tc>
              <w:tc>
                <w:tcPr>
                  <w:tcW w:w="982" w:type="pct"/>
                  <w:shd w:val="clear" w:color="auto" w:fill="auto"/>
                  <w:vAlign w:val="center"/>
                </w:tcPr>
                <w:p w14:paraId="12C2A3E9">
                  <w:pPr>
                    <w:jc w:val="center"/>
                    <w:rPr>
                      <w:szCs w:val="21"/>
                    </w:rPr>
                  </w:pPr>
                  <w:r>
                    <w:rPr>
                      <w:rFonts w:hint="eastAsia"/>
                      <w:szCs w:val="21"/>
                    </w:rPr>
                    <w:t>1年/次</w:t>
                  </w:r>
                </w:p>
              </w:tc>
              <w:tc>
                <w:tcPr>
                  <w:tcW w:w="1650" w:type="pct"/>
                  <w:vMerge w:val="continue"/>
                  <w:vAlign w:val="center"/>
                </w:tcPr>
                <w:p w14:paraId="5016D292">
                  <w:pPr>
                    <w:jc w:val="center"/>
                    <w:rPr>
                      <w:szCs w:val="21"/>
                    </w:rPr>
                  </w:pPr>
                </w:p>
              </w:tc>
            </w:tr>
            <w:tr w14:paraId="4F0D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vMerge w:val="continue"/>
                  <w:shd w:val="clear" w:color="auto" w:fill="auto"/>
                  <w:vAlign w:val="center"/>
                </w:tcPr>
                <w:p w14:paraId="671A5C05">
                  <w:pPr>
                    <w:jc w:val="center"/>
                    <w:rPr>
                      <w:szCs w:val="21"/>
                    </w:rPr>
                  </w:pPr>
                </w:p>
              </w:tc>
              <w:tc>
                <w:tcPr>
                  <w:tcW w:w="1309" w:type="pct"/>
                  <w:shd w:val="clear" w:color="auto" w:fill="auto"/>
                  <w:vAlign w:val="center"/>
                </w:tcPr>
                <w:p w14:paraId="79490B92">
                  <w:pPr>
                    <w:jc w:val="center"/>
                    <w:rPr>
                      <w:szCs w:val="21"/>
                    </w:rPr>
                  </w:pPr>
                  <w:r>
                    <w:rPr>
                      <w:rFonts w:hint="eastAsia"/>
                      <w:szCs w:val="21"/>
                    </w:rPr>
                    <w:t>苯乙烯、丙烯腈、1,3-丁二烯</w:t>
                  </w:r>
                </w:p>
              </w:tc>
              <w:tc>
                <w:tcPr>
                  <w:tcW w:w="982" w:type="pct"/>
                  <w:shd w:val="clear" w:color="auto" w:fill="auto"/>
                  <w:vAlign w:val="center"/>
                </w:tcPr>
                <w:p w14:paraId="024DE57E">
                  <w:pPr>
                    <w:jc w:val="center"/>
                    <w:rPr>
                      <w:szCs w:val="21"/>
                    </w:rPr>
                  </w:pPr>
                  <w:r>
                    <w:rPr>
                      <w:rFonts w:hint="eastAsia"/>
                      <w:szCs w:val="21"/>
                    </w:rPr>
                    <w:t>1年/次</w:t>
                  </w:r>
                </w:p>
              </w:tc>
              <w:tc>
                <w:tcPr>
                  <w:tcW w:w="1650" w:type="pct"/>
                  <w:vAlign w:val="center"/>
                </w:tcPr>
                <w:p w14:paraId="0169B339">
                  <w:pPr>
                    <w:jc w:val="center"/>
                    <w:rPr>
                      <w:szCs w:val="21"/>
                    </w:rPr>
                  </w:pPr>
                  <w:r>
                    <w:rPr>
                      <w:rFonts w:hint="eastAsia"/>
                      <w:szCs w:val="21"/>
                    </w:rPr>
                    <w:t>《合成树脂工业污染物排放标准》（GB31572-2015）（含2024年修改单）</w:t>
                  </w:r>
                </w:p>
              </w:tc>
            </w:tr>
          </w:tbl>
          <w:p w14:paraId="03688C26">
            <w:pPr>
              <w:pStyle w:val="51"/>
              <w:numPr>
                <w:ilvl w:val="0"/>
                <w:numId w:val="6"/>
              </w:numPr>
              <w:spacing w:line="360" w:lineRule="auto"/>
              <w:ind w:firstLineChars="0"/>
              <w:jc w:val="center"/>
              <w:rPr>
                <w:rFonts w:eastAsia="黑体" w:cs="Times New Roman"/>
                <w:szCs w:val="21"/>
              </w:rPr>
            </w:pPr>
            <w:r>
              <w:rPr>
                <w:rFonts w:hint="eastAsia" w:eastAsia="黑体"/>
                <w:szCs w:val="21"/>
              </w:rPr>
              <w:t>无</w:t>
            </w:r>
            <w:r>
              <w:rPr>
                <w:rFonts w:eastAsia="黑体"/>
                <w:szCs w:val="21"/>
              </w:rPr>
              <w:t>组织</w:t>
            </w:r>
            <w:r>
              <w:rPr>
                <w:rFonts w:hint="eastAsia" w:eastAsia="黑体"/>
                <w:szCs w:val="21"/>
              </w:rPr>
              <w:t>废气监测方案</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0"/>
              <w:gridCol w:w="2398"/>
              <w:gridCol w:w="1799"/>
              <w:gridCol w:w="3022"/>
            </w:tblGrid>
            <w:tr w14:paraId="78FA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shd w:val="clear" w:color="auto" w:fill="auto"/>
                  <w:vAlign w:val="center"/>
                </w:tcPr>
                <w:p w14:paraId="249AC62D">
                  <w:pPr>
                    <w:jc w:val="center"/>
                    <w:rPr>
                      <w:szCs w:val="21"/>
                    </w:rPr>
                  </w:pPr>
                  <w:r>
                    <w:rPr>
                      <w:szCs w:val="21"/>
                    </w:rPr>
                    <w:t>监测点位</w:t>
                  </w:r>
                </w:p>
              </w:tc>
              <w:tc>
                <w:tcPr>
                  <w:tcW w:w="1309" w:type="pct"/>
                  <w:shd w:val="clear" w:color="auto" w:fill="auto"/>
                  <w:vAlign w:val="center"/>
                </w:tcPr>
                <w:p w14:paraId="60B178D9">
                  <w:pPr>
                    <w:jc w:val="center"/>
                    <w:rPr>
                      <w:szCs w:val="21"/>
                    </w:rPr>
                  </w:pPr>
                  <w:r>
                    <w:rPr>
                      <w:szCs w:val="21"/>
                    </w:rPr>
                    <w:t>监测指标</w:t>
                  </w:r>
                </w:p>
              </w:tc>
              <w:tc>
                <w:tcPr>
                  <w:tcW w:w="982" w:type="pct"/>
                  <w:shd w:val="clear" w:color="auto" w:fill="auto"/>
                  <w:vAlign w:val="center"/>
                </w:tcPr>
                <w:p w14:paraId="13760822">
                  <w:pPr>
                    <w:jc w:val="center"/>
                    <w:rPr>
                      <w:szCs w:val="21"/>
                    </w:rPr>
                  </w:pPr>
                  <w:r>
                    <w:rPr>
                      <w:szCs w:val="21"/>
                    </w:rPr>
                    <w:t>监测频次</w:t>
                  </w:r>
                </w:p>
              </w:tc>
              <w:tc>
                <w:tcPr>
                  <w:tcW w:w="1650" w:type="pct"/>
                </w:tcPr>
                <w:p w14:paraId="3222B806">
                  <w:pPr>
                    <w:jc w:val="center"/>
                    <w:rPr>
                      <w:szCs w:val="21"/>
                    </w:rPr>
                  </w:pPr>
                  <w:r>
                    <w:rPr>
                      <w:szCs w:val="21"/>
                    </w:rPr>
                    <w:t>执行排放标准</w:t>
                  </w:r>
                </w:p>
              </w:tc>
            </w:tr>
            <w:tr w14:paraId="104D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vMerge w:val="restart"/>
                  <w:shd w:val="clear" w:color="auto" w:fill="auto"/>
                  <w:vAlign w:val="center"/>
                </w:tcPr>
                <w:p w14:paraId="406A6C34">
                  <w:pPr>
                    <w:jc w:val="center"/>
                    <w:rPr>
                      <w:szCs w:val="21"/>
                    </w:rPr>
                  </w:pPr>
                  <w:r>
                    <w:rPr>
                      <w:rFonts w:hint="eastAsia"/>
                      <w:szCs w:val="21"/>
                    </w:rPr>
                    <w:t>厂界</w:t>
                  </w:r>
                </w:p>
              </w:tc>
              <w:tc>
                <w:tcPr>
                  <w:tcW w:w="1309" w:type="pct"/>
                  <w:shd w:val="clear" w:color="auto" w:fill="auto"/>
                  <w:vAlign w:val="center"/>
                </w:tcPr>
                <w:p w14:paraId="4DC5EA2C">
                  <w:pPr>
                    <w:jc w:val="center"/>
                    <w:rPr>
                      <w:szCs w:val="21"/>
                    </w:rPr>
                  </w:pPr>
                  <w:r>
                    <w:rPr>
                      <w:rFonts w:hint="eastAsia"/>
                      <w:szCs w:val="21"/>
                    </w:rPr>
                    <w:t>VOCs（以非甲烷总烃计）、苯乙烯、1,3-丁二烯、甲苯、乙苯</w:t>
                  </w:r>
                </w:p>
              </w:tc>
              <w:tc>
                <w:tcPr>
                  <w:tcW w:w="982" w:type="pct"/>
                  <w:shd w:val="clear" w:color="auto" w:fill="auto"/>
                  <w:vAlign w:val="center"/>
                </w:tcPr>
                <w:p w14:paraId="3CB56750">
                  <w:pPr>
                    <w:jc w:val="center"/>
                    <w:rPr>
                      <w:szCs w:val="21"/>
                    </w:rPr>
                  </w:pPr>
                  <w:r>
                    <w:rPr>
                      <w:rFonts w:hint="eastAsia"/>
                      <w:szCs w:val="21"/>
                    </w:rPr>
                    <w:t>1年/次</w:t>
                  </w:r>
                </w:p>
              </w:tc>
              <w:tc>
                <w:tcPr>
                  <w:tcW w:w="1650" w:type="pct"/>
                  <w:vAlign w:val="center"/>
                </w:tcPr>
                <w:p w14:paraId="16492CED">
                  <w:pPr>
                    <w:jc w:val="center"/>
                    <w:rPr>
                      <w:szCs w:val="21"/>
                    </w:rPr>
                  </w:pPr>
                  <w:r>
                    <w:rPr>
                      <w:rFonts w:hint="eastAsia"/>
                      <w:szCs w:val="21"/>
                    </w:rPr>
                    <w:t>《四川省固定污染源大气挥发性有机物排放标准》（DB51/2377-2017）</w:t>
                  </w:r>
                </w:p>
              </w:tc>
            </w:tr>
            <w:tr w14:paraId="10D6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vMerge w:val="continue"/>
                  <w:shd w:val="clear" w:color="auto" w:fill="auto"/>
                  <w:vAlign w:val="center"/>
                </w:tcPr>
                <w:p w14:paraId="7C5604DB">
                  <w:pPr>
                    <w:jc w:val="center"/>
                    <w:rPr>
                      <w:szCs w:val="21"/>
                    </w:rPr>
                  </w:pPr>
                </w:p>
              </w:tc>
              <w:tc>
                <w:tcPr>
                  <w:tcW w:w="1309" w:type="pct"/>
                  <w:shd w:val="clear" w:color="auto" w:fill="auto"/>
                  <w:vAlign w:val="center"/>
                </w:tcPr>
                <w:p w14:paraId="0B054457">
                  <w:pPr>
                    <w:jc w:val="center"/>
                    <w:rPr>
                      <w:szCs w:val="21"/>
                    </w:rPr>
                  </w:pPr>
                  <w:r>
                    <w:rPr>
                      <w:rFonts w:hint="eastAsia"/>
                      <w:szCs w:val="21"/>
                    </w:rPr>
                    <w:t>丙烯腈</w:t>
                  </w:r>
                </w:p>
              </w:tc>
              <w:tc>
                <w:tcPr>
                  <w:tcW w:w="982" w:type="pct"/>
                  <w:shd w:val="clear" w:color="auto" w:fill="auto"/>
                  <w:vAlign w:val="center"/>
                </w:tcPr>
                <w:p w14:paraId="641B7DF8">
                  <w:pPr>
                    <w:jc w:val="center"/>
                    <w:rPr>
                      <w:szCs w:val="21"/>
                    </w:rPr>
                  </w:pPr>
                  <w:r>
                    <w:rPr>
                      <w:rFonts w:hint="eastAsia"/>
                      <w:szCs w:val="21"/>
                    </w:rPr>
                    <w:t>1年/次</w:t>
                  </w:r>
                </w:p>
              </w:tc>
              <w:tc>
                <w:tcPr>
                  <w:tcW w:w="1650" w:type="pct"/>
                  <w:vAlign w:val="center"/>
                </w:tcPr>
                <w:p w14:paraId="0DBC6E0F">
                  <w:pPr>
                    <w:jc w:val="center"/>
                    <w:rPr>
                      <w:szCs w:val="21"/>
                    </w:rPr>
                  </w:pPr>
                  <w:r>
                    <w:rPr>
                      <w:rFonts w:hint="eastAsia"/>
                      <w:szCs w:val="21"/>
                    </w:rPr>
                    <w:t>《大气污染物综合排放标准》（GB16297-1996）</w:t>
                  </w:r>
                </w:p>
              </w:tc>
            </w:tr>
            <w:tr w14:paraId="5E23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59" w:type="pct"/>
                  <w:shd w:val="clear" w:color="auto" w:fill="auto"/>
                  <w:vAlign w:val="center"/>
                </w:tcPr>
                <w:p w14:paraId="22A3BBE3">
                  <w:pPr>
                    <w:jc w:val="center"/>
                    <w:rPr>
                      <w:szCs w:val="21"/>
                    </w:rPr>
                  </w:pPr>
                  <w:r>
                    <w:rPr>
                      <w:rFonts w:hint="eastAsia"/>
                      <w:szCs w:val="21"/>
                    </w:rPr>
                    <w:t>生产车间外</w:t>
                  </w:r>
                </w:p>
              </w:tc>
              <w:tc>
                <w:tcPr>
                  <w:tcW w:w="1309" w:type="pct"/>
                  <w:shd w:val="clear" w:color="auto" w:fill="auto"/>
                  <w:vAlign w:val="center"/>
                </w:tcPr>
                <w:p w14:paraId="7E6BC74E">
                  <w:pPr>
                    <w:jc w:val="center"/>
                    <w:rPr>
                      <w:szCs w:val="21"/>
                    </w:rPr>
                  </w:pPr>
                  <w:r>
                    <w:rPr>
                      <w:rFonts w:hint="eastAsia"/>
                      <w:szCs w:val="21"/>
                    </w:rPr>
                    <w:t>NMHC</w:t>
                  </w:r>
                </w:p>
              </w:tc>
              <w:tc>
                <w:tcPr>
                  <w:tcW w:w="982" w:type="pct"/>
                  <w:shd w:val="clear" w:color="auto" w:fill="auto"/>
                  <w:vAlign w:val="center"/>
                </w:tcPr>
                <w:p w14:paraId="07CA055C">
                  <w:pPr>
                    <w:jc w:val="center"/>
                    <w:rPr>
                      <w:szCs w:val="21"/>
                    </w:rPr>
                  </w:pPr>
                  <w:r>
                    <w:rPr>
                      <w:rFonts w:hint="eastAsia"/>
                      <w:szCs w:val="21"/>
                    </w:rPr>
                    <w:t>1年/次</w:t>
                  </w:r>
                </w:p>
              </w:tc>
              <w:tc>
                <w:tcPr>
                  <w:tcW w:w="1650" w:type="pct"/>
                  <w:vAlign w:val="center"/>
                </w:tcPr>
                <w:p w14:paraId="6C3C3E03">
                  <w:pPr>
                    <w:jc w:val="center"/>
                    <w:rPr>
                      <w:szCs w:val="21"/>
                    </w:rPr>
                  </w:pPr>
                  <w:r>
                    <w:rPr>
                      <w:rFonts w:hint="eastAsia"/>
                      <w:szCs w:val="21"/>
                    </w:rPr>
                    <w:t>《挥发性有机物无组织排放控制标准》（GB37822-2019）</w:t>
                  </w:r>
                </w:p>
              </w:tc>
            </w:tr>
          </w:tbl>
          <w:p w14:paraId="20FAD3CB">
            <w:pPr>
              <w:spacing w:line="360" w:lineRule="auto"/>
              <w:ind w:firstLine="482" w:firstLineChars="200"/>
              <w:rPr>
                <w:b/>
                <w:sz w:val="24"/>
                <w:szCs w:val="24"/>
              </w:rPr>
            </w:pPr>
            <w:r>
              <w:rPr>
                <w:rFonts w:hint="eastAsia"/>
                <w:b/>
                <w:sz w:val="24"/>
                <w:szCs w:val="24"/>
              </w:rPr>
              <w:t>（</w:t>
            </w:r>
            <w:r>
              <w:rPr>
                <w:b/>
                <w:sz w:val="24"/>
                <w:szCs w:val="24"/>
              </w:rPr>
              <w:t>7</w:t>
            </w:r>
            <w:r>
              <w:rPr>
                <w:rFonts w:hint="eastAsia"/>
                <w:b/>
                <w:sz w:val="24"/>
                <w:szCs w:val="24"/>
              </w:rPr>
              <w:t>）环境影响结论</w:t>
            </w:r>
          </w:p>
          <w:p w14:paraId="519BC5D9">
            <w:pPr>
              <w:spacing w:line="360" w:lineRule="auto"/>
              <w:ind w:firstLine="480" w:firstLineChars="200"/>
              <w:rPr>
                <w:sz w:val="24"/>
                <w:szCs w:val="24"/>
              </w:rPr>
            </w:pPr>
            <w:r>
              <w:rPr>
                <w:sz w:val="24"/>
                <w:szCs w:val="24"/>
              </w:rPr>
              <w:t>本项目区域为环境空气质量达标区</w:t>
            </w:r>
            <w:r>
              <w:rPr>
                <w:rFonts w:hint="eastAsia"/>
                <w:sz w:val="24"/>
                <w:szCs w:val="24"/>
              </w:rPr>
              <w:t>，项目周边500m范围内无大气环境保护目标。运营期针对各废气排放源均采取针对性治理措施，各污染物均可实现达标排放，拟采取的治理技术可行，不会对区域大气环境造成不利影响。</w:t>
            </w:r>
          </w:p>
          <w:p w14:paraId="6001EB06">
            <w:pPr>
              <w:spacing w:line="360" w:lineRule="auto"/>
              <w:ind w:firstLine="482" w:firstLineChars="200"/>
              <w:rPr>
                <w:b/>
                <w:sz w:val="24"/>
                <w:szCs w:val="24"/>
              </w:rPr>
            </w:pPr>
            <w:r>
              <w:rPr>
                <w:b/>
                <w:sz w:val="24"/>
                <w:szCs w:val="24"/>
              </w:rPr>
              <w:t>2</w:t>
            </w:r>
            <w:r>
              <w:rPr>
                <w:rFonts w:hint="eastAsia"/>
                <w:b/>
                <w:sz w:val="24"/>
                <w:szCs w:val="24"/>
              </w:rPr>
              <w:t>、废水</w:t>
            </w:r>
          </w:p>
          <w:p w14:paraId="44A2332D">
            <w:pPr>
              <w:spacing w:line="360" w:lineRule="auto"/>
              <w:ind w:firstLine="482" w:firstLineChars="200"/>
              <w:rPr>
                <w:b/>
                <w:sz w:val="24"/>
                <w:szCs w:val="24"/>
              </w:rPr>
            </w:pPr>
            <w:r>
              <w:rPr>
                <w:rFonts w:hint="eastAsia"/>
                <w:b/>
                <w:sz w:val="24"/>
                <w:szCs w:val="24"/>
              </w:rPr>
              <w:t>（1）产生情况及治理措施</w:t>
            </w:r>
          </w:p>
          <w:p w14:paraId="1D9211B4">
            <w:pPr>
              <w:spacing w:line="360" w:lineRule="auto"/>
              <w:ind w:firstLine="482" w:firstLineChars="200"/>
              <w:rPr>
                <w:b/>
                <w:sz w:val="24"/>
                <w:szCs w:val="24"/>
              </w:rPr>
            </w:pPr>
            <w:r>
              <w:rPr>
                <w:rFonts w:hint="eastAsia"/>
                <w:b/>
                <w:sz w:val="24"/>
                <w:szCs w:val="24"/>
              </w:rPr>
              <w:t>①产生情况</w:t>
            </w:r>
          </w:p>
          <w:p w14:paraId="158ACEA2">
            <w:pPr>
              <w:spacing w:line="360" w:lineRule="auto"/>
              <w:ind w:firstLine="480"/>
              <w:rPr>
                <w:kern w:val="24"/>
                <w:sz w:val="24"/>
                <w:szCs w:val="24"/>
              </w:rPr>
            </w:pPr>
            <w:r>
              <w:rPr>
                <w:sz w:val="24"/>
                <w:szCs w:val="24"/>
              </w:rPr>
              <w:t>本</w:t>
            </w:r>
            <w:r>
              <w:rPr>
                <w:rFonts w:hint="eastAsia"/>
                <w:sz w:val="24"/>
                <w:szCs w:val="24"/>
              </w:rPr>
              <w:t>项目生产车间采用干式清洁，运营期外排废水主要为</w:t>
            </w:r>
            <w:r>
              <w:rPr>
                <w:rFonts w:hint="eastAsia"/>
                <w:kern w:val="24"/>
                <w:sz w:val="24"/>
                <w:szCs w:val="24"/>
              </w:rPr>
              <w:t>生活污水、食堂废水和循环冷却排污水。根据水量平衡核算，项目新增生活污水、食堂废水量分别为</w:t>
            </w:r>
            <w:r>
              <w:rPr>
                <w:rFonts w:hint="eastAsia"/>
                <w:bCs/>
                <w:sz w:val="24"/>
                <w:szCs w:val="24"/>
              </w:rPr>
              <w:t>2.21</w:t>
            </w:r>
            <w:r>
              <w:rPr>
                <w:sz w:val="24"/>
                <w:szCs w:val="24"/>
              </w:rPr>
              <w:t>m</w:t>
            </w:r>
            <w:r>
              <w:rPr>
                <w:sz w:val="24"/>
                <w:szCs w:val="24"/>
                <w:vertAlign w:val="superscript"/>
              </w:rPr>
              <w:t>3</w:t>
            </w:r>
            <w:r>
              <w:rPr>
                <w:sz w:val="24"/>
                <w:szCs w:val="24"/>
              </w:rPr>
              <w:t>/</w:t>
            </w:r>
            <w:r>
              <w:rPr>
                <w:rFonts w:hint="eastAsia"/>
                <w:sz w:val="24"/>
                <w:szCs w:val="24"/>
              </w:rPr>
              <w:t>d、</w:t>
            </w:r>
            <w:r>
              <w:rPr>
                <w:rFonts w:hint="eastAsia"/>
                <w:bCs/>
                <w:sz w:val="24"/>
                <w:szCs w:val="24"/>
              </w:rPr>
              <w:t>0.553</w:t>
            </w:r>
            <w:r>
              <w:rPr>
                <w:sz w:val="24"/>
                <w:szCs w:val="24"/>
              </w:rPr>
              <w:t>m</w:t>
            </w:r>
            <w:r>
              <w:rPr>
                <w:sz w:val="24"/>
                <w:szCs w:val="24"/>
                <w:vertAlign w:val="superscript"/>
              </w:rPr>
              <w:t>3</w:t>
            </w:r>
            <w:r>
              <w:rPr>
                <w:sz w:val="24"/>
                <w:szCs w:val="24"/>
              </w:rPr>
              <w:t>/</w:t>
            </w:r>
            <w:r>
              <w:rPr>
                <w:rFonts w:hint="eastAsia"/>
                <w:sz w:val="24"/>
                <w:szCs w:val="24"/>
              </w:rPr>
              <w:t>d</w:t>
            </w:r>
            <w:r>
              <w:rPr>
                <w:rFonts w:hint="eastAsia"/>
                <w:kern w:val="24"/>
                <w:sz w:val="24"/>
                <w:szCs w:val="24"/>
              </w:rPr>
              <w:t>，</w:t>
            </w:r>
            <w:r>
              <w:rPr>
                <w:rFonts w:cs="Times New Roman"/>
                <w:sz w:val="24"/>
                <w:szCs w:val="24"/>
              </w:rPr>
              <w:t>根据</w:t>
            </w:r>
            <w:r>
              <w:rPr>
                <w:rFonts w:hint="eastAsia" w:cs="Times New Roman"/>
                <w:sz w:val="24"/>
                <w:szCs w:val="24"/>
              </w:rPr>
              <w:t>《排放源统计调查产排污核算方法和系数手册》（公告2021年第24号）中“生活源产排污核算方法和系数手册”，</w:t>
            </w:r>
            <w:r>
              <w:rPr>
                <w:rFonts w:hint="eastAsia"/>
                <w:kern w:val="24"/>
                <w:sz w:val="24"/>
                <w:szCs w:val="24"/>
              </w:rPr>
              <w:t>主要污染物</w:t>
            </w:r>
            <w:r>
              <w:rPr>
                <w:rFonts w:hint="eastAsia"/>
                <w:sz w:val="24"/>
                <w:szCs w:val="24"/>
              </w:rPr>
              <w:t>浓度COD：</w:t>
            </w:r>
            <w:r>
              <w:rPr>
                <w:sz w:val="24"/>
                <w:szCs w:val="24"/>
              </w:rPr>
              <w:t>325</w:t>
            </w:r>
            <w:r>
              <w:rPr>
                <w:rFonts w:hint="eastAsia"/>
                <w:sz w:val="24"/>
                <w:szCs w:val="24"/>
              </w:rPr>
              <w:t>mg</w:t>
            </w:r>
            <w:r>
              <w:rPr>
                <w:sz w:val="24"/>
                <w:szCs w:val="24"/>
              </w:rPr>
              <w:t>/L</w:t>
            </w:r>
            <w:r>
              <w:rPr>
                <w:rFonts w:hint="eastAsia"/>
                <w:sz w:val="24"/>
                <w:szCs w:val="24"/>
              </w:rPr>
              <w:t>、BOD</w:t>
            </w:r>
            <w:r>
              <w:rPr>
                <w:rFonts w:hint="eastAsia"/>
                <w:sz w:val="24"/>
                <w:szCs w:val="24"/>
                <w:vertAlign w:val="subscript"/>
              </w:rPr>
              <w:t>5</w:t>
            </w:r>
            <w:r>
              <w:rPr>
                <w:rFonts w:hint="eastAsia"/>
                <w:sz w:val="24"/>
                <w:szCs w:val="24"/>
              </w:rPr>
              <w:t>：</w:t>
            </w:r>
            <w:r>
              <w:rPr>
                <w:sz w:val="24"/>
                <w:szCs w:val="24"/>
              </w:rPr>
              <w:t>140</w:t>
            </w:r>
            <w:r>
              <w:rPr>
                <w:rFonts w:hint="eastAsia"/>
                <w:sz w:val="24"/>
                <w:szCs w:val="24"/>
              </w:rPr>
              <w:t>mg</w:t>
            </w:r>
            <w:r>
              <w:rPr>
                <w:sz w:val="24"/>
                <w:szCs w:val="24"/>
              </w:rPr>
              <w:t>/L</w:t>
            </w:r>
            <w:r>
              <w:rPr>
                <w:rFonts w:hint="eastAsia"/>
                <w:sz w:val="24"/>
                <w:szCs w:val="24"/>
              </w:rPr>
              <w:t>、SS：</w:t>
            </w:r>
            <w:r>
              <w:rPr>
                <w:sz w:val="24"/>
                <w:szCs w:val="24"/>
              </w:rPr>
              <w:t>200</w:t>
            </w:r>
            <w:r>
              <w:rPr>
                <w:rFonts w:hint="eastAsia"/>
                <w:sz w:val="24"/>
                <w:szCs w:val="24"/>
              </w:rPr>
              <w:t>mg</w:t>
            </w:r>
            <w:r>
              <w:rPr>
                <w:sz w:val="24"/>
                <w:szCs w:val="24"/>
              </w:rPr>
              <w:t>/L</w:t>
            </w:r>
            <w:r>
              <w:rPr>
                <w:rFonts w:hint="eastAsia"/>
                <w:sz w:val="24"/>
                <w:szCs w:val="24"/>
              </w:rPr>
              <w:t>、NH</w:t>
            </w:r>
            <w:r>
              <w:rPr>
                <w:rFonts w:hint="eastAsia"/>
                <w:sz w:val="24"/>
                <w:szCs w:val="24"/>
                <w:vertAlign w:val="subscript"/>
              </w:rPr>
              <w:t>3</w:t>
            </w:r>
            <w:r>
              <w:rPr>
                <w:rFonts w:hint="eastAsia"/>
                <w:sz w:val="24"/>
                <w:szCs w:val="24"/>
              </w:rPr>
              <w:t>-N：</w:t>
            </w:r>
            <w:r>
              <w:rPr>
                <w:sz w:val="24"/>
                <w:szCs w:val="24"/>
              </w:rPr>
              <w:t>37.7</w:t>
            </w:r>
            <w:r>
              <w:rPr>
                <w:rFonts w:hint="eastAsia"/>
                <w:sz w:val="24"/>
                <w:szCs w:val="24"/>
              </w:rPr>
              <w:t>mg</w:t>
            </w:r>
            <w:r>
              <w:rPr>
                <w:sz w:val="24"/>
                <w:szCs w:val="24"/>
              </w:rPr>
              <w:t>/L</w:t>
            </w:r>
            <w:r>
              <w:rPr>
                <w:rFonts w:hint="eastAsia"/>
                <w:sz w:val="24"/>
                <w:szCs w:val="24"/>
              </w:rPr>
              <w:t>、TP：</w:t>
            </w:r>
            <w:r>
              <w:rPr>
                <w:sz w:val="24"/>
                <w:szCs w:val="24"/>
              </w:rPr>
              <w:t>4.28</w:t>
            </w:r>
            <w:r>
              <w:rPr>
                <w:rFonts w:hint="eastAsia"/>
                <w:sz w:val="24"/>
                <w:szCs w:val="24"/>
              </w:rPr>
              <w:t>mg</w:t>
            </w:r>
            <w:r>
              <w:rPr>
                <w:sz w:val="24"/>
                <w:szCs w:val="24"/>
              </w:rPr>
              <w:t>/L</w:t>
            </w:r>
            <w:r>
              <w:rPr>
                <w:rFonts w:hint="eastAsia"/>
                <w:sz w:val="24"/>
                <w:szCs w:val="24"/>
              </w:rPr>
              <w:t>、动植物油：</w:t>
            </w:r>
            <w:r>
              <w:rPr>
                <w:sz w:val="24"/>
                <w:szCs w:val="24"/>
              </w:rPr>
              <w:t>130</w:t>
            </w:r>
            <w:r>
              <w:rPr>
                <w:rFonts w:hint="eastAsia"/>
                <w:sz w:val="24"/>
                <w:szCs w:val="24"/>
              </w:rPr>
              <w:t>mg</w:t>
            </w:r>
            <w:r>
              <w:rPr>
                <w:sz w:val="24"/>
                <w:szCs w:val="24"/>
              </w:rPr>
              <w:t>/L</w:t>
            </w:r>
            <w:r>
              <w:rPr>
                <w:rFonts w:hint="eastAsia"/>
                <w:sz w:val="24"/>
                <w:szCs w:val="24"/>
              </w:rPr>
              <w:t>；新增</w:t>
            </w:r>
            <w:r>
              <w:rPr>
                <w:rFonts w:hint="eastAsia"/>
                <w:kern w:val="24"/>
                <w:sz w:val="24"/>
                <w:szCs w:val="24"/>
              </w:rPr>
              <w:t>循环冷却排污水量平均约0.64m</w:t>
            </w:r>
            <w:r>
              <w:rPr>
                <w:rFonts w:hint="eastAsia"/>
                <w:kern w:val="24"/>
                <w:sz w:val="24"/>
                <w:szCs w:val="24"/>
                <w:vertAlign w:val="superscript"/>
              </w:rPr>
              <w:t>3</w:t>
            </w:r>
            <w:r>
              <w:rPr>
                <w:rFonts w:hint="eastAsia"/>
                <w:kern w:val="24"/>
                <w:sz w:val="24"/>
                <w:szCs w:val="24"/>
              </w:rPr>
              <w:t>/d，参考</w:t>
            </w:r>
            <w:r>
              <w:rPr>
                <w:rFonts w:hint="eastAsia" w:cs="Times New Roman"/>
                <w:sz w:val="24"/>
                <w:szCs w:val="24"/>
              </w:rPr>
              <w:t>《排放源统计调查产排污核算方法和系数手册》（公告2021年第24号）中“锅炉产排污量核算系数手册”，</w:t>
            </w:r>
            <w:r>
              <w:rPr>
                <w:rFonts w:hint="eastAsia"/>
                <w:kern w:val="24"/>
                <w:sz w:val="24"/>
                <w:szCs w:val="24"/>
              </w:rPr>
              <w:t>主要污染物</w:t>
            </w:r>
            <w:r>
              <w:rPr>
                <w:rFonts w:hint="eastAsia"/>
                <w:sz w:val="24"/>
                <w:szCs w:val="24"/>
              </w:rPr>
              <w:t>浓度COD：80mg</w:t>
            </w:r>
            <w:r>
              <w:rPr>
                <w:sz w:val="24"/>
                <w:szCs w:val="24"/>
              </w:rPr>
              <w:t>/L</w:t>
            </w:r>
            <w:r>
              <w:rPr>
                <w:rFonts w:hint="eastAsia"/>
                <w:sz w:val="24"/>
                <w:szCs w:val="24"/>
              </w:rPr>
              <w:t>。</w:t>
            </w:r>
          </w:p>
          <w:p w14:paraId="19E3053F">
            <w:pPr>
              <w:spacing w:line="360" w:lineRule="auto"/>
              <w:ind w:firstLine="480"/>
              <w:rPr>
                <w:sz w:val="24"/>
                <w:szCs w:val="24"/>
              </w:rPr>
            </w:pPr>
            <w:r>
              <w:rPr>
                <w:rFonts w:hint="eastAsia"/>
                <w:sz w:val="24"/>
                <w:szCs w:val="24"/>
              </w:rPr>
              <w:t>项目废水产生情况见下表：</w:t>
            </w:r>
          </w:p>
          <w:p w14:paraId="60C9531C">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废水产生情况表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1478"/>
              <w:gridCol w:w="1235"/>
              <w:gridCol w:w="1389"/>
              <w:gridCol w:w="1709"/>
              <w:gridCol w:w="1709"/>
            </w:tblGrid>
            <w:tr w14:paraId="1580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vAlign w:val="center"/>
                </w:tcPr>
                <w:p w14:paraId="6414A677">
                  <w:pPr>
                    <w:jc w:val="center"/>
                    <w:rPr>
                      <w:szCs w:val="21"/>
                    </w:rPr>
                  </w:pPr>
                  <w:r>
                    <w:rPr>
                      <w:rFonts w:hint="eastAsia"/>
                      <w:szCs w:val="21"/>
                    </w:rPr>
                    <w:t>废水产污环节</w:t>
                  </w:r>
                </w:p>
              </w:tc>
              <w:tc>
                <w:tcPr>
                  <w:tcW w:w="807" w:type="pct"/>
                  <w:vMerge w:val="restart"/>
                  <w:vAlign w:val="center"/>
                </w:tcPr>
                <w:p w14:paraId="07430949">
                  <w:pPr>
                    <w:jc w:val="center"/>
                    <w:rPr>
                      <w:szCs w:val="21"/>
                    </w:rPr>
                  </w:pPr>
                  <w:r>
                    <w:rPr>
                      <w:szCs w:val="21"/>
                    </w:rPr>
                    <w:t>废水类别</w:t>
                  </w:r>
                </w:p>
              </w:tc>
              <w:tc>
                <w:tcPr>
                  <w:tcW w:w="674" w:type="pct"/>
                  <w:vMerge w:val="restart"/>
                  <w:vAlign w:val="center"/>
                </w:tcPr>
                <w:p w14:paraId="31C7F822">
                  <w:pPr>
                    <w:jc w:val="center"/>
                    <w:rPr>
                      <w:szCs w:val="21"/>
                    </w:rPr>
                  </w:pPr>
                  <w:r>
                    <w:rPr>
                      <w:szCs w:val="21"/>
                    </w:rPr>
                    <w:t>废水量</w:t>
                  </w:r>
                  <w:r>
                    <w:rPr>
                      <w:rFonts w:hint="eastAsia"/>
                      <w:szCs w:val="21"/>
                    </w:rPr>
                    <w:t>（</w:t>
                  </w:r>
                  <w:r>
                    <w:rPr>
                      <w:szCs w:val="21"/>
                    </w:rPr>
                    <w:t>m</w:t>
                  </w:r>
                  <w:r>
                    <w:rPr>
                      <w:szCs w:val="21"/>
                      <w:vertAlign w:val="superscript"/>
                    </w:rPr>
                    <w:t>3</w:t>
                  </w:r>
                  <w:r>
                    <w:rPr>
                      <w:szCs w:val="21"/>
                    </w:rPr>
                    <w:t>/</w:t>
                  </w:r>
                  <w:r>
                    <w:rPr>
                      <w:rFonts w:hint="eastAsia"/>
                      <w:szCs w:val="21"/>
                    </w:rPr>
                    <w:t>a）</w:t>
                  </w:r>
                </w:p>
              </w:tc>
              <w:tc>
                <w:tcPr>
                  <w:tcW w:w="758" w:type="pct"/>
                  <w:vMerge w:val="restart"/>
                  <w:vAlign w:val="center"/>
                </w:tcPr>
                <w:p w14:paraId="5F86F62F">
                  <w:pPr>
                    <w:jc w:val="center"/>
                    <w:rPr>
                      <w:szCs w:val="21"/>
                    </w:rPr>
                  </w:pPr>
                  <w:r>
                    <w:rPr>
                      <w:szCs w:val="21"/>
                    </w:rPr>
                    <w:t>污染物</w:t>
                  </w:r>
                  <w:r>
                    <w:rPr>
                      <w:rFonts w:hint="eastAsia"/>
                      <w:szCs w:val="21"/>
                    </w:rPr>
                    <w:t>种类</w:t>
                  </w:r>
                </w:p>
              </w:tc>
              <w:tc>
                <w:tcPr>
                  <w:tcW w:w="1866" w:type="pct"/>
                  <w:gridSpan w:val="2"/>
                  <w:vAlign w:val="center"/>
                </w:tcPr>
                <w:p w14:paraId="579F4E00">
                  <w:pPr>
                    <w:jc w:val="center"/>
                    <w:rPr>
                      <w:szCs w:val="21"/>
                    </w:rPr>
                  </w:pPr>
                  <w:r>
                    <w:rPr>
                      <w:szCs w:val="21"/>
                    </w:rPr>
                    <w:t>污染物产生量</w:t>
                  </w:r>
                </w:p>
              </w:tc>
            </w:tr>
            <w:tr w14:paraId="1C04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7592106A">
                  <w:pPr>
                    <w:jc w:val="center"/>
                    <w:rPr>
                      <w:szCs w:val="21"/>
                    </w:rPr>
                  </w:pPr>
                </w:p>
              </w:tc>
              <w:tc>
                <w:tcPr>
                  <w:tcW w:w="807" w:type="pct"/>
                  <w:vMerge w:val="continue"/>
                  <w:vAlign w:val="center"/>
                </w:tcPr>
                <w:p w14:paraId="7F8CB82D">
                  <w:pPr>
                    <w:jc w:val="center"/>
                    <w:rPr>
                      <w:szCs w:val="21"/>
                    </w:rPr>
                  </w:pPr>
                </w:p>
              </w:tc>
              <w:tc>
                <w:tcPr>
                  <w:tcW w:w="674" w:type="pct"/>
                  <w:vMerge w:val="continue"/>
                  <w:vAlign w:val="center"/>
                </w:tcPr>
                <w:p w14:paraId="54829859">
                  <w:pPr>
                    <w:jc w:val="center"/>
                    <w:rPr>
                      <w:szCs w:val="21"/>
                    </w:rPr>
                  </w:pPr>
                </w:p>
              </w:tc>
              <w:tc>
                <w:tcPr>
                  <w:tcW w:w="758" w:type="pct"/>
                  <w:vMerge w:val="continue"/>
                  <w:vAlign w:val="center"/>
                </w:tcPr>
                <w:p w14:paraId="311B6DDE">
                  <w:pPr>
                    <w:jc w:val="center"/>
                    <w:rPr>
                      <w:szCs w:val="21"/>
                    </w:rPr>
                  </w:pPr>
                </w:p>
              </w:tc>
              <w:tc>
                <w:tcPr>
                  <w:tcW w:w="933" w:type="pct"/>
                  <w:vAlign w:val="center"/>
                </w:tcPr>
                <w:p w14:paraId="0452A7D5">
                  <w:pPr>
                    <w:jc w:val="center"/>
                    <w:rPr>
                      <w:szCs w:val="21"/>
                    </w:rPr>
                  </w:pPr>
                  <w:r>
                    <w:rPr>
                      <w:rFonts w:hint="eastAsia"/>
                      <w:szCs w:val="21"/>
                    </w:rPr>
                    <w:t>浓度（</w:t>
                  </w:r>
                  <w:r>
                    <w:rPr>
                      <w:szCs w:val="21"/>
                    </w:rPr>
                    <w:t>mg</w:t>
                  </w:r>
                  <w:r>
                    <w:rPr>
                      <w:rFonts w:hint="eastAsia"/>
                      <w:szCs w:val="21"/>
                    </w:rPr>
                    <w:t>/L）</w:t>
                  </w:r>
                </w:p>
              </w:tc>
              <w:tc>
                <w:tcPr>
                  <w:tcW w:w="933" w:type="pct"/>
                  <w:vAlign w:val="center"/>
                </w:tcPr>
                <w:p w14:paraId="71FD431C">
                  <w:pPr>
                    <w:jc w:val="center"/>
                    <w:rPr>
                      <w:szCs w:val="21"/>
                    </w:rPr>
                  </w:pPr>
                  <w:r>
                    <w:rPr>
                      <w:rFonts w:hint="eastAsia"/>
                      <w:szCs w:val="21"/>
                    </w:rPr>
                    <w:t>产生量（t</w:t>
                  </w:r>
                  <w:r>
                    <w:rPr>
                      <w:szCs w:val="21"/>
                    </w:rPr>
                    <w:t>/a</w:t>
                  </w:r>
                  <w:r>
                    <w:rPr>
                      <w:rFonts w:hint="eastAsia"/>
                      <w:szCs w:val="21"/>
                    </w:rPr>
                    <w:t>）</w:t>
                  </w:r>
                </w:p>
              </w:tc>
            </w:tr>
            <w:tr w14:paraId="74F5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restart"/>
                  <w:vAlign w:val="center"/>
                </w:tcPr>
                <w:p w14:paraId="71DDFEA9">
                  <w:pPr>
                    <w:jc w:val="center"/>
                    <w:rPr>
                      <w:szCs w:val="21"/>
                    </w:rPr>
                  </w:pPr>
                  <w:r>
                    <w:rPr>
                      <w:rFonts w:hint="eastAsia"/>
                      <w:szCs w:val="21"/>
                    </w:rPr>
                    <w:t>生产人员</w:t>
                  </w:r>
                </w:p>
              </w:tc>
              <w:tc>
                <w:tcPr>
                  <w:tcW w:w="807" w:type="pct"/>
                  <w:vMerge w:val="restart"/>
                  <w:vAlign w:val="center"/>
                </w:tcPr>
                <w:p w14:paraId="6C7F92A0">
                  <w:pPr>
                    <w:jc w:val="center"/>
                    <w:rPr>
                      <w:szCs w:val="21"/>
                    </w:rPr>
                  </w:pPr>
                  <w:r>
                    <w:rPr>
                      <w:rFonts w:hint="eastAsia"/>
                      <w:szCs w:val="21"/>
                    </w:rPr>
                    <w:t>生活污水、食堂废水</w:t>
                  </w:r>
                </w:p>
              </w:tc>
              <w:tc>
                <w:tcPr>
                  <w:tcW w:w="674" w:type="pct"/>
                  <w:vMerge w:val="restart"/>
                  <w:vAlign w:val="center"/>
                </w:tcPr>
                <w:p w14:paraId="7529006E">
                  <w:pPr>
                    <w:jc w:val="center"/>
                    <w:rPr>
                      <w:szCs w:val="21"/>
                    </w:rPr>
                  </w:pPr>
                  <w:r>
                    <w:rPr>
                      <w:rFonts w:hint="eastAsia"/>
                      <w:szCs w:val="21"/>
                    </w:rPr>
                    <w:t>690.75</w:t>
                  </w:r>
                </w:p>
              </w:tc>
              <w:tc>
                <w:tcPr>
                  <w:tcW w:w="758" w:type="pct"/>
                  <w:vAlign w:val="center"/>
                </w:tcPr>
                <w:p w14:paraId="410262FD">
                  <w:pPr>
                    <w:jc w:val="center"/>
                    <w:rPr>
                      <w:szCs w:val="21"/>
                    </w:rPr>
                  </w:pPr>
                  <w:r>
                    <w:rPr>
                      <w:szCs w:val="21"/>
                    </w:rPr>
                    <w:t>COD</w:t>
                  </w:r>
                </w:p>
              </w:tc>
              <w:tc>
                <w:tcPr>
                  <w:tcW w:w="933" w:type="pct"/>
                  <w:vAlign w:val="center"/>
                </w:tcPr>
                <w:p w14:paraId="139C5476">
                  <w:pPr>
                    <w:widowControl/>
                    <w:jc w:val="center"/>
                    <w:rPr>
                      <w:rFonts w:cs="Times New Roman"/>
                      <w:kern w:val="0"/>
                      <w:szCs w:val="21"/>
                    </w:rPr>
                  </w:pPr>
                  <w:r>
                    <w:rPr>
                      <w:rFonts w:hint="eastAsia" w:cs="Times New Roman"/>
                      <w:kern w:val="0"/>
                      <w:szCs w:val="21"/>
                    </w:rPr>
                    <w:t>3</w:t>
                  </w:r>
                  <w:r>
                    <w:rPr>
                      <w:rFonts w:cs="Times New Roman"/>
                      <w:kern w:val="0"/>
                      <w:szCs w:val="21"/>
                    </w:rPr>
                    <w:t>25</w:t>
                  </w:r>
                </w:p>
              </w:tc>
              <w:tc>
                <w:tcPr>
                  <w:tcW w:w="933" w:type="pct"/>
                  <w:vAlign w:val="center"/>
                </w:tcPr>
                <w:p w14:paraId="6F60F075">
                  <w:pPr>
                    <w:widowControl/>
                    <w:jc w:val="center"/>
                    <w:rPr>
                      <w:rFonts w:cs="Times New Roman"/>
                      <w:kern w:val="0"/>
                      <w:szCs w:val="21"/>
                    </w:rPr>
                  </w:pPr>
                  <w:r>
                    <w:rPr>
                      <w:rFonts w:hint="eastAsia" w:cs="Times New Roman"/>
                      <w:kern w:val="0"/>
                      <w:szCs w:val="21"/>
                    </w:rPr>
                    <w:t>0.2245</w:t>
                  </w:r>
                </w:p>
              </w:tc>
            </w:tr>
            <w:tr w14:paraId="1566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0DC23749">
                  <w:pPr>
                    <w:jc w:val="center"/>
                    <w:rPr>
                      <w:szCs w:val="21"/>
                    </w:rPr>
                  </w:pPr>
                </w:p>
              </w:tc>
              <w:tc>
                <w:tcPr>
                  <w:tcW w:w="807" w:type="pct"/>
                  <w:vMerge w:val="continue"/>
                  <w:vAlign w:val="center"/>
                </w:tcPr>
                <w:p w14:paraId="6ECFA6A3">
                  <w:pPr>
                    <w:jc w:val="center"/>
                    <w:rPr>
                      <w:szCs w:val="21"/>
                    </w:rPr>
                  </w:pPr>
                </w:p>
              </w:tc>
              <w:tc>
                <w:tcPr>
                  <w:tcW w:w="674" w:type="pct"/>
                  <w:vMerge w:val="continue"/>
                  <w:vAlign w:val="center"/>
                </w:tcPr>
                <w:p w14:paraId="2F38A11E">
                  <w:pPr>
                    <w:jc w:val="center"/>
                    <w:rPr>
                      <w:szCs w:val="21"/>
                    </w:rPr>
                  </w:pPr>
                </w:p>
              </w:tc>
              <w:tc>
                <w:tcPr>
                  <w:tcW w:w="758" w:type="pct"/>
                  <w:vAlign w:val="center"/>
                </w:tcPr>
                <w:p w14:paraId="2A89D6F0">
                  <w:pPr>
                    <w:jc w:val="center"/>
                    <w:rPr>
                      <w:szCs w:val="21"/>
                    </w:rPr>
                  </w:pPr>
                  <w:r>
                    <w:rPr>
                      <w:szCs w:val="21"/>
                    </w:rPr>
                    <w:t>BOD</w:t>
                  </w:r>
                  <w:r>
                    <w:rPr>
                      <w:szCs w:val="21"/>
                      <w:vertAlign w:val="subscript"/>
                    </w:rPr>
                    <w:t>5</w:t>
                  </w:r>
                </w:p>
              </w:tc>
              <w:tc>
                <w:tcPr>
                  <w:tcW w:w="933" w:type="pct"/>
                  <w:vAlign w:val="center"/>
                </w:tcPr>
                <w:p w14:paraId="05078344">
                  <w:pPr>
                    <w:jc w:val="center"/>
                    <w:rPr>
                      <w:rFonts w:cs="Times New Roman"/>
                      <w:szCs w:val="21"/>
                    </w:rPr>
                  </w:pPr>
                  <w:r>
                    <w:rPr>
                      <w:rFonts w:hint="eastAsia" w:cs="Times New Roman"/>
                      <w:szCs w:val="21"/>
                    </w:rPr>
                    <w:t>1</w:t>
                  </w:r>
                  <w:r>
                    <w:rPr>
                      <w:rFonts w:cs="Times New Roman"/>
                      <w:szCs w:val="21"/>
                    </w:rPr>
                    <w:t>40</w:t>
                  </w:r>
                </w:p>
              </w:tc>
              <w:tc>
                <w:tcPr>
                  <w:tcW w:w="933" w:type="pct"/>
                  <w:vAlign w:val="center"/>
                </w:tcPr>
                <w:p w14:paraId="0C438586">
                  <w:pPr>
                    <w:jc w:val="center"/>
                    <w:rPr>
                      <w:rFonts w:cs="Times New Roman"/>
                      <w:szCs w:val="21"/>
                    </w:rPr>
                  </w:pPr>
                  <w:r>
                    <w:rPr>
                      <w:rFonts w:hint="eastAsia" w:cs="Times New Roman"/>
                      <w:szCs w:val="21"/>
                    </w:rPr>
                    <w:t>0.0967</w:t>
                  </w:r>
                </w:p>
              </w:tc>
            </w:tr>
            <w:tr w14:paraId="1B7B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08084EE8">
                  <w:pPr>
                    <w:jc w:val="center"/>
                    <w:rPr>
                      <w:szCs w:val="21"/>
                    </w:rPr>
                  </w:pPr>
                </w:p>
              </w:tc>
              <w:tc>
                <w:tcPr>
                  <w:tcW w:w="807" w:type="pct"/>
                  <w:vMerge w:val="continue"/>
                  <w:vAlign w:val="center"/>
                </w:tcPr>
                <w:p w14:paraId="41C7CF7B">
                  <w:pPr>
                    <w:jc w:val="center"/>
                    <w:rPr>
                      <w:szCs w:val="21"/>
                    </w:rPr>
                  </w:pPr>
                </w:p>
              </w:tc>
              <w:tc>
                <w:tcPr>
                  <w:tcW w:w="674" w:type="pct"/>
                  <w:vMerge w:val="continue"/>
                  <w:vAlign w:val="center"/>
                </w:tcPr>
                <w:p w14:paraId="296F7A2D">
                  <w:pPr>
                    <w:jc w:val="center"/>
                    <w:rPr>
                      <w:szCs w:val="21"/>
                    </w:rPr>
                  </w:pPr>
                </w:p>
              </w:tc>
              <w:tc>
                <w:tcPr>
                  <w:tcW w:w="758" w:type="pct"/>
                  <w:vAlign w:val="center"/>
                </w:tcPr>
                <w:p w14:paraId="34AED7AE">
                  <w:pPr>
                    <w:jc w:val="center"/>
                    <w:rPr>
                      <w:szCs w:val="21"/>
                    </w:rPr>
                  </w:pPr>
                  <w:r>
                    <w:rPr>
                      <w:szCs w:val="21"/>
                    </w:rPr>
                    <w:t>SS</w:t>
                  </w:r>
                </w:p>
              </w:tc>
              <w:tc>
                <w:tcPr>
                  <w:tcW w:w="933" w:type="pct"/>
                  <w:vAlign w:val="center"/>
                </w:tcPr>
                <w:p w14:paraId="3295050E">
                  <w:pPr>
                    <w:jc w:val="center"/>
                    <w:rPr>
                      <w:rFonts w:cs="Times New Roman"/>
                      <w:szCs w:val="21"/>
                    </w:rPr>
                  </w:pPr>
                  <w:r>
                    <w:rPr>
                      <w:rFonts w:hint="eastAsia" w:cs="Times New Roman"/>
                      <w:szCs w:val="21"/>
                    </w:rPr>
                    <w:t>2</w:t>
                  </w:r>
                  <w:r>
                    <w:rPr>
                      <w:rFonts w:cs="Times New Roman"/>
                      <w:szCs w:val="21"/>
                    </w:rPr>
                    <w:t>00</w:t>
                  </w:r>
                </w:p>
              </w:tc>
              <w:tc>
                <w:tcPr>
                  <w:tcW w:w="933" w:type="pct"/>
                  <w:vAlign w:val="center"/>
                </w:tcPr>
                <w:p w14:paraId="19EFB192">
                  <w:pPr>
                    <w:jc w:val="center"/>
                    <w:rPr>
                      <w:rFonts w:cs="Times New Roman"/>
                      <w:szCs w:val="21"/>
                    </w:rPr>
                  </w:pPr>
                  <w:r>
                    <w:rPr>
                      <w:rFonts w:hint="eastAsia" w:cs="Times New Roman"/>
                      <w:szCs w:val="21"/>
                    </w:rPr>
                    <w:t>0.1382</w:t>
                  </w:r>
                </w:p>
              </w:tc>
            </w:tr>
            <w:tr w14:paraId="1142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7C2B03BD">
                  <w:pPr>
                    <w:jc w:val="center"/>
                    <w:rPr>
                      <w:szCs w:val="21"/>
                    </w:rPr>
                  </w:pPr>
                </w:p>
              </w:tc>
              <w:tc>
                <w:tcPr>
                  <w:tcW w:w="807" w:type="pct"/>
                  <w:vMerge w:val="continue"/>
                  <w:vAlign w:val="center"/>
                </w:tcPr>
                <w:p w14:paraId="193B758E">
                  <w:pPr>
                    <w:jc w:val="center"/>
                    <w:rPr>
                      <w:szCs w:val="21"/>
                    </w:rPr>
                  </w:pPr>
                </w:p>
              </w:tc>
              <w:tc>
                <w:tcPr>
                  <w:tcW w:w="674" w:type="pct"/>
                  <w:vMerge w:val="continue"/>
                  <w:vAlign w:val="center"/>
                </w:tcPr>
                <w:p w14:paraId="191980DC">
                  <w:pPr>
                    <w:jc w:val="center"/>
                    <w:rPr>
                      <w:szCs w:val="21"/>
                    </w:rPr>
                  </w:pPr>
                </w:p>
              </w:tc>
              <w:tc>
                <w:tcPr>
                  <w:tcW w:w="758" w:type="pct"/>
                  <w:vAlign w:val="center"/>
                </w:tcPr>
                <w:p w14:paraId="02713B36">
                  <w:pPr>
                    <w:jc w:val="center"/>
                    <w:rPr>
                      <w:szCs w:val="21"/>
                    </w:rPr>
                  </w:pPr>
                  <w:r>
                    <w:rPr>
                      <w:szCs w:val="21"/>
                    </w:rPr>
                    <w:t>NH</w:t>
                  </w:r>
                  <w:r>
                    <w:rPr>
                      <w:szCs w:val="21"/>
                      <w:vertAlign w:val="subscript"/>
                    </w:rPr>
                    <w:t>3</w:t>
                  </w:r>
                  <w:r>
                    <w:rPr>
                      <w:rFonts w:hint="eastAsia"/>
                      <w:szCs w:val="21"/>
                    </w:rPr>
                    <w:t>-</w:t>
                  </w:r>
                  <w:r>
                    <w:rPr>
                      <w:szCs w:val="21"/>
                    </w:rPr>
                    <w:t>N</w:t>
                  </w:r>
                </w:p>
              </w:tc>
              <w:tc>
                <w:tcPr>
                  <w:tcW w:w="933" w:type="pct"/>
                  <w:vAlign w:val="center"/>
                </w:tcPr>
                <w:p w14:paraId="4CF93E70">
                  <w:pPr>
                    <w:jc w:val="center"/>
                    <w:rPr>
                      <w:rFonts w:cs="Times New Roman"/>
                      <w:szCs w:val="21"/>
                    </w:rPr>
                  </w:pPr>
                  <w:r>
                    <w:rPr>
                      <w:rFonts w:hint="eastAsia" w:cs="Times New Roman"/>
                      <w:szCs w:val="21"/>
                    </w:rPr>
                    <w:t>3</w:t>
                  </w:r>
                  <w:r>
                    <w:rPr>
                      <w:rFonts w:cs="Times New Roman"/>
                      <w:szCs w:val="21"/>
                    </w:rPr>
                    <w:t>7.7</w:t>
                  </w:r>
                </w:p>
              </w:tc>
              <w:tc>
                <w:tcPr>
                  <w:tcW w:w="933" w:type="pct"/>
                  <w:vAlign w:val="center"/>
                </w:tcPr>
                <w:p w14:paraId="10DD34E5">
                  <w:pPr>
                    <w:jc w:val="center"/>
                    <w:rPr>
                      <w:rFonts w:cs="Times New Roman"/>
                      <w:szCs w:val="21"/>
                    </w:rPr>
                  </w:pPr>
                  <w:r>
                    <w:rPr>
                      <w:rFonts w:hint="eastAsia" w:cs="Times New Roman"/>
                      <w:szCs w:val="21"/>
                    </w:rPr>
                    <w:t>0.0260</w:t>
                  </w:r>
                </w:p>
              </w:tc>
            </w:tr>
            <w:tr w14:paraId="4AEE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50F2C220">
                  <w:pPr>
                    <w:jc w:val="center"/>
                    <w:rPr>
                      <w:szCs w:val="21"/>
                    </w:rPr>
                  </w:pPr>
                </w:p>
              </w:tc>
              <w:tc>
                <w:tcPr>
                  <w:tcW w:w="807" w:type="pct"/>
                  <w:vMerge w:val="continue"/>
                  <w:vAlign w:val="center"/>
                </w:tcPr>
                <w:p w14:paraId="0C0E2C21">
                  <w:pPr>
                    <w:jc w:val="center"/>
                    <w:rPr>
                      <w:szCs w:val="21"/>
                    </w:rPr>
                  </w:pPr>
                </w:p>
              </w:tc>
              <w:tc>
                <w:tcPr>
                  <w:tcW w:w="674" w:type="pct"/>
                  <w:vMerge w:val="continue"/>
                  <w:vAlign w:val="center"/>
                </w:tcPr>
                <w:p w14:paraId="16BFB40D">
                  <w:pPr>
                    <w:jc w:val="center"/>
                    <w:rPr>
                      <w:szCs w:val="21"/>
                    </w:rPr>
                  </w:pPr>
                </w:p>
              </w:tc>
              <w:tc>
                <w:tcPr>
                  <w:tcW w:w="758" w:type="pct"/>
                  <w:vAlign w:val="center"/>
                </w:tcPr>
                <w:p w14:paraId="536B03D4">
                  <w:pPr>
                    <w:jc w:val="center"/>
                    <w:rPr>
                      <w:szCs w:val="21"/>
                    </w:rPr>
                  </w:pPr>
                  <w:r>
                    <w:rPr>
                      <w:szCs w:val="21"/>
                    </w:rPr>
                    <w:t>TP</w:t>
                  </w:r>
                </w:p>
              </w:tc>
              <w:tc>
                <w:tcPr>
                  <w:tcW w:w="933" w:type="pct"/>
                  <w:vAlign w:val="center"/>
                </w:tcPr>
                <w:p w14:paraId="4B7EC331">
                  <w:pPr>
                    <w:jc w:val="center"/>
                    <w:rPr>
                      <w:rFonts w:cs="Times New Roman"/>
                      <w:szCs w:val="21"/>
                    </w:rPr>
                  </w:pPr>
                  <w:r>
                    <w:rPr>
                      <w:rFonts w:hint="eastAsia" w:cs="Times New Roman"/>
                      <w:szCs w:val="21"/>
                    </w:rPr>
                    <w:t>4</w:t>
                  </w:r>
                  <w:r>
                    <w:rPr>
                      <w:rFonts w:cs="Times New Roman"/>
                      <w:szCs w:val="21"/>
                    </w:rPr>
                    <w:t>.28</w:t>
                  </w:r>
                </w:p>
              </w:tc>
              <w:tc>
                <w:tcPr>
                  <w:tcW w:w="933" w:type="pct"/>
                  <w:vAlign w:val="center"/>
                </w:tcPr>
                <w:p w14:paraId="59130D36">
                  <w:pPr>
                    <w:jc w:val="center"/>
                    <w:rPr>
                      <w:rFonts w:cs="Times New Roman"/>
                      <w:szCs w:val="21"/>
                    </w:rPr>
                  </w:pPr>
                  <w:r>
                    <w:rPr>
                      <w:rFonts w:hint="eastAsia" w:cs="Times New Roman"/>
                      <w:szCs w:val="21"/>
                    </w:rPr>
                    <w:t>0.0030</w:t>
                  </w:r>
                </w:p>
              </w:tc>
            </w:tr>
            <w:tr w14:paraId="2D74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Merge w:val="continue"/>
                  <w:vAlign w:val="center"/>
                </w:tcPr>
                <w:p w14:paraId="404AA4F8">
                  <w:pPr>
                    <w:jc w:val="center"/>
                    <w:rPr>
                      <w:szCs w:val="21"/>
                    </w:rPr>
                  </w:pPr>
                </w:p>
              </w:tc>
              <w:tc>
                <w:tcPr>
                  <w:tcW w:w="807" w:type="pct"/>
                  <w:vMerge w:val="continue"/>
                  <w:vAlign w:val="center"/>
                </w:tcPr>
                <w:p w14:paraId="0AA7A32D">
                  <w:pPr>
                    <w:jc w:val="center"/>
                    <w:rPr>
                      <w:szCs w:val="21"/>
                    </w:rPr>
                  </w:pPr>
                </w:p>
              </w:tc>
              <w:tc>
                <w:tcPr>
                  <w:tcW w:w="674" w:type="pct"/>
                  <w:vMerge w:val="continue"/>
                  <w:vAlign w:val="center"/>
                </w:tcPr>
                <w:p w14:paraId="5C2BAA19">
                  <w:pPr>
                    <w:jc w:val="center"/>
                    <w:rPr>
                      <w:szCs w:val="21"/>
                    </w:rPr>
                  </w:pPr>
                </w:p>
              </w:tc>
              <w:tc>
                <w:tcPr>
                  <w:tcW w:w="758" w:type="pct"/>
                  <w:vAlign w:val="center"/>
                </w:tcPr>
                <w:p w14:paraId="12295621">
                  <w:pPr>
                    <w:jc w:val="center"/>
                    <w:rPr>
                      <w:szCs w:val="21"/>
                    </w:rPr>
                  </w:pPr>
                  <w:r>
                    <w:rPr>
                      <w:rFonts w:hint="eastAsia"/>
                      <w:szCs w:val="21"/>
                    </w:rPr>
                    <w:t>动植物油</w:t>
                  </w:r>
                </w:p>
              </w:tc>
              <w:tc>
                <w:tcPr>
                  <w:tcW w:w="933" w:type="pct"/>
                  <w:vAlign w:val="center"/>
                </w:tcPr>
                <w:p w14:paraId="56D9E9AF">
                  <w:pPr>
                    <w:jc w:val="center"/>
                    <w:rPr>
                      <w:rFonts w:cs="Times New Roman"/>
                      <w:szCs w:val="21"/>
                    </w:rPr>
                  </w:pPr>
                  <w:r>
                    <w:rPr>
                      <w:rFonts w:cs="Times New Roman"/>
                      <w:szCs w:val="21"/>
                    </w:rPr>
                    <w:t>130</w:t>
                  </w:r>
                </w:p>
              </w:tc>
              <w:tc>
                <w:tcPr>
                  <w:tcW w:w="933" w:type="pct"/>
                  <w:vAlign w:val="center"/>
                </w:tcPr>
                <w:p w14:paraId="00E6B32C">
                  <w:pPr>
                    <w:jc w:val="center"/>
                    <w:rPr>
                      <w:rFonts w:cs="Times New Roman"/>
                      <w:szCs w:val="21"/>
                    </w:rPr>
                  </w:pPr>
                  <w:r>
                    <w:rPr>
                      <w:rFonts w:hint="eastAsia" w:cs="Times New Roman"/>
                      <w:szCs w:val="21"/>
                    </w:rPr>
                    <w:t>0.0898</w:t>
                  </w:r>
                </w:p>
              </w:tc>
            </w:tr>
            <w:tr w14:paraId="1085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 w:type="pct"/>
                  <w:vAlign w:val="center"/>
                </w:tcPr>
                <w:p w14:paraId="34136A74">
                  <w:pPr>
                    <w:jc w:val="center"/>
                    <w:rPr>
                      <w:szCs w:val="21"/>
                    </w:rPr>
                  </w:pPr>
                  <w:r>
                    <w:rPr>
                      <w:rFonts w:hint="eastAsia"/>
                      <w:szCs w:val="21"/>
                    </w:rPr>
                    <w:t>冷却塔</w:t>
                  </w:r>
                </w:p>
              </w:tc>
              <w:tc>
                <w:tcPr>
                  <w:tcW w:w="807" w:type="pct"/>
                  <w:vAlign w:val="center"/>
                </w:tcPr>
                <w:p w14:paraId="67E7B031">
                  <w:pPr>
                    <w:jc w:val="center"/>
                    <w:rPr>
                      <w:szCs w:val="21"/>
                    </w:rPr>
                  </w:pPr>
                  <w:r>
                    <w:rPr>
                      <w:rFonts w:hint="eastAsia"/>
                      <w:szCs w:val="21"/>
                    </w:rPr>
                    <w:t>循环排污水</w:t>
                  </w:r>
                </w:p>
              </w:tc>
              <w:tc>
                <w:tcPr>
                  <w:tcW w:w="674" w:type="pct"/>
                  <w:vAlign w:val="center"/>
                </w:tcPr>
                <w:p w14:paraId="3E5F2FA7">
                  <w:pPr>
                    <w:jc w:val="center"/>
                    <w:rPr>
                      <w:szCs w:val="21"/>
                    </w:rPr>
                  </w:pPr>
                  <w:r>
                    <w:rPr>
                      <w:rFonts w:hint="eastAsia"/>
                      <w:szCs w:val="21"/>
                    </w:rPr>
                    <w:t>160</w:t>
                  </w:r>
                </w:p>
              </w:tc>
              <w:tc>
                <w:tcPr>
                  <w:tcW w:w="758" w:type="pct"/>
                  <w:vAlign w:val="center"/>
                </w:tcPr>
                <w:p w14:paraId="64B3EA10">
                  <w:pPr>
                    <w:jc w:val="center"/>
                    <w:rPr>
                      <w:szCs w:val="21"/>
                    </w:rPr>
                  </w:pPr>
                  <w:r>
                    <w:rPr>
                      <w:szCs w:val="21"/>
                    </w:rPr>
                    <w:t>COD</w:t>
                  </w:r>
                </w:p>
              </w:tc>
              <w:tc>
                <w:tcPr>
                  <w:tcW w:w="933" w:type="pct"/>
                  <w:vAlign w:val="center"/>
                </w:tcPr>
                <w:p w14:paraId="65276431">
                  <w:pPr>
                    <w:jc w:val="center"/>
                    <w:rPr>
                      <w:rFonts w:cs="Times New Roman"/>
                      <w:szCs w:val="21"/>
                    </w:rPr>
                  </w:pPr>
                  <w:r>
                    <w:rPr>
                      <w:rFonts w:hint="eastAsia" w:cs="Times New Roman"/>
                      <w:szCs w:val="21"/>
                    </w:rPr>
                    <w:t>80</w:t>
                  </w:r>
                </w:p>
              </w:tc>
              <w:tc>
                <w:tcPr>
                  <w:tcW w:w="933" w:type="pct"/>
                  <w:vAlign w:val="center"/>
                </w:tcPr>
                <w:p w14:paraId="333B99B9">
                  <w:pPr>
                    <w:jc w:val="center"/>
                    <w:rPr>
                      <w:rFonts w:cs="Times New Roman"/>
                      <w:szCs w:val="21"/>
                    </w:rPr>
                  </w:pPr>
                  <w:r>
                    <w:rPr>
                      <w:rFonts w:cs="Times New Roman"/>
                      <w:szCs w:val="21"/>
                    </w:rPr>
                    <w:t>0.0128</w:t>
                  </w:r>
                </w:p>
              </w:tc>
            </w:tr>
          </w:tbl>
          <w:p w14:paraId="62F6A5C1">
            <w:pPr>
              <w:spacing w:line="360" w:lineRule="auto"/>
              <w:ind w:firstLine="482" w:firstLineChars="200"/>
              <w:rPr>
                <w:b/>
                <w:sz w:val="24"/>
                <w:szCs w:val="24"/>
              </w:rPr>
            </w:pPr>
            <w:r>
              <w:rPr>
                <w:rFonts w:hint="eastAsia"/>
                <w:b/>
                <w:sz w:val="24"/>
                <w:szCs w:val="24"/>
              </w:rPr>
              <w:t>②治理措施</w:t>
            </w:r>
          </w:p>
          <w:p w14:paraId="2B41C2FB">
            <w:pPr>
              <w:spacing w:line="360" w:lineRule="auto"/>
              <w:ind w:firstLine="480"/>
              <w:rPr>
                <w:kern w:val="24"/>
                <w:sz w:val="24"/>
                <w:szCs w:val="24"/>
              </w:rPr>
            </w:pPr>
            <w:r>
              <w:rPr>
                <w:rFonts w:hint="eastAsia"/>
                <w:sz w:val="24"/>
                <w:szCs w:val="24"/>
              </w:rPr>
              <w:t>项目排水采用雨、污分流制。</w:t>
            </w:r>
            <w:r>
              <w:rPr>
                <w:rFonts w:hint="eastAsia"/>
                <w:b/>
                <w:bCs/>
                <w:sz w:val="24"/>
                <w:szCs w:val="24"/>
              </w:rPr>
              <w:t>项目依托厂区已建的1个预处理池（容积</w:t>
            </w:r>
            <w:r>
              <w:rPr>
                <w:b/>
                <w:bCs/>
                <w:sz w:val="24"/>
                <w:szCs w:val="24"/>
              </w:rPr>
              <w:t>4</w:t>
            </w:r>
            <w:r>
              <w:rPr>
                <w:rFonts w:hint="eastAsia"/>
                <w:b/>
                <w:bCs/>
                <w:sz w:val="24"/>
                <w:szCs w:val="24"/>
              </w:rPr>
              <w:t>0m</w:t>
            </w:r>
            <w:r>
              <w:rPr>
                <w:rFonts w:hint="eastAsia"/>
                <w:b/>
                <w:bCs/>
                <w:sz w:val="24"/>
                <w:szCs w:val="24"/>
                <w:vertAlign w:val="superscript"/>
              </w:rPr>
              <w:t>3</w:t>
            </w:r>
            <w:r>
              <w:rPr>
                <w:rFonts w:hint="eastAsia"/>
                <w:b/>
                <w:bCs/>
                <w:sz w:val="24"/>
                <w:szCs w:val="24"/>
              </w:rPr>
              <w:t>）和1个隔油池（容积1m</w:t>
            </w:r>
            <w:r>
              <w:rPr>
                <w:b/>
                <w:bCs/>
                <w:sz w:val="24"/>
                <w:szCs w:val="24"/>
                <w:vertAlign w:val="superscript"/>
              </w:rPr>
              <w:t>3</w:t>
            </w:r>
            <w:r>
              <w:rPr>
                <w:rFonts w:hint="eastAsia"/>
                <w:b/>
                <w:bCs/>
                <w:sz w:val="24"/>
                <w:szCs w:val="24"/>
              </w:rPr>
              <w:t>）</w:t>
            </w:r>
            <w:r>
              <w:rPr>
                <w:rFonts w:hint="eastAsia"/>
                <w:sz w:val="24"/>
                <w:szCs w:val="24"/>
              </w:rPr>
              <w:t>。</w:t>
            </w:r>
            <w:r>
              <w:rPr>
                <w:rFonts w:hint="eastAsia"/>
                <w:sz w:val="24"/>
              </w:rPr>
              <w:t>运营期</w:t>
            </w:r>
            <w:r>
              <w:rPr>
                <w:rFonts w:hint="eastAsia"/>
                <w:kern w:val="24"/>
                <w:sz w:val="24"/>
                <w:szCs w:val="24"/>
              </w:rPr>
              <w:t>生活污水经预处理池处理（食堂废水先经隔油池处理）达到《污水综合排放标准》（GB8978-1996）三级标准后，与循环冷却排污水一起排入园区污水管网，经大英县工业污水处理厂处理达标后排入郪江。</w:t>
            </w:r>
          </w:p>
          <w:p w14:paraId="14E1DB85">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）废水源强核算结果</w:t>
            </w:r>
          </w:p>
          <w:p w14:paraId="37AF49F8">
            <w:pPr>
              <w:spacing w:line="360" w:lineRule="auto"/>
              <w:ind w:firstLine="480" w:firstLineChars="200"/>
              <w:rPr>
                <w:kern w:val="24"/>
                <w:sz w:val="24"/>
                <w:szCs w:val="24"/>
              </w:rPr>
            </w:pPr>
            <w:r>
              <w:rPr>
                <w:rFonts w:hint="eastAsia"/>
                <w:kern w:val="24"/>
                <w:sz w:val="24"/>
                <w:szCs w:val="24"/>
              </w:rPr>
              <w:t>运营期废水污染源源强核算结果及相关参数见下表：</w:t>
            </w:r>
          </w:p>
          <w:p w14:paraId="4C9A8B61">
            <w:pPr>
              <w:pStyle w:val="51"/>
              <w:numPr>
                <w:ilvl w:val="0"/>
                <w:numId w:val="6"/>
              </w:numPr>
              <w:spacing w:line="360" w:lineRule="auto"/>
              <w:ind w:firstLineChars="0"/>
              <w:jc w:val="center"/>
              <w:rPr>
                <w:rFonts w:eastAsia="黑体" w:cs="Times New Roman"/>
                <w:szCs w:val="21"/>
              </w:rPr>
            </w:pPr>
            <w:r>
              <w:rPr>
                <w:rFonts w:eastAsia="黑体" w:cs="Times New Roman"/>
                <w:kern w:val="24"/>
                <w:szCs w:val="21"/>
              </w:rPr>
              <w:t>废水污染源源强核算结果表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145"/>
              <w:gridCol w:w="899"/>
              <w:gridCol w:w="1050"/>
              <w:gridCol w:w="1050"/>
              <w:gridCol w:w="1196"/>
              <w:gridCol w:w="903"/>
              <w:gridCol w:w="1061"/>
              <w:gridCol w:w="1059"/>
            </w:tblGrid>
            <w:tr w14:paraId="4320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5" w:type="pct"/>
                  <w:vMerge w:val="restart"/>
                  <w:vAlign w:val="center"/>
                </w:tcPr>
                <w:p w14:paraId="0047B687">
                  <w:pPr>
                    <w:jc w:val="center"/>
                    <w:rPr>
                      <w:kern w:val="24"/>
                      <w:szCs w:val="21"/>
                    </w:rPr>
                  </w:pPr>
                  <w:r>
                    <w:rPr>
                      <w:kern w:val="24"/>
                      <w:szCs w:val="21"/>
                    </w:rPr>
                    <w:t>废水类别</w:t>
                  </w:r>
                </w:p>
              </w:tc>
              <w:tc>
                <w:tcPr>
                  <w:tcW w:w="625" w:type="pct"/>
                  <w:vMerge w:val="restart"/>
                  <w:vAlign w:val="center"/>
                </w:tcPr>
                <w:p w14:paraId="5A320BB1">
                  <w:pPr>
                    <w:jc w:val="center"/>
                    <w:rPr>
                      <w:kern w:val="24"/>
                      <w:szCs w:val="21"/>
                    </w:rPr>
                  </w:pPr>
                  <w:r>
                    <w:rPr>
                      <w:kern w:val="24"/>
                      <w:szCs w:val="21"/>
                    </w:rPr>
                    <w:t>污染物</w:t>
                  </w:r>
                </w:p>
              </w:tc>
              <w:tc>
                <w:tcPr>
                  <w:tcW w:w="491" w:type="pct"/>
                  <w:vMerge w:val="restart"/>
                </w:tcPr>
                <w:p w14:paraId="4CF77D69">
                  <w:pPr>
                    <w:jc w:val="center"/>
                    <w:rPr>
                      <w:kern w:val="24"/>
                      <w:szCs w:val="21"/>
                    </w:rPr>
                  </w:pPr>
                  <w:r>
                    <w:rPr>
                      <w:rFonts w:cstheme="minorHAnsi"/>
                      <w:szCs w:val="21"/>
                    </w:rPr>
                    <w:t>废水量</w:t>
                  </w:r>
                  <w:r>
                    <w:rPr>
                      <w:rFonts w:hint="eastAsia" w:cstheme="minorHAnsi"/>
                      <w:szCs w:val="21"/>
                    </w:rPr>
                    <w:t>(</w:t>
                  </w:r>
                  <w:r>
                    <w:rPr>
                      <w:rFonts w:cstheme="minorHAnsi"/>
                      <w:szCs w:val="21"/>
                    </w:rPr>
                    <w:t>m</w:t>
                  </w:r>
                  <w:r>
                    <w:rPr>
                      <w:rFonts w:cstheme="minorHAnsi"/>
                      <w:szCs w:val="21"/>
                      <w:vertAlign w:val="superscript"/>
                    </w:rPr>
                    <w:t>3</w:t>
                  </w:r>
                  <w:r>
                    <w:rPr>
                      <w:rFonts w:cstheme="minorHAnsi"/>
                      <w:szCs w:val="21"/>
                    </w:rPr>
                    <w:t>/a</w:t>
                  </w:r>
                  <w:r>
                    <w:rPr>
                      <w:rFonts w:hint="eastAsia" w:cstheme="minorHAnsi"/>
                      <w:szCs w:val="21"/>
                    </w:rPr>
                    <w:t>)</w:t>
                  </w:r>
                </w:p>
              </w:tc>
              <w:tc>
                <w:tcPr>
                  <w:tcW w:w="1146" w:type="pct"/>
                  <w:gridSpan w:val="2"/>
                </w:tcPr>
                <w:p w14:paraId="4D9313E3">
                  <w:pPr>
                    <w:jc w:val="center"/>
                    <w:rPr>
                      <w:kern w:val="24"/>
                      <w:szCs w:val="21"/>
                    </w:rPr>
                  </w:pPr>
                  <w:r>
                    <w:rPr>
                      <w:kern w:val="24"/>
                      <w:szCs w:val="21"/>
                    </w:rPr>
                    <w:t>污染物产生</w:t>
                  </w:r>
                </w:p>
              </w:tc>
              <w:tc>
                <w:tcPr>
                  <w:tcW w:w="1146" w:type="pct"/>
                  <w:gridSpan w:val="2"/>
                  <w:vAlign w:val="center"/>
                </w:tcPr>
                <w:p w14:paraId="1E6ED724">
                  <w:pPr>
                    <w:jc w:val="center"/>
                    <w:rPr>
                      <w:kern w:val="24"/>
                      <w:szCs w:val="21"/>
                    </w:rPr>
                  </w:pPr>
                  <w:r>
                    <w:rPr>
                      <w:kern w:val="24"/>
                      <w:szCs w:val="21"/>
                    </w:rPr>
                    <w:t>治理措施</w:t>
                  </w:r>
                </w:p>
              </w:tc>
              <w:tc>
                <w:tcPr>
                  <w:tcW w:w="1157" w:type="pct"/>
                  <w:gridSpan w:val="2"/>
                  <w:vAlign w:val="center"/>
                </w:tcPr>
                <w:p w14:paraId="1D40343B">
                  <w:pPr>
                    <w:jc w:val="center"/>
                    <w:rPr>
                      <w:kern w:val="24"/>
                      <w:szCs w:val="21"/>
                    </w:rPr>
                  </w:pPr>
                  <w:r>
                    <w:rPr>
                      <w:kern w:val="24"/>
                      <w:szCs w:val="21"/>
                    </w:rPr>
                    <w:t>污染物排放</w:t>
                  </w:r>
                </w:p>
              </w:tc>
            </w:tr>
            <w:tr w14:paraId="2E2F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50B89662">
                  <w:pPr>
                    <w:jc w:val="center"/>
                    <w:rPr>
                      <w:kern w:val="24"/>
                      <w:szCs w:val="21"/>
                    </w:rPr>
                  </w:pPr>
                </w:p>
              </w:tc>
              <w:tc>
                <w:tcPr>
                  <w:tcW w:w="625" w:type="pct"/>
                  <w:vMerge w:val="continue"/>
                  <w:vAlign w:val="center"/>
                </w:tcPr>
                <w:p w14:paraId="546DFF33">
                  <w:pPr>
                    <w:jc w:val="center"/>
                    <w:rPr>
                      <w:kern w:val="24"/>
                      <w:szCs w:val="21"/>
                    </w:rPr>
                  </w:pPr>
                </w:p>
              </w:tc>
              <w:tc>
                <w:tcPr>
                  <w:tcW w:w="491" w:type="pct"/>
                  <w:vMerge w:val="continue"/>
                  <w:vAlign w:val="center"/>
                </w:tcPr>
                <w:p w14:paraId="1AE419F3">
                  <w:pPr>
                    <w:jc w:val="center"/>
                    <w:rPr>
                      <w:kern w:val="24"/>
                      <w:szCs w:val="21"/>
                    </w:rPr>
                  </w:pPr>
                </w:p>
              </w:tc>
              <w:tc>
                <w:tcPr>
                  <w:tcW w:w="573" w:type="pct"/>
                </w:tcPr>
                <w:p w14:paraId="3BC451A0">
                  <w:pPr>
                    <w:jc w:val="center"/>
                    <w:rPr>
                      <w:rFonts w:cstheme="minorHAnsi"/>
                      <w:szCs w:val="21"/>
                    </w:rPr>
                  </w:pPr>
                  <w:r>
                    <w:rPr>
                      <w:rFonts w:cstheme="minorHAnsi"/>
                      <w:szCs w:val="21"/>
                    </w:rPr>
                    <w:t>浓度</w:t>
                  </w:r>
                  <w:r>
                    <w:rPr>
                      <w:rFonts w:hint="eastAsia" w:cstheme="minorHAnsi"/>
                      <w:szCs w:val="21"/>
                    </w:rPr>
                    <w:t>(mg/L)</w:t>
                  </w:r>
                </w:p>
              </w:tc>
              <w:tc>
                <w:tcPr>
                  <w:tcW w:w="573" w:type="pct"/>
                  <w:vAlign w:val="center"/>
                </w:tcPr>
                <w:p w14:paraId="757C3280">
                  <w:pPr>
                    <w:jc w:val="center"/>
                    <w:rPr>
                      <w:kern w:val="24"/>
                      <w:szCs w:val="21"/>
                    </w:rPr>
                  </w:pPr>
                  <w:r>
                    <w:rPr>
                      <w:rFonts w:hint="eastAsia" w:cstheme="minorHAnsi"/>
                      <w:szCs w:val="21"/>
                    </w:rPr>
                    <w:t>产生量(t/a)</w:t>
                  </w:r>
                </w:p>
              </w:tc>
              <w:tc>
                <w:tcPr>
                  <w:tcW w:w="653" w:type="pct"/>
                  <w:vAlign w:val="center"/>
                </w:tcPr>
                <w:p w14:paraId="38AA4E5D">
                  <w:pPr>
                    <w:jc w:val="center"/>
                    <w:rPr>
                      <w:kern w:val="24"/>
                      <w:szCs w:val="21"/>
                    </w:rPr>
                  </w:pPr>
                  <w:r>
                    <w:rPr>
                      <w:rFonts w:hint="eastAsia" w:cstheme="minorHAnsi"/>
                      <w:szCs w:val="21"/>
                    </w:rPr>
                    <w:t>治理工艺</w:t>
                  </w:r>
                </w:p>
              </w:tc>
              <w:tc>
                <w:tcPr>
                  <w:tcW w:w="493" w:type="pct"/>
                  <w:vAlign w:val="center"/>
                </w:tcPr>
                <w:p w14:paraId="788D14FB">
                  <w:pPr>
                    <w:jc w:val="center"/>
                    <w:rPr>
                      <w:kern w:val="24"/>
                      <w:szCs w:val="21"/>
                    </w:rPr>
                  </w:pPr>
                  <w:r>
                    <w:rPr>
                      <w:rFonts w:cstheme="minorHAnsi"/>
                      <w:szCs w:val="21"/>
                    </w:rPr>
                    <w:t>处理效率</w:t>
                  </w:r>
                  <w:r>
                    <w:rPr>
                      <w:rFonts w:hint="eastAsia" w:cstheme="minorHAnsi"/>
                      <w:szCs w:val="21"/>
                    </w:rPr>
                    <w:t>(%)</w:t>
                  </w:r>
                </w:p>
              </w:tc>
              <w:tc>
                <w:tcPr>
                  <w:tcW w:w="579" w:type="pct"/>
                  <w:vAlign w:val="center"/>
                </w:tcPr>
                <w:p w14:paraId="576AE129">
                  <w:pPr>
                    <w:jc w:val="center"/>
                    <w:rPr>
                      <w:kern w:val="24"/>
                      <w:szCs w:val="21"/>
                    </w:rPr>
                  </w:pPr>
                  <w:r>
                    <w:rPr>
                      <w:rFonts w:cstheme="minorHAnsi"/>
                      <w:szCs w:val="21"/>
                    </w:rPr>
                    <w:t>浓度</w:t>
                  </w:r>
                  <w:r>
                    <w:rPr>
                      <w:rFonts w:hint="eastAsia" w:cstheme="minorHAnsi"/>
                      <w:szCs w:val="21"/>
                    </w:rPr>
                    <w:t>(mg/L)</w:t>
                  </w:r>
                </w:p>
              </w:tc>
              <w:tc>
                <w:tcPr>
                  <w:tcW w:w="578" w:type="pct"/>
                  <w:vAlign w:val="center"/>
                </w:tcPr>
                <w:p w14:paraId="3A4CC506">
                  <w:pPr>
                    <w:jc w:val="center"/>
                    <w:rPr>
                      <w:kern w:val="24"/>
                      <w:szCs w:val="21"/>
                    </w:rPr>
                  </w:pPr>
                  <w:r>
                    <w:rPr>
                      <w:rFonts w:hint="eastAsia" w:cstheme="minorHAnsi"/>
                      <w:szCs w:val="21"/>
                    </w:rPr>
                    <w:t>排放量(t/a)</w:t>
                  </w:r>
                </w:p>
              </w:tc>
            </w:tr>
            <w:tr w14:paraId="3ECF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restart"/>
                  <w:vAlign w:val="center"/>
                </w:tcPr>
                <w:p w14:paraId="6A0D09EC">
                  <w:pPr>
                    <w:jc w:val="center"/>
                    <w:rPr>
                      <w:kern w:val="24"/>
                      <w:szCs w:val="21"/>
                    </w:rPr>
                  </w:pPr>
                  <w:r>
                    <w:rPr>
                      <w:kern w:val="24"/>
                      <w:szCs w:val="21"/>
                    </w:rPr>
                    <w:t>生活污水</w:t>
                  </w:r>
                  <w:r>
                    <w:rPr>
                      <w:rFonts w:hint="eastAsia"/>
                      <w:kern w:val="24"/>
                      <w:szCs w:val="21"/>
                    </w:rPr>
                    <w:t>、食堂废水</w:t>
                  </w:r>
                </w:p>
              </w:tc>
              <w:tc>
                <w:tcPr>
                  <w:tcW w:w="625" w:type="pct"/>
                  <w:vAlign w:val="center"/>
                </w:tcPr>
                <w:p w14:paraId="11429F6B">
                  <w:pPr>
                    <w:jc w:val="center"/>
                    <w:rPr>
                      <w:kern w:val="24"/>
                      <w:szCs w:val="21"/>
                    </w:rPr>
                  </w:pPr>
                  <w:r>
                    <w:rPr>
                      <w:szCs w:val="21"/>
                    </w:rPr>
                    <w:t>COD</w:t>
                  </w:r>
                </w:p>
              </w:tc>
              <w:tc>
                <w:tcPr>
                  <w:tcW w:w="491" w:type="pct"/>
                  <w:vMerge w:val="restart"/>
                  <w:vAlign w:val="center"/>
                </w:tcPr>
                <w:p w14:paraId="43EA88F0">
                  <w:pPr>
                    <w:jc w:val="center"/>
                    <w:rPr>
                      <w:rFonts w:cstheme="minorHAnsi"/>
                      <w:szCs w:val="21"/>
                    </w:rPr>
                  </w:pPr>
                  <w:r>
                    <w:rPr>
                      <w:rFonts w:hint="eastAsia" w:cstheme="minorHAnsi"/>
                      <w:szCs w:val="21"/>
                    </w:rPr>
                    <w:t>690.75</w:t>
                  </w:r>
                </w:p>
              </w:tc>
              <w:tc>
                <w:tcPr>
                  <w:tcW w:w="573" w:type="pct"/>
                  <w:vAlign w:val="center"/>
                </w:tcPr>
                <w:p w14:paraId="17943A74">
                  <w:pPr>
                    <w:jc w:val="center"/>
                    <w:rPr>
                      <w:rFonts w:cs="Times New Roman"/>
                      <w:kern w:val="0"/>
                      <w:szCs w:val="21"/>
                    </w:rPr>
                  </w:pPr>
                  <w:r>
                    <w:rPr>
                      <w:rFonts w:hint="eastAsia" w:cs="Times New Roman"/>
                      <w:kern w:val="0"/>
                      <w:szCs w:val="21"/>
                    </w:rPr>
                    <w:t>3</w:t>
                  </w:r>
                  <w:r>
                    <w:rPr>
                      <w:rFonts w:cs="Times New Roman"/>
                      <w:kern w:val="0"/>
                      <w:szCs w:val="21"/>
                    </w:rPr>
                    <w:t>25</w:t>
                  </w:r>
                </w:p>
              </w:tc>
              <w:tc>
                <w:tcPr>
                  <w:tcW w:w="573" w:type="pct"/>
                  <w:vAlign w:val="center"/>
                </w:tcPr>
                <w:p w14:paraId="2C9330C2">
                  <w:pPr>
                    <w:jc w:val="center"/>
                    <w:rPr>
                      <w:rFonts w:cstheme="minorHAnsi"/>
                      <w:szCs w:val="21"/>
                    </w:rPr>
                  </w:pPr>
                  <w:r>
                    <w:rPr>
                      <w:rFonts w:hint="eastAsia" w:cs="Times New Roman"/>
                      <w:kern w:val="0"/>
                      <w:szCs w:val="21"/>
                    </w:rPr>
                    <w:t>0.2245</w:t>
                  </w:r>
                </w:p>
              </w:tc>
              <w:tc>
                <w:tcPr>
                  <w:tcW w:w="653" w:type="pct"/>
                  <w:vMerge w:val="restart"/>
                  <w:vAlign w:val="center"/>
                </w:tcPr>
                <w:p w14:paraId="25C25A4B">
                  <w:pPr>
                    <w:jc w:val="center"/>
                    <w:rPr>
                      <w:rFonts w:cstheme="minorHAnsi"/>
                      <w:szCs w:val="21"/>
                    </w:rPr>
                  </w:pPr>
                  <w:r>
                    <w:rPr>
                      <w:rFonts w:hint="eastAsia" w:cstheme="minorHAnsi"/>
                      <w:szCs w:val="21"/>
                    </w:rPr>
                    <w:t>隔油池+预处理池</w:t>
                  </w:r>
                </w:p>
              </w:tc>
              <w:tc>
                <w:tcPr>
                  <w:tcW w:w="493" w:type="pct"/>
                  <w:vAlign w:val="center"/>
                </w:tcPr>
                <w:p w14:paraId="2C0EC497">
                  <w:pPr>
                    <w:jc w:val="center"/>
                    <w:rPr>
                      <w:rFonts w:cstheme="minorHAnsi"/>
                      <w:szCs w:val="21"/>
                    </w:rPr>
                  </w:pPr>
                  <w:r>
                    <w:rPr>
                      <w:rFonts w:hint="eastAsia" w:cstheme="minorHAnsi"/>
                      <w:szCs w:val="21"/>
                    </w:rPr>
                    <w:t>1</w:t>
                  </w:r>
                  <w:r>
                    <w:rPr>
                      <w:rFonts w:cstheme="minorHAnsi"/>
                      <w:szCs w:val="21"/>
                    </w:rPr>
                    <w:t>5</w:t>
                  </w:r>
                </w:p>
              </w:tc>
              <w:tc>
                <w:tcPr>
                  <w:tcW w:w="579" w:type="pct"/>
                  <w:vAlign w:val="center"/>
                </w:tcPr>
                <w:p w14:paraId="4D98AA6C">
                  <w:pPr>
                    <w:jc w:val="center"/>
                    <w:rPr>
                      <w:kern w:val="24"/>
                      <w:szCs w:val="21"/>
                    </w:rPr>
                  </w:pPr>
                  <w:r>
                    <w:rPr>
                      <w:rFonts w:eastAsia="等线" w:cs="Times New Roman"/>
                      <w:szCs w:val="21"/>
                    </w:rPr>
                    <w:t>276</w:t>
                  </w:r>
                </w:p>
              </w:tc>
              <w:tc>
                <w:tcPr>
                  <w:tcW w:w="578" w:type="pct"/>
                  <w:vAlign w:val="center"/>
                </w:tcPr>
                <w:p w14:paraId="74CEDBB4">
                  <w:pPr>
                    <w:jc w:val="center"/>
                    <w:rPr>
                      <w:kern w:val="24"/>
                      <w:szCs w:val="21"/>
                    </w:rPr>
                  </w:pPr>
                  <w:r>
                    <w:rPr>
                      <w:rFonts w:hint="eastAsia"/>
                      <w:kern w:val="24"/>
                      <w:szCs w:val="21"/>
                    </w:rPr>
                    <w:t>0.1906</w:t>
                  </w:r>
                </w:p>
              </w:tc>
            </w:tr>
            <w:tr w14:paraId="0548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3B5BD985">
                  <w:pPr>
                    <w:jc w:val="center"/>
                    <w:rPr>
                      <w:kern w:val="24"/>
                      <w:szCs w:val="21"/>
                    </w:rPr>
                  </w:pPr>
                </w:p>
              </w:tc>
              <w:tc>
                <w:tcPr>
                  <w:tcW w:w="625" w:type="pct"/>
                  <w:vAlign w:val="center"/>
                </w:tcPr>
                <w:p w14:paraId="4DB497FC">
                  <w:pPr>
                    <w:jc w:val="center"/>
                    <w:rPr>
                      <w:kern w:val="24"/>
                      <w:szCs w:val="21"/>
                    </w:rPr>
                  </w:pPr>
                  <w:r>
                    <w:rPr>
                      <w:szCs w:val="21"/>
                    </w:rPr>
                    <w:t>BOD</w:t>
                  </w:r>
                  <w:r>
                    <w:rPr>
                      <w:szCs w:val="21"/>
                      <w:vertAlign w:val="subscript"/>
                    </w:rPr>
                    <w:t>5</w:t>
                  </w:r>
                </w:p>
              </w:tc>
              <w:tc>
                <w:tcPr>
                  <w:tcW w:w="491" w:type="pct"/>
                  <w:vMerge w:val="continue"/>
                  <w:vAlign w:val="center"/>
                </w:tcPr>
                <w:p w14:paraId="24378221">
                  <w:pPr>
                    <w:jc w:val="center"/>
                    <w:rPr>
                      <w:rFonts w:cstheme="minorHAnsi"/>
                      <w:szCs w:val="21"/>
                    </w:rPr>
                  </w:pPr>
                </w:p>
              </w:tc>
              <w:tc>
                <w:tcPr>
                  <w:tcW w:w="573" w:type="pct"/>
                  <w:vAlign w:val="center"/>
                </w:tcPr>
                <w:p w14:paraId="0087EED4">
                  <w:pPr>
                    <w:jc w:val="center"/>
                    <w:rPr>
                      <w:rFonts w:cs="Times New Roman"/>
                      <w:szCs w:val="21"/>
                    </w:rPr>
                  </w:pPr>
                  <w:r>
                    <w:rPr>
                      <w:rFonts w:hint="eastAsia" w:cs="Times New Roman"/>
                      <w:szCs w:val="21"/>
                    </w:rPr>
                    <w:t>1</w:t>
                  </w:r>
                  <w:r>
                    <w:rPr>
                      <w:rFonts w:cs="Times New Roman"/>
                      <w:szCs w:val="21"/>
                    </w:rPr>
                    <w:t>40</w:t>
                  </w:r>
                </w:p>
              </w:tc>
              <w:tc>
                <w:tcPr>
                  <w:tcW w:w="573" w:type="pct"/>
                  <w:vAlign w:val="center"/>
                </w:tcPr>
                <w:p w14:paraId="79E1EF63">
                  <w:pPr>
                    <w:jc w:val="center"/>
                    <w:rPr>
                      <w:rFonts w:cstheme="minorHAnsi"/>
                      <w:szCs w:val="21"/>
                    </w:rPr>
                  </w:pPr>
                  <w:r>
                    <w:rPr>
                      <w:rFonts w:hint="eastAsia" w:cs="Times New Roman"/>
                      <w:szCs w:val="21"/>
                    </w:rPr>
                    <w:t>0.0967</w:t>
                  </w:r>
                </w:p>
              </w:tc>
              <w:tc>
                <w:tcPr>
                  <w:tcW w:w="653" w:type="pct"/>
                  <w:vMerge w:val="continue"/>
                  <w:vAlign w:val="center"/>
                </w:tcPr>
                <w:p w14:paraId="6BA9A7E4">
                  <w:pPr>
                    <w:jc w:val="center"/>
                    <w:rPr>
                      <w:rFonts w:cstheme="minorHAnsi"/>
                      <w:szCs w:val="21"/>
                    </w:rPr>
                  </w:pPr>
                </w:p>
              </w:tc>
              <w:tc>
                <w:tcPr>
                  <w:tcW w:w="493" w:type="pct"/>
                  <w:vAlign w:val="center"/>
                </w:tcPr>
                <w:p w14:paraId="669AD607">
                  <w:pPr>
                    <w:jc w:val="center"/>
                    <w:rPr>
                      <w:rFonts w:cstheme="minorHAnsi"/>
                      <w:szCs w:val="21"/>
                    </w:rPr>
                  </w:pPr>
                  <w:r>
                    <w:rPr>
                      <w:rFonts w:hint="eastAsia" w:cstheme="minorHAnsi"/>
                      <w:szCs w:val="21"/>
                    </w:rPr>
                    <w:t>9</w:t>
                  </w:r>
                </w:p>
              </w:tc>
              <w:tc>
                <w:tcPr>
                  <w:tcW w:w="579" w:type="pct"/>
                  <w:vAlign w:val="center"/>
                </w:tcPr>
                <w:p w14:paraId="5D11C2A7">
                  <w:pPr>
                    <w:jc w:val="center"/>
                    <w:rPr>
                      <w:kern w:val="24"/>
                      <w:szCs w:val="21"/>
                    </w:rPr>
                  </w:pPr>
                  <w:r>
                    <w:rPr>
                      <w:rFonts w:eastAsia="等线" w:cs="Times New Roman"/>
                      <w:szCs w:val="21"/>
                    </w:rPr>
                    <w:t>127</w:t>
                  </w:r>
                </w:p>
              </w:tc>
              <w:tc>
                <w:tcPr>
                  <w:tcW w:w="578" w:type="pct"/>
                  <w:vAlign w:val="center"/>
                </w:tcPr>
                <w:p w14:paraId="0D656107">
                  <w:pPr>
                    <w:jc w:val="center"/>
                    <w:rPr>
                      <w:kern w:val="24"/>
                      <w:szCs w:val="21"/>
                    </w:rPr>
                  </w:pPr>
                  <w:r>
                    <w:rPr>
                      <w:rFonts w:hint="eastAsia"/>
                      <w:kern w:val="24"/>
                      <w:szCs w:val="21"/>
                    </w:rPr>
                    <w:t>0.0877</w:t>
                  </w:r>
                </w:p>
              </w:tc>
            </w:tr>
            <w:tr w14:paraId="68E0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3926936F">
                  <w:pPr>
                    <w:jc w:val="center"/>
                    <w:rPr>
                      <w:kern w:val="24"/>
                      <w:szCs w:val="21"/>
                    </w:rPr>
                  </w:pPr>
                </w:p>
              </w:tc>
              <w:tc>
                <w:tcPr>
                  <w:tcW w:w="625" w:type="pct"/>
                  <w:vAlign w:val="center"/>
                </w:tcPr>
                <w:p w14:paraId="17F2D1C8">
                  <w:pPr>
                    <w:jc w:val="center"/>
                    <w:rPr>
                      <w:kern w:val="24"/>
                      <w:szCs w:val="21"/>
                    </w:rPr>
                  </w:pPr>
                  <w:r>
                    <w:rPr>
                      <w:szCs w:val="21"/>
                    </w:rPr>
                    <w:t>SS</w:t>
                  </w:r>
                </w:p>
              </w:tc>
              <w:tc>
                <w:tcPr>
                  <w:tcW w:w="491" w:type="pct"/>
                  <w:vMerge w:val="continue"/>
                  <w:vAlign w:val="center"/>
                </w:tcPr>
                <w:p w14:paraId="5966B1EF">
                  <w:pPr>
                    <w:jc w:val="center"/>
                    <w:rPr>
                      <w:rFonts w:cstheme="minorHAnsi"/>
                      <w:szCs w:val="21"/>
                    </w:rPr>
                  </w:pPr>
                </w:p>
              </w:tc>
              <w:tc>
                <w:tcPr>
                  <w:tcW w:w="573" w:type="pct"/>
                  <w:vAlign w:val="center"/>
                </w:tcPr>
                <w:p w14:paraId="53C4F437">
                  <w:pPr>
                    <w:jc w:val="center"/>
                    <w:rPr>
                      <w:rFonts w:cs="Times New Roman"/>
                      <w:szCs w:val="21"/>
                    </w:rPr>
                  </w:pPr>
                  <w:r>
                    <w:rPr>
                      <w:rFonts w:hint="eastAsia" w:cs="Times New Roman"/>
                      <w:szCs w:val="21"/>
                    </w:rPr>
                    <w:t>2</w:t>
                  </w:r>
                  <w:r>
                    <w:rPr>
                      <w:rFonts w:cs="Times New Roman"/>
                      <w:szCs w:val="21"/>
                    </w:rPr>
                    <w:t>00</w:t>
                  </w:r>
                </w:p>
              </w:tc>
              <w:tc>
                <w:tcPr>
                  <w:tcW w:w="573" w:type="pct"/>
                  <w:vAlign w:val="center"/>
                </w:tcPr>
                <w:p w14:paraId="45D9CC61">
                  <w:pPr>
                    <w:jc w:val="center"/>
                    <w:rPr>
                      <w:rFonts w:cstheme="minorHAnsi"/>
                      <w:szCs w:val="21"/>
                    </w:rPr>
                  </w:pPr>
                  <w:r>
                    <w:rPr>
                      <w:rFonts w:hint="eastAsia" w:cs="Times New Roman"/>
                      <w:szCs w:val="21"/>
                    </w:rPr>
                    <w:t>0.1382</w:t>
                  </w:r>
                </w:p>
              </w:tc>
              <w:tc>
                <w:tcPr>
                  <w:tcW w:w="653" w:type="pct"/>
                  <w:vMerge w:val="continue"/>
                  <w:vAlign w:val="center"/>
                </w:tcPr>
                <w:p w14:paraId="4F827C61">
                  <w:pPr>
                    <w:jc w:val="center"/>
                    <w:rPr>
                      <w:rFonts w:cstheme="minorHAnsi"/>
                      <w:szCs w:val="21"/>
                    </w:rPr>
                  </w:pPr>
                </w:p>
              </w:tc>
              <w:tc>
                <w:tcPr>
                  <w:tcW w:w="493" w:type="pct"/>
                  <w:vAlign w:val="center"/>
                </w:tcPr>
                <w:p w14:paraId="5BEA7898">
                  <w:pPr>
                    <w:jc w:val="center"/>
                    <w:rPr>
                      <w:rFonts w:cstheme="minorHAnsi"/>
                      <w:szCs w:val="21"/>
                    </w:rPr>
                  </w:pPr>
                  <w:r>
                    <w:rPr>
                      <w:rFonts w:hint="eastAsia" w:cstheme="minorHAnsi"/>
                      <w:szCs w:val="21"/>
                    </w:rPr>
                    <w:t>3</w:t>
                  </w:r>
                  <w:r>
                    <w:rPr>
                      <w:rFonts w:cstheme="minorHAnsi"/>
                      <w:szCs w:val="21"/>
                    </w:rPr>
                    <w:t>0</w:t>
                  </w:r>
                </w:p>
              </w:tc>
              <w:tc>
                <w:tcPr>
                  <w:tcW w:w="579" w:type="pct"/>
                  <w:vAlign w:val="center"/>
                </w:tcPr>
                <w:p w14:paraId="4D213383">
                  <w:pPr>
                    <w:jc w:val="center"/>
                    <w:rPr>
                      <w:rFonts w:cs="Times New Roman"/>
                      <w:szCs w:val="21"/>
                    </w:rPr>
                  </w:pPr>
                  <w:r>
                    <w:rPr>
                      <w:rFonts w:eastAsia="等线" w:cs="Times New Roman"/>
                      <w:szCs w:val="21"/>
                    </w:rPr>
                    <w:t>140</w:t>
                  </w:r>
                </w:p>
              </w:tc>
              <w:tc>
                <w:tcPr>
                  <w:tcW w:w="578" w:type="pct"/>
                  <w:vAlign w:val="center"/>
                </w:tcPr>
                <w:p w14:paraId="0DC20FB2">
                  <w:pPr>
                    <w:jc w:val="center"/>
                    <w:rPr>
                      <w:szCs w:val="21"/>
                    </w:rPr>
                  </w:pPr>
                  <w:r>
                    <w:rPr>
                      <w:rFonts w:hint="eastAsia"/>
                      <w:szCs w:val="21"/>
                    </w:rPr>
                    <w:t>0.0967</w:t>
                  </w:r>
                </w:p>
              </w:tc>
            </w:tr>
            <w:tr w14:paraId="7C39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5" w:type="pct"/>
                  <w:vMerge w:val="continue"/>
                  <w:vAlign w:val="center"/>
                </w:tcPr>
                <w:p w14:paraId="13B4E1E4">
                  <w:pPr>
                    <w:jc w:val="center"/>
                    <w:rPr>
                      <w:kern w:val="24"/>
                      <w:szCs w:val="21"/>
                    </w:rPr>
                  </w:pPr>
                </w:p>
              </w:tc>
              <w:tc>
                <w:tcPr>
                  <w:tcW w:w="625" w:type="pct"/>
                  <w:vAlign w:val="center"/>
                </w:tcPr>
                <w:p w14:paraId="1D4AABA4">
                  <w:pPr>
                    <w:jc w:val="center"/>
                    <w:rPr>
                      <w:kern w:val="24"/>
                      <w:szCs w:val="21"/>
                    </w:rPr>
                  </w:pPr>
                  <w:r>
                    <w:rPr>
                      <w:szCs w:val="21"/>
                    </w:rPr>
                    <w:t>NH</w:t>
                  </w:r>
                  <w:r>
                    <w:rPr>
                      <w:szCs w:val="21"/>
                      <w:vertAlign w:val="subscript"/>
                    </w:rPr>
                    <w:t>3</w:t>
                  </w:r>
                  <w:r>
                    <w:rPr>
                      <w:rFonts w:hint="eastAsia"/>
                      <w:szCs w:val="21"/>
                    </w:rPr>
                    <w:t>-</w:t>
                  </w:r>
                  <w:r>
                    <w:rPr>
                      <w:szCs w:val="21"/>
                    </w:rPr>
                    <w:t>N</w:t>
                  </w:r>
                </w:p>
              </w:tc>
              <w:tc>
                <w:tcPr>
                  <w:tcW w:w="491" w:type="pct"/>
                  <w:vMerge w:val="continue"/>
                  <w:vAlign w:val="center"/>
                </w:tcPr>
                <w:p w14:paraId="54A774D0">
                  <w:pPr>
                    <w:jc w:val="center"/>
                    <w:rPr>
                      <w:rFonts w:cstheme="minorHAnsi"/>
                      <w:szCs w:val="21"/>
                    </w:rPr>
                  </w:pPr>
                </w:p>
              </w:tc>
              <w:tc>
                <w:tcPr>
                  <w:tcW w:w="573" w:type="pct"/>
                  <w:vAlign w:val="center"/>
                </w:tcPr>
                <w:p w14:paraId="37393F48">
                  <w:pPr>
                    <w:jc w:val="center"/>
                    <w:rPr>
                      <w:rFonts w:cs="Times New Roman"/>
                      <w:szCs w:val="21"/>
                    </w:rPr>
                  </w:pPr>
                  <w:r>
                    <w:rPr>
                      <w:rFonts w:hint="eastAsia" w:cs="Times New Roman"/>
                      <w:szCs w:val="21"/>
                    </w:rPr>
                    <w:t>3</w:t>
                  </w:r>
                  <w:r>
                    <w:rPr>
                      <w:rFonts w:cs="Times New Roman"/>
                      <w:szCs w:val="21"/>
                    </w:rPr>
                    <w:t>7.7</w:t>
                  </w:r>
                </w:p>
              </w:tc>
              <w:tc>
                <w:tcPr>
                  <w:tcW w:w="573" w:type="pct"/>
                  <w:vAlign w:val="center"/>
                </w:tcPr>
                <w:p w14:paraId="2A3D8054">
                  <w:pPr>
                    <w:jc w:val="center"/>
                    <w:rPr>
                      <w:rFonts w:cstheme="minorHAnsi"/>
                      <w:szCs w:val="21"/>
                    </w:rPr>
                  </w:pPr>
                  <w:r>
                    <w:rPr>
                      <w:rFonts w:hint="eastAsia" w:cs="Times New Roman"/>
                      <w:szCs w:val="21"/>
                    </w:rPr>
                    <w:t>0.0260</w:t>
                  </w:r>
                </w:p>
              </w:tc>
              <w:tc>
                <w:tcPr>
                  <w:tcW w:w="653" w:type="pct"/>
                  <w:vMerge w:val="continue"/>
                  <w:vAlign w:val="center"/>
                </w:tcPr>
                <w:p w14:paraId="1470E1D2">
                  <w:pPr>
                    <w:jc w:val="center"/>
                    <w:rPr>
                      <w:rFonts w:cstheme="minorHAnsi"/>
                      <w:szCs w:val="21"/>
                    </w:rPr>
                  </w:pPr>
                </w:p>
              </w:tc>
              <w:tc>
                <w:tcPr>
                  <w:tcW w:w="493" w:type="pct"/>
                  <w:vAlign w:val="center"/>
                </w:tcPr>
                <w:p w14:paraId="4993FDD2">
                  <w:pPr>
                    <w:jc w:val="center"/>
                    <w:rPr>
                      <w:rFonts w:cstheme="minorHAnsi"/>
                      <w:szCs w:val="21"/>
                    </w:rPr>
                  </w:pPr>
                  <w:r>
                    <w:rPr>
                      <w:rFonts w:cstheme="minorHAnsi"/>
                      <w:szCs w:val="21"/>
                    </w:rPr>
                    <w:t>3</w:t>
                  </w:r>
                </w:p>
              </w:tc>
              <w:tc>
                <w:tcPr>
                  <w:tcW w:w="579" w:type="pct"/>
                  <w:vAlign w:val="center"/>
                </w:tcPr>
                <w:p w14:paraId="4D7D3489">
                  <w:pPr>
                    <w:jc w:val="center"/>
                    <w:rPr>
                      <w:rFonts w:cs="Times New Roman"/>
                      <w:szCs w:val="21"/>
                    </w:rPr>
                  </w:pPr>
                  <w:r>
                    <w:rPr>
                      <w:rFonts w:eastAsia="等线" w:cs="Times New Roman"/>
                      <w:szCs w:val="21"/>
                    </w:rPr>
                    <w:t>37</w:t>
                  </w:r>
                </w:p>
              </w:tc>
              <w:tc>
                <w:tcPr>
                  <w:tcW w:w="578" w:type="pct"/>
                  <w:vAlign w:val="center"/>
                </w:tcPr>
                <w:p w14:paraId="57553E0A">
                  <w:pPr>
                    <w:jc w:val="center"/>
                    <w:rPr>
                      <w:szCs w:val="21"/>
                    </w:rPr>
                  </w:pPr>
                  <w:r>
                    <w:rPr>
                      <w:rFonts w:hint="eastAsia"/>
                      <w:szCs w:val="21"/>
                    </w:rPr>
                    <w:t>0.0256</w:t>
                  </w:r>
                </w:p>
              </w:tc>
            </w:tr>
            <w:tr w14:paraId="0B642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55C89966">
                  <w:pPr>
                    <w:jc w:val="center"/>
                    <w:rPr>
                      <w:kern w:val="24"/>
                      <w:szCs w:val="21"/>
                    </w:rPr>
                  </w:pPr>
                </w:p>
              </w:tc>
              <w:tc>
                <w:tcPr>
                  <w:tcW w:w="625" w:type="pct"/>
                  <w:vAlign w:val="center"/>
                </w:tcPr>
                <w:p w14:paraId="0BB1D32C">
                  <w:pPr>
                    <w:jc w:val="center"/>
                    <w:rPr>
                      <w:kern w:val="24"/>
                      <w:szCs w:val="21"/>
                    </w:rPr>
                  </w:pPr>
                  <w:r>
                    <w:rPr>
                      <w:kern w:val="24"/>
                      <w:szCs w:val="21"/>
                    </w:rPr>
                    <w:t>TP</w:t>
                  </w:r>
                </w:p>
              </w:tc>
              <w:tc>
                <w:tcPr>
                  <w:tcW w:w="491" w:type="pct"/>
                  <w:vMerge w:val="continue"/>
                  <w:vAlign w:val="center"/>
                </w:tcPr>
                <w:p w14:paraId="3FFEEECA">
                  <w:pPr>
                    <w:jc w:val="center"/>
                    <w:rPr>
                      <w:rFonts w:cstheme="minorHAnsi"/>
                      <w:szCs w:val="21"/>
                    </w:rPr>
                  </w:pPr>
                </w:p>
              </w:tc>
              <w:tc>
                <w:tcPr>
                  <w:tcW w:w="573" w:type="pct"/>
                  <w:vAlign w:val="center"/>
                </w:tcPr>
                <w:p w14:paraId="321B90E1">
                  <w:pPr>
                    <w:jc w:val="center"/>
                    <w:rPr>
                      <w:rFonts w:cs="Times New Roman"/>
                      <w:szCs w:val="21"/>
                    </w:rPr>
                  </w:pPr>
                  <w:r>
                    <w:rPr>
                      <w:rFonts w:hint="eastAsia" w:cs="Times New Roman"/>
                      <w:szCs w:val="21"/>
                    </w:rPr>
                    <w:t>4</w:t>
                  </w:r>
                  <w:r>
                    <w:rPr>
                      <w:rFonts w:cs="Times New Roman"/>
                      <w:szCs w:val="21"/>
                    </w:rPr>
                    <w:t>.28</w:t>
                  </w:r>
                </w:p>
              </w:tc>
              <w:tc>
                <w:tcPr>
                  <w:tcW w:w="573" w:type="pct"/>
                  <w:vAlign w:val="center"/>
                </w:tcPr>
                <w:p w14:paraId="6691C4E1">
                  <w:pPr>
                    <w:jc w:val="center"/>
                    <w:rPr>
                      <w:rFonts w:cstheme="minorHAnsi"/>
                      <w:szCs w:val="21"/>
                    </w:rPr>
                  </w:pPr>
                  <w:r>
                    <w:rPr>
                      <w:rFonts w:hint="eastAsia" w:cs="Times New Roman"/>
                      <w:szCs w:val="21"/>
                    </w:rPr>
                    <w:t>0.0030</w:t>
                  </w:r>
                </w:p>
              </w:tc>
              <w:tc>
                <w:tcPr>
                  <w:tcW w:w="653" w:type="pct"/>
                  <w:vMerge w:val="continue"/>
                  <w:vAlign w:val="center"/>
                </w:tcPr>
                <w:p w14:paraId="013ACDF9">
                  <w:pPr>
                    <w:jc w:val="center"/>
                    <w:rPr>
                      <w:rFonts w:cstheme="minorHAnsi"/>
                      <w:szCs w:val="21"/>
                    </w:rPr>
                  </w:pPr>
                </w:p>
              </w:tc>
              <w:tc>
                <w:tcPr>
                  <w:tcW w:w="493" w:type="pct"/>
                  <w:vAlign w:val="center"/>
                </w:tcPr>
                <w:p w14:paraId="47FC81F4">
                  <w:pPr>
                    <w:jc w:val="center"/>
                    <w:rPr>
                      <w:rFonts w:cstheme="minorHAnsi"/>
                      <w:szCs w:val="21"/>
                    </w:rPr>
                  </w:pPr>
                  <w:r>
                    <w:rPr>
                      <w:rFonts w:cstheme="minorHAnsi"/>
                      <w:szCs w:val="21"/>
                    </w:rPr>
                    <w:t>2</w:t>
                  </w:r>
                </w:p>
              </w:tc>
              <w:tc>
                <w:tcPr>
                  <w:tcW w:w="579" w:type="pct"/>
                  <w:vAlign w:val="center"/>
                </w:tcPr>
                <w:p w14:paraId="3D1245D5">
                  <w:pPr>
                    <w:jc w:val="center"/>
                    <w:rPr>
                      <w:kern w:val="24"/>
                      <w:szCs w:val="21"/>
                    </w:rPr>
                  </w:pPr>
                  <w:r>
                    <w:rPr>
                      <w:rFonts w:eastAsia="等线" w:cs="Times New Roman"/>
                      <w:szCs w:val="21"/>
                    </w:rPr>
                    <w:t>4</w:t>
                  </w:r>
                </w:p>
              </w:tc>
              <w:tc>
                <w:tcPr>
                  <w:tcW w:w="578" w:type="pct"/>
                  <w:vAlign w:val="center"/>
                </w:tcPr>
                <w:p w14:paraId="010DD9AB">
                  <w:pPr>
                    <w:jc w:val="center"/>
                    <w:rPr>
                      <w:kern w:val="24"/>
                      <w:szCs w:val="21"/>
                    </w:rPr>
                  </w:pPr>
                  <w:r>
                    <w:rPr>
                      <w:rFonts w:hint="eastAsia"/>
                      <w:kern w:val="24"/>
                      <w:szCs w:val="21"/>
                    </w:rPr>
                    <w:t>0.0028</w:t>
                  </w:r>
                </w:p>
              </w:tc>
            </w:tr>
            <w:tr w14:paraId="2452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1D481DD1">
                  <w:pPr>
                    <w:jc w:val="center"/>
                    <w:rPr>
                      <w:kern w:val="24"/>
                      <w:szCs w:val="21"/>
                    </w:rPr>
                  </w:pPr>
                </w:p>
              </w:tc>
              <w:tc>
                <w:tcPr>
                  <w:tcW w:w="625" w:type="pct"/>
                  <w:vAlign w:val="center"/>
                </w:tcPr>
                <w:p w14:paraId="72AC9F85">
                  <w:pPr>
                    <w:jc w:val="center"/>
                    <w:rPr>
                      <w:kern w:val="24"/>
                      <w:szCs w:val="21"/>
                    </w:rPr>
                  </w:pPr>
                  <w:r>
                    <w:rPr>
                      <w:rFonts w:hint="eastAsia"/>
                      <w:kern w:val="24"/>
                      <w:szCs w:val="21"/>
                    </w:rPr>
                    <w:t>动植物油</w:t>
                  </w:r>
                </w:p>
              </w:tc>
              <w:tc>
                <w:tcPr>
                  <w:tcW w:w="491" w:type="pct"/>
                  <w:vMerge w:val="continue"/>
                  <w:vAlign w:val="center"/>
                </w:tcPr>
                <w:p w14:paraId="6370A989">
                  <w:pPr>
                    <w:jc w:val="center"/>
                    <w:rPr>
                      <w:rFonts w:cstheme="minorHAnsi"/>
                      <w:szCs w:val="21"/>
                    </w:rPr>
                  </w:pPr>
                </w:p>
              </w:tc>
              <w:tc>
                <w:tcPr>
                  <w:tcW w:w="573" w:type="pct"/>
                  <w:vAlign w:val="center"/>
                </w:tcPr>
                <w:p w14:paraId="7424EADF">
                  <w:pPr>
                    <w:jc w:val="center"/>
                    <w:rPr>
                      <w:rFonts w:cs="Times New Roman"/>
                      <w:szCs w:val="21"/>
                    </w:rPr>
                  </w:pPr>
                  <w:r>
                    <w:rPr>
                      <w:rFonts w:cs="Times New Roman"/>
                      <w:szCs w:val="21"/>
                    </w:rPr>
                    <w:t>130</w:t>
                  </w:r>
                </w:p>
              </w:tc>
              <w:tc>
                <w:tcPr>
                  <w:tcW w:w="573" w:type="pct"/>
                  <w:vAlign w:val="center"/>
                </w:tcPr>
                <w:p w14:paraId="475361C0">
                  <w:pPr>
                    <w:jc w:val="center"/>
                    <w:rPr>
                      <w:rFonts w:cs="Times New Roman"/>
                      <w:szCs w:val="21"/>
                    </w:rPr>
                  </w:pPr>
                  <w:r>
                    <w:rPr>
                      <w:rFonts w:hint="eastAsia" w:cs="Times New Roman"/>
                      <w:szCs w:val="21"/>
                    </w:rPr>
                    <w:t>0.0898</w:t>
                  </w:r>
                </w:p>
              </w:tc>
              <w:tc>
                <w:tcPr>
                  <w:tcW w:w="653" w:type="pct"/>
                  <w:vMerge w:val="continue"/>
                  <w:vAlign w:val="center"/>
                </w:tcPr>
                <w:p w14:paraId="64D9DC96">
                  <w:pPr>
                    <w:jc w:val="center"/>
                    <w:rPr>
                      <w:rFonts w:cstheme="minorHAnsi"/>
                      <w:szCs w:val="21"/>
                    </w:rPr>
                  </w:pPr>
                </w:p>
              </w:tc>
              <w:tc>
                <w:tcPr>
                  <w:tcW w:w="493" w:type="pct"/>
                  <w:vAlign w:val="center"/>
                </w:tcPr>
                <w:p w14:paraId="14F05E88">
                  <w:pPr>
                    <w:jc w:val="center"/>
                    <w:rPr>
                      <w:rFonts w:cstheme="minorHAnsi"/>
                      <w:szCs w:val="21"/>
                    </w:rPr>
                  </w:pPr>
                  <w:r>
                    <w:rPr>
                      <w:rFonts w:cstheme="minorHAnsi"/>
                      <w:szCs w:val="21"/>
                    </w:rPr>
                    <w:t>90</w:t>
                  </w:r>
                </w:p>
              </w:tc>
              <w:tc>
                <w:tcPr>
                  <w:tcW w:w="579" w:type="pct"/>
                  <w:vAlign w:val="center"/>
                </w:tcPr>
                <w:p w14:paraId="64673A6E">
                  <w:pPr>
                    <w:jc w:val="center"/>
                    <w:rPr>
                      <w:rFonts w:eastAsia="等线" w:cs="Times New Roman"/>
                      <w:szCs w:val="21"/>
                    </w:rPr>
                  </w:pPr>
                  <w:r>
                    <w:rPr>
                      <w:rFonts w:eastAsia="等线" w:cs="Times New Roman"/>
                      <w:szCs w:val="21"/>
                    </w:rPr>
                    <w:t>13</w:t>
                  </w:r>
                </w:p>
              </w:tc>
              <w:tc>
                <w:tcPr>
                  <w:tcW w:w="578" w:type="pct"/>
                  <w:vAlign w:val="center"/>
                </w:tcPr>
                <w:p w14:paraId="6739828C">
                  <w:pPr>
                    <w:jc w:val="center"/>
                    <w:rPr>
                      <w:kern w:val="24"/>
                      <w:szCs w:val="21"/>
                    </w:rPr>
                  </w:pPr>
                  <w:r>
                    <w:rPr>
                      <w:rFonts w:hint="eastAsia"/>
                      <w:kern w:val="24"/>
                      <w:szCs w:val="21"/>
                    </w:rPr>
                    <w:t>0.0090</w:t>
                  </w:r>
                </w:p>
              </w:tc>
            </w:tr>
            <w:tr w14:paraId="1015B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Align w:val="center"/>
                </w:tcPr>
                <w:p w14:paraId="05175047">
                  <w:pPr>
                    <w:jc w:val="center"/>
                    <w:rPr>
                      <w:kern w:val="24"/>
                      <w:szCs w:val="21"/>
                    </w:rPr>
                  </w:pPr>
                  <w:r>
                    <w:rPr>
                      <w:rFonts w:hint="eastAsia"/>
                      <w:szCs w:val="21"/>
                    </w:rPr>
                    <w:t>循环冷却排污水</w:t>
                  </w:r>
                </w:p>
              </w:tc>
              <w:tc>
                <w:tcPr>
                  <w:tcW w:w="625" w:type="pct"/>
                  <w:vAlign w:val="center"/>
                </w:tcPr>
                <w:p w14:paraId="6A6F5A3B">
                  <w:pPr>
                    <w:jc w:val="center"/>
                    <w:rPr>
                      <w:kern w:val="24"/>
                      <w:szCs w:val="21"/>
                    </w:rPr>
                  </w:pPr>
                  <w:r>
                    <w:rPr>
                      <w:szCs w:val="21"/>
                    </w:rPr>
                    <w:t>COD</w:t>
                  </w:r>
                </w:p>
              </w:tc>
              <w:tc>
                <w:tcPr>
                  <w:tcW w:w="491" w:type="pct"/>
                  <w:vAlign w:val="center"/>
                </w:tcPr>
                <w:p w14:paraId="4CE56A3E">
                  <w:pPr>
                    <w:jc w:val="center"/>
                    <w:rPr>
                      <w:rFonts w:cstheme="minorHAnsi"/>
                      <w:szCs w:val="21"/>
                    </w:rPr>
                  </w:pPr>
                  <w:r>
                    <w:rPr>
                      <w:rFonts w:hint="eastAsia" w:cstheme="minorHAnsi"/>
                      <w:szCs w:val="21"/>
                    </w:rPr>
                    <w:t>160</w:t>
                  </w:r>
                </w:p>
              </w:tc>
              <w:tc>
                <w:tcPr>
                  <w:tcW w:w="573" w:type="pct"/>
                  <w:vAlign w:val="center"/>
                </w:tcPr>
                <w:p w14:paraId="18299A14">
                  <w:pPr>
                    <w:jc w:val="center"/>
                    <w:rPr>
                      <w:rFonts w:cs="Times New Roman"/>
                      <w:szCs w:val="21"/>
                    </w:rPr>
                  </w:pPr>
                  <w:r>
                    <w:rPr>
                      <w:rFonts w:hint="eastAsia" w:cs="Times New Roman"/>
                      <w:szCs w:val="21"/>
                    </w:rPr>
                    <w:t>80</w:t>
                  </w:r>
                </w:p>
              </w:tc>
              <w:tc>
                <w:tcPr>
                  <w:tcW w:w="573" w:type="pct"/>
                  <w:vAlign w:val="center"/>
                </w:tcPr>
                <w:p w14:paraId="0F08A4AB">
                  <w:pPr>
                    <w:jc w:val="center"/>
                    <w:rPr>
                      <w:rFonts w:cs="Times New Roman"/>
                      <w:szCs w:val="21"/>
                    </w:rPr>
                  </w:pPr>
                  <w:r>
                    <w:rPr>
                      <w:rFonts w:cs="Times New Roman"/>
                      <w:szCs w:val="21"/>
                    </w:rPr>
                    <w:t>0.0128</w:t>
                  </w:r>
                </w:p>
              </w:tc>
              <w:tc>
                <w:tcPr>
                  <w:tcW w:w="653" w:type="pct"/>
                  <w:vAlign w:val="center"/>
                </w:tcPr>
                <w:p w14:paraId="59A1FED3">
                  <w:pPr>
                    <w:jc w:val="center"/>
                    <w:rPr>
                      <w:rFonts w:cstheme="minorHAnsi"/>
                      <w:szCs w:val="21"/>
                    </w:rPr>
                  </w:pPr>
                  <w:r>
                    <w:rPr>
                      <w:rFonts w:hint="eastAsia" w:cstheme="minorHAnsi"/>
                      <w:szCs w:val="21"/>
                    </w:rPr>
                    <w:t>/</w:t>
                  </w:r>
                </w:p>
              </w:tc>
              <w:tc>
                <w:tcPr>
                  <w:tcW w:w="493" w:type="pct"/>
                  <w:vAlign w:val="center"/>
                </w:tcPr>
                <w:p w14:paraId="36B9C22A">
                  <w:pPr>
                    <w:jc w:val="center"/>
                    <w:rPr>
                      <w:rFonts w:cstheme="minorHAnsi"/>
                      <w:szCs w:val="21"/>
                    </w:rPr>
                  </w:pPr>
                  <w:r>
                    <w:rPr>
                      <w:rFonts w:hint="eastAsia" w:cstheme="minorHAnsi"/>
                      <w:szCs w:val="21"/>
                    </w:rPr>
                    <w:t>/</w:t>
                  </w:r>
                </w:p>
              </w:tc>
              <w:tc>
                <w:tcPr>
                  <w:tcW w:w="579" w:type="pct"/>
                  <w:vAlign w:val="center"/>
                </w:tcPr>
                <w:p w14:paraId="0F5A931D">
                  <w:pPr>
                    <w:jc w:val="center"/>
                    <w:rPr>
                      <w:rFonts w:eastAsia="等线" w:cs="Times New Roman"/>
                      <w:szCs w:val="21"/>
                    </w:rPr>
                  </w:pPr>
                  <w:r>
                    <w:rPr>
                      <w:rFonts w:hint="eastAsia" w:cs="Times New Roman"/>
                      <w:szCs w:val="21"/>
                    </w:rPr>
                    <w:t>80</w:t>
                  </w:r>
                </w:p>
              </w:tc>
              <w:tc>
                <w:tcPr>
                  <w:tcW w:w="578" w:type="pct"/>
                  <w:vAlign w:val="center"/>
                </w:tcPr>
                <w:p w14:paraId="20CA6873">
                  <w:pPr>
                    <w:jc w:val="center"/>
                    <w:rPr>
                      <w:kern w:val="24"/>
                      <w:szCs w:val="21"/>
                    </w:rPr>
                  </w:pPr>
                  <w:r>
                    <w:rPr>
                      <w:rFonts w:cs="Times New Roman"/>
                      <w:szCs w:val="21"/>
                    </w:rPr>
                    <w:t>0.0128</w:t>
                  </w:r>
                </w:p>
              </w:tc>
            </w:tr>
            <w:tr w14:paraId="0CDB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restart"/>
                  <w:vAlign w:val="center"/>
                </w:tcPr>
                <w:p w14:paraId="58D5983C">
                  <w:pPr>
                    <w:jc w:val="center"/>
                    <w:rPr>
                      <w:szCs w:val="21"/>
                    </w:rPr>
                  </w:pPr>
                  <w:r>
                    <w:rPr>
                      <w:rFonts w:hint="eastAsia"/>
                      <w:szCs w:val="21"/>
                    </w:rPr>
                    <w:t>综合排水</w:t>
                  </w:r>
                </w:p>
              </w:tc>
              <w:tc>
                <w:tcPr>
                  <w:tcW w:w="625" w:type="pct"/>
                  <w:vAlign w:val="center"/>
                </w:tcPr>
                <w:p w14:paraId="153E2059">
                  <w:pPr>
                    <w:jc w:val="center"/>
                    <w:rPr>
                      <w:szCs w:val="21"/>
                    </w:rPr>
                  </w:pPr>
                  <w:r>
                    <w:rPr>
                      <w:szCs w:val="21"/>
                    </w:rPr>
                    <w:t>COD</w:t>
                  </w:r>
                </w:p>
              </w:tc>
              <w:tc>
                <w:tcPr>
                  <w:tcW w:w="491" w:type="pct"/>
                  <w:vMerge w:val="restart"/>
                  <w:vAlign w:val="center"/>
                </w:tcPr>
                <w:p w14:paraId="0B6BB50D">
                  <w:pPr>
                    <w:jc w:val="center"/>
                    <w:rPr>
                      <w:rFonts w:cstheme="minorHAnsi"/>
                      <w:szCs w:val="21"/>
                    </w:rPr>
                  </w:pPr>
                  <w:r>
                    <w:rPr>
                      <w:rFonts w:cstheme="minorHAnsi"/>
                      <w:szCs w:val="21"/>
                    </w:rPr>
                    <w:t>850.75</w:t>
                  </w:r>
                </w:p>
              </w:tc>
              <w:tc>
                <w:tcPr>
                  <w:tcW w:w="2292" w:type="pct"/>
                  <w:gridSpan w:val="4"/>
                  <w:vMerge w:val="restart"/>
                  <w:vAlign w:val="center"/>
                </w:tcPr>
                <w:p w14:paraId="302A6B0B">
                  <w:pPr>
                    <w:jc w:val="center"/>
                    <w:rPr>
                      <w:rFonts w:cstheme="minorHAnsi"/>
                      <w:szCs w:val="21"/>
                    </w:rPr>
                  </w:pPr>
                  <w:r>
                    <w:rPr>
                      <w:rFonts w:hint="eastAsia" w:cstheme="minorHAnsi"/>
                      <w:szCs w:val="21"/>
                    </w:rPr>
                    <w:t>/</w:t>
                  </w:r>
                </w:p>
              </w:tc>
              <w:tc>
                <w:tcPr>
                  <w:tcW w:w="579" w:type="pct"/>
                  <w:vAlign w:val="center"/>
                </w:tcPr>
                <w:p w14:paraId="6659619B">
                  <w:pPr>
                    <w:jc w:val="center"/>
                    <w:rPr>
                      <w:rFonts w:cs="Times New Roman"/>
                      <w:szCs w:val="21"/>
                    </w:rPr>
                  </w:pPr>
                  <w:r>
                    <w:rPr>
                      <w:rFonts w:hint="eastAsia" w:cs="Times New Roman"/>
                      <w:szCs w:val="21"/>
                    </w:rPr>
                    <w:t>239</w:t>
                  </w:r>
                </w:p>
              </w:tc>
              <w:tc>
                <w:tcPr>
                  <w:tcW w:w="578" w:type="pct"/>
                  <w:vAlign w:val="center"/>
                </w:tcPr>
                <w:p w14:paraId="0E0264A2">
                  <w:pPr>
                    <w:jc w:val="center"/>
                    <w:rPr>
                      <w:rFonts w:cs="Times New Roman"/>
                      <w:szCs w:val="21"/>
                    </w:rPr>
                  </w:pPr>
                  <w:r>
                    <w:rPr>
                      <w:rFonts w:cs="Times New Roman"/>
                      <w:szCs w:val="21"/>
                    </w:rPr>
                    <w:t>0.2034</w:t>
                  </w:r>
                </w:p>
              </w:tc>
            </w:tr>
            <w:tr w14:paraId="3099D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3F8B92FE">
                  <w:pPr>
                    <w:jc w:val="center"/>
                    <w:rPr>
                      <w:szCs w:val="21"/>
                    </w:rPr>
                  </w:pPr>
                </w:p>
              </w:tc>
              <w:tc>
                <w:tcPr>
                  <w:tcW w:w="625" w:type="pct"/>
                  <w:vAlign w:val="center"/>
                </w:tcPr>
                <w:p w14:paraId="6892E161">
                  <w:pPr>
                    <w:jc w:val="center"/>
                    <w:rPr>
                      <w:szCs w:val="21"/>
                    </w:rPr>
                  </w:pPr>
                  <w:r>
                    <w:rPr>
                      <w:szCs w:val="21"/>
                    </w:rPr>
                    <w:t>BOD</w:t>
                  </w:r>
                  <w:r>
                    <w:rPr>
                      <w:szCs w:val="21"/>
                      <w:vertAlign w:val="subscript"/>
                    </w:rPr>
                    <w:t>5</w:t>
                  </w:r>
                </w:p>
              </w:tc>
              <w:tc>
                <w:tcPr>
                  <w:tcW w:w="491" w:type="pct"/>
                  <w:vMerge w:val="continue"/>
                  <w:vAlign w:val="center"/>
                </w:tcPr>
                <w:p w14:paraId="65DD2E89">
                  <w:pPr>
                    <w:jc w:val="center"/>
                    <w:rPr>
                      <w:rFonts w:cstheme="minorHAnsi"/>
                      <w:szCs w:val="21"/>
                    </w:rPr>
                  </w:pPr>
                </w:p>
              </w:tc>
              <w:tc>
                <w:tcPr>
                  <w:tcW w:w="2292" w:type="pct"/>
                  <w:gridSpan w:val="4"/>
                  <w:vMerge w:val="continue"/>
                  <w:vAlign w:val="center"/>
                </w:tcPr>
                <w:p w14:paraId="2D8BA8FC">
                  <w:pPr>
                    <w:jc w:val="center"/>
                    <w:rPr>
                      <w:rFonts w:cstheme="minorHAnsi"/>
                      <w:szCs w:val="21"/>
                    </w:rPr>
                  </w:pPr>
                </w:p>
              </w:tc>
              <w:tc>
                <w:tcPr>
                  <w:tcW w:w="579" w:type="pct"/>
                  <w:vAlign w:val="center"/>
                </w:tcPr>
                <w:p w14:paraId="61DE9C65">
                  <w:pPr>
                    <w:jc w:val="center"/>
                    <w:rPr>
                      <w:rFonts w:cs="Times New Roman"/>
                      <w:szCs w:val="21"/>
                    </w:rPr>
                  </w:pPr>
                  <w:r>
                    <w:rPr>
                      <w:rFonts w:hint="eastAsia" w:cs="Times New Roman"/>
                      <w:szCs w:val="21"/>
                    </w:rPr>
                    <w:t>103</w:t>
                  </w:r>
                </w:p>
              </w:tc>
              <w:tc>
                <w:tcPr>
                  <w:tcW w:w="578" w:type="pct"/>
                  <w:vAlign w:val="center"/>
                </w:tcPr>
                <w:p w14:paraId="3422A828">
                  <w:pPr>
                    <w:jc w:val="center"/>
                    <w:rPr>
                      <w:rFonts w:cs="Times New Roman"/>
                      <w:szCs w:val="21"/>
                    </w:rPr>
                  </w:pPr>
                  <w:r>
                    <w:rPr>
                      <w:rFonts w:hint="eastAsia"/>
                      <w:kern w:val="24"/>
                      <w:szCs w:val="21"/>
                    </w:rPr>
                    <w:t>0.0877</w:t>
                  </w:r>
                </w:p>
              </w:tc>
            </w:tr>
            <w:tr w14:paraId="5D2F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29E32EEA">
                  <w:pPr>
                    <w:jc w:val="center"/>
                    <w:rPr>
                      <w:szCs w:val="21"/>
                    </w:rPr>
                  </w:pPr>
                </w:p>
              </w:tc>
              <w:tc>
                <w:tcPr>
                  <w:tcW w:w="625" w:type="pct"/>
                  <w:vAlign w:val="center"/>
                </w:tcPr>
                <w:p w14:paraId="0B8BA2F3">
                  <w:pPr>
                    <w:jc w:val="center"/>
                    <w:rPr>
                      <w:szCs w:val="21"/>
                    </w:rPr>
                  </w:pPr>
                  <w:r>
                    <w:rPr>
                      <w:szCs w:val="21"/>
                    </w:rPr>
                    <w:t>SS</w:t>
                  </w:r>
                </w:p>
              </w:tc>
              <w:tc>
                <w:tcPr>
                  <w:tcW w:w="491" w:type="pct"/>
                  <w:vMerge w:val="continue"/>
                  <w:vAlign w:val="center"/>
                </w:tcPr>
                <w:p w14:paraId="06F6F2E3">
                  <w:pPr>
                    <w:jc w:val="center"/>
                    <w:rPr>
                      <w:rFonts w:cstheme="minorHAnsi"/>
                      <w:szCs w:val="21"/>
                    </w:rPr>
                  </w:pPr>
                </w:p>
              </w:tc>
              <w:tc>
                <w:tcPr>
                  <w:tcW w:w="2292" w:type="pct"/>
                  <w:gridSpan w:val="4"/>
                  <w:vMerge w:val="continue"/>
                  <w:vAlign w:val="center"/>
                </w:tcPr>
                <w:p w14:paraId="6F6C8B47">
                  <w:pPr>
                    <w:jc w:val="center"/>
                    <w:rPr>
                      <w:rFonts w:cstheme="minorHAnsi"/>
                      <w:szCs w:val="21"/>
                    </w:rPr>
                  </w:pPr>
                </w:p>
              </w:tc>
              <w:tc>
                <w:tcPr>
                  <w:tcW w:w="579" w:type="pct"/>
                  <w:vAlign w:val="center"/>
                </w:tcPr>
                <w:p w14:paraId="322811C3">
                  <w:pPr>
                    <w:jc w:val="center"/>
                    <w:rPr>
                      <w:rFonts w:cs="Times New Roman"/>
                      <w:szCs w:val="21"/>
                    </w:rPr>
                  </w:pPr>
                  <w:r>
                    <w:rPr>
                      <w:rFonts w:hint="eastAsia" w:cs="Times New Roman"/>
                      <w:szCs w:val="21"/>
                    </w:rPr>
                    <w:t>114</w:t>
                  </w:r>
                </w:p>
              </w:tc>
              <w:tc>
                <w:tcPr>
                  <w:tcW w:w="578" w:type="pct"/>
                  <w:vAlign w:val="center"/>
                </w:tcPr>
                <w:p w14:paraId="463E4021">
                  <w:pPr>
                    <w:jc w:val="center"/>
                    <w:rPr>
                      <w:rFonts w:cs="Times New Roman"/>
                      <w:szCs w:val="21"/>
                    </w:rPr>
                  </w:pPr>
                  <w:r>
                    <w:rPr>
                      <w:rFonts w:hint="eastAsia"/>
                      <w:szCs w:val="21"/>
                    </w:rPr>
                    <w:t>0.0967</w:t>
                  </w:r>
                </w:p>
              </w:tc>
            </w:tr>
            <w:tr w14:paraId="4162D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6D4D0623">
                  <w:pPr>
                    <w:jc w:val="center"/>
                    <w:rPr>
                      <w:szCs w:val="21"/>
                    </w:rPr>
                  </w:pPr>
                </w:p>
              </w:tc>
              <w:tc>
                <w:tcPr>
                  <w:tcW w:w="625" w:type="pct"/>
                  <w:vAlign w:val="center"/>
                </w:tcPr>
                <w:p w14:paraId="3EF16CB1">
                  <w:pPr>
                    <w:jc w:val="center"/>
                    <w:rPr>
                      <w:szCs w:val="21"/>
                    </w:rPr>
                  </w:pPr>
                  <w:r>
                    <w:rPr>
                      <w:szCs w:val="21"/>
                    </w:rPr>
                    <w:t>NH</w:t>
                  </w:r>
                  <w:r>
                    <w:rPr>
                      <w:szCs w:val="21"/>
                      <w:vertAlign w:val="subscript"/>
                    </w:rPr>
                    <w:t>3</w:t>
                  </w:r>
                  <w:r>
                    <w:rPr>
                      <w:rFonts w:hint="eastAsia"/>
                      <w:szCs w:val="21"/>
                    </w:rPr>
                    <w:t>-</w:t>
                  </w:r>
                  <w:r>
                    <w:rPr>
                      <w:szCs w:val="21"/>
                    </w:rPr>
                    <w:t>N</w:t>
                  </w:r>
                </w:p>
              </w:tc>
              <w:tc>
                <w:tcPr>
                  <w:tcW w:w="491" w:type="pct"/>
                  <w:vMerge w:val="continue"/>
                  <w:vAlign w:val="center"/>
                </w:tcPr>
                <w:p w14:paraId="4EE3A56E">
                  <w:pPr>
                    <w:jc w:val="center"/>
                    <w:rPr>
                      <w:rFonts w:cstheme="minorHAnsi"/>
                      <w:szCs w:val="21"/>
                    </w:rPr>
                  </w:pPr>
                </w:p>
              </w:tc>
              <w:tc>
                <w:tcPr>
                  <w:tcW w:w="2292" w:type="pct"/>
                  <w:gridSpan w:val="4"/>
                  <w:vMerge w:val="continue"/>
                  <w:vAlign w:val="center"/>
                </w:tcPr>
                <w:p w14:paraId="486195D8">
                  <w:pPr>
                    <w:jc w:val="center"/>
                    <w:rPr>
                      <w:rFonts w:cstheme="minorHAnsi"/>
                      <w:szCs w:val="21"/>
                    </w:rPr>
                  </w:pPr>
                </w:p>
              </w:tc>
              <w:tc>
                <w:tcPr>
                  <w:tcW w:w="579" w:type="pct"/>
                  <w:vAlign w:val="center"/>
                </w:tcPr>
                <w:p w14:paraId="62BE5ABB">
                  <w:pPr>
                    <w:jc w:val="center"/>
                    <w:rPr>
                      <w:rFonts w:cs="Times New Roman"/>
                      <w:szCs w:val="21"/>
                    </w:rPr>
                  </w:pPr>
                  <w:r>
                    <w:rPr>
                      <w:rFonts w:hint="eastAsia" w:cs="Times New Roman"/>
                      <w:szCs w:val="21"/>
                    </w:rPr>
                    <w:t>30</w:t>
                  </w:r>
                </w:p>
              </w:tc>
              <w:tc>
                <w:tcPr>
                  <w:tcW w:w="578" w:type="pct"/>
                  <w:vAlign w:val="center"/>
                </w:tcPr>
                <w:p w14:paraId="3BAB9AEA">
                  <w:pPr>
                    <w:jc w:val="center"/>
                    <w:rPr>
                      <w:rFonts w:cs="Times New Roman"/>
                      <w:szCs w:val="21"/>
                    </w:rPr>
                  </w:pPr>
                  <w:r>
                    <w:rPr>
                      <w:rFonts w:hint="eastAsia"/>
                      <w:szCs w:val="21"/>
                    </w:rPr>
                    <w:t>0.0256</w:t>
                  </w:r>
                </w:p>
              </w:tc>
            </w:tr>
            <w:tr w14:paraId="0D10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6D61616D">
                  <w:pPr>
                    <w:jc w:val="center"/>
                    <w:rPr>
                      <w:szCs w:val="21"/>
                    </w:rPr>
                  </w:pPr>
                </w:p>
              </w:tc>
              <w:tc>
                <w:tcPr>
                  <w:tcW w:w="625" w:type="pct"/>
                  <w:vAlign w:val="center"/>
                </w:tcPr>
                <w:p w14:paraId="4BE380D1">
                  <w:pPr>
                    <w:jc w:val="center"/>
                    <w:rPr>
                      <w:szCs w:val="21"/>
                    </w:rPr>
                  </w:pPr>
                  <w:r>
                    <w:rPr>
                      <w:kern w:val="24"/>
                      <w:szCs w:val="21"/>
                    </w:rPr>
                    <w:t>TP</w:t>
                  </w:r>
                </w:p>
              </w:tc>
              <w:tc>
                <w:tcPr>
                  <w:tcW w:w="491" w:type="pct"/>
                  <w:vMerge w:val="continue"/>
                  <w:vAlign w:val="center"/>
                </w:tcPr>
                <w:p w14:paraId="71D1B341">
                  <w:pPr>
                    <w:jc w:val="center"/>
                    <w:rPr>
                      <w:rFonts w:cstheme="minorHAnsi"/>
                      <w:szCs w:val="21"/>
                    </w:rPr>
                  </w:pPr>
                </w:p>
              </w:tc>
              <w:tc>
                <w:tcPr>
                  <w:tcW w:w="2292" w:type="pct"/>
                  <w:gridSpan w:val="4"/>
                  <w:vMerge w:val="continue"/>
                  <w:vAlign w:val="center"/>
                </w:tcPr>
                <w:p w14:paraId="167E5A66">
                  <w:pPr>
                    <w:jc w:val="center"/>
                    <w:rPr>
                      <w:rFonts w:cstheme="minorHAnsi"/>
                      <w:szCs w:val="21"/>
                    </w:rPr>
                  </w:pPr>
                </w:p>
              </w:tc>
              <w:tc>
                <w:tcPr>
                  <w:tcW w:w="579" w:type="pct"/>
                  <w:vAlign w:val="center"/>
                </w:tcPr>
                <w:p w14:paraId="085EAC83">
                  <w:pPr>
                    <w:jc w:val="center"/>
                    <w:rPr>
                      <w:rFonts w:cs="Times New Roman"/>
                      <w:szCs w:val="21"/>
                    </w:rPr>
                  </w:pPr>
                  <w:r>
                    <w:rPr>
                      <w:rFonts w:hint="eastAsia" w:cs="Times New Roman"/>
                      <w:szCs w:val="21"/>
                    </w:rPr>
                    <w:t>3</w:t>
                  </w:r>
                </w:p>
              </w:tc>
              <w:tc>
                <w:tcPr>
                  <w:tcW w:w="578" w:type="pct"/>
                  <w:vAlign w:val="center"/>
                </w:tcPr>
                <w:p w14:paraId="330CCC92">
                  <w:pPr>
                    <w:jc w:val="center"/>
                    <w:rPr>
                      <w:rFonts w:cs="Times New Roman"/>
                      <w:szCs w:val="21"/>
                    </w:rPr>
                  </w:pPr>
                  <w:r>
                    <w:rPr>
                      <w:rFonts w:hint="eastAsia"/>
                      <w:kern w:val="24"/>
                      <w:szCs w:val="21"/>
                    </w:rPr>
                    <w:t>0.0028</w:t>
                  </w:r>
                </w:p>
              </w:tc>
            </w:tr>
            <w:tr w14:paraId="7E02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 w:type="pct"/>
                  <w:vMerge w:val="continue"/>
                  <w:vAlign w:val="center"/>
                </w:tcPr>
                <w:p w14:paraId="713BC610">
                  <w:pPr>
                    <w:jc w:val="center"/>
                    <w:rPr>
                      <w:szCs w:val="21"/>
                    </w:rPr>
                  </w:pPr>
                </w:p>
              </w:tc>
              <w:tc>
                <w:tcPr>
                  <w:tcW w:w="625" w:type="pct"/>
                  <w:vAlign w:val="center"/>
                </w:tcPr>
                <w:p w14:paraId="1D2A4196">
                  <w:pPr>
                    <w:jc w:val="center"/>
                    <w:rPr>
                      <w:szCs w:val="21"/>
                    </w:rPr>
                  </w:pPr>
                  <w:r>
                    <w:rPr>
                      <w:rFonts w:hint="eastAsia"/>
                      <w:kern w:val="24"/>
                      <w:szCs w:val="21"/>
                    </w:rPr>
                    <w:t>动植物油</w:t>
                  </w:r>
                </w:p>
              </w:tc>
              <w:tc>
                <w:tcPr>
                  <w:tcW w:w="491" w:type="pct"/>
                  <w:vMerge w:val="continue"/>
                  <w:vAlign w:val="center"/>
                </w:tcPr>
                <w:p w14:paraId="7922CF03">
                  <w:pPr>
                    <w:jc w:val="center"/>
                    <w:rPr>
                      <w:rFonts w:cstheme="minorHAnsi"/>
                      <w:szCs w:val="21"/>
                    </w:rPr>
                  </w:pPr>
                </w:p>
              </w:tc>
              <w:tc>
                <w:tcPr>
                  <w:tcW w:w="2292" w:type="pct"/>
                  <w:gridSpan w:val="4"/>
                  <w:vMerge w:val="continue"/>
                  <w:vAlign w:val="center"/>
                </w:tcPr>
                <w:p w14:paraId="06533919">
                  <w:pPr>
                    <w:jc w:val="center"/>
                    <w:rPr>
                      <w:rFonts w:cstheme="minorHAnsi"/>
                      <w:szCs w:val="21"/>
                    </w:rPr>
                  </w:pPr>
                </w:p>
              </w:tc>
              <w:tc>
                <w:tcPr>
                  <w:tcW w:w="579" w:type="pct"/>
                  <w:vAlign w:val="center"/>
                </w:tcPr>
                <w:p w14:paraId="41C2199F">
                  <w:pPr>
                    <w:jc w:val="center"/>
                    <w:rPr>
                      <w:rFonts w:cs="Times New Roman"/>
                      <w:szCs w:val="21"/>
                    </w:rPr>
                  </w:pPr>
                  <w:r>
                    <w:rPr>
                      <w:rFonts w:hint="eastAsia" w:cs="Times New Roman"/>
                      <w:szCs w:val="21"/>
                    </w:rPr>
                    <w:t>11</w:t>
                  </w:r>
                </w:p>
              </w:tc>
              <w:tc>
                <w:tcPr>
                  <w:tcW w:w="578" w:type="pct"/>
                  <w:vAlign w:val="center"/>
                </w:tcPr>
                <w:p w14:paraId="4E5DC2AD">
                  <w:pPr>
                    <w:jc w:val="center"/>
                    <w:rPr>
                      <w:rFonts w:cs="Times New Roman"/>
                      <w:szCs w:val="21"/>
                    </w:rPr>
                  </w:pPr>
                  <w:r>
                    <w:rPr>
                      <w:rFonts w:hint="eastAsia"/>
                      <w:kern w:val="24"/>
                      <w:szCs w:val="21"/>
                    </w:rPr>
                    <w:t>0.0090</w:t>
                  </w:r>
                </w:p>
              </w:tc>
            </w:tr>
          </w:tbl>
          <w:p w14:paraId="7EAE10CB">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）废水治理设施、排放口基本信息</w:t>
            </w:r>
          </w:p>
          <w:p w14:paraId="76C742FD">
            <w:pPr>
              <w:spacing w:line="360" w:lineRule="auto"/>
              <w:ind w:firstLine="480" w:firstLineChars="200"/>
              <w:rPr>
                <w:sz w:val="24"/>
                <w:szCs w:val="24"/>
              </w:rPr>
            </w:pPr>
            <w:r>
              <w:rPr>
                <w:sz w:val="24"/>
                <w:szCs w:val="24"/>
              </w:rPr>
              <w:t>项目</w:t>
            </w:r>
            <w:r>
              <w:rPr>
                <w:rFonts w:hint="eastAsia"/>
                <w:sz w:val="24"/>
                <w:szCs w:val="24"/>
              </w:rPr>
              <w:t>废水治理设施、排放口基本信息见下表。</w:t>
            </w:r>
          </w:p>
          <w:p w14:paraId="55E2C05C">
            <w:pPr>
              <w:pStyle w:val="51"/>
              <w:numPr>
                <w:ilvl w:val="0"/>
                <w:numId w:val="6"/>
              </w:numPr>
              <w:spacing w:line="360" w:lineRule="auto"/>
              <w:ind w:firstLineChars="0"/>
              <w:jc w:val="center"/>
              <w:rPr>
                <w:rFonts w:eastAsia="黑体" w:cs="Times New Roman"/>
                <w:szCs w:val="21"/>
              </w:rPr>
            </w:pPr>
            <w:r>
              <w:rPr>
                <w:rFonts w:eastAsia="黑体" w:cs="Times New Roman"/>
                <w:kern w:val="24"/>
                <w:szCs w:val="21"/>
              </w:rPr>
              <w:t>废水</w:t>
            </w:r>
            <w:r>
              <w:rPr>
                <w:rFonts w:hint="eastAsia" w:eastAsia="黑体" w:cs="Times New Roman"/>
                <w:szCs w:val="21"/>
              </w:rPr>
              <w:t>治理设施信息</w:t>
            </w:r>
            <w:r>
              <w:rPr>
                <w:rFonts w:eastAsia="黑体" w:cs="Times New Roman"/>
                <w:kern w:val="24"/>
                <w:szCs w:val="21"/>
              </w:rPr>
              <w:t>表</w:t>
            </w:r>
          </w:p>
          <w:tbl>
            <w:tblPr>
              <w:tblStyle w:val="16"/>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191"/>
              <w:gridCol w:w="1500"/>
              <w:gridCol w:w="1199"/>
              <w:gridCol w:w="1197"/>
              <w:gridCol w:w="1118"/>
              <w:gridCol w:w="1236"/>
              <w:gridCol w:w="772"/>
              <w:gridCol w:w="951"/>
            </w:tblGrid>
            <w:tr w14:paraId="2BD189B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jc w:val="center"/>
              </w:trPr>
              <w:tc>
                <w:tcPr>
                  <w:tcW w:w="650" w:type="pct"/>
                  <w:vMerge w:val="restart"/>
                  <w:vAlign w:val="center"/>
                </w:tcPr>
                <w:p w14:paraId="26AFC756">
                  <w:pPr>
                    <w:jc w:val="center"/>
                    <w:rPr>
                      <w:szCs w:val="21"/>
                    </w:rPr>
                  </w:pPr>
                  <w:r>
                    <w:rPr>
                      <w:szCs w:val="21"/>
                    </w:rPr>
                    <w:t>废水类别</w:t>
                  </w:r>
                </w:p>
              </w:tc>
              <w:tc>
                <w:tcPr>
                  <w:tcW w:w="818" w:type="pct"/>
                  <w:vMerge w:val="restart"/>
                  <w:vAlign w:val="center"/>
                </w:tcPr>
                <w:p w14:paraId="407EFC2B">
                  <w:pPr>
                    <w:jc w:val="center"/>
                    <w:rPr>
                      <w:szCs w:val="21"/>
                    </w:rPr>
                  </w:pPr>
                  <w:r>
                    <w:rPr>
                      <w:szCs w:val="21"/>
                    </w:rPr>
                    <w:t>污染物种类</w:t>
                  </w:r>
                </w:p>
              </w:tc>
              <w:tc>
                <w:tcPr>
                  <w:tcW w:w="2591" w:type="pct"/>
                  <w:gridSpan w:val="4"/>
                  <w:vAlign w:val="center"/>
                </w:tcPr>
                <w:p w14:paraId="629CD3DD">
                  <w:pPr>
                    <w:jc w:val="center"/>
                    <w:rPr>
                      <w:szCs w:val="21"/>
                    </w:rPr>
                  </w:pPr>
                  <w:r>
                    <w:rPr>
                      <w:szCs w:val="21"/>
                    </w:rPr>
                    <w:t>污染治理设施</w:t>
                  </w:r>
                </w:p>
              </w:tc>
              <w:tc>
                <w:tcPr>
                  <w:tcW w:w="421" w:type="pct"/>
                  <w:vMerge w:val="restart"/>
                  <w:vAlign w:val="center"/>
                </w:tcPr>
                <w:p w14:paraId="3578A1BF">
                  <w:pPr>
                    <w:jc w:val="center"/>
                    <w:rPr>
                      <w:szCs w:val="21"/>
                    </w:rPr>
                  </w:pPr>
                  <w:r>
                    <w:rPr>
                      <w:szCs w:val="21"/>
                    </w:rPr>
                    <w:t>排放</w:t>
                  </w:r>
                </w:p>
                <w:p w14:paraId="6FE1FBC5">
                  <w:pPr>
                    <w:jc w:val="center"/>
                    <w:rPr>
                      <w:szCs w:val="21"/>
                    </w:rPr>
                  </w:pPr>
                  <w:r>
                    <w:rPr>
                      <w:szCs w:val="21"/>
                    </w:rPr>
                    <w:t>方式</w:t>
                  </w:r>
                </w:p>
              </w:tc>
              <w:tc>
                <w:tcPr>
                  <w:tcW w:w="519" w:type="pct"/>
                  <w:vMerge w:val="restart"/>
                  <w:vAlign w:val="center"/>
                </w:tcPr>
                <w:p w14:paraId="4B84972C">
                  <w:pPr>
                    <w:jc w:val="center"/>
                    <w:rPr>
                      <w:szCs w:val="21"/>
                    </w:rPr>
                  </w:pPr>
                  <w:r>
                    <w:rPr>
                      <w:szCs w:val="21"/>
                    </w:rPr>
                    <w:t>排放</w:t>
                  </w:r>
                </w:p>
                <w:p w14:paraId="38A84E53">
                  <w:pPr>
                    <w:jc w:val="center"/>
                    <w:rPr>
                      <w:szCs w:val="21"/>
                    </w:rPr>
                  </w:pPr>
                  <w:r>
                    <w:rPr>
                      <w:szCs w:val="21"/>
                    </w:rPr>
                    <w:t>去向</w:t>
                  </w:r>
                </w:p>
              </w:tc>
            </w:tr>
            <w:tr w14:paraId="5CE215F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Merge w:val="continue"/>
                  <w:vAlign w:val="center"/>
                </w:tcPr>
                <w:p w14:paraId="209DEB5B">
                  <w:pPr>
                    <w:jc w:val="center"/>
                    <w:rPr>
                      <w:szCs w:val="21"/>
                    </w:rPr>
                  </w:pPr>
                </w:p>
              </w:tc>
              <w:tc>
                <w:tcPr>
                  <w:tcW w:w="818" w:type="pct"/>
                  <w:vMerge w:val="continue"/>
                  <w:vAlign w:val="center"/>
                </w:tcPr>
                <w:p w14:paraId="655AD7C6">
                  <w:pPr>
                    <w:jc w:val="center"/>
                    <w:rPr>
                      <w:szCs w:val="21"/>
                    </w:rPr>
                  </w:pPr>
                </w:p>
              </w:tc>
              <w:tc>
                <w:tcPr>
                  <w:tcW w:w="654" w:type="pct"/>
                  <w:vAlign w:val="center"/>
                </w:tcPr>
                <w:p w14:paraId="6914BF56">
                  <w:pPr>
                    <w:jc w:val="center"/>
                    <w:rPr>
                      <w:szCs w:val="21"/>
                    </w:rPr>
                  </w:pPr>
                  <w:r>
                    <w:rPr>
                      <w:szCs w:val="21"/>
                    </w:rPr>
                    <w:t>名称</w:t>
                  </w:r>
                </w:p>
              </w:tc>
              <w:tc>
                <w:tcPr>
                  <w:tcW w:w="653" w:type="pct"/>
                  <w:vAlign w:val="center"/>
                </w:tcPr>
                <w:p w14:paraId="5BFD4279">
                  <w:pPr>
                    <w:jc w:val="center"/>
                    <w:rPr>
                      <w:szCs w:val="21"/>
                    </w:rPr>
                  </w:pPr>
                  <w:r>
                    <w:rPr>
                      <w:szCs w:val="21"/>
                    </w:rPr>
                    <w:t>处理能力</w:t>
                  </w:r>
                  <w:r>
                    <w:rPr>
                      <w:rFonts w:hint="eastAsia"/>
                      <w:szCs w:val="21"/>
                    </w:rPr>
                    <w:t>（</w:t>
                  </w:r>
                  <w:r>
                    <w:rPr>
                      <w:szCs w:val="21"/>
                    </w:rPr>
                    <w:t>t/d</w:t>
                  </w:r>
                  <w:r>
                    <w:rPr>
                      <w:rFonts w:hint="eastAsia"/>
                      <w:szCs w:val="21"/>
                    </w:rPr>
                    <w:t>）</w:t>
                  </w:r>
                </w:p>
              </w:tc>
              <w:tc>
                <w:tcPr>
                  <w:tcW w:w="610" w:type="pct"/>
                  <w:vAlign w:val="center"/>
                </w:tcPr>
                <w:p w14:paraId="1DEBFBF1">
                  <w:pPr>
                    <w:jc w:val="center"/>
                    <w:rPr>
                      <w:szCs w:val="21"/>
                    </w:rPr>
                  </w:pPr>
                  <w:r>
                    <w:rPr>
                      <w:szCs w:val="21"/>
                    </w:rPr>
                    <w:t>治理工艺</w:t>
                  </w:r>
                </w:p>
              </w:tc>
              <w:tc>
                <w:tcPr>
                  <w:tcW w:w="674" w:type="pct"/>
                  <w:vAlign w:val="center"/>
                </w:tcPr>
                <w:p w14:paraId="012D1A2E">
                  <w:pPr>
                    <w:jc w:val="center"/>
                    <w:rPr>
                      <w:szCs w:val="21"/>
                    </w:rPr>
                  </w:pPr>
                  <w:r>
                    <w:rPr>
                      <w:szCs w:val="21"/>
                    </w:rPr>
                    <w:t>是否为可行性技术</w:t>
                  </w:r>
                </w:p>
              </w:tc>
              <w:tc>
                <w:tcPr>
                  <w:tcW w:w="421" w:type="pct"/>
                  <w:vMerge w:val="continue"/>
                  <w:vAlign w:val="center"/>
                </w:tcPr>
                <w:p w14:paraId="3A521115">
                  <w:pPr>
                    <w:jc w:val="center"/>
                    <w:rPr>
                      <w:szCs w:val="21"/>
                    </w:rPr>
                  </w:pPr>
                </w:p>
              </w:tc>
              <w:tc>
                <w:tcPr>
                  <w:tcW w:w="519" w:type="pct"/>
                  <w:vMerge w:val="continue"/>
                  <w:vAlign w:val="center"/>
                </w:tcPr>
                <w:p w14:paraId="79661936">
                  <w:pPr>
                    <w:jc w:val="center"/>
                    <w:rPr>
                      <w:szCs w:val="21"/>
                    </w:rPr>
                  </w:pPr>
                </w:p>
              </w:tc>
            </w:tr>
            <w:tr w14:paraId="178C15D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14:paraId="68718D8E">
                  <w:pPr>
                    <w:jc w:val="center"/>
                    <w:rPr>
                      <w:szCs w:val="21"/>
                    </w:rPr>
                  </w:pPr>
                  <w:r>
                    <w:rPr>
                      <w:rFonts w:hint="eastAsia"/>
                      <w:szCs w:val="21"/>
                    </w:rPr>
                    <w:t>生活污水、食堂废水</w:t>
                  </w:r>
                </w:p>
              </w:tc>
              <w:tc>
                <w:tcPr>
                  <w:tcW w:w="818" w:type="pct"/>
                  <w:vAlign w:val="center"/>
                </w:tcPr>
                <w:p w14:paraId="67505ED8">
                  <w:pPr>
                    <w:jc w:val="center"/>
                    <w:rPr>
                      <w:szCs w:val="21"/>
                    </w:rPr>
                  </w:pPr>
                  <w:r>
                    <w:rPr>
                      <w:szCs w:val="21"/>
                    </w:rPr>
                    <w:t>COD、BOD</w:t>
                  </w:r>
                  <w:r>
                    <w:rPr>
                      <w:szCs w:val="21"/>
                      <w:vertAlign w:val="subscript"/>
                    </w:rPr>
                    <w:t>5</w:t>
                  </w:r>
                  <w:r>
                    <w:rPr>
                      <w:szCs w:val="21"/>
                    </w:rPr>
                    <w:t>、SS、NH</w:t>
                  </w:r>
                  <w:r>
                    <w:rPr>
                      <w:szCs w:val="21"/>
                      <w:vertAlign w:val="subscript"/>
                    </w:rPr>
                    <w:t>3</w:t>
                  </w:r>
                  <w:r>
                    <w:rPr>
                      <w:szCs w:val="21"/>
                    </w:rPr>
                    <w:t>-N、</w:t>
                  </w:r>
                  <w:r>
                    <w:rPr>
                      <w:rFonts w:hint="eastAsia"/>
                      <w:szCs w:val="21"/>
                    </w:rPr>
                    <w:t>TP</w:t>
                  </w:r>
                </w:p>
              </w:tc>
              <w:tc>
                <w:tcPr>
                  <w:tcW w:w="654" w:type="pct"/>
                  <w:vAlign w:val="center"/>
                </w:tcPr>
                <w:p w14:paraId="115371A4">
                  <w:pPr>
                    <w:jc w:val="center"/>
                    <w:rPr>
                      <w:szCs w:val="21"/>
                    </w:rPr>
                  </w:pPr>
                  <w:r>
                    <w:rPr>
                      <w:rFonts w:hint="eastAsia"/>
                      <w:szCs w:val="21"/>
                    </w:rPr>
                    <w:t>隔油池+预处理池</w:t>
                  </w:r>
                </w:p>
              </w:tc>
              <w:tc>
                <w:tcPr>
                  <w:tcW w:w="653" w:type="pct"/>
                  <w:vAlign w:val="center"/>
                </w:tcPr>
                <w:p w14:paraId="493B6D01">
                  <w:pPr>
                    <w:jc w:val="center"/>
                    <w:rPr>
                      <w:szCs w:val="21"/>
                    </w:rPr>
                  </w:pPr>
                  <w:r>
                    <w:rPr>
                      <w:szCs w:val="21"/>
                    </w:rPr>
                    <w:t>40</w:t>
                  </w:r>
                </w:p>
              </w:tc>
              <w:tc>
                <w:tcPr>
                  <w:tcW w:w="610" w:type="pct"/>
                  <w:vAlign w:val="center"/>
                </w:tcPr>
                <w:p w14:paraId="07D1A3B2">
                  <w:pPr>
                    <w:jc w:val="center"/>
                    <w:rPr>
                      <w:szCs w:val="21"/>
                    </w:rPr>
                  </w:pPr>
                  <w:r>
                    <w:rPr>
                      <w:rFonts w:hint="eastAsia"/>
                      <w:szCs w:val="21"/>
                    </w:rPr>
                    <w:t>隔油、预处理</w:t>
                  </w:r>
                </w:p>
              </w:tc>
              <w:tc>
                <w:tcPr>
                  <w:tcW w:w="674" w:type="pct"/>
                  <w:vAlign w:val="center"/>
                </w:tcPr>
                <w:p w14:paraId="10819F76">
                  <w:pPr>
                    <w:jc w:val="center"/>
                    <w:rPr>
                      <w:szCs w:val="21"/>
                    </w:rPr>
                  </w:pPr>
                  <w:r>
                    <w:rPr>
                      <w:szCs w:val="21"/>
                    </w:rPr>
                    <w:t>是</w:t>
                  </w:r>
                </w:p>
              </w:tc>
              <w:tc>
                <w:tcPr>
                  <w:tcW w:w="421" w:type="pct"/>
                  <w:vAlign w:val="center"/>
                </w:tcPr>
                <w:p w14:paraId="57CF2365">
                  <w:pPr>
                    <w:jc w:val="center"/>
                    <w:rPr>
                      <w:szCs w:val="21"/>
                    </w:rPr>
                  </w:pPr>
                  <w:r>
                    <w:rPr>
                      <w:rFonts w:hint="eastAsia"/>
                      <w:szCs w:val="21"/>
                    </w:rPr>
                    <w:t>间接排放</w:t>
                  </w:r>
                </w:p>
              </w:tc>
              <w:tc>
                <w:tcPr>
                  <w:tcW w:w="519" w:type="pct"/>
                  <w:vAlign w:val="center"/>
                </w:tcPr>
                <w:p w14:paraId="408DB601">
                  <w:pPr>
                    <w:jc w:val="center"/>
                    <w:rPr>
                      <w:szCs w:val="21"/>
                    </w:rPr>
                  </w:pPr>
                  <w:r>
                    <w:rPr>
                      <w:rFonts w:hint="eastAsia"/>
                      <w:szCs w:val="21"/>
                    </w:rPr>
                    <w:t>进入工业废水集中处理厂</w:t>
                  </w:r>
                </w:p>
              </w:tc>
            </w:tr>
          </w:tbl>
          <w:p w14:paraId="09D4435A">
            <w:pPr>
              <w:pStyle w:val="51"/>
              <w:numPr>
                <w:ilvl w:val="0"/>
                <w:numId w:val="6"/>
              </w:numPr>
              <w:spacing w:line="360" w:lineRule="auto"/>
              <w:ind w:firstLineChars="0"/>
              <w:jc w:val="center"/>
              <w:rPr>
                <w:rFonts w:eastAsia="黑体" w:cs="Times New Roman"/>
                <w:szCs w:val="21"/>
              </w:rPr>
            </w:pPr>
            <w:r>
              <w:rPr>
                <w:rFonts w:eastAsia="黑体" w:cs="Times New Roman"/>
                <w:kern w:val="24"/>
                <w:szCs w:val="21"/>
              </w:rPr>
              <w:t>废水</w:t>
            </w:r>
            <w:r>
              <w:rPr>
                <w:rFonts w:hint="eastAsia" w:eastAsia="黑体" w:cs="Times New Roman"/>
                <w:szCs w:val="21"/>
              </w:rPr>
              <w:t>排放口基本信息</w:t>
            </w:r>
            <w:r>
              <w:rPr>
                <w:rFonts w:eastAsia="黑体" w:cs="Times New Roman"/>
                <w:kern w:val="24"/>
                <w:szCs w:val="21"/>
              </w:rPr>
              <w:t>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070"/>
              <w:gridCol w:w="1083"/>
              <w:gridCol w:w="1084"/>
              <w:gridCol w:w="1498"/>
              <w:gridCol w:w="1498"/>
              <w:gridCol w:w="1973"/>
            </w:tblGrid>
            <w:tr w14:paraId="319F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0" w:type="pct"/>
                  <w:vMerge w:val="restart"/>
                  <w:vAlign w:val="center"/>
                </w:tcPr>
                <w:p w14:paraId="132253F3">
                  <w:pPr>
                    <w:jc w:val="center"/>
                    <w:rPr>
                      <w:rFonts w:cs="Times New Roman"/>
                      <w:spacing w:val="4"/>
                      <w:szCs w:val="21"/>
                    </w:rPr>
                  </w:pPr>
                  <w:r>
                    <w:rPr>
                      <w:rFonts w:hint="eastAsia" w:cs="Times New Roman"/>
                      <w:spacing w:val="4"/>
                      <w:szCs w:val="21"/>
                    </w:rPr>
                    <w:t>排放口编号</w:t>
                  </w:r>
                </w:p>
              </w:tc>
              <w:tc>
                <w:tcPr>
                  <w:tcW w:w="584" w:type="pct"/>
                  <w:vMerge w:val="restart"/>
                  <w:vAlign w:val="center"/>
                </w:tcPr>
                <w:p w14:paraId="26FB5BFC">
                  <w:pPr>
                    <w:jc w:val="center"/>
                    <w:rPr>
                      <w:rFonts w:cs="Times New Roman"/>
                      <w:spacing w:val="4"/>
                      <w:szCs w:val="21"/>
                    </w:rPr>
                  </w:pPr>
                  <w:r>
                    <w:rPr>
                      <w:rFonts w:hint="eastAsia" w:cs="Times New Roman"/>
                      <w:spacing w:val="4"/>
                      <w:szCs w:val="21"/>
                    </w:rPr>
                    <w:t>排放口</w:t>
                  </w:r>
                </w:p>
                <w:p w14:paraId="140489B2">
                  <w:pPr>
                    <w:jc w:val="center"/>
                    <w:rPr>
                      <w:rFonts w:cs="Times New Roman"/>
                      <w:spacing w:val="4"/>
                      <w:szCs w:val="21"/>
                    </w:rPr>
                  </w:pPr>
                  <w:r>
                    <w:rPr>
                      <w:rFonts w:hint="eastAsia" w:cs="Times New Roman"/>
                      <w:spacing w:val="4"/>
                      <w:szCs w:val="21"/>
                    </w:rPr>
                    <w:t>名称</w:t>
                  </w:r>
                </w:p>
              </w:tc>
              <w:tc>
                <w:tcPr>
                  <w:tcW w:w="1183" w:type="pct"/>
                  <w:gridSpan w:val="2"/>
                  <w:vAlign w:val="center"/>
                </w:tcPr>
                <w:p w14:paraId="0D233F85">
                  <w:pPr>
                    <w:jc w:val="center"/>
                    <w:rPr>
                      <w:rFonts w:cs="Times New Roman"/>
                      <w:spacing w:val="4"/>
                      <w:szCs w:val="21"/>
                    </w:rPr>
                  </w:pPr>
                  <w:r>
                    <w:rPr>
                      <w:rFonts w:hint="eastAsia" w:cs="Times New Roman"/>
                      <w:spacing w:val="4"/>
                      <w:szCs w:val="21"/>
                    </w:rPr>
                    <w:t>排放口地理坐标</w:t>
                  </w:r>
                </w:p>
              </w:tc>
              <w:tc>
                <w:tcPr>
                  <w:tcW w:w="818" w:type="pct"/>
                  <w:vMerge w:val="restart"/>
                  <w:vAlign w:val="center"/>
                </w:tcPr>
                <w:p w14:paraId="1C487A3B">
                  <w:pPr>
                    <w:jc w:val="center"/>
                    <w:rPr>
                      <w:rFonts w:cs="Times New Roman"/>
                      <w:spacing w:val="4"/>
                      <w:szCs w:val="21"/>
                    </w:rPr>
                  </w:pPr>
                  <w:r>
                    <w:rPr>
                      <w:rFonts w:hint="eastAsia" w:cs="Times New Roman"/>
                      <w:spacing w:val="4"/>
                      <w:szCs w:val="21"/>
                    </w:rPr>
                    <w:t>废水排放量（万t</w:t>
                  </w:r>
                  <w:r>
                    <w:rPr>
                      <w:rFonts w:cs="Times New Roman"/>
                      <w:spacing w:val="4"/>
                      <w:szCs w:val="21"/>
                    </w:rPr>
                    <w:t>/a</w:t>
                  </w:r>
                  <w:r>
                    <w:rPr>
                      <w:rFonts w:hint="eastAsia" w:cs="Times New Roman"/>
                      <w:spacing w:val="4"/>
                      <w:szCs w:val="21"/>
                    </w:rPr>
                    <w:t>）</w:t>
                  </w:r>
                </w:p>
              </w:tc>
              <w:tc>
                <w:tcPr>
                  <w:tcW w:w="818" w:type="pct"/>
                  <w:vMerge w:val="restart"/>
                  <w:vAlign w:val="center"/>
                </w:tcPr>
                <w:p w14:paraId="2385E3A8">
                  <w:pPr>
                    <w:jc w:val="center"/>
                    <w:rPr>
                      <w:rFonts w:cs="Times New Roman"/>
                      <w:spacing w:val="4"/>
                      <w:szCs w:val="21"/>
                    </w:rPr>
                  </w:pPr>
                  <w:r>
                    <w:rPr>
                      <w:rFonts w:hint="eastAsia" w:cs="Times New Roman"/>
                      <w:spacing w:val="4"/>
                      <w:szCs w:val="21"/>
                    </w:rPr>
                    <w:t>排放去向</w:t>
                  </w:r>
                </w:p>
              </w:tc>
              <w:tc>
                <w:tcPr>
                  <w:tcW w:w="1077" w:type="pct"/>
                  <w:vMerge w:val="restart"/>
                  <w:vAlign w:val="center"/>
                </w:tcPr>
                <w:p w14:paraId="627B5CAD">
                  <w:pPr>
                    <w:jc w:val="center"/>
                    <w:rPr>
                      <w:rFonts w:cs="Times New Roman"/>
                      <w:spacing w:val="4"/>
                      <w:szCs w:val="21"/>
                    </w:rPr>
                  </w:pPr>
                  <w:r>
                    <w:rPr>
                      <w:rFonts w:hint="eastAsia" w:cs="Times New Roman"/>
                      <w:spacing w:val="4"/>
                      <w:szCs w:val="21"/>
                    </w:rPr>
                    <w:t>排放规律</w:t>
                  </w:r>
                </w:p>
              </w:tc>
            </w:tr>
            <w:tr w14:paraId="00A1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0" w:type="pct"/>
                  <w:vMerge w:val="continue"/>
                  <w:vAlign w:val="center"/>
                </w:tcPr>
                <w:p w14:paraId="453FC666">
                  <w:pPr>
                    <w:jc w:val="center"/>
                    <w:rPr>
                      <w:rFonts w:cs="Times New Roman"/>
                      <w:spacing w:val="4"/>
                      <w:szCs w:val="21"/>
                    </w:rPr>
                  </w:pPr>
                </w:p>
              </w:tc>
              <w:tc>
                <w:tcPr>
                  <w:tcW w:w="584" w:type="pct"/>
                  <w:vMerge w:val="continue"/>
                  <w:vAlign w:val="center"/>
                </w:tcPr>
                <w:p w14:paraId="3AAB1F21">
                  <w:pPr>
                    <w:jc w:val="center"/>
                    <w:rPr>
                      <w:rFonts w:cs="Times New Roman"/>
                      <w:spacing w:val="4"/>
                      <w:szCs w:val="21"/>
                    </w:rPr>
                  </w:pPr>
                </w:p>
              </w:tc>
              <w:tc>
                <w:tcPr>
                  <w:tcW w:w="591" w:type="pct"/>
                  <w:vAlign w:val="center"/>
                </w:tcPr>
                <w:p w14:paraId="51D61A4A">
                  <w:pPr>
                    <w:jc w:val="center"/>
                    <w:rPr>
                      <w:rFonts w:cs="Times New Roman"/>
                      <w:spacing w:val="4"/>
                      <w:szCs w:val="21"/>
                    </w:rPr>
                  </w:pPr>
                  <w:r>
                    <w:rPr>
                      <w:rFonts w:hint="eastAsia" w:cs="Times New Roman"/>
                      <w:spacing w:val="4"/>
                      <w:szCs w:val="21"/>
                    </w:rPr>
                    <w:t>经度</w:t>
                  </w:r>
                </w:p>
              </w:tc>
              <w:tc>
                <w:tcPr>
                  <w:tcW w:w="592" w:type="pct"/>
                  <w:vAlign w:val="center"/>
                </w:tcPr>
                <w:p w14:paraId="1DBB78E7">
                  <w:pPr>
                    <w:jc w:val="center"/>
                    <w:rPr>
                      <w:rFonts w:cs="Times New Roman"/>
                      <w:spacing w:val="4"/>
                      <w:szCs w:val="21"/>
                    </w:rPr>
                  </w:pPr>
                  <w:r>
                    <w:rPr>
                      <w:rFonts w:hint="eastAsia" w:cs="Times New Roman"/>
                      <w:spacing w:val="4"/>
                      <w:szCs w:val="21"/>
                    </w:rPr>
                    <w:t>纬度</w:t>
                  </w:r>
                </w:p>
              </w:tc>
              <w:tc>
                <w:tcPr>
                  <w:tcW w:w="818" w:type="pct"/>
                  <w:vMerge w:val="continue"/>
                  <w:vAlign w:val="center"/>
                </w:tcPr>
                <w:p w14:paraId="3C19FE99">
                  <w:pPr>
                    <w:jc w:val="center"/>
                    <w:rPr>
                      <w:rFonts w:cs="Times New Roman"/>
                      <w:spacing w:val="4"/>
                      <w:szCs w:val="21"/>
                    </w:rPr>
                  </w:pPr>
                </w:p>
              </w:tc>
              <w:tc>
                <w:tcPr>
                  <w:tcW w:w="818" w:type="pct"/>
                  <w:vMerge w:val="continue"/>
                  <w:vAlign w:val="center"/>
                </w:tcPr>
                <w:p w14:paraId="4C4914C3">
                  <w:pPr>
                    <w:jc w:val="center"/>
                    <w:rPr>
                      <w:rFonts w:cs="Times New Roman"/>
                      <w:spacing w:val="4"/>
                      <w:szCs w:val="21"/>
                    </w:rPr>
                  </w:pPr>
                </w:p>
              </w:tc>
              <w:tc>
                <w:tcPr>
                  <w:tcW w:w="1077" w:type="pct"/>
                  <w:vMerge w:val="continue"/>
                  <w:vAlign w:val="center"/>
                </w:tcPr>
                <w:p w14:paraId="2AAE6D3C">
                  <w:pPr>
                    <w:jc w:val="center"/>
                    <w:rPr>
                      <w:rFonts w:cs="Times New Roman"/>
                      <w:spacing w:val="4"/>
                      <w:szCs w:val="21"/>
                    </w:rPr>
                  </w:pPr>
                </w:p>
              </w:tc>
            </w:tr>
            <w:tr w14:paraId="5B8F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0" w:type="pct"/>
                  <w:vAlign w:val="center"/>
                </w:tcPr>
                <w:p w14:paraId="49519295">
                  <w:pPr>
                    <w:jc w:val="center"/>
                    <w:rPr>
                      <w:rFonts w:cs="Times New Roman"/>
                      <w:spacing w:val="4"/>
                      <w:szCs w:val="21"/>
                    </w:rPr>
                  </w:pPr>
                  <w:r>
                    <w:rPr>
                      <w:rFonts w:hint="eastAsia" w:cs="Times New Roman"/>
                      <w:spacing w:val="4"/>
                      <w:szCs w:val="21"/>
                    </w:rPr>
                    <w:t>DW</w:t>
                  </w:r>
                  <w:r>
                    <w:rPr>
                      <w:rFonts w:cs="Times New Roman"/>
                      <w:spacing w:val="4"/>
                      <w:szCs w:val="21"/>
                    </w:rPr>
                    <w:t>001</w:t>
                  </w:r>
                </w:p>
              </w:tc>
              <w:tc>
                <w:tcPr>
                  <w:tcW w:w="584" w:type="pct"/>
                  <w:vAlign w:val="center"/>
                </w:tcPr>
                <w:p w14:paraId="59712A08">
                  <w:pPr>
                    <w:jc w:val="center"/>
                    <w:rPr>
                      <w:rFonts w:cs="Times New Roman"/>
                      <w:spacing w:val="4"/>
                      <w:szCs w:val="21"/>
                    </w:rPr>
                  </w:pPr>
                  <w:r>
                    <w:rPr>
                      <w:rFonts w:hint="eastAsia" w:cs="Times New Roman"/>
                      <w:spacing w:val="4"/>
                      <w:szCs w:val="21"/>
                    </w:rPr>
                    <w:t>污水</w:t>
                  </w:r>
                  <w:r>
                    <w:rPr>
                      <w:rFonts w:cs="Times New Roman"/>
                      <w:spacing w:val="4"/>
                      <w:szCs w:val="21"/>
                    </w:rPr>
                    <w:t>总排放口</w:t>
                  </w:r>
                </w:p>
              </w:tc>
              <w:tc>
                <w:tcPr>
                  <w:tcW w:w="591" w:type="pct"/>
                  <w:vAlign w:val="center"/>
                </w:tcPr>
                <w:p w14:paraId="6C7A6A25">
                  <w:pPr>
                    <w:jc w:val="center"/>
                    <w:rPr>
                      <w:rFonts w:cs="Times New Roman"/>
                      <w:spacing w:val="4"/>
                      <w:szCs w:val="21"/>
                    </w:rPr>
                  </w:pPr>
                  <w:r>
                    <w:rPr>
                      <w:rFonts w:cs="Times New Roman"/>
                      <w:spacing w:val="4"/>
                      <w:szCs w:val="21"/>
                    </w:rPr>
                    <w:t>105°16'</w:t>
                  </w:r>
                </w:p>
                <w:p w14:paraId="22A27325">
                  <w:pPr>
                    <w:jc w:val="center"/>
                    <w:rPr>
                      <w:rFonts w:cs="Times New Roman"/>
                      <w:spacing w:val="4"/>
                      <w:szCs w:val="21"/>
                    </w:rPr>
                  </w:pPr>
                  <w:r>
                    <w:rPr>
                      <w:rFonts w:cs="Times New Roman"/>
                      <w:spacing w:val="4"/>
                      <w:szCs w:val="21"/>
                    </w:rPr>
                    <w:t>49.84"</w:t>
                  </w:r>
                </w:p>
              </w:tc>
              <w:tc>
                <w:tcPr>
                  <w:tcW w:w="592" w:type="pct"/>
                  <w:vAlign w:val="center"/>
                </w:tcPr>
                <w:p w14:paraId="351F3966">
                  <w:pPr>
                    <w:jc w:val="center"/>
                    <w:rPr>
                      <w:rFonts w:cs="Times New Roman"/>
                      <w:spacing w:val="4"/>
                      <w:szCs w:val="21"/>
                    </w:rPr>
                  </w:pPr>
                  <w:r>
                    <w:rPr>
                      <w:rFonts w:cs="Times New Roman"/>
                      <w:spacing w:val="4"/>
                      <w:szCs w:val="21"/>
                    </w:rPr>
                    <w:t>30°35'</w:t>
                  </w:r>
                </w:p>
                <w:p w14:paraId="16073C8F">
                  <w:pPr>
                    <w:jc w:val="center"/>
                    <w:rPr>
                      <w:rFonts w:cs="Times New Roman"/>
                      <w:spacing w:val="4"/>
                      <w:szCs w:val="21"/>
                    </w:rPr>
                  </w:pPr>
                  <w:r>
                    <w:rPr>
                      <w:rFonts w:cs="Times New Roman"/>
                      <w:spacing w:val="4"/>
                      <w:szCs w:val="21"/>
                    </w:rPr>
                    <w:t>25.84"</w:t>
                  </w:r>
                </w:p>
              </w:tc>
              <w:tc>
                <w:tcPr>
                  <w:tcW w:w="818" w:type="pct"/>
                  <w:vAlign w:val="center"/>
                </w:tcPr>
                <w:p w14:paraId="2EAB0075">
                  <w:pPr>
                    <w:jc w:val="center"/>
                    <w:rPr>
                      <w:rFonts w:cs="Times New Roman"/>
                      <w:spacing w:val="4"/>
                      <w:szCs w:val="21"/>
                    </w:rPr>
                  </w:pPr>
                  <w:r>
                    <w:rPr>
                      <w:rFonts w:hint="eastAsia" w:cs="Times New Roman"/>
                      <w:spacing w:val="4"/>
                      <w:szCs w:val="21"/>
                    </w:rPr>
                    <w:t>0.4015（本次扩建新增0.0851）</w:t>
                  </w:r>
                </w:p>
              </w:tc>
              <w:tc>
                <w:tcPr>
                  <w:tcW w:w="818" w:type="pct"/>
                  <w:vAlign w:val="center"/>
                </w:tcPr>
                <w:p w14:paraId="713D5F6B">
                  <w:pPr>
                    <w:jc w:val="center"/>
                    <w:rPr>
                      <w:rFonts w:cs="Times New Roman"/>
                      <w:spacing w:val="4"/>
                      <w:szCs w:val="21"/>
                    </w:rPr>
                  </w:pPr>
                  <w:r>
                    <w:rPr>
                      <w:rFonts w:hint="eastAsia"/>
                      <w:szCs w:val="21"/>
                    </w:rPr>
                    <w:t>大英县工业污水处理厂</w:t>
                  </w:r>
                </w:p>
              </w:tc>
              <w:tc>
                <w:tcPr>
                  <w:tcW w:w="1077" w:type="pct"/>
                  <w:vAlign w:val="center"/>
                </w:tcPr>
                <w:p w14:paraId="5A8280AF">
                  <w:pPr>
                    <w:jc w:val="center"/>
                    <w:rPr>
                      <w:rFonts w:cs="Times New Roman"/>
                      <w:spacing w:val="4"/>
                      <w:szCs w:val="21"/>
                    </w:rPr>
                  </w:pPr>
                  <w:r>
                    <w:rPr>
                      <w:rFonts w:hint="eastAsia"/>
                      <w:szCs w:val="21"/>
                    </w:rPr>
                    <w:t>间断排放，排放期间流量不稳定且无规律，但不属于冲击型排放</w:t>
                  </w:r>
                </w:p>
              </w:tc>
            </w:tr>
          </w:tbl>
          <w:p w14:paraId="2F1F8F48">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）污染物排放信息</w:t>
            </w:r>
          </w:p>
          <w:p w14:paraId="68C89B0A">
            <w:pPr>
              <w:spacing w:line="360" w:lineRule="auto"/>
              <w:ind w:firstLine="480" w:firstLineChars="200"/>
              <w:rPr>
                <w:sz w:val="24"/>
              </w:rPr>
            </w:pPr>
            <w:r>
              <w:rPr>
                <w:rFonts w:hint="eastAsia"/>
                <w:sz w:val="24"/>
                <w:szCs w:val="24"/>
              </w:rPr>
              <w:t>本项目废水污染物排放信息见下表</w:t>
            </w:r>
            <w:r>
              <w:rPr>
                <w:rFonts w:hint="eastAsia"/>
                <w:sz w:val="24"/>
              </w:rPr>
              <w:t>。</w:t>
            </w:r>
          </w:p>
          <w:p w14:paraId="5BFD072C">
            <w:pPr>
              <w:pStyle w:val="51"/>
              <w:numPr>
                <w:ilvl w:val="0"/>
                <w:numId w:val="6"/>
              </w:numPr>
              <w:spacing w:line="360" w:lineRule="auto"/>
              <w:ind w:firstLineChars="0"/>
              <w:jc w:val="center"/>
              <w:rPr>
                <w:rFonts w:eastAsia="黑体" w:cs="Times New Roman"/>
                <w:szCs w:val="21"/>
              </w:rPr>
            </w:pPr>
            <w:r>
              <w:rPr>
                <w:rFonts w:eastAsia="黑体" w:cs="Times New Roman"/>
                <w:kern w:val="24"/>
                <w:szCs w:val="21"/>
              </w:rPr>
              <w:t>废水</w:t>
            </w:r>
            <w:r>
              <w:rPr>
                <w:rFonts w:hint="eastAsia" w:eastAsia="黑体" w:cs="Times New Roman"/>
                <w:szCs w:val="21"/>
              </w:rPr>
              <w:t>污染物排放信息</w:t>
            </w:r>
            <w:r>
              <w:rPr>
                <w:rFonts w:eastAsia="黑体" w:cs="Times New Roman"/>
                <w:kern w:val="24"/>
                <w:szCs w:val="21"/>
              </w:rPr>
              <w:t>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1700"/>
              <w:gridCol w:w="1416"/>
              <w:gridCol w:w="1567"/>
              <w:gridCol w:w="1567"/>
              <w:gridCol w:w="1568"/>
            </w:tblGrid>
            <w:tr w14:paraId="5F3E9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Align w:val="center"/>
                </w:tcPr>
                <w:p w14:paraId="18E8B430">
                  <w:pPr>
                    <w:jc w:val="center"/>
                    <w:rPr>
                      <w:szCs w:val="21"/>
                    </w:rPr>
                  </w:pPr>
                  <w:r>
                    <w:rPr>
                      <w:szCs w:val="21"/>
                    </w:rPr>
                    <w:t>序号</w:t>
                  </w:r>
                </w:p>
              </w:tc>
              <w:tc>
                <w:tcPr>
                  <w:tcW w:w="1700" w:type="dxa"/>
                  <w:vAlign w:val="center"/>
                </w:tcPr>
                <w:p w14:paraId="3255519B">
                  <w:pPr>
                    <w:jc w:val="center"/>
                    <w:rPr>
                      <w:szCs w:val="21"/>
                    </w:rPr>
                  </w:pPr>
                  <w:r>
                    <w:rPr>
                      <w:szCs w:val="21"/>
                    </w:rPr>
                    <w:t>排放口编号</w:t>
                  </w:r>
                </w:p>
              </w:tc>
              <w:tc>
                <w:tcPr>
                  <w:tcW w:w="1416" w:type="dxa"/>
                  <w:vAlign w:val="center"/>
                </w:tcPr>
                <w:p w14:paraId="0E287BAE">
                  <w:pPr>
                    <w:jc w:val="center"/>
                    <w:rPr>
                      <w:szCs w:val="21"/>
                    </w:rPr>
                  </w:pPr>
                  <w:r>
                    <w:rPr>
                      <w:szCs w:val="21"/>
                    </w:rPr>
                    <w:t>污染物种类</w:t>
                  </w:r>
                </w:p>
              </w:tc>
              <w:tc>
                <w:tcPr>
                  <w:tcW w:w="1567" w:type="dxa"/>
                  <w:vAlign w:val="center"/>
                </w:tcPr>
                <w:p w14:paraId="421D89EB">
                  <w:pPr>
                    <w:jc w:val="center"/>
                    <w:rPr>
                      <w:szCs w:val="21"/>
                    </w:rPr>
                  </w:pPr>
                  <w:r>
                    <w:rPr>
                      <w:szCs w:val="21"/>
                    </w:rPr>
                    <w:t>排放浓度（mg/L）</w:t>
                  </w:r>
                </w:p>
              </w:tc>
              <w:tc>
                <w:tcPr>
                  <w:tcW w:w="1567" w:type="dxa"/>
                  <w:vAlign w:val="center"/>
                </w:tcPr>
                <w:p w14:paraId="0240CFB2">
                  <w:pPr>
                    <w:jc w:val="center"/>
                    <w:rPr>
                      <w:szCs w:val="21"/>
                    </w:rPr>
                  </w:pPr>
                  <w:r>
                    <w:rPr>
                      <w:szCs w:val="21"/>
                    </w:rPr>
                    <w:t>日排放量（t/d）</w:t>
                  </w:r>
                </w:p>
              </w:tc>
              <w:tc>
                <w:tcPr>
                  <w:tcW w:w="1568" w:type="dxa"/>
                  <w:vAlign w:val="center"/>
                </w:tcPr>
                <w:p w14:paraId="0B6C928B">
                  <w:pPr>
                    <w:jc w:val="center"/>
                    <w:rPr>
                      <w:szCs w:val="21"/>
                    </w:rPr>
                  </w:pPr>
                  <w:r>
                    <w:rPr>
                      <w:szCs w:val="21"/>
                    </w:rPr>
                    <w:t>年排放量（t/a）</w:t>
                  </w:r>
                </w:p>
              </w:tc>
            </w:tr>
            <w:tr w14:paraId="30F2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Merge w:val="restart"/>
                  <w:vAlign w:val="center"/>
                </w:tcPr>
                <w:p w14:paraId="005E7003">
                  <w:pPr>
                    <w:jc w:val="center"/>
                    <w:rPr>
                      <w:szCs w:val="21"/>
                    </w:rPr>
                  </w:pPr>
                  <w:r>
                    <w:rPr>
                      <w:rFonts w:hint="eastAsia"/>
                      <w:szCs w:val="21"/>
                    </w:rPr>
                    <w:t>1</w:t>
                  </w:r>
                </w:p>
              </w:tc>
              <w:tc>
                <w:tcPr>
                  <w:tcW w:w="1700" w:type="dxa"/>
                  <w:vMerge w:val="restart"/>
                  <w:vAlign w:val="center"/>
                </w:tcPr>
                <w:p w14:paraId="41FBD5F7">
                  <w:pPr>
                    <w:jc w:val="center"/>
                    <w:rPr>
                      <w:szCs w:val="21"/>
                    </w:rPr>
                  </w:pPr>
                  <w:r>
                    <w:rPr>
                      <w:szCs w:val="21"/>
                    </w:rPr>
                    <w:t>DW001</w:t>
                  </w:r>
                </w:p>
              </w:tc>
              <w:tc>
                <w:tcPr>
                  <w:tcW w:w="1416" w:type="dxa"/>
                  <w:vAlign w:val="center"/>
                </w:tcPr>
                <w:p w14:paraId="754C4B61">
                  <w:pPr>
                    <w:jc w:val="center"/>
                    <w:rPr>
                      <w:szCs w:val="21"/>
                    </w:rPr>
                  </w:pPr>
                  <w:r>
                    <w:rPr>
                      <w:szCs w:val="21"/>
                    </w:rPr>
                    <w:t>COD</w:t>
                  </w:r>
                </w:p>
              </w:tc>
              <w:tc>
                <w:tcPr>
                  <w:tcW w:w="1567" w:type="dxa"/>
                  <w:vAlign w:val="center"/>
                </w:tcPr>
                <w:p w14:paraId="0AF4D0FC">
                  <w:pPr>
                    <w:jc w:val="center"/>
                    <w:rPr>
                      <w:szCs w:val="21"/>
                    </w:rPr>
                  </w:pPr>
                  <w:r>
                    <w:rPr>
                      <w:rFonts w:hint="eastAsia" w:cs="Times New Roman"/>
                      <w:szCs w:val="21"/>
                    </w:rPr>
                    <w:t>239</w:t>
                  </w:r>
                </w:p>
              </w:tc>
              <w:tc>
                <w:tcPr>
                  <w:tcW w:w="1567" w:type="dxa"/>
                  <w:vAlign w:val="center"/>
                </w:tcPr>
                <w:p w14:paraId="6D021A0D">
                  <w:pPr>
                    <w:jc w:val="center"/>
                    <w:rPr>
                      <w:rFonts w:cs="Times New Roman"/>
                      <w:szCs w:val="21"/>
                    </w:rPr>
                  </w:pPr>
                  <w:r>
                    <w:rPr>
                      <w:rFonts w:cs="Times New Roman"/>
                      <w:szCs w:val="21"/>
                    </w:rPr>
                    <w:t>8.14E-04</w:t>
                  </w:r>
                </w:p>
              </w:tc>
              <w:tc>
                <w:tcPr>
                  <w:tcW w:w="1568" w:type="dxa"/>
                  <w:vAlign w:val="center"/>
                </w:tcPr>
                <w:p w14:paraId="04AE6202">
                  <w:pPr>
                    <w:jc w:val="center"/>
                    <w:rPr>
                      <w:szCs w:val="21"/>
                    </w:rPr>
                  </w:pPr>
                  <w:r>
                    <w:rPr>
                      <w:rFonts w:cs="Times New Roman"/>
                      <w:szCs w:val="21"/>
                    </w:rPr>
                    <w:t>0.2034</w:t>
                  </w:r>
                </w:p>
              </w:tc>
            </w:tr>
            <w:tr w14:paraId="181E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44" w:type="dxa"/>
                  <w:vMerge w:val="continue"/>
                  <w:vAlign w:val="center"/>
                </w:tcPr>
                <w:p w14:paraId="645DA238">
                  <w:pPr>
                    <w:jc w:val="center"/>
                    <w:rPr>
                      <w:szCs w:val="21"/>
                    </w:rPr>
                  </w:pPr>
                </w:p>
              </w:tc>
              <w:tc>
                <w:tcPr>
                  <w:tcW w:w="1700" w:type="dxa"/>
                  <w:vMerge w:val="continue"/>
                  <w:vAlign w:val="center"/>
                </w:tcPr>
                <w:p w14:paraId="77252451">
                  <w:pPr>
                    <w:jc w:val="center"/>
                    <w:rPr>
                      <w:szCs w:val="21"/>
                    </w:rPr>
                  </w:pPr>
                </w:p>
              </w:tc>
              <w:tc>
                <w:tcPr>
                  <w:tcW w:w="1416" w:type="dxa"/>
                  <w:vAlign w:val="center"/>
                </w:tcPr>
                <w:p w14:paraId="66EF3FCB">
                  <w:pPr>
                    <w:jc w:val="center"/>
                    <w:rPr>
                      <w:szCs w:val="21"/>
                    </w:rPr>
                  </w:pPr>
                  <w:r>
                    <w:rPr>
                      <w:szCs w:val="21"/>
                    </w:rPr>
                    <w:t>NH</w:t>
                  </w:r>
                  <w:r>
                    <w:rPr>
                      <w:szCs w:val="21"/>
                      <w:vertAlign w:val="subscript"/>
                    </w:rPr>
                    <w:t>3</w:t>
                  </w:r>
                  <w:r>
                    <w:rPr>
                      <w:szCs w:val="21"/>
                    </w:rPr>
                    <w:t>-N</w:t>
                  </w:r>
                </w:p>
              </w:tc>
              <w:tc>
                <w:tcPr>
                  <w:tcW w:w="1567" w:type="dxa"/>
                  <w:vAlign w:val="center"/>
                </w:tcPr>
                <w:p w14:paraId="036F3F11">
                  <w:pPr>
                    <w:jc w:val="center"/>
                    <w:rPr>
                      <w:szCs w:val="21"/>
                    </w:rPr>
                  </w:pPr>
                  <w:r>
                    <w:rPr>
                      <w:rFonts w:hint="eastAsia" w:cs="Times New Roman"/>
                      <w:szCs w:val="21"/>
                    </w:rPr>
                    <w:t>30</w:t>
                  </w:r>
                </w:p>
              </w:tc>
              <w:tc>
                <w:tcPr>
                  <w:tcW w:w="1567" w:type="dxa"/>
                  <w:vAlign w:val="center"/>
                </w:tcPr>
                <w:p w14:paraId="5DD32D5D">
                  <w:pPr>
                    <w:jc w:val="center"/>
                    <w:rPr>
                      <w:rFonts w:cs="Times New Roman"/>
                      <w:szCs w:val="21"/>
                    </w:rPr>
                  </w:pPr>
                  <w:r>
                    <w:rPr>
                      <w:rFonts w:cs="Times New Roman"/>
                      <w:szCs w:val="21"/>
                    </w:rPr>
                    <w:t>1.02E-04</w:t>
                  </w:r>
                </w:p>
              </w:tc>
              <w:tc>
                <w:tcPr>
                  <w:tcW w:w="1568" w:type="dxa"/>
                  <w:vAlign w:val="center"/>
                </w:tcPr>
                <w:p w14:paraId="09803FDA">
                  <w:pPr>
                    <w:jc w:val="center"/>
                    <w:rPr>
                      <w:szCs w:val="21"/>
                    </w:rPr>
                  </w:pPr>
                  <w:r>
                    <w:rPr>
                      <w:rFonts w:hint="eastAsia"/>
                      <w:szCs w:val="21"/>
                    </w:rPr>
                    <w:t>0.0256</w:t>
                  </w:r>
                </w:p>
              </w:tc>
            </w:tr>
            <w:tr w14:paraId="0BFD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vMerge w:val="continue"/>
                  <w:vAlign w:val="center"/>
                </w:tcPr>
                <w:p w14:paraId="59A52DDB">
                  <w:pPr>
                    <w:jc w:val="center"/>
                    <w:rPr>
                      <w:szCs w:val="21"/>
                    </w:rPr>
                  </w:pPr>
                </w:p>
              </w:tc>
              <w:tc>
                <w:tcPr>
                  <w:tcW w:w="1700" w:type="dxa"/>
                  <w:vMerge w:val="continue"/>
                  <w:vAlign w:val="center"/>
                </w:tcPr>
                <w:p w14:paraId="30DD17CE">
                  <w:pPr>
                    <w:jc w:val="center"/>
                    <w:rPr>
                      <w:szCs w:val="21"/>
                    </w:rPr>
                  </w:pPr>
                </w:p>
              </w:tc>
              <w:tc>
                <w:tcPr>
                  <w:tcW w:w="1416" w:type="dxa"/>
                  <w:vAlign w:val="center"/>
                </w:tcPr>
                <w:p w14:paraId="2CE70D3C">
                  <w:pPr>
                    <w:jc w:val="center"/>
                    <w:rPr>
                      <w:szCs w:val="21"/>
                    </w:rPr>
                  </w:pPr>
                  <w:r>
                    <w:rPr>
                      <w:szCs w:val="21"/>
                    </w:rPr>
                    <w:t>TP</w:t>
                  </w:r>
                </w:p>
              </w:tc>
              <w:tc>
                <w:tcPr>
                  <w:tcW w:w="1567" w:type="dxa"/>
                  <w:vAlign w:val="center"/>
                </w:tcPr>
                <w:p w14:paraId="36F370A4">
                  <w:pPr>
                    <w:jc w:val="center"/>
                    <w:rPr>
                      <w:szCs w:val="21"/>
                    </w:rPr>
                  </w:pPr>
                  <w:r>
                    <w:rPr>
                      <w:rFonts w:hint="eastAsia" w:cs="Times New Roman"/>
                      <w:szCs w:val="21"/>
                    </w:rPr>
                    <w:t>3</w:t>
                  </w:r>
                </w:p>
              </w:tc>
              <w:tc>
                <w:tcPr>
                  <w:tcW w:w="1567" w:type="dxa"/>
                  <w:vAlign w:val="center"/>
                </w:tcPr>
                <w:p w14:paraId="3435261C">
                  <w:pPr>
                    <w:jc w:val="center"/>
                    <w:rPr>
                      <w:rFonts w:cs="Times New Roman"/>
                      <w:szCs w:val="21"/>
                    </w:rPr>
                  </w:pPr>
                  <w:r>
                    <w:rPr>
                      <w:rFonts w:cs="Times New Roman"/>
                      <w:szCs w:val="21"/>
                    </w:rPr>
                    <w:t>1.12E-05</w:t>
                  </w:r>
                </w:p>
              </w:tc>
              <w:tc>
                <w:tcPr>
                  <w:tcW w:w="1568" w:type="dxa"/>
                  <w:vAlign w:val="center"/>
                </w:tcPr>
                <w:p w14:paraId="7603D48A">
                  <w:pPr>
                    <w:jc w:val="center"/>
                    <w:rPr>
                      <w:szCs w:val="21"/>
                    </w:rPr>
                  </w:pPr>
                  <w:r>
                    <w:rPr>
                      <w:rFonts w:hint="eastAsia"/>
                      <w:kern w:val="24"/>
                      <w:szCs w:val="21"/>
                    </w:rPr>
                    <w:t>0.0028</w:t>
                  </w:r>
                </w:p>
              </w:tc>
            </w:tr>
            <w:tr w14:paraId="42343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4" w:type="dxa"/>
                  <w:gridSpan w:val="2"/>
                  <w:vMerge w:val="restart"/>
                  <w:vAlign w:val="center"/>
                </w:tcPr>
                <w:p w14:paraId="1BF7BE4A">
                  <w:pPr>
                    <w:jc w:val="center"/>
                    <w:rPr>
                      <w:szCs w:val="21"/>
                    </w:rPr>
                  </w:pPr>
                  <w:r>
                    <w:rPr>
                      <w:szCs w:val="21"/>
                    </w:rPr>
                    <w:t>全厂排放口合计</w:t>
                  </w:r>
                </w:p>
              </w:tc>
              <w:tc>
                <w:tcPr>
                  <w:tcW w:w="4550" w:type="dxa"/>
                  <w:gridSpan w:val="3"/>
                  <w:vAlign w:val="center"/>
                </w:tcPr>
                <w:p w14:paraId="0A4BD6BB">
                  <w:pPr>
                    <w:jc w:val="center"/>
                    <w:rPr>
                      <w:szCs w:val="21"/>
                    </w:rPr>
                  </w:pPr>
                  <w:r>
                    <w:rPr>
                      <w:szCs w:val="21"/>
                    </w:rPr>
                    <w:t>COD</w:t>
                  </w:r>
                </w:p>
              </w:tc>
              <w:tc>
                <w:tcPr>
                  <w:tcW w:w="1568" w:type="dxa"/>
                  <w:vAlign w:val="center"/>
                </w:tcPr>
                <w:p w14:paraId="1A79801B">
                  <w:pPr>
                    <w:jc w:val="center"/>
                    <w:rPr>
                      <w:szCs w:val="21"/>
                    </w:rPr>
                  </w:pPr>
                  <w:r>
                    <w:rPr>
                      <w:rFonts w:cs="Times New Roman"/>
                      <w:szCs w:val="21"/>
                    </w:rPr>
                    <w:t>0.2034</w:t>
                  </w:r>
                </w:p>
              </w:tc>
            </w:tr>
            <w:tr w14:paraId="3434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4" w:type="dxa"/>
                  <w:gridSpan w:val="2"/>
                  <w:vMerge w:val="continue"/>
                  <w:vAlign w:val="center"/>
                </w:tcPr>
                <w:p w14:paraId="689ACEA1">
                  <w:pPr>
                    <w:jc w:val="center"/>
                    <w:rPr>
                      <w:szCs w:val="21"/>
                    </w:rPr>
                  </w:pPr>
                </w:p>
              </w:tc>
              <w:tc>
                <w:tcPr>
                  <w:tcW w:w="4550" w:type="dxa"/>
                  <w:gridSpan w:val="3"/>
                  <w:vAlign w:val="center"/>
                </w:tcPr>
                <w:p w14:paraId="15F5F02D">
                  <w:pPr>
                    <w:jc w:val="center"/>
                    <w:rPr>
                      <w:szCs w:val="21"/>
                    </w:rPr>
                  </w:pPr>
                  <w:r>
                    <w:rPr>
                      <w:szCs w:val="21"/>
                    </w:rPr>
                    <w:t>NH</w:t>
                  </w:r>
                  <w:r>
                    <w:rPr>
                      <w:szCs w:val="21"/>
                      <w:vertAlign w:val="subscript"/>
                    </w:rPr>
                    <w:t>3</w:t>
                  </w:r>
                  <w:r>
                    <w:rPr>
                      <w:szCs w:val="21"/>
                    </w:rPr>
                    <w:t>-N</w:t>
                  </w:r>
                </w:p>
              </w:tc>
              <w:tc>
                <w:tcPr>
                  <w:tcW w:w="1568" w:type="dxa"/>
                  <w:vAlign w:val="center"/>
                </w:tcPr>
                <w:p w14:paraId="170BA13A">
                  <w:pPr>
                    <w:jc w:val="center"/>
                    <w:rPr>
                      <w:szCs w:val="21"/>
                    </w:rPr>
                  </w:pPr>
                  <w:r>
                    <w:rPr>
                      <w:rFonts w:hint="eastAsia"/>
                      <w:szCs w:val="21"/>
                    </w:rPr>
                    <w:t>0.0256</w:t>
                  </w:r>
                </w:p>
              </w:tc>
            </w:tr>
            <w:tr w14:paraId="0B2F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2544" w:type="dxa"/>
                  <w:gridSpan w:val="2"/>
                  <w:vMerge w:val="continue"/>
                  <w:vAlign w:val="center"/>
                </w:tcPr>
                <w:p w14:paraId="6DA9136A">
                  <w:pPr>
                    <w:jc w:val="center"/>
                    <w:rPr>
                      <w:szCs w:val="21"/>
                    </w:rPr>
                  </w:pPr>
                </w:p>
              </w:tc>
              <w:tc>
                <w:tcPr>
                  <w:tcW w:w="4550" w:type="dxa"/>
                  <w:gridSpan w:val="3"/>
                  <w:vAlign w:val="center"/>
                </w:tcPr>
                <w:p w14:paraId="0A5ABB1A">
                  <w:pPr>
                    <w:jc w:val="center"/>
                    <w:rPr>
                      <w:szCs w:val="21"/>
                    </w:rPr>
                  </w:pPr>
                  <w:r>
                    <w:rPr>
                      <w:szCs w:val="21"/>
                    </w:rPr>
                    <w:t>TP</w:t>
                  </w:r>
                </w:p>
              </w:tc>
              <w:tc>
                <w:tcPr>
                  <w:tcW w:w="1568" w:type="dxa"/>
                  <w:vAlign w:val="center"/>
                </w:tcPr>
                <w:p w14:paraId="55C89602">
                  <w:pPr>
                    <w:jc w:val="center"/>
                    <w:rPr>
                      <w:szCs w:val="21"/>
                    </w:rPr>
                  </w:pPr>
                  <w:r>
                    <w:rPr>
                      <w:rFonts w:hint="eastAsia"/>
                      <w:kern w:val="24"/>
                      <w:szCs w:val="21"/>
                    </w:rPr>
                    <w:t>0.0028</w:t>
                  </w:r>
                </w:p>
              </w:tc>
            </w:tr>
          </w:tbl>
          <w:p w14:paraId="3D6A449E">
            <w:pPr>
              <w:spacing w:line="360" w:lineRule="auto"/>
              <w:ind w:firstLine="482" w:firstLineChars="200"/>
              <w:rPr>
                <w:b/>
                <w:sz w:val="24"/>
                <w:szCs w:val="24"/>
              </w:rPr>
            </w:pPr>
            <w:r>
              <w:rPr>
                <w:rFonts w:hint="eastAsia"/>
                <w:b/>
                <w:sz w:val="24"/>
                <w:szCs w:val="24"/>
              </w:rPr>
              <w:t>（</w:t>
            </w:r>
            <w:r>
              <w:rPr>
                <w:b/>
                <w:sz w:val="24"/>
                <w:szCs w:val="24"/>
              </w:rPr>
              <w:t>5</w:t>
            </w:r>
            <w:r>
              <w:rPr>
                <w:rFonts w:hint="eastAsia"/>
                <w:b/>
                <w:sz w:val="24"/>
                <w:szCs w:val="24"/>
              </w:rPr>
              <w:t>）依托大英县工业污水处理厂环境可行性</w:t>
            </w:r>
          </w:p>
          <w:p w14:paraId="3F27D6C9">
            <w:pPr>
              <w:spacing w:line="360" w:lineRule="auto"/>
              <w:ind w:firstLine="480" w:firstLineChars="200"/>
              <w:rPr>
                <w:sz w:val="24"/>
                <w:szCs w:val="24"/>
              </w:rPr>
            </w:pPr>
            <w:r>
              <w:rPr>
                <w:rFonts w:hint="eastAsia"/>
                <w:sz w:val="24"/>
                <w:szCs w:val="24"/>
              </w:rPr>
              <w:t>大英县工业污水处理厂位于四川大英经济开发区长沟附近，总占地约100亩。大英县工业污水处理厂总规模3万m</w:t>
            </w:r>
            <w:r>
              <w:rPr>
                <w:rFonts w:hint="eastAsia"/>
                <w:sz w:val="24"/>
                <w:szCs w:val="24"/>
                <w:vertAlign w:val="superscript"/>
              </w:rPr>
              <w:t>3</w:t>
            </w:r>
            <w:r>
              <w:rPr>
                <w:rFonts w:hint="eastAsia"/>
                <w:sz w:val="24"/>
                <w:szCs w:val="24"/>
              </w:rPr>
              <w:t>/d，分三期建设（其中一期1万m</w:t>
            </w:r>
            <w:r>
              <w:rPr>
                <w:rFonts w:hint="eastAsia"/>
                <w:sz w:val="24"/>
                <w:szCs w:val="24"/>
                <w:vertAlign w:val="superscript"/>
              </w:rPr>
              <w:t>3</w:t>
            </w:r>
            <w:r>
              <w:rPr>
                <w:rFonts w:hint="eastAsia"/>
                <w:sz w:val="24"/>
                <w:szCs w:val="24"/>
              </w:rPr>
              <w:t>/d、二期1万m</w:t>
            </w:r>
            <w:r>
              <w:rPr>
                <w:rFonts w:hint="eastAsia"/>
                <w:sz w:val="24"/>
                <w:szCs w:val="24"/>
                <w:vertAlign w:val="superscript"/>
              </w:rPr>
              <w:t>3</w:t>
            </w:r>
            <w:r>
              <w:rPr>
                <w:rFonts w:hint="eastAsia"/>
                <w:sz w:val="24"/>
                <w:szCs w:val="24"/>
              </w:rPr>
              <w:t>/d、三期1万m</w:t>
            </w:r>
            <w:r>
              <w:rPr>
                <w:rFonts w:hint="eastAsia"/>
                <w:sz w:val="24"/>
                <w:szCs w:val="24"/>
                <w:vertAlign w:val="superscript"/>
              </w:rPr>
              <w:t>3</w:t>
            </w:r>
            <w:r>
              <w:rPr>
                <w:rFonts w:hint="eastAsia"/>
                <w:sz w:val="24"/>
                <w:szCs w:val="24"/>
              </w:rPr>
              <w:t>/d）。大英县工业污水处理厂建设项目一期工程设计规模为1万m</w:t>
            </w:r>
            <w:r>
              <w:rPr>
                <w:rFonts w:hint="eastAsia"/>
                <w:sz w:val="24"/>
                <w:szCs w:val="24"/>
                <w:vertAlign w:val="superscript"/>
              </w:rPr>
              <w:t>3</w:t>
            </w:r>
            <w:r>
              <w:rPr>
                <w:rFonts w:hint="eastAsia"/>
                <w:sz w:val="24"/>
                <w:szCs w:val="24"/>
              </w:rPr>
              <w:t>/d，主要接纳大英县工业集中发展区内现有企业以及近期（2020年）入驻项目排水，处理工艺为“收集、预处理+水解酸化+A2/O一体化自回流改良型氧化沟+MBR+中性催化+化学除磷（含高效沉淀、精密过滤）+垂直流人工湿地”组合工艺，出水执行</w:t>
            </w:r>
            <w:r>
              <w:rPr>
                <w:rFonts w:hint="eastAsia"/>
                <w:kern w:val="24"/>
                <w:sz w:val="24"/>
                <w:szCs w:val="24"/>
              </w:rPr>
              <w:t>《地表水环境质量标准》（GB3838-2002）III类标准（总氮执行《四川省岷江、沱江流域水污染物排放标准》（DB51/2311 2016）表1中工业园区集中式污水处理厂排放标准）</w:t>
            </w:r>
            <w:r>
              <w:rPr>
                <w:rFonts w:hint="eastAsia"/>
                <w:sz w:val="24"/>
                <w:szCs w:val="24"/>
              </w:rPr>
              <w:t>。大英县工业污水处理厂建设项目环境影响报告书于2018年7月经遂宁市环境保护局批复（遂环评函〔2018〕85号），该项目于2018年4月动工建设，2020年9月完成竣工环境保护验收。</w:t>
            </w:r>
          </w:p>
          <w:p w14:paraId="76BA0A10">
            <w:pPr>
              <w:spacing w:line="360" w:lineRule="auto"/>
              <w:ind w:firstLine="480" w:firstLineChars="200"/>
              <w:rPr>
                <w:sz w:val="24"/>
                <w:szCs w:val="24"/>
              </w:rPr>
            </w:pPr>
            <w:r>
              <w:rPr>
                <w:rFonts w:hint="eastAsia"/>
                <w:sz w:val="24"/>
                <w:szCs w:val="24"/>
              </w:rPr>
              <w:t>同时，大英县工业污水处理厂已于2023年启动二期工程建设，二期工程总占地约30亩，设计处理能力2万m</w:t>
            </w:r>
            <w:r>
              <w:rPr>
                <w:rFonts w:hint="eastAsia"/>
                <w:sz w:val="24"/>
                <w:szCs w:val="24"/>
                <w:vertAlign w:val="superscript"/>
              </w:rPr>
              <w:t>3</w:t>
            </w:r>
            <w:r>
              <w:rPr>
                <w:rFonts w:hint="eastAsia"/>
                <w:sz w:val="24"/>
                <w:szCs w:val="24"/>
              </w:rPr>
              <w:t>/d，废水处理工艺为“粗格栅提升泵房+细格栅曝气沉砂池+调节池+水解酸化池+改良A2O+二沉池+高效沉淀池+曝气+反硝化深床滤池+</w:t>
            </w:r>
            <w:r>
              <w:rPr>
                <w:rFonts w:hint="eastAsia"/>
                <w:sz w:val="24"/>
                <w:szCs w:val="24"/>
                <w:lang w:eastAsia="zh-CN"/>
              </w:rPr>
              <w:t>活性炭</w:t>
            </w:r>
            <w:r>
              <w:rPr>
                <w:rFonts w:hint="eastAsia"/>
                <w:sz w:val="24"/>
                <w:szCs w:val="24"/>
              </w:rPr>
              <w:t>吸附池+臭氧氧化池+接触清水池+出水”组合工艺，出水达《城市污水再生利用 工业用水水质》（GB/T19923-2005）标准全部回用于园区工业企业生产用水，预计2024年建成投运。</w:t>
            </w:r>
          </w:p>
          <w:p w14:paraId="495963BE">
            <w:pPr>
              <w:spacing w:line="360" w:lineRule="auto"/>
              <w:ind w:firstLine="480" w:firstLineChars="200"/>
              <w:rPr>
                <w:sz w:val="24"/>
                <w:szCs w:val="24"/>
              </w:rPr>
            </w:pPr>
            <w:r>
              <w:rPr>
                <w:rFonts w:hint="eastAsia"/>
                <w:sz w:val="24"/>
                <w:szCs w:val="24"/>
              </w:rPr>
              <w:t>根据调查，本项目区域属于大英县工业污水处理厂服务范围，项目外排废水为生活污水和食堂废水，废水水质简单，通过预处理后可满足《污水综合排放标准》（GB8978-1996）三级标准。本次扩建新增废水量约</w:t>
            </w:r>
            <w:r>
              <w:rPr>
                <w:rFonts w:hint="eastAsia"/>
                <w:kern w:val="24"/>
                <w:sz w:val="24"/>
                <w:szCs w:val="24"/>
              </w:rPr>
              <w:t>3.403</w:t>
            </w:r>
            <w:r>
              <w:rPr>
                <w:sz w:val="24"/>
                <w:szCs w:val="24"/>
              </w:rPr>
              <w:t>m</w:t>
            </w:r>
            <w:r>
              <w:rPr>
                <w:sz w:val="24"/>
                <w:szCs w:val="24"/>
                <w:vertAlign w:val="superscript"/>
              </w:rPr>
              <w:t>3</w:t>
            </w:r>
            <w:r>
              <w:rPr>
                <w:sz w:val="24"/>
                <w:szCs w:val="24"/>
              </w:rPr>
              <w:t>/</w:t>
            </w:r>
            <w:r>
              <w:rPr>
                <w:rFonts w:hint="eastAsia"/>
                <w:sz w:val="24"/>
                <w:szCs w:val="24"/>
              </w:rPr>
              <w:t>d，远低于污水处理厂扩建后处理能力。因此，项目依托大英县工业污水处理厂可行。</w:t>
            </w:r>
          </w:p>
          <w:p w14:paraId="05543CE7">
            <w:pPr>
              <w:spacing w:line="360" w:lineRule="auto"/>
              <w:ind w:firstLine="482" w:firstLineChars="200"/>
              <w:rPr>
                <w:b/>
                <w:sz w:val="24"/>
                <w:szCs w:val="24"/>
              </w:rPr>
            </w:pPr>
            <w:r>
              <w:rPr>
                <w:rFonts w:hint="eastAsia"/>
                <w:b/>
                <w:sz w:val="24"/>
                <w:szCs w:val="24"/>
              </w:rPr>
              <w:t>（</w:t>
            </w:r>
            <w:r>
              <w:rPr>
                <w:b/>
                <w:sz w:val="24"/>
                <w:szCs w:val="24"/>
              </w:rPr>
              <w:t>6</w:t>
            </w:r>
            <w:r>
              <w:rPr>
                <w:rFonts w:hint="eastAsia"/>
                <w:b/>
                <w:sz w:val="24"/>
                <w:szCs w:val="24"/>
              </w:rPr>
              <w:t>）监测要求</w:t>
            </w:r>
          </w:p>
          <w:p w14:paraId="0BB12B55">
            <w:pPr>
              <w:spacing w:line="360" w:lineRule="auto"/>
              <w:ind w:firstLine="480" w:firstLineChars="200"/>
              <w:rPr>
                <w:sz w:val="24"/>
                <w:szCs w:val="24"/>
              </w:rPr>
            </w:pPr>
            <w:r>
              <w:rPr>
                <w:rFonts w:hint="eastAsia"/>
                <w:sz w:val="24"/>
                <w:szCs w:val="24"/>
              </w:rPr>
              <w:t>根据《排污单位自行监测技术指南 橡胶和塑料制品》（HJ1207-2021），项目废水排放口类型为生活污水单独排口，排放形式为间接排放，不需开展自行监测。</w:t>
            </w:r>
          </w:p>
          <w:p w14:paraId="35722FAB">
            <w:pPr>
              <w:spacing w:line="360" w:lineRule="auto"/>
              <w:ind w:firstLine="482" w:firstLineChars="200"/>
              <w:rPr>
                <w:b/>
                <w:sz w:val="24"/>
                <w:szCs w:val="24"/>
              </w:rPr>
            </w:pPr>
            <w:r>
              <w:rPr>
                <w:b/>
                <w:sz w:val="24"/>
                <w:szCs w:val="24"/>
              </w:rPr>
              <w:t>3</w:t>
            </w:r>
            <w:r>
              <w:rPr>
                <w:rFonts w:hint="eastAsia"/>
                <w:b/>
                <w:sz w:val="24"/>
                <w:szCs w:val="24"/>
              </w:rPr>
              <w:t>、噪声</w:t>
            </w:r>
          </w:p>
          <w:p w14:paraId="789B7102">
            <w:pPr>
              <w:spacing w:line="360" w:lineRule="auto"/>
              <w:ind w:firstLine="482" w:firstLineChars="200"/>
              <w:rPr>
                <w:b/>
                <w:sz w:val="24"/>
                <w:szCs w:val="24"/>
              </w:rPr>
            </w:pPr>
            <w:r>
              <w:rPr>
                <w:rFonts w:hint="eastAsia"/>
                <w:b/>
                <w:sz w:val="24"/>
                <w:szCs w:val="24"/>
              </w:rPr>
              <w:t>（1）噪声源强及治理措施</w:t>
            </w:r>
          </w:p>
          <w:p w14:paraId="7E4B5B46">
            <w:pPr>
              <w:spacing w:line="360" w:lineRule="auto"/>
              <w:ind w:firstLine="480"/>
              <w:rPr>
                <w:sz w:val="24"/>
                <w:szCs w:val="24"/>
              </w:rPr>
            </w:pPr>
            <w:r>
              <w:rPr>
                <w:rFonts w:hint="eastAsia"/>
                <w:sz w:val="24"/>
                <w:szCs w:val="24"/>
              </w:rPr>
              <w:t>本项目</w:t>
            </w:r>
            <w:r>
              <w:rPr>
                <w:sz w:val="24"/>
                <w:szCs w:val="24"/>
              </w:rPr>
              <w:t>主要噪声源</w:t>
            </w:r>
            <w:r>
              <w:rPr>
                <w:rFonts w:hint="eastAsia"/>
                <w:sz w:val="24"/>
                <w:szCs w:val="24"/>
              </w:rPr>
              <w:t>来自注塑成型机、压泡机、全自动多色直印机、全自动烫印机等生产设施设备运行时产生的噪声，根据《环境噪声与振动控制工程技术导则》（HJ2034-2013），结合建设单位提供的设备信息，各设备噪声源强值在75~90dB（A）之间，项目拟采取的噪声治理措施如下：</w:t>
            </w:r>
          </w:p>
          <w:p w14:paraId="2BF98EE2">
            <w:pPr>
              <w:spacing w:line="360" w:lineRule="auto"/>
              <w:ind w:firstLine="480"/>
              <w:rPr>
                <w:sz w:val="24"/>
                <w:szCs w:val="24"/>
              </w:rPr>
            </w:pPr>
            <w:r>
              <w:rPr>
                <w:rFonts w:hint="eastAsia"/>
                <w:sz w:val="24"/>
                <w:szCs w:val="24"/>
              </w:rPr>
              <w:t>①选用符合国家标准的低噪声设备，改进工艺、设施结构和操作方法，定期进行设备检修，保证设备正常运行。</w:t>
            </w:r>
          </w:p>
          <w:p w14:paraId="1FEB30B9">
            <w:pPr>
              <w:spacing w:line="360" w:lineRule="auto"/>
              <w:ind w:firstLine="480"/>
              <w:rPr>
                <w:sz w:val="24"/>
                <w:szCs w:val="24"/>
              </w:rPr>
            </w:pPr>
            <w:r>
              <w:rPr>
                <w:rFonts w:hint="eastAsia"/>
                <w:sz w:val="24"/>
                <w:szCs w:val="24"/>
              </w:rPr>
              <w:t>②合理布局车间平面，充分利用厂房进行隔声。</w:t>
            </w:r>
          </w:p>
          <w:p w14:paraId="769E08F0">
            <w:pPr>
              <w:spacing w:line="360" w:lineRule="auto"/>
              <w:ind w:firstLine="480"/>
              <w:rPr>
                <w:sz w:val="24"/>
                <w:szCs w:val="24"/>
              </w:rPr>
            </w:pPr>
            <w:r>
              <w:rPr>
                <w:rFonts w:hint="eastAsia"/>
                <w:sz w:val="24"/>
                <w:szCs w:val="24"/>
              </w:rPr>
              <w:t>③产噪设备底部采取橡胶减震垫减振处理，风机采取基础</w:t>
            </w:r>
            <w:r>
              <w:rPr>
                <w:rFonts w:hint="eastAsia"/>
                <w:sz w:val="24"/>
                <w:szCs w:val="24"/>
                <w:lang w:eastAsia="zh-CN"/>
              </w:rPr>
              <w:t>减振</w:t>
            </w:r>
            <w:r>
              <w:rPr>
                <w:rFonts w:hint="eastAsia"/>
                <w:sz w:val="24"/>
                <w:szCs w:val="24"/>
              </w:rPr>
              <w:t>，增设隔声罩。</w:t>
            </w:r>
          </w:p>
          <w:p w14:paraId="1162CDB2">
            <w:pPr>
              <w:spacing w:line="360" w:lineRule="auto"/>
              <w:ind w:firstLine="480"/>
              <w:rPr>
                <w:sz w:val="24"/>
                <w:szCs w:val="24"/>
              </w:rPr>
            </w:pPr>
            <w:r>
              <w:rPr>
                <w:rFonts w:hint="eastAsia"/>
                <w:sz w:val="24"/>
                <w:szCs w:val="24"/>
              </w:rPr>
              <w:t>④严控生产时间，禁止夜间（22:00~6:00）生产。</w:t>
            </w:r>
          </w:p>
          <w:p w14:paraId="1679EB5A">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）达标情况</w:t>
            </w:r>
          </w:p>
          <w:p w14:paraId="5E468C52">
            <w:pPr>
              <w:spacing w:line="360" w:lineRule="auto"/>
              <w:ind w:firstLine="480" w:firstLineChars="200"/>
              <w:rPr>
                <w:sz w:val="24"/>
                <w:szCs w:val="24"/>
              </w:rPr>
            </w:pPr>
            <w:r>
              <w:rPr>
                <w:rFonts w:hint="eastAsia"/>
                <w:sz w:val="24"/>
                <w:szCs w:val="24"/>
              </w:rPr>
              <w:t>本次环评按照《环境影响评价技术导则 声环境》（HJ2.4-2021）中有关要求进行预测，以厂界作为预测点和评价点。</w:t>
            </w:r>
          </w:p>
          <w:p w14:paraId="53822192">
            <w:pPr>
              <w:spacing w:line="360" w:lineRule="auto"/>
              <w:ind w:firstLine="482" w:firstLineChars="200"/>
              <w:rPr>
                <w:b/>
                <w:bCs/>
                <w:sz w:val="24"/>
                <w:szCs w:val="24"/>
              </w:rPr>
            </w:pPr>
            <w:r>
              <w:rPr>
                <w:rFonts w:hint="eastAsia"/>
                <w:b/>
                <w:bCs/>
                <w:sz w:val="24"/>
                <w:szCs w:val="24"/>
              </w:rPr>
              <w:t>1）声源数据</w:t>
            </w:r>
          </w:p>
          <w:p w14:paraId="1FB86CB3">
            <w:pPr>
              <w:spacing w:line="360" w:lineRule="auto"/>
              <w:ind w:firstLine="480" w:firstLineChars="200"/>
              <w:rPr>
                <w:sz w:val="24"/>
                <w:szCs w:val="24"/>
              </w:rPr>
            </w:pPr>
            <w:r>
              <w:rPr>
                <w:rFonts w:hint="eastAsia"/>
                <w:sz w:val="24"/>
                <w:szCs w:val="24"/>
              </w:rPr>
              <w:t>项目主要噪声源调查情况见下表：</w:t>
            </w:r>
          </w:p>
          <w:p w14:paraId="7CA0413C">
            <w:pPr>
              <w:spacing w:line="360" w:lineRule="auto"/>
              <w:ind w:firstLine="480" w:firstLineChars="200"/>
              <w:rPr>
                <w:sz w:val="24"/>
                <w:szCs w:val="24"/>
              </w:rPr>
            </w:pPr>
          </w:p>
          <w:p w14:paraId="5E82ACCD">
            <w:pPr>
              <w:spacing w:line="360" w:lineRule="auto"/>
              <w:ind w:firstLine="480" w:firstLineChars="200"/>
              <w:rPr>
                <w:sz w:val="24"/>
                <w:szCs w:val="24"/>
              </w:rPr>
            </w:pPr>
          </w:p>
          <w:p w14:paraId="76781ED7">
            <w:pPr>
              <w:spacing w:line="360" w:lineRule="auto"/>
              <w:ind w:firstLine="480" w:firstLineChars="200"/>
              <w:rPr>
                <w:sz w:val="24"/>
                <w:szCs w:val="24"/>
              </w:rPr>
            </w:pPr>
          </w:p>
          <w:p w14:paraId="309FEB38">
            <w:pPr>
              <w:spacing w:line="360" w:lineRule="auto"/>
              <w:ind w:firstLine="480" w:firstLineChars="200"/>
              <w:rPr>
                <w:sz w:val="24"/>
                <w:szCs w:val="24"/>
              </w:rPr>
            </w:pPr>
          </w:p>
          <w:p w14:paraId="2C2FAC3F">
            <w:pPr>
              <w:spacing w:line="360" w:lineRule="auto"/>
              <w:ind w:firstLine="480" w:firstLineChars="200"/>
              <w:rPr>
                <w:sz w:val="24"/>
                <w:szCs w:val="24"/>
              </w:rPr>
            </w:pPr>
          </w:p>
          <w:p w14:paraId="77576560">
            <w:pPr>
              <w:spacing w:line="360" w:lineRule="auto"/>
              <w:ind w:firstLine="480" w:firstLineChars="200"/>
              <w:rPr>
                <w:sz w:val="24"/>
                <w:szCs w:val="24"/>
              </w:rPr>
            </w:pPr>
          </w:p>
          <w:p w14:paraId="14FBC205">
            <w:pPr>
              <w:spacing w:line="360" w:lineRule="auto"/>
              <w:ind w:firstLine="480" w:firstLineChars="200"/>
              <w:rPr>
                <w:sz w:val="24"/>
                <w:szCs w:val="24"/>
              </w:rPr>
            </w:pPr>
          </w:p>
          <w:p w14:paraId="07228331">
            <w:pPr>
              <w:spacing w:line="360" w:lineRule="auto"/>
              <w:ind w:firstLine="480" w:firstLineChars="200"/>
              <w:rPr>
                <w:sz w:val="24"/>
                <w:szCs w:val="24"/>
              </w:rPr>
            </w:pPr>
          </w:p>
          <w:p w14:paraId="3F946FA7">
            <w:pPr>
              <w:spacing w:line="360" w:lineRule="auto"/>
              <w:ind w:firstLine="480" w:firstLineChars="200"/>
              <w:rPr>
                <w:sz w:val="24"/>
                <w:szCs w:val="24"/>
              </w:rPr>
            </w:pPr>
          </w:p>
          <w:p w14:paraId="671CF0DE">
            <w:pPr>
              <w:spacing w:line="360" w:lineRule="auto"/>
              <w:ind w:firstLine="480" w:firstLineChars="200"/>
              <w:rPr>
                <w:sz w:val="24"/>
                <w:szCs w:val="24"/>
              </w:rPr>
            </w:pPr>
          </w:p>
          <w:p w14:paraId="36879FB8">
            <w:pPr>
              <w:spacing w:line="360" w:lineRule="auto"/>
              <w:ind w:firstLine="480" w:firstLineChars="200"/>
              <w:rPr>
                <w:sz w:val="24"/>
                <w:szCs w:val="24"/>
              </w:rPr>
            </w:pPr>
          </w:p>
          <w:p w14:paraId="0BDC9151">
            <w:pPr>
              <w:spacing w:line="360" w:lineRule="auto"/>
              <w:ind w:firstLine="480" w:firstLineChars="200"/>
              <w:rPr>
                <w:sz w:val="24"/>
                <w:szCs w:val="24"/>
              </w:rPr>
            </w:pPr>
          </w:p>
          <w:p w14:paraId="7A9E364B">
            <w:pPr>
              <w:spacing w:line="360" w:lineRule="auto"/>
              <w:ind w:firstLine="480" w:firstLineChars="200"/>
              <w:rPr>
                <w:sz w:val="24"/>
                <w:szCs w:val="24"/>
              </w:rPr>
            </w:pPr>
          </w:p>
          <w:p w14:paraId="66EBC0BC">
            <w:pPr>
              <w:spacing w:line="360" w:lineRule="auto"/>
              <w:ind w:firstLine="480" w:firstLineChars="200"/>
              <w:rPr>
                <w:sz w:val="24"/>
                <w:szCs w:val="24"/>
              </w:rPr>
            </w:pPr>
          </w:p>
          <w:p w14:paraId="2D240DF7">
            <w:pPr>
              <w:spacing w:line="360" w:lineRule="auto"/>
              <w:ind w:firstLine="480" w:firstLineChars="200"/>
              <w:rPr>
                <w:sz w:val="24"/>
                <w:szCs w:val="24"/>
              </w:rPr>
            </w:pPr>
          </w:p>
          <w:p w14:paraId="21351BE8">
            <w:pPr>
              <w:spacing w:line="360" w:lineRule="auto"/>
              <w:ind w:firstLine="480" w:firstLineChars="200"/>
              <w:rPr>
                <w:sz w:val="24"/>
                <w:szCs w:val="24"/>
              </w:rPr>
            </w:pPr>
          </w:p>
          <w:p w14:paraId="78AF98B9">
            <w:pPr>
              <w:spacing w:line="360" w:lineRule="auto"/>
              <w:ind w:firstLine="480" w:firstLineChars="200"/>
              <w:rPr>
                <w:sz w:val="24"/>
                <w:szCs w:val="24"/>
              </w:rPr>
            </w:pPr>
          </w:p>
          <w:p w14:paraId="5323477E">
            <w:pPr>
              <w:spacing w:line="360" w:lineRule="auto"/>
              <w:ind w:firstLine="480" w:firstLineChars="200"/>
              <w:rPr>
                <w:sz w:val="24"/>
                <w:szCs w:val="24"/>
              </w:rPr>
            </w:pPr>
          </w:p>
          <w:p w14:paraId="76DE62F4">
            <w:pPr>
              <w:spacing w:line="360" w:lineRule="auto"/>
              <w:ind w:firstLine="480" w:firstLineChars="200"/>
              <w:rPr>
                <w:sz w:val="24"/>
                <w:szCs w:val="24"/>
              </w:rPr>
            </w:pPr>
          </w:p>
          <w:p w14:paraId="77C89AB2">
            <w:pPr>
              <w:spacing w:line="360" w:lineRule="auto"/>
              <w:ind w:firstLine="480" w:firstLineChars="200"/>
              <w:rPr>
                <w:sz w:val="24"/>
                <w:szCs w:val="24"/>
              </w:rPr>
            </w:pPr>
          </w:p>
          <w:p w14:paraId="647E4891">
            <w:pPr>
              <w:spacing w:line="360" w:lineRule="auto"/>
              <w:ind w:firstLine="480" w:firstLineChars="200"/>
              <w:rPr>
                <w:sz w:val="24"/>
                <w:szCs w:val="24"/>
              </w:rPr>
            </w:pPr>
          </w:p>
          <w:p w14:paraId="789CC492">
            <w:pPr>
              <w:spacing w:line="360" w:lineRule="auto"/>
              <w:ind w:firstLine="480" w:firstLineChars="200"/>
              <w:rPr>
                <w:sz w:val="24"/>
                <w:szCs w:val="24"/>
              </w:rPr>
            </w:pPr>
          </w:p>
          <w:p w14:paraId="6AEAE125">
            <w:pPr>
              <w:spacing w:line="360" w:lineRule="auto"/>
              <w:ind w:firstLine="480" w:firstLineChars="200"/>
              <w:rPr>
                <w:sz w:val="24"/>
                <w:szCs w:val="24"/>
              </w:rPr>
            </w:pPr>
          </w:p>
          <w:p w14:paraId="6993248D">
            <w:pPr>
              <w:spacing w:line="360" w:lineRule="auto"/>
              <w:ind w:firstLine="480" w:firstLineChars="200"/>
              <w:rPr>
                <w:sz w:val="24"/>
                <w:szCs w:val="24"/>
              </w:rPr>
            </w:pPr>
          </w:p>
          <w:p w14:paraId="4F47CD58">
            <w:pPr>
              <w:spacing w:line="360" w:lineRule="auto"/>
              <w:ind w:firstLine="480" w:firstLineChars="200"/>
              <w:rPr>
                <w:sz w:val="24"/>
                <w:szCs w:val="24"/>
              </w:rPr>
            </w:pPr>
          </w:p>
        </w:tc>
      </w:tr>
    </w:tbl>
    <w:p w14:paraId="3B3ACCCA">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p w14:paraId="40F4941B">
      <w:pPr>
        <w:pStyle w:val="51"/>
        <w:numPr>
          <w:ilvl w:val="0"/>
          <w:numId w:val="6"/>
        </w:numPr>
        <w:spacing w:line="360" w:lineRule="auto"/>
        <w:ind w:firstLineChars="0"/>
        <w:jc w:val="center"/>
        <w:rPr>
          <w:rFonts w:eastAsia="黑体" w:cs="Times New Roman"/>
          <w:szCs w:val="21"/>
        </w:rPr>
      </w:pPr>
      <w:r>
        <w:rPr>
          <w:rFonts w:hint="eastAsia" w:eastAsia="黑体"/>
          <w:szCs w:val="21"/>
        </w:rPr>
        <w:t>工业企业噪声源强调查清单（室外声源）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1736"/>
        <w:gridCol w:w="1005"/>
        <w:gridCol w:w="1212"/>
        <w:gridCol w:w="1212"/>
        <w:gridCol w:w="1212"/>
        <w:gridCol w:w="2212"/>
        <w:gridCol w:w="2212"/>
        <w:gridCol w:w="2065"/>
        <w:gridCol w:w="1219"/>
      </w:tblGrid>
      <w:tr w14:paraId="4C81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7" w:type="pct"/>
            <w:vMerge w:val="restart"/>
            <w:shd w:val="clear" w:color="auto" w:fill="auto"/>
            <w:noWrap/>
            <w:vAlign w:val="center"/>
          </w:tcPr>
          <w:p w14:paraId="01E2B93D">
            <w:pPr>
              <w:pStyle w:val="31"/>
            </w:pPr>
            <w:r>
              <w:t>序号</w:t>
            </w:r>
          </w:p>
        </w:tc>
        <w:tc>
          <w:tcPr>
            <w:tcW w:w="587" w:type="pct"/>
            <w:vMerge w:val="restart"/>
            <w:shd w:val="clear" w:color="auto" w:fill="auto"/>
            <w:noWrap/>
            <w:vAlign w:val="center"/>
          </w:tcPr>
          <w:p w14:paraId="71E8FC13">
            <w:pPr>
              <w:pStyle w:val="31"/>
            </w:pPr>
            <w:r>
              <w:t>声源名称</w:t>
            </w:r>
          </w:p>
        </w:tc>
        <w:tc>
          <w:tcPr>
            <w:tcW w:w="340" w:type="pct"/>
            <w:vMerge w:val="restart"/>
            <w:shd w:val="clear" w:color="auto" w:fill="auto"/>
            <w:noWrap/>
            <w:vAlign w:val="center"/>
          </w:tcPr>
          <w:p w14:paraId="121B5779">
            <w:pPr>
              <w:pStyle w:val="31"/>
            </w:pPr>
            <w:r>
              <w:t>型号</w:t>
            </w:r>
          </w:p>
        </w:tc>
        <w:tc>
          <w:tcPr>
            <w:tcW w:w="1230" w:type="pct"/>
            <w:gridSpan w:val="3"/>
            <w:shd w:val="clear" w:color="auto" w:fill="auto"/>
            <w:noWrap/>
            <w:vAlign w:val="center"/>
          </w:tcPr>
          <w:p w14:paraId="3DF77D05">
            <w:pPr>
              <w:pStyle w:val="31"/>
            </w:pPr>
            <w:r>
              <w:t>空间相对位置/m</w:t>
            </w:r>
          </w:p>
        </w:tc>
        <w:tc>
          <w:tcPr>
            <w:tcW w:w="1496" w:type="pct"/>
            <w:gridSpan w:val="2"/>
            <w:shd w:val="clear" w:color="auto" w:fill="auto"/>
            <w:noWrap/>
            <w:vAlign w:val="center"/>
          </w:tcPr>
          <w:p w14:paraId="5A840E45">
            <w:pPr>
              <w:pStyle w:val="31"/>
            </w:pPr>
            <w:r>
              <w:t>声源源强（任选一种）</w:t>
            </w:r>
          </w:p>
        </w:tc>
        <w:tc>
          <w:tcPr>
            <w:tcW w:w="698" w:type="pct"/>
            <w:vMerge w:val="restart"/>
            <w:shd w:val="clear" w:color="auto" w:fill="auto"/>
            <w:noWrap/>
            <w:vAlign w:val="center"/>
          </w:tcPr>
          <w:p w14:paraId="172444A9">
            <w:pPr>
              <w:pStyle w:val="31"/>
            </w:pPr>
            <w:r>
              <w:t>声源控制措施</w:t>
            </w:r>
          </w:p>
        </w:tc>
        <w:tc>
          <w:tcPr>
            <w:tcW w:w="412" w:type="pct"/>
            <w:vMerge w:val="restart"/>
            <w:shd w:val="clear" w:color="auto" w:fill="auto"/>
            <w:noWrap/>
            <w:vAlign w:val="center"/>
          </w:tcPr>
          <w:p w14:paraId="656AC7D5">
            <w:pPr>
              <w:pStyle w:val="31"/>
            </w:pPr>
            <w:r>
              <w:t>运行时段</w:t>
            </w:r>
          </w:p>
        </w:tc>
      </w:tr>
      <w:tr w14:paraId="55BC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7" w:type="pct"/>
            <w:vMerge w:val="continue"/>
            <w:vAlign w:val="center"/>
          </w:tcPr>
          <w:p w14:paraId="0F8E780D">
            <w:pPr>
              <w:pStyle w:val="31"/>
            </w:pPr>
          </w:p>
        </w:tc>
        <w:tc>
          <w:tcPr>
            <w:tcW w:w="587" w:type="pct"/>
            <w:vMerge w:val="continue"/>
            <w:vAlign w:val="center"/>
          </w:tcPr>
          <w:p w14:paraId="67A04D08">
            <w:pPr>
              <w:pStyle w:val="31"/>
            </w:pPr>
          </w:p>
        </w:tc>
        <w:tc>
          <w:tcPr>
            <w:tcW w:w="340" w:type="pct"/>
            <w:vMerge w:val="continue"/>
            <w:vAlign w:val="center"/>
          </w:tcPr>
          <w:p w14:paraId="0BB82299">
            <w:pPr>
              <w:pStyle w:val="31"/>
            </w:pPr>
          </w:p>
        </w:tc>
        <w:tc>
          <w:tcPr>
            <w:tcW w:w="410" w:type="pct"/>
            <w:shd w:val="clear" w:color="auto" w:fill="auto"/>
            <w:noWrap/>
            <w:vAlign w:val="center"/>
          </w:tcPr>
          <w:p w14:paraId="3213F045">
            <w:pPr>
              <w:pStyle w:val="31"/>
            </w:pPr>
            <w:r>
              <w:t>X</w:t>
            </w:r>
          </w:p>
        </w:tc>
        <w:tc>
          <w:tcPr>
            <w:tcW w:w="410" w:type="pct"/>
            <w:shd w:val="clear" w:color="auto" w:fill="auto"/>
            <w:noWrap/>
            <w:vAlign w:val="center"/>
          </w:tcPr>
          <w:p w14:paraId="41F552BF">
            <w:pPr>
              <w:pStyle w:val="31"/>
            </w:pPr>
            <w:r>
              <w:t>Y</w:t>
            </w:r>
          </w:p>
        </w:tc>
        <w:tc>
          <w:tcPr>
            <w:tcW w:w="410" w:type="pct"/>
            <w:shd w:val="clear" w:color="auto" w:fill="auto"/>
            <w:noWrap/>
            <w:vAlign w:val="center"/>
          </w:tcPr>
          <w:p w14:paraId="7B742E64">
            <w:pPr>
              <w:pStyle w:val="31"/>
            </w:pPr>
            <w:r>
              <w:t>Z</w:t>
            </w:r>
          </w:p>
        </w:tc>
        <w:tc>
          <w:tcPr>
            <w:tcW w:w="748" w:type="pct"/>
            <w:shd w:val="clear" w:color="auto" w:fill="auto"/>
            <w:vAlign w:val="center"/>
          </w:tcPr>
          <w:p w14:paraId="3324BDB2">
            <w:pPr>
              <w:pStyle w:val="31"/>
            </w:pPr>
            <w:r>
              <w:t>（声压级/距声源距离）/（dB(A)/m）</w:t>
            </w:r>
          </w:p>
        </w:tc>
        <w:tc>
          <w:tcPr>
            <w:tcW w:w="748" w:type="pct"/>
            <w:shd w:val="clear" w:color="auto" w:fill="auto"/>
            <w:vAlign w:val="center"/>
          </w:tcPr>
          <w:p w14:paraId="238E29D0">
            <w:pPr>
              <w:pStyle w:val="31"/>
            </w:pPr>
            <w:r>
              <w:t>声功率/dB(A)</w:t>
            </w:r>
          </w:p>
        </w:tc>
        <w:tc>
          <w:tcPr>
            <w:tcW w:w="698" w:type="pct"/>
            <w:vMerge w:val="continue"/>
            <w:vAlign w:val="center"/>
          </w:tcPr>
          <w:p w14:paraId="1FE6C35E">
            <w:pPr>
              <w:pStyle w:val="31"/>
            </w:pPr>
          </w:p>
        </w:tc>
        <w:tc>
          <w:tcPr>
            <w:tcW w:w="412" w:type="pct"/>
            <w:vMerge w:val="continue"/>
            <w:vAlign w:val="center"/>
          </w:tcPr>
          <w:p w14:paraId="72E1A677">
            <w:pPr>
              <w:pStyle w:val="31"/>
            </w:pPr>
          </w:p>
        </w:tc>
      </w:tr>
      <w:tr w14:paraId="1D5C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7" w:type="pct"/>
            <w:shd w:val="clear" w:color="auto" w:fill="auto"/>
            <w:noWrap/>
            <w:vAlign w:val="center"/>
          </w:tcPr>
          <w:p w14:paraId="2D660DF9">
            <w:pPr>
              <w:pStyle w:val="31"/>
            </w:pPr>
            <w:r>
              <w:t>1</w:t>
            </w:r>
          </w:p>
        </w:tc>
        <w:tc>
          <w:tcPr>
            <w:tcW w:w="587" w:type="pct"/>
            <w:shd w:val="clear" w:color="auto" w:fill="auto"/>
            <w:noWrap/>
          </w:tcPr>
          <w:p w14:paraId="3F32CE8B">
            <w:pPr>
              <w:pStyle w:val="31"/>
            </w:pPr>
            <w:r>
              <w:rPr>
                <w:rFonts w:hint="eastAsia"/>
              </w:rPr>
              <w:t>循环水塔</w:t>
            </w:r>
          </w:p>
        </w:tc>
        <w:tc>
          <w:tcPr>
            <w:tcW w:w="340" w:type="pct"/>
            <w:shd w:val="clear" w:color="auto" w:fill="auto"/>
            <w:noWrap/>
            <w:vAlign w:val="center"/>
          </w:tcPr>
          <w:p w14:paraId="1B2A701B">
            <w:pPr>
              <w:pStyle w:val="31"/>
            </w:pPr>
            <w:r>
              <w:rPr>
                <w:rFonts w:hint="eastAsia"/>
              </w:rPr>
              <w:t>/</w:t>
            </w:r>
          </w:p>
        </w:tc>
        <w:tc>
          <w:tcPr>
            <w:tcW w:w="410" w:type="pct"/>
            <w:shd w:val="clear" w:color="auto" w:fill="auto"/>
            <w:noWrap/>
          </w:tcPr>
          <w:p w14:paraId="461B8BD5">
            <w:pPr>
              <w:pStyle w:val="31"/>
              <w:rPr>
                <w:rFonts w:eastAsiaTheme="minorEastAsia"/>
              </w:rPr>
            </w:pPr>
            <w:r>
              <w:t>80.04</w:t>
            </w:r>
          </w:p>
        </w:tc>
        <w:tc>
          <w:tcPr>
            <w:tcW w:w="410" w:type="pct"/>
            <w:shd w:val="clear" w:color="auto" w:fill="auto"/>
            <w:noWrap/>
          </w:tcPr>
          <w:p w14:paraId="29D043EB">
            <w:pPr>
              <w:pStyle w:val="31"/>
              <w:rPr>
                <w:rFonts w:eastAsiaTheme="minorEastAsia"/>
              </w:rPr>
            </w:pPr>
            <w:r>
              <w:t>50.05</w:t>
            </w:r>
          </w:p>
        </w:tc>
        <w:tc>
          <w:tcPr>
            <w:tcW w:w="410" w:type="pct"/>
            <w:shd w:val="clear" w:color="auto" w:fill="auto"/>
            <w:noWrap/>
          </w:tcPr>
          <w:p w14:paraId="35CA6A89">
            <w:pPr>
              <w:pStyle w:val="31"/>
              <w:rPr>
                <w:rFonts w:eastAsiaTheme="minorEastAsia"/>
              </w:rPr>
            </w:pPr>
            <w:r>
              <w:t>1</w:t>
            </w:r>
          </w:p>
        </w:tc>
        <w:tc>
          <w:tcPr>
            <w:tcW w:w="748" w:type="pct"/>
            <w:shd w:val="clear" w:color="auto" w:fill="auto"/>
            <w:noWrap/>
          </w:tcPr>
          <w:p w14:paraId="3165CD48">
            <w:pPr>
              <w:pStyle w:val="31"/>
            </w:pPr>
            <w:r>
              <w:t>85/1</w:t>
            </w:r>
          </w:p>
        </w:tc>
        <w:tc>
          <w:tcPr>
            <w:tcW w:w="748" w:type="pct"/>
            <w:shd w:val="clear" w:color="auto" w:fill="auto"/>
            <w:noWrap/>
            <w:vAlign w:val="center"/>
          </w:tcPr>
          <w:p w14:paraId="29810FE2">
            <w:pPr>
              <w:pStyle w:val="31"/>
            </w:pPr>
            <w:r>
              <w:rPr>
                <w:rFonts w:hint="eastAsia"/>
              </w:rPr>
              <w:t>/</w:t>
            </w:r>
          </w:p>
        </w:tc>
        <w:tc>
          <w:tcPr>
            <w:tcW w:w="698" w:type="pct"/>
            <w:shd w:val="clear" w:color="auto" w:fill="auto"/>
            <w:noWrap/>
            <w:vAlign w:val="center"/>
          </w:tcPr>
          <w:p w14:paraId="574B2AF1">
            <w:pPr>
              <w:pStyle w:val="31"/>
              <w:rPr>
                <w:rFonts w:eastAsiaTheme="minorEastAsia"/>
              </w:rPr>
            </w:pPr>
            <w:r>
              <w:rPr>
                <w:rFonts w:hint="eastAsia"/>
              </w:rPr>
              <w:t>基础减震</w:t>
            </w:r>
            <w:r>
              <w:rPr>
                <w:rFonts w:hint="eastAsia" w:cstheme="minorHAnsi"/>
              </w:rPr>
              <w:t>+</w:t>
            </w:r>
            <w:r>
              <w:rPr>
                <w:rFonts w:hint="eastAsia"/>
              </w:rPr>
              <w:t>隔声罩</w:t>
            </w:r>
          </w:p>
        </w:tc>
        <w:tc>
          <w:tcPr>
            <w:tcW w:w="412" w:type="pct"/>
            <w:vMerge w:val="restart"/>
            <w:shd w:val="clear" w:color="auto" w:fill="auto"/>
            <w:noWrap/>
            <w:vAlign w:val="center"/>
          </w:tcPr>
          <w:p w14:paraId="79BB3138">
            <w:pPr>
              <w:pStyle w:val="31"/>
            </w:pPr>
            <w:r>
              <w:rPr>
                <w:rFonts w:hint="eastAsia"/>
              </w:rPr>
              <w:t>昼间</w:t>
            </w:r>
          </w:p>
        </w:tc>
      </w:tr>
      <w:tr w14:paraId="07BC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14:paraId="74D45A61">
            <w:pPr>
              <w:pStyle w:val="31"/>
            </w:pPr>
            <w:r>
              <w:t>2</w:t>
            </w:r>
          </w:p>
        </w:tc>
        <w:tc>
          <w:tcPr>
            <w:tcW w:w="587" w:type="pct"/>
            <w:shd w:val="clear" w:color="auto" w:fill="auto"/>
            <w:noWrap/>
          </w:tcPr>
          <w:p w14:paraId="119C3453">
            <w:pPr>
              <w:pStyle w:val="31"/>
            </w:pPr>
            <w:r>
              <w:rPr>
                <w:rFonts w:hint="eastAsia"/>
              </w:rPr>
              <w:t>冷却塔</w:t>
            </w:r>
          </w:p>
        </w:tc>
        <w:tc>
          <w:tcPr>
            <w:tcW w:w="340" w:type="pct"/>
            <w:shd w:val="clear" w:color="auto" w:fill="auto"/>
            <w:noWrap/>
            <w:vAlign w:val="center"/>
          </w:tcPr>
          <w:p w14:paraId="30901C03">
            <w:pPr>
              <w:pStyle w:val="31"/>
            </w:pPr>
            <w:r>
              <w:rPr>
                <w:rFonts w:hint="eastAsia"/>
              </w:rPr>
              <w:t>/</w:t>
            </w:r>
          </w:p>
        </w:tc>
        <w:tc>
          <w:tcPr>
            <w:tcW w:w="410" w:type="pct"/>
            <w:shd w:val="clear" w:color="auto" w:fill="auto"/>
            <w:noWrap/>
          </w:tcPr>
          <w:p w14:paraId="238F59FC">
            <w:pPr>
              <w:pStyle w:val="31"/>
              <w:rPr>
                <w:rFonts w:eastAsiaTheme="minorEastAsia"/>
              </w:rPr>
            </w:pPr>
            <w:r>
              <w:t>80.21</w:t>
            </w:r>
          </w:p>
        </w:tc>
        <w:tc>
          <w:tcPr>
            <w:tcW w:w="410" w:type="pct"/>
            <w:shd w:val="clear" w:color="auto" w:fill="auto"/>
            <w:noWrap/>
          </w:tcPr>
          <w:p w14:paraId="4D7BE98B">
            <w:pPr>
              <w:pStyle w:val="31"/>
              <w:rPr>
                <w:rFonts w:eastAsiaTheme="minorEastAsia"/>
              </w:rPr>
            </w:pPr>
            <w:r>
              <w:t>37.21</w:t>
            </w:r>
          </w:p>
        </w:tc>
        <w:tc>
          <w:tcPr>
            <w:tcW w:w="410" w:type="pct"/>
            <w:shd w:val="clear" w:color="auto" w:fill="auto"/>
            <w:noWrap/>
          </w:tcPr>
          <w:p w14:paraId="25BB60E6">
            <w:pPr>
              <w:pStyle w:val="31"/>
              <w:rPr>
                <w:rFonts w:eastAsiaTheme="minorEastAsia"/>
              </w:rPr>
            </w:pPr>
            <w:r>
              <w:t>1</w:t>
            </w:r>
          </w:p>
        </w:tc>
        <w:tc>
          <w:tcPr>
            <w:tcW w:w="748" w:type="pct"/>
            <w:shd w:val="clear" w:color="auto" w:fill="auto"/>
            <w:noWrap/>
          </w:tcPr>
          <w:p w14:paraId="20812482">
            <w:pPr>
              <w:pStyle w:val="31"/>
            </w:pPr>
            <w:r>
              <w:t>90/1</w:t>
            </w:r>
          </w:p>
        </w:tc>
        <w:tc>
          <w:tcPr>
            <w:tcW w:w="748" w:type="pct"/>
            <w:shd w:val="clear" w:color="auto" w:fill="auto"/>
            <w:noWrap/>
            <w:vAlign w:val="center"/>
          </w:tcPr>
          <w:p w14:paraId="1562579C">
            <w:pPr>
              <w:pStyle w:val="31"/>
            </w:pPr>
            <w:r>
              <w:rPr>
                <w:rFonts w:hint="eastAsia"/>
              </w:rPr>
              <w:t>/</w:t>
            </w:r>
          </w:p>
        </w:tc>
        <w:tc>
          <w:tcPr>
            <w:tcW w:w="698" w:type="pct"/>
            <w:shd w:val="clear" w:color="auto" w:fill="auto"/>
            <w:noWrap/>
            <w:vAlign w:val="center"/>
          </w:tcPr>
          <w:p w14:paraId="78C7C0FA">
            <w:pPr>
              <w:pStyle w:val="31"/>
              <w:rPr>
                <w:rFonts w:eastAsiaTheme="minorEastAsia"/>
              </w:rPr>
            </w:pPr>
            <w:r>
              <w:rPr>
                <w:rFonts w:hint="eastAsia"/>
              </w:rPr>
              <w:t>基础减震</w:t>
            </w:r>
            <w:r>
              <w:rPr>
                <w:rFonts w:hint="eastAsia" w:cstheme="minorHAnsi"/>
              </w:rPr>
              <w:t>+</w:t>
            </w:r>
            <w:r>
              <w:rPr>
                <w:rFonts w:hint="eastAsia"/>
              </w:rPr>
              <w:t>隔声罩</w:t>
            </w:r>
          </w:p>
        </w:tc>
        <w:tc>
          <w:tcPr>
            <w:tcW w:w="412" w:type="pct"/>
            <w:vMerge w:val="continue"/>
            <w:shd w:val="clear" w:color="auto" w:fill="auto"/>
            <w:noWrap/>
            <w:vAlign w:val="center"/>
          </w:tcPr>
          <w:p w14:paraId="224337B3">
            <w:pPr>
              <w:pStyle w:val="31"/>
            </w:pPr>
          </w:p>
        </w:tc>
      </w:tr>
      <w:tr w14:paraId="1FE2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trPr>
        <w:tc>
          <w:tcPr>
            <w:tcW w:w="237" w:type="pct"/>
            <w:shd w:val="clear" w:color="auto" w:fill="auto"/>
            <w:noWrap/>
            <w:vAlign w:val="center"/>
          </w:tcPr>
          <w:p w14:paraId="682DE799">
            <w:pPr>
              <w:pStyle w:val="31"/>
            </w:pPr>
            <w:r>
              <w:rPr>
                <w:rFonts w:hint="eastAsia"/>
              </w:rPr>
              <w:t>3</w:t>
            </w:r>
          </w:p>
        </w:tc>
        <w:tc>
          <w:tcPr>
            <w:tcW w:w="587" w:type="pct"/>
            <w:shd w:val="clear" w:color="auto" w:fill="auto"/>
            <w:noWrap/>
          </w:tcPr>
          <w:p w14:paraId="441AD08B">
            <w:pPr>
              <w:pStyle w:val="31"/>
            </w:pPr>
            <w:r>
              <w:rPr>
                <w:rFonts w:hint="eastAsia"/>
              </w:rPr>
              <w:t>风机</w:t>
            </w:r>
          </w:p>
        </w:tc>
        <w:tc>
          <w:tcPr>
            <w:tcW w:w="340" w:type="pct"/>
            <w:shd w:val="clear" w:color="auto" w:fill="auto"/>
            <w:noWrap/>
            <w:vAlign w:val="center"/>
          </w:tcPr>
          <w:p w14:paraId="53BF36EB">
            <w:pPr>
              <w:pStyle w:val="31"/>
            </w:pPr>
            <w:r>
              <w:rPr>
                <w:rFonts w:hint="eastAsia"/>
              </w:rPr>
              <w:t>/</w:t>
            </w:r>
          </w:p>
        </w:tc>
        <w:tc>
          <w:tcPr>
            <w:tcW w:w="410" w:type="pct"/>
            <w:shd w:val="clear" w:color="auto" w:fill="auto"/>
            <w:noWrap/>
          </w:tcPr>
          <w:p w14:paraId="69AAA7B7">
            <w:pPr>
              <w:pStyle w:val="31"/>
              <w:rPr>
                <w:rFonts w:eastAsiaTheme="minorEastAsia"/>
              </w:rPr>
            </w:pPr>
            <w:r>
              <w:t>82.97</w:t>
            </w:r>
          </w:p>
        </w:tc>
        <w:tc>
          <w:tcPr>
            <w:tcW w:w="410" w:type="pct"/>
            <w:shd w:val="clear" w:color="auto" w:fill="auto"/>
            <w:noWrap/>
          </w:tcPr>
          <w:p w14:paraId="52F10939">
            <w:pPr>
              <w:pStyle w:val="31"/>
              <w:rPr>
                <w:rFonts w:eastAsiaTheme="minorEastAsia"/>
              </w:rPr>
            </w:pPr>
            <w:r>
              <w:t>74.58</w:t>
            </w:r>
          </w:p>
        </w:tc>
        <w:tc>
          <w:tcPr>
            <w:tcW w:w="410" w:type="pct"/>
            <w:shd w:val="clear" w:color="auto" w:fill="auto"/>
            <w:noWrap/>
          </w:tcPr>
          <w:p w14:paraId="03FB9F36">
            <w:pPr>
              <w:pStyle w:val="31"/>
              <w:rPr>
                <w:rFonts w:eastAsiaTheme="minorEastAsia"/>
              </w:rPr>
            </w:pPr>
            <w:r>
              <w:t>1</w:t>
            </w:r>
          </w:p>
        </w:tc>
        <w:tc>
          <w:tcPr>
            <w:tcW w:w="748" w:type="pct"/>
            <w:shd w:val="clear" w:color="auto" w:fill="auto"/>
            <w:noWrap/>
          </w:tcPr>
          <w:p w14:paraId="67178360">
            <w:pPr>
              <w:pStyle w:val="31"/>
            </w:pPr>
            <w:r>
              <w:t>85/1</w:t>
            </w:r>
          </w:p>
        </w:tc>
        <w:tc>
          <w:tcPr>
            <w:tcW w:w="748" w:type="pct"/>
            <w:shd w:val="clear" w:color="auto" w:fill="auto"/>
            <w:noWrap/>
            <w:vAlign w:val="center"/>
          </w:tcPr>
          <w:p w14:paraId="0C17F2E3">
            <w:pPr>
              <w:pStyle w:val="31"/>
            </w:pPr>
            <w:r>
              <w:rPr>
                <w:rFonts w:hint="eastAsia"/>
              </w:rPr>
              <w:t>/</w:t>
            </w:r>
          </w:p>
        </w:tc>
        <w:tc>
          <w:tcPr>
            <w:tcW w:w="698" w:type="pct"/>
            <w:shd w:val="clear" w:color="auto" w:fill="auto"/>
            <w:noWrap/>
            <w:vAlign w:val="center"/>
          </w:tcPr>
          <w:p w14:paraId="0DCDAF5B">
            <w:pPr>
              <w:pStyle w:val="31"/>
            </w:pPr>
            <w:r>
              <w:rPr>
                <w:rFonts w:hint="eastAsia"/>
              </w:rPr>
              <w:t>基础减震</w:t>
            </w:r>
            <w:r>
              <w:rPr>
                <w:rFonts w:hint="eastAsia" w:cstheme="minorHAnsi"/>
              </w:rPr>
              <w:t>+</w:t>
            </w:r>
            <w:r>
              <w:rPr>
                <w:rFonts w:hint="eastAsia"/>
              </w:rPr>
              <w:t>隔声罩</w:t>
            </w:r>
          </w:p>
        </w:tc>
        <w:tc>
          <w:tcPr>
            <w:tcW w:w="412" w:type="pct"/>
            <w:vMerge w:val="continue"/>
            <w:shd w:val="clear" w:color="auto" w:fill="auto"/>
            <w:noWrap/>
            <w:vAlign w:val="center"/>
          </w:tcPr>
          <w:p w14:paraId="26CCF513">
            <w:pPr>
              <w:pStyle w:val="31"/>
            </w:pPr>
          </w:p>
        </w:tc>
      </w:tr>
    </w:tbl>
    <w:p w14:paraId="55B4C19A">
      <w:pPr>
        <w:pStyle w:val="51"/>
        <w:numPr>
          <w:ilvl w:val="0"/>
          <w:numId w:val="6"/>
        </w:numPr>
        <w:spacing w:line="360" w:lineRule="auto"/>
        <w:ind w:firstLineChars="0"/>
        <w:jc w:val="center"/>
        <w:rPr>
          <w:rFonts w:eastAsia="黑体" w:cs="Times New Roman"/>
          <w:szCs w:val="21"/>
        </w:rPr>
      </w:pPr>
      <w:r>
        <w:rPr>
          <w:rFonts w:hint="eastAsia" w:eastAsia="黑体"/>
          <w:szCs w:val="21"/>
        </w:rPr>
        <w:t>工业企业噪声源强调查清单（室内声源）</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902"/>
        <w:gridCol w:w="2014"/>
        <w:gridCol w:w="1872"/>
        <w:gridCol w:w="1005"/>
        <w:gridCol w:w="1008"/>
        <w:gridCol w:w="1008"/>
        <w:gridCol w:w="1008"/>
        <w:gridCol w:w="863"/>
        <w:gridCol w:w="863"/>
        <w:gridCol w:w="719"/>
        <w:gridCol w:w="1154"/>
        <w:gridCol w:w="956"/>
        <w:gridCol w:w="878"/>
      </w:tblGrid>
      <w:tr w14:paraId="7848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81" w:type="pct"/>
            <w:vMerge w:val="restart"/>
            <w:shd w:val="clear" w:color="auto" w:fill="auto"/>
            <w:noWrap/>
            <w:vAlign w:val="center"/>
          </w:tcPr>
          <w:p w14:paraId="12741281">
            <w:pPr>
              <w:pStyle w:val="31"/>
            </w:pPr>
            <w:r>
              <w:rPr>
                <w:rFonts w:hint="eastAsia"/>
              </w:rPr>
              <w:t>序号</w:t>
            </w:r>
          </w:p>
        </w:tc>
        <w:tc>
          <w:tcPr>
            <w:tcW w:w="305" w:type="pct"/>
            <w:vMerge w:val="restart"/>
            <w:shd w:val="clear" w:color="auto" w:fill="auto"/>
            <w:noWrap/>
            <w:vAlign w:val="center"/>
          </w:tcPr>
          <w:p w14:paraId="09F6A560">
            <w:pPr>
              <w:pStyle w:val="31"/>
            </w:pPr>
            <w:r>
              <w:rPr>
                <w:rFonts w:hint="eastAsia"/>
              </w:rPr>
              <w:t>建筑物名称</w:t>
            </w:r>
          </w:p>
        </w:tc>
        <w:tc>
          <w:tcPr>
            <w:tcW w:w="681" w:type="pct"/>
            <w:vMerge w:val="restart"/>
            <w:shd w:val="clear" w:color="auto" w:fill="auto"/>
            <w:noWrap/>
            <w:vAlign w:val="center"/>
          </w:tcPr>
          <w:p w14:paraId="5633046D">
            <w:pPr>
              <w:pStyle w:val="31"/>
            </w:pPr>
            <w:r>
              <w:rPr>
                <w:rFonts w:hint="eastAsia"/>
              </w:rPr>
              <w:t>声源名称</w:t>
            </w:r>
          </w:p>
        </w:tc>
        <w:tc>
          <w:tcPr>
            <w:tcW w:w="633" w:type="pct"/>
            <w:shd w:val="clear" w:color="auto" w:fill="auto"/>
            <w:noWrap/>
            <w:vAlign w:val="center"/>
          </w:tcPr>
          <w:p w14:paraId="7E3DBE68">
            <w:pPr>
              <w:pStyle w:val="31"/>
            </w:pPr>
            <w:r>
              <w:rPr>
                <w:rFonts w:hint="eastAsia"/>
              </w:rPr>
              <w:t>声源源强</w:t>
            </w:r>
          </w:p>
        </w:tc>
        <w:tc>
          <w:tcPr>
            <w:tcW w:w="340" w:type="pct"/>
            <w:vMerge w:val="restart"/>
            <w:shd w:val="clear" w:color="auto" w:fill="auto"/>
            <w:noWrap/>
            <w:vAlign w:val="center"/>
          </w:tcPr>
          <w:p w14:paraId="21BEA2CE">
            <w:pPr>
              <w:pStyle w:val="31"/>
            </w:pPr>
            <w:r>
              <w:rPr>
                <w:rFonts w:hint="eastAsia"/>
              </w:rPr>
              <w:t>声源控制措施</w:t>
            </w:r>
          </w:p>
        </w:tc>
        <w:tc>
          <w:tcPr>
            <w:tcW w:w="1023" w:type="pct"/>
            <w:gridSpan w:val="3"/>
            <w:shd w:val="clear" w:color="auto" w:fill="auto"/>
            <w:noWrap/>
            <w:vAlign w:val="center"/>
          </w:tcPr>
          <w:p w14:paraId="2978789A">
            <w:pPr>
              <w:pStyle w:val="31"/>
            </w:pPr>
            <w:r>
              <w:rPr>
                <w:rFonts w:hint="eastAsia"/>
              </w:rPr>
              <w:t>空间相对位置/m</w:t>
            </w:r>
          </w:p>
        </w:tc>
        <w:tc>
          <w:tcPr>
            <w:tcW w:w="292" w:type="pct"/>
            <w:vMerge w:val="restart"/>
            <w:shd w:val="clear" w:color="auto" w:fill="auto"/>
            <w:noWrap/>
            <w:vAlign w:val="center"/>
          </w:tcPr>
          <w:p w14:paraId="0DB77587">
            <w:pPr>
              <w:pStyle w:val="31"/>
            </w:pPr>
            <w:r>
              <w:rPr>
                <w:rFonts w:hint="eastAsia"/>
              </w:rPr>
              <w:t>距室内边界距离/m</w:t>
            </w:r>
          </w:p>
        </w:tc>
        <w:tc>
          <w:tcPr>
            <w:tcW w:w="292" w:type="pct"/>
            <w:vMerge w:val="restart"/>
            <w:shd w:val="clear" w:color="auto" w:fill="auto"/>
            <w:noWrap/>
            <w:vAlign w:val="center"/>
          </w:tcPr>
          <w:p w14:paraId="52247DC1">
            <w:pPr>
              <w:pStyle w:val="31"/>
            </w:pPr>
            <w:r>
              <w:rPr>
                <w:rFonts w:hint="eastAsia"/>
              </w:rPr>
              <w:t>室内边界声级/dB(A)</w:t>
            </w:r>
          </w:p>
        </w:tc>
        <w:tc>
          <w:tcPr>
            <w:tcW w:w="243" w:type="pct"/>
            <w:vMerge w:val="restart"/>
            <w:shd w:val="clear" w:color="auto" w:fill="auto"/>
            <w:noWrap/>
            <w:vAlign w:val="center"/>
          </w:tcPr>
          <w:p w14:paraId="5CF93A6A">
            <w:pPr>
              <w:pStyle w:val="31"/>
            </w:pPr>
            <w:r>
              <w:rPr>
                <w:rFonts w:hint="eastAsia"/>
              </w:rPr>
              <w:t>运行</w:t>
            </w:r>
          </w:p>
          <w:p w14:paraId="6042E486">
            <w:pPr>
              <w:pStyle w:val="31"/>
            </w:pPr>
            <w:r>
              <w:rPr>
                <w:rFonts w:hint="eastAsia"/>
              </w:rPr>
              <w:t>时段</w:t>
            </w:r>
          </w:p>
        </w:tc>
        <w:tc>
          <w:tcPr>
            <w:tcW w:w="390" w:type="pct"/>
            <w:vMerge w:val="restart"/>
            <w:shd w:val="clear" w:color="auto" w:fill="auto"/>
            <w:noWrap/>
            <w:vAlign w:val="center"/>
          </w:tcPr>
          <w:p w14:paraId="0145D7BA">
            <w:pPr>
              <w:pStyle w:val="31"/>
            </w:pPr>
            <w:r>
              <w:rPr>
                <w:rFonts w:hint="eastAsia"/>
              </w:rPr>
              <w:t>建筑物插入损失/dB(A)</w:t>
            </w:r>
          </w:p>
        </w:tc>
        <w:tc>
          <w:tcPr>
            <w:tcW w:w="620" w:type="pct"/>
            <w:gridSpan w:val="2"/>
            <w:shd w:val="clear" w:color="auto" w:fill="auto"/>
            <w:noWrap/>
            <w:vAlign w:val="center"/>
          </w:tcPr>
          <w:p w14:paraId="6F71B563">
            <w:pPr>
              <w:pStyle w:val="31"/>
            </w:pPr>
            <w:r>
              <w:rPr>
                <w:rFonts w:hint="eastAsia"/>
              </w:rPr>
              <w:t>建筑物外噪声</w:t>
            </w:r>
          </w:p>
        </w:tc>
      </w:tr>
      <w:tr w14:paraId="7F13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81" w:type="pct"/>
            <w:vMerge w:val="continue"/>
            <w:shd w:val="clear" w:color="auto" w:fill="auto"/>
            <w:vAlign w:val="center"/>
          </w:tcPr>
          <w:p w14:paraId="117DA51F">
            <w:pPr>
              <w:pStyle w:val="31"/>
            </w:pPr>
          </w:p>
        </w:tc>
        <w:tc>
          <w:tcPr>
            <w:tcW w:w="305" w:type="pct"/>
            <w:vMerge w:val="continue"/>
            <w:shd w:val="clear" w:color="auto" w:fill="auto"/>
            <w:vAlign w:val="center"/>
          </w:tcPr>
          <w:p w14:paraId="1C3461DE">
            <w:pPr>
              <w:pStyle w:val="31"/>
            </w:pPr>
          </w:p>
        </w:tc>
        <w:tc>
          <w:tcPr>
            <w:tcW w:w="681" w:type="pct"/>
            <w:vMerge w:val="continue"/>
            <w:shd w:val="clear" w:color="auto" w:fill="auto"/>
            <w:vAlign w:val="center"/>
          </w:tcPr>
          <w:p w14:paraId="209B3FB1">
            <w:pPr>
              <w:pStyle w:val="31"/>
            </w:pPr>
          </w:p>
        </w:tc>
        <w:tc>
          <w:tcPr>
            <w:tcW w:w="633" w:type="pct"/>
            <w:shd w:val="clear" w:color="auto" w:fill="auto"/>
            <w:vAlign w:val="center"/>
          </w:tcPr>
          <w:p w14:paraId="7EE72C0F">
            <w:pPr>
              <w:pStyle w:val="31"/>
            </w:pPr>
            <w:r>
              <w:rPr>
                <w:rFonts w:hint="eastAsia"/>
              </w:rPr>
              <w:t>（声压级/距声源距离）/(dB(A)/m)</w:t>
            </w:r>
          </w:p>
        </w:tc>
        <w:tc>
          <w:tcPr>
            <w:tcW w:w="340" w:type="pct"/>
            <w:vMerge w:val="continue"/>
            <w:shd w:val="clear" w:color="auto" w:fill="auto"/>
            <w:vAlign w:val="center"/>
          </w:tcPr>
          <w:p w14:paraId="05923596">
            <w:pPr>
              <w:pStyle w:val="31"/>
            </w:pPr>
          </w:p>
        </w:tc>
        <w:tc>
          <w:tcPr>
            <w:tcW w:w="341" w:type="pct"/>
            <w:shd w:val="clear" w:color="auto" w:fill="auto"/>
            <w:noWrap/>
            <w:vAlign w:val="center"/>
          </w:tcPr>
          <w:p w14:paraId="551E71F7">
            <w:pPr>
              <w:pStyle w:val="31"/>
            </w:pPr>
            <w:r>
              <w:rPr>
                <w:rFonts w:hint="eastAsia"/>
              </w:rPr>
              <w:t>X</w:t>
            </w:r>
          </w:p>
        </w:tc>
        <w:tc>
          <w:tcPr>
            <w:tcW w:w="341" w:type="pct"/>
            <w:shd w:val="clear" w:color="auto" w:fill="auto"/>
            <w:noWrap/>
            <w:vAlign w:val="center"/>
          </w:tcPr>
          <w:p w14:paraId="0C06EC99">
            <w:pPr>
              <w:pStyle w:val="31"/>
            </w:pPr>
            <w:r>
              <w:rPr>
                <w:rFonts w:hint="eastAsia"/>
              </w:rPr>
              <w:t>Y</w:t>
            </w:r>
          </w:p>
        </w:tc>
        <w:tc>
          <w:tcPr>
            <w:tcW w:w="341" w:type="pct"/>
            <w:shd w:val="clear" w:color="auto" w:fill="auto"/>
            <w:noWrap/>
            <w:vAlign w:val="center"/>
          </w:tcPr>
          <w:p w14:paraId="00AF5139">
            <w:pPr>
              <w:pStyle w:val="31"/>
            </w:pPr>
            <w:r>
              <w:rPr>
                <w:rFonts w:hint="eastAsia"/>
              </w:rPr>
              <w:t>Z</w:t>
            </w:r>
          </w:p>
        </w:tc>
        <w:tc>
          <w:tcPr>
            <w:tcW w:w="292" w:type="pct"/>
            <w:vMerge w:val="continue"/>
            <w:shd w:val="clear" w:color="auto" w:fill="auto"/>
            <w:vAlign w:val="center"/>
          </w:tcPr>
          <w:p w14:paraId="60CBAE8E">
            <w:pPr>
              <w:pStyle w:val="31"/>
            </w:pPr>
          </w:p>
        </w:tc>
        <w:tc>
          <w:tcPr>
            <w:tcW w:w="292" w:type="pct"/>
            <w:vMerge w:val="continue"/>
            <w:shd w:val="clear" w:color="auto" w:fill="auto"/>
            <w:vAlign w:val="center"/>
          </w:tcPr>
          <w:p w14:paraId="00F455EF">
            <w:pPr>
              <w:pStyle w:val="31"/>
            </w:pPr>
          </w:p>
        </w:tc>
        <w:tc>
          <w:tcPr>
            <w:tcW w:w="243" w:type="pct"/>
            <w:vMerge w:val="continue"/>
            <w:shd w:val="clear" w:color="auto" w:fill="auto"/>
            <w:vAlign w:val="center"/>
          </w:tcPr>
          <w:p w14:paraId="38915052">
            <w:pPr>
              <w:pStyle w:val="31"/>
            </w:pPr>
          </w:p>
        </w:tc>
        <w:tc>
          <w:tcPr>
            <w:tcW w:w="390" w:type="pct"/>
            <w:vMerge w:val="continue"/>
            <w:shd w:val="clear" w:color="auto" w:fill="auto"/>
            <w:vAlign w:val="center"/>
          </w:tcPr>
          <w:p w14:paraId="39C330DC">
            <w:pPr>
              <w:pStyle w:val="31"/>
            </w:pPr>
          </w:p>
        </w:tc>
        <w:tc>
          <w:tcPr>
            <w:tcW w:w="323" w:type="pct"/>
            <w:shd w:val="clear" w:color="auto" w:fill="auto"/>
            <w:noWrap/>
            <w:vAlign w:val="center"/>
          </w:tcPr>
          <w:p w14:paraId="1036296A">
            <w:pPr>
              <w:pStyle w:val="31"/>
            </w:pPr>
            <w:r>
              <w:rPr>
                <w:rFonts w:hint="eastAsia"/>
              </w:rPr>
              <w:t>声压级/dB(A)</w:t>
            </w:r>
          </w:p>
        </w:tc>
        <w:tc>
          <w:tcPr>
            <w:tcW w:w="297" w:type="pct"/>
            <w:shd w:val="clear" w:color="auto" w:fill="auto"/>
            <w:noWrap/>
            <w:vAlign w:val="center"/>
          </w:tcPr>
          <w:p w14:paraId="08DF718C">
            <w:pPr>
              <w:pStyle w:val="31"/>
            </w:pPr>
            <w:r>
              <w:rPr>
                <w:rFonts w:hint="eastAsia"/>
              </w:rPr>
              <w:t>建筑物外距离</w:t>
            </w:r>
          </w:p>
        </w:tc>
      </w:tr>
      <w:tr w14:paraId="68AB9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32740A83">
            <w:pPr>
              <w:pStyle w:val="31"/>
            </w:pPr>
            <w:r>
              <w:rPr>
                <w:rFonts w:hint="eastAsia"/>
              </w:rPr>
              <w:t>1</w:t>
            </w:r>
          </w:p>
        </w:tc>
        <w:tc>
          <w:tcPr>
            <w:tcW w:w="305" w:type="pct"/>
            <w:vMerge w:val="restart"/>
            <w:shd w:val="clear" w:color="auto" w:fill="auto"/>
            <w:noWrap/>
            <w:vAlign w:val="center"/>
          </w:tcPr>
          <w:p w14:paraId="32C606CF">
            <w:pPr>
              <w:pStyle w:val="31"/>
            </w:pPr>
            <w:r>
              <w:rPr>
                <w:rFonts w:hint="eastAsia"/>
              </w:rPr>
              <w:t>生产</w:t>
            </w:r>
          </w:p>
          <w:p w14:paraId="28C4090D">
            <w:pPr>
              <w:pStyle w:val="31"/>
            </w:pPr>
            <w:r>
              <w:rPr>
                <w:rFonts w:hint="eastAsia"/>
              </w:rPr>
              <w:t>车间</w:t>
            </w:r>
          </w:p>
        </w:tc>
        <w:tc>
          <w:tcPr>
            <w:tcW w:w="681" w:type="pct"/>
            <w:shd w:val="clear" w:color="auto" w:fill="auto"/>
            <w:noWrap/>
            <w:vAlign w:val="center"/>
          </w:tcPr>
          <w:p w14:paraId="039BF9D0">
            <w:pPr>
              <w:pStyle w:val="31"/>
            </w:pPr>
            <w:r>
              <w:rPr>
                <w:rFonts w:hint="eastAsia"/>
              </w:rPr>
              <w:t>全自动多色直印机</w:t>
            </w:r>
          </w:p>
        </w:tc>
        <w:tc>
          <w:tcPr>
            <w:tcW w:w="633" w:type="pct"/>
            <w:shd w:val="clear" w:color="auto" w:fill="auto"/>
            <w:noWrap/>
            <w:vAlign w:val="center"/>
          </w:tcPr>
          <w:p w14:paraId="11CB5BFC">
            <w:pPr>
              <w:pStyle w:val="31"/>
            </w:pPr>
            <w:r>
              <w:rPr>
                <w:rFonts w:hint="eastAsia"/>
              </w:rPr>
              <w:t>85/1</w:t>
            </w:r>
          </w:p>
        </w:tc>
        <w:tc>
          <w:tcPr>
            <w:tcW w:w="340" w:type="pct"/>
            <w:vMerge w:val="restart"/>
            <w:shd w:val="clear" w:color="auto" w:fill="auto"/>
            <w:noWrap/>
            <w:vAlign w:val="center"/>
          </w:tcPr>
          <w:p w14:paraId="41948799">
            <w:pPr>
              <w:pStyle w:val="31"/>
            </w:pPr>
            <w:r>
              <w:rPr>
                <w:rFonts w:hint="eastAsia"/>
              </w:rPr>
              <w:t>基础减震+厂房隔声</w:t>
            </w:r>
          </w:p>
        </w:tc>
        <w:tc>
          <w:tcPr>
            <w:tcW w:w="341" w:type="pct"/>
            <w:shd w:val="clear" w:color="auto" w:fill="auto"/>
            <w:noWrap/>
            <w:vAlign w:val="center"/>
          </w:tcPr>
          <w:p w14:paraId="7A22C322">
            <w:pPr>
              <w:pStyle w:val="31"/>
            </w:pPr>
            <w:r>
              <w:rPr>
                <w:rFonts w:hint="eastAsia"/>
              </w:rPr>
              <w:t>89.05</w:t>
            </w:r>
          </w:p>
        </w:tc>
        <w:tc>
          <w:tcPr>
            <w:tcW w:w="341" w:type="pct"/>
            <w:shd w:val="clear" w:color="auto" w:fill="auto"/>
            <w:noWrap/>
            <w:vAlign w:val="center"/>
          </w:tcPr>
          <w:p w14:paraId="22A4E54A">
            <w:pPr>
              <w:pStyle w:val="31"/>
            </w:pPr>
            <w:r>
              <w:rPr>
                <w:rFonts w:hint="eastAsia"/>
              </w:rPr>
              <w:t>98.64</w:t>
            </w:r>
          </w:p>
        </w:tc>
        <w:tc>
          <w:tcPr>
            <w:tcW w:w="341" w:type="pct"/>
            <w:shd w:val="clear" w:color="auto" w:fill="auto"/>
            <w:noWrap/>
            <w:vAlign w:val="center"/>
          </w:tcPr>
          <w:p w14:paraId="2AFD1E20">
            <w:pPr>
              <w:pStyle w:val="31"/>
            </w:pPr>
            <w:r>
              <w:rPr>
                <w:rFonts w:hint="eastAsia"/>
              </w:rPr>
              <w:t>1</w:t>
            </w:r>
          </w:p>
        </w:tc>
        <w:tc>
          <w:tcPr>
            <w:tcW w:w="292" w:type="pct"/>
            <w:shd w:val="clear" w:color="auto" w:fill="auto"/>
            <w:noWrap/>
            <w:vAlign w:val="center"/>
          </w:tcPr>
          <w:p w14:paraId="4B798E16">
            <w:pPr>
              <w:pStyle w:val="31"/>
            </w:pPr>
            <w:r>
              <w:rPr>
                <w:rFonts w:hint="eastAsia"/>
              </w:rPr>
              <w:t>1.95</w:t>
            </w:r>
          </w:p>
        </w:tc>
        <w:tc>
          <w:tcPr>
            <w:tcW w:w="292" w:type="pct"/>
            <w:shd w:val="clear" w:color="auto" w:fill="auto"/>
            <w:noWrap/>
            <w:vAlign w:val="center"/>
          </w:tcPr>
          <w:p w14:paraId="114CC161">
            <w:pPr>
              <w:pStyle w:val="31"/>
            </w:pPr>
            <w:r>
              <w:rPr>
                <w:rFonts w:hint="eastAsia"/>
              </w:rPr>
              <w:t>72.25</w:t>
            </w:r>
          </w:p>
        </w:tc>
        <w:tc>
          <w:tcPr>
            <w:tcW w:w="243" w:type="pct"/>
            <w:shd w:val="clear" w:color="auto" w:fill="auto"/>
            <w:noWrap/>
            <w:vAlign w:val="center"/>
          </w:tcPr>
          <w:p w14:paraId="48A3627B">
            <w:pPr>
              <w:pStyle w:val="31"/>
            </w:pPr>
            <w:r>
              <w:rPr>
                <w:rFonts w:hint="eastAsia"/>
              </w:rPr>
              <w:t>昼间</w:t>
            </w:r>
          </w:p>
        </w:tc>
        <w:tc>
          <w:tcPr>
            <w:tcW w:w="390" w:type="pct"/>
            <w:shd w:val="clear" w:color="auto" w:fill="auto"/>
            <w:noWrap/>
            <w:vAlign w:val="center"/>
          </w:tcPr>
          <w:p w14:paraId="3F05E406">
            <w:pPr>
              <w:pStyle w:val="31"/>
            </w:pPr>
            <w:r>
              <w:rPr>
                <w:rFonts w:hint="eastAsia"/>
              </w:rPr>
              <w:t>26</w:t>
            </w:r>
          </w:p>
        </w:tc>
        <w:tc>
          <w:tcPr>
            <w:tcW w:w="323" w:type="pct"/>
            <w:shd w:val="clear" w:color="auto" w:fill="auto"/>
            <w:noWrap/>
            <w:vAlign w:val="center"/>
          </w:tcPr>
          <w:p w14:paraId="60097DC3">
            <w:pPr>
              <w:pStyle w:val="31"/>
            </w:pPr>
            <w:r>
              <w:rPr>
                <w:rFonts w:hint="eastAsia"/>
              </w:rPr>
              <w:t>46.25</w:t>
            </w:r>
          </w:p>
        </w:tc>
        <w:tc>
          <w:tcPr>
            <w:tcW w:w="297" w:type="pct"/>
            <w:shd w:val="clear" w:color="auto" w:fill="auto"/>
            <w:noWrap/>
            <w:vAlign w:val="center"/>
          </w:tcPr>
          <w:p w14:paraId="672A9BE5">
            <w:pPr>
              <w:pStyle w:val="31"/>
            </w:pPr>
            <w:r>
              <w:rPr>
                <w:rFonts w:hint="eastAsia"/>
              </w:rPr>
              <w:t>1</w:t>
            </w:r>
          </w:p>
        </w:tc>
      </w:tr>
      <w:tr w14:paraId="5DCF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A96FB7B">
            <w:pPr>
              <w:pStyle w:val="31"/>
            </w:pPr>
            <w:r>
              <w:rPr>
                <w:rFonts w:hint="eastAsia"/>
              </w:rPr>
              <w:t>2</w:t>
            </w:r>
          </w:p>
        </w:tc>
        <w:tc>
          <w:tcPr>
            <w:tcW w:w="305" w:type="pct"/>
            <w:vMerge w:val="continue"/>
            <w:shd w:val="clear" w:color="auto" w:fill="auto"/>
            <w:noWrap/>
            <w:vAlign w:val="center"/>
          </w:tcPr>
          <w:p w14:paraId="2D3A4D31">
            <w:pPr>
              <w:pStyle w:val="31"/>
            </w:pPr>
          </w:p>
        </w:tc>
        <w:tc>
          <w:tcPr>
            <w:tcW w:w="681" w:type="pct"/>
            <w:shd w:val="clear" w:color="auto" w:fill="auto"/>
            <w:noWrap/>
            <w:vAlign w:val="center"/>
          </w:tcPr>
          <w:p w14:paraId="30B00A6C">
            <w:pPr>
              <w:pStyle w:val="31"/>
            </w:pPr>
            <w:r>
              <w:rPr>
                <w:rFonts w:hint="eastAsia"/>
              </w:rPr>
              <w:t>全自动多色直印机</w:t>
            </w:r>
          </w:p>
        </w:tc>
        <w:tc>
          <w:tcPr>
            <w:tcW w:w="633" w:type="pct"/>
            <w:shd w:val="clear" w:color="auto" w:fill="auto"/>
            <w:noWrap/>
            <w:vAlign w:val="center"/>
          </w:tcPr>
          <w:p w14:paraId="6C8C9EDC">
            <w:pPr>
              <w:pStyle w:val="31"/>
            </w:pPr>
            <w:r>
              <w:rPr>
                <w:rFonts w:hint="eastAsia"/>
              </w:rPr>
              <w:t>85/1</w:t>
            </w:r>
          </w:p>
        </w:tc>
        <w:tc>
          <w:tcPr>
            <w:tcW w:w="340" w:type="pct"/>
            <w:vMerge w:val="continue"/>
            <w:shd w:val="clear" w:color="auto" w:fill="auto"/>
            <w:noWrap/>
            <w:vAlign w:val="center"/>
          </w:tcPr>
          <w:p w14:paraId="69B73EA7">
            <w:pPr>
              <w:pStyle w:val="31"/>
            </w:pPr>
          </w:p>
        </w:tc>
        <w:tc>
          <w:tcPr>
            <w:tcW w:w="341" w:type="pct"/>
            <w:shd w:val="clear" w:color="auto" w:fill="auto"/>
            <w:noWrap/>
            <w:vAlign w:val="center"/>
          </w:tcPr>
          <w:p w14:paraId="35EB79B1">
            <w:pPr>
              <w:pStyle w:val="31"/>
            </w:pPr>
            <w:r>
              <w:rPr>
                <w:rFonts w:hint="eastAsia"/>
              </w:rPr>
              <w:t>88.92</w:t>
            </w:r>
          </w:p>
        </w:tc>
        <w:tc>
          <w:tcPr>
            <w:tcW w:w="341" w:type="pct"/>
            <w:shd w:val="clear" w:color="auto" w:fill="auto"/>
            <w:noWrap/>
            <w:vAlign w:val="center"/>
          </w:tcPr>
          <w:p w14:paraId="25A839CB">
            <w:pPr>
              <w:pStyle w:val="31"/>
            </w:pPr>
            <w:r>
              <w:rPr>
                <w:rFonts w:hint="eastAsia"/>
              </w:rPr>
              <w:t>93.07</w:t>
            </w:r>
          </w:p>
        </w:tc>
        <w:tc>
          <w:tcPr>
            <w:tcW w:w="341" w:type="pct"/>
            <w:shd w:val="clear" w:color="auto" w:fill="auto"/>
            <w:noWrap/>
            <w:vAlign w:val="center"/>
          </w:tcPr>
          <w:p w14:paraId="41BDE6F4">
            <w:pPr>
              <w:pStyle w:val="31"/>
            </w:pPr>
            <w:r>
              <w:rPr>
                <w:rFonts w:hint="eastAsia"/>
              </w:rPr>
              <w:t>1</w:t>
            </w:r>
          </w:p>
        </w:tc>
        <w:tc>
          <w:tcPr>
            <w:tcW w:w="292" w:type="pct"/>
            <w:shd w:val="clear" w:color="auto" w:fill="auto"/>
            <w:noWrap/>
            <w:vAlign w:val="center"/>
          </w:tcPr>
          <w:p w14:paraId="2D52000D">
            <w:pPr>
              <w:pStyle w:val="31"/>
            </w:pPr>
            <w:r>
              <w:rPr>
                <w:rFonts w:hint="eastAsia"/>
              </w:rPr>
              <w:t>4.58</w:t>
            </w:r>
          </w:p>
        </w:tc>
        <w:tc>
          <w:tcPr>
            <w:tcW w:w="292" w:type="pct"/>
            <w:shd w:val="clear" w:color="auto" w:fill="auto"/>
            <w:noWrap/>
            <w:vAlign w:val="center"/>
          </w:tcPr>
          <w:p w14:paraId="3DD8AB4B">
            <w:pPr>
              <w:pStyle w:val="31"/>
            </w:pPr>
            <w:r>
              <w:rPr>
                <w:rFonts w:hint="eastAsia"/>
              </w:rPr>
              <w:t>70.56</w:t>
            </w:r>
          </w:p>
        </w:tc>
        <w:tc>
          <w:tcPr>
            <w:tcW w:w="243" w:type="pct"/>
            <w:shd w:val="clear" w:color="auto" w:fill="auto"/>
            <w:noWrap/>
            <w:vAlign w:val="center"/>
          </w:tcPr>
          <w:p w14:paraId="3C303B68">
            <w:pPr>
              <w:pStyle w:val="31"/>
            </w:pPr>
            <w:r>
              <w:rPr>
                <w:rFonts w:hint="eastAsia"/>
              </w:rPr>
              <w:t>昼间</w:t>
            </w:r>
          </w:p>
        </w:tc>
        <w:tc>
          <w:tcPr>
            <w:tcW w:w="390" w:type="pct"/>
            <w:shd w:val="clear" w:color="auto" w:fill="auto"/>
            <w:noWrap/>
            <w:vAlign w:val="center"/>
          </w:tcPr>
          <w:p w14:paraId="2163D27C">
            <w:pPr>
              <w:pStyle w:val="31"/>
            </w:pPr>
            <w:r>
              <w:rPr>
                <w:rFonts w:hint="eastAsia"/>
              </w:rPr>
              <w:t>26</w:t>
            </w:r>
          </w:p>
        </w:tc>
        <w:tc>
          <w:tcPr>
            <w:tcW w:w="323" w:type="pct"/>
            <w:shd w:val="clear" w:color="auto" w:fill="auto"/>
            <w:noWrap/>
            <w:vAlign w:val="center"/>
          </w:tcPr>
          <w:p w14:paraId="0D8EA063">
            <w:pPr>
              <w:pStyle w:val="31"/>
            </w:pPr>
            <w:r>
              <w:rPr>
                <w:rFonts w:hint="eastAsia"/>
              </w:rPr>
              <w:t>44.56</w:t>
            </w:r>
          </w:p>
        </w:tc>
        <w:tc>
          <w:tcPr>
            <w:tcW w:w="297" w:type="pct"/>
            <w:shd w:val="clear" w:color="auto" w:fill="auto"/>
            <w:noWrap/>
            <w:vAlign w:val="center"/>
          </w:tcPr>
          <w:p w14:paraId="33ABB86D">
            <w:pPr>
              <w:pStyle w:val="31"/>
            </w:pPr>
            <w:r>
              <w:rPr>
                <w:rFonts w:hint="eastAsia"/>
              </w:rPr>
              <w:t>1</w:t>
            </w:r>
          </w:p>
        </w:tc>
      </w:tr>
      <w:tr w14:paraId="52266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B06BDBA">
            <w:pPr>
              <w:pStyle w:val="31"/>
            </w:pPr>
            <w:r>
              <w:rPr>
                <w:rFonts w:hint="eastAsia"/>
              </w:rPr>
              <w:t>3</w:t>
            </w:r>
          </w:p>
        </w:tc>
        <w:tc>
          <w:tcPr>
            <w:tcW w:w="305" w:type="pct"/>
            <w:vMerge w:val="continue"/>
            <w:shd w:val="clear" w:color="auto" w:fill="auto"/>
            <w:noWrap/>
            <w:vAlign w:val="center"/>
          </w:tcPr>
          <w:p w14:paraId="7CA97B5B">
            <w:pPr>
              <w:pStyle w:val="31"/>
            </w:pPr>
          </w:p>
        </w:tc>
        <w:tc>
          <w:tcPr>
            <w:tcW w:w="681" w:type="pct"/>
            <w:shd w:val="clear" w:color="auto" w:fill="auto"/>
            <w:noWrap/>
            <w:vAlign w:val="center"/>
          </w:tcPr>
          <w:p w14:paraId="0CEE5CC1">
            <w:pPr>
              <w:pStyle w:val="31"/>
            </w:pPr>
            <w:r>
              <w:rPr>
                <w:rFonts w:hint="eastAsia"/>
              </w:rPr>
              <w:t>注塑成型机</w:t>
            </w:r>
          </w:p>
        </w:tc>
        <w:tc>
          <w:tcPr>
            <w:tcW w:w="633" w:type="pct"/>
            <w:shd w:val="clear" w:color="auto" w:fill="auto"/>
            <w:noWrap/>
            <w:vAlign w:val="center"/>
          </w:tcPr>
          <w:p w14:paraId="2F6913FB">
            <w:pPr>
              <w:pStyle w:val="31"/>
            </w:pPr>
            <w:r>
              <w:rPr>
                <w:rFonts w:hint="eastAsia"/>
              </w:rPr>
              <w:t>85/1</w:t>
            </w:r>
          </w:p>
        </w:tc>
        <w:tc>
          <w:tcPr>
            <w:tcW w:w="340" w:type="pct"/>
            <w:vMerge w:val="continue"/>
            <w:shd w:val="clear" w:color="auto" w:fill="auto"/>
            <w:noWrap/>
            <w:vAlign w:val="center"/>
          </w:tcPr>
          <w:p w14:paraId="6D30630A">
            <w:pPr>
              <w:pStyle w:val="31"/>
            </w:pPr>
          </w:p>
        </w:tc>
        <w:tc>
          <w:tcPr>
            <w:tcW w:w="341" w:type="pct"/>
            <w:shd w:val="clear" w:color="auto" w:fill="auto"/>
            <w:noWrap/>
            <w:vAlign w:val="center"/>
          </w:tcPr>
          <w:p w14:paraId="7454752F">
            <w:pPr>
              <w:pStyle w:val="31"/>
            </w:pPr>
            <w:r>
              <w:rPr>
                <w:rFonts w:hint="eastAsia"/>
              </w:rPr>
              <w:t>89.23</w:t>
            </w:r>
          </w:p>
        </w:tc>
        <w:tc>
          <w:tcPr>
            <w:tcW w:w="341" w:type="pct"/>
            <w:shd w:val="clear" w:color="auto" w:fill="auto"/>
            <w:noWrap/>
            <w:vAlign w:val="center"/>
          </w:tcPr>
          <w:p w14:paraId="67208455">
            <w:pPr>
              <w:pStyle w:val="31"/>
            </w:pPr>
            <w:r>
              <w:rPr>
                <w:rFonts w:hint="eastAsia"/>
              </w:rPr>
              <w:t>89.12</w:t>
            </w:r>
          </w:p>
        </w:tc>
        <w:tc>
          <w:tcPr>
            <w:tcW w:w="341" w:type="pct"/>
            <w:shd w:val="clear" w:color="auto" w:fill="auto"/>
            <w:noWrap/>
            <w:vAlign w:val="center"/>
          </w:tcPr>
          <w:p w14:paraId="65819F3F">
            <w:pPr>
              <w:pStyle w:val="31"/>
            </w:pPr>
            <w:r>
              <w:rPr>
                <w:rFonts w:hint="eastAsia"/>
              </w:rPr>
              <w:t>1</w:t>
            </w:r>
          </w:p>
        </w:tc>
        <w:tc>
          <w:tcPr>
            <w:tcW w:w="292" w:type="pct"/>
            <w:shd w:val="clear" w:color="auto" w:fill="auto"/>
            <w:noWrap/>
            <w:vAlign w:val="center"/>
          </w:tcPr>
          <w:p w14:paraId="38C72315">
            <w:pPr>
              <w:pStyle w:val="31"/>
            </w:pPr>
            <w:r>
              <w:rPr>
                <w:rFonts w:hint="eastAsia"/>
              </w:rPr>
              <w:t>4.88</w:t>
            </w:r>
          </w:p>
        </w:tc>
        <w:tc>
          <w:tcPr>
            <w:tcW w:w="292" w:type="pct"/>
            <w:shd w:val="clear" w:color="auto" w:fill="auto"/>
            <w:noWrap/>
            <w:vAlign w:val="center"/>
          </w:tcPr>
          <w:p w14:paraId="4A99A562">
            <w:pPr>
              <w:pStyle w:val="31"/>
            </w:pPr>
            <w:r>
              <w:rPr>
                <w:rFonts w:hint="eastAsia"/>
              </w:rPr>
              <w:t>70.50</w:t>
            </w:r>
          </w:p>
        </w:tc>
        <w:tc>
          <w:tcPr>
            <w:tcW w:w="243" w:type="pct"/>
            <w:shd w:val="clear" w:color="auto" w:fill="auto"/>
            <w:noWrap/>
            <w:vAlign w:val="center"/>
          </w:tcPr>
          <w:p w14:paraId="036A88C2">
            <w:pPr>
              <w:pStyle w:val="31"/>
            </w:pPr>
            <w:r>
              <w:rPr>
                <w:rFonts w:hint="eastAsia"/>
              </w:rPr>
              <w:t>昼间</w:t>
            </w:r>
          </w:p>
        </w:tc>
        <w:tc>
          <w:tcPr>
            <w:tcW w:w="390" w:type="pct"/>
            <w:shd w:val="clear" w:color="auto" w:fill="auto"/>
            <w:noWrap/>
            <w:vAlign w:val="center"/>
          </w:tcPr>
          <w:p w14:paraId="290D1A06">
            <w:pPr>
              <w:pStyle w:val="31"/>
            </w:pPr>
            <w:r>
              <w:rPr>
                <w:rFonts w:hint="eastAsia"/>
              </w:rPr>
              <w:t>26</w:t>
            </w:r>
          </w:p>
        </w:tc>
        <w:tc>
          <w:tcPr>
            <w:tcW w:w="323" w:type="pct"/>
            <w:shd w:val="clear" w:color="auto" w:fill="auto"/>
            <w:noWrap/>
            <w:vAlign w:val="center"/>
          </w:tcPr>
          <w:p w14:paraId="76AC1DB6">
            <w:pPr>
              <w:pStyle w:val="31"/>
            </w:pPr>
            <w:r>
              <w:rPr>
                <w:rFonts w:hint="eastAsia"/>
              </w:rPr>
              <w:t>44.50</w:t>
            </w:r>
          </w:p>
        </w:tc>
        <w:tc>
          <w:tcPr>
            <w:tcW w:w="297" w:type="pct"/>
            <w:shd w:val="clear" w:color="auto" w:fill="auto"/>
            <w:noWrap/>
            <w:vAlign w:val="center"/>
          </w:tcPr>
          <w:p w14:paraId="43FCBE89">
            <w:pPr>
              <w:pStyle w:val="31"/>
            </w:pPr>
            <w:r>
              <w:rPr>
                <w:rFonts w:hint="eastAsia"/>
              </w:rPr>
              <w:t>1</w:t>
            </w:r>
          </w:p>
        </w:tc>
      </w:tr>
      <w:tr w14:paraId="1D08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26F7169F">
            <w:pPr>
              <w:pStyle w:val="31"/>
            </w:pPr>
            <w:r>
              <w:rPr>
                <w:rFonts w:hint="eastAsia"/>
              </w:rPr>
              <w:t>4</w:t>
            </w:r>
          </w:p>
        </w:tc>
        <w:tc>
          <w:tcPr>
            <w:tcW w:w="305" w:type="pct"/>
            <w:vMerge w:val="continue"/>
            <w:shd w:val="clear" w:color="auto" w:fill="auto"/>
            <w:noWrap/>
            <w:vAlign w:val="center"/>
          </w:tcPr>
          <w:p w14:paraId="702B94AC">
            <w:pPr>
              <w:pStyle w:val="31"/>
            </w:pPr>
          </w:p>
        </w:tc>
        <w:tc>
          <w:tcPr>
            <w:tcW w:w="681" w:type="pct"/>
            <w:shd w:val="clear" w:color="auto" w:fill="auto"/>
            <w:noWrap/>
            <w:vAlign w:val="center"/>
          </w:tcPr>
          <w:p w14:paraId="52F36C31">
            <w:pPr>
              <w:pStyle w:val="31"/>
            </w:pPr>
            <w:r>
              <w:rPr>
                <w:rFonts w:hint="eastAsia"/>
              </w:rPr>
              <w:t>注塑成型机</w:t>
            </w:r>
          </w:p>
        </w:tc>
        <w:tc>
          <w:tcPr>
            <w:tcW w:w="633" w:type="pct"/>
            <w:shd w:val="clear" w:color="auto" w:fill="auto"/>
            <w:noWrap/>
            <w:vAlign w:val="center"/>
          </w:tcPr>
          <w:p w14:paraId="5F8A683E">
            <w:pPr>
              <w:pStyle w:val="31"/>
            </w:pPr>
            <w:r>
              <w:rPr>
                <w:rFonts w:hint="eastAsia"/>
              </w:rPr>
              <w:t>85/1</w:t>
            </w:r>
          </w:p>
        </w:tc>
        <w:tc>
          <w:tcPr>
            <w:tcW w:w="340" w:type="pct"/>
            <w:vMerge w:val="continue"/>
            <w:shd w:val="clear" w:color="auto" w:fill="auto"/>
            <w:noWrap/>
            <w:vAlign w:val="center"/>
          </w:tcPr>
          <w:p w14:paraId="5BCE078F">
            <w:pPr>
              <w:pStyle w:val="31"/>
            </w:pPr>
          </w:p>
        </w:tc>
        <w:tc>
          <w:tcPr>
            <w:tcW w:w="341" w:type="pct"/>
            <w:shd w:val="clear" w:color="auto" w:fill="auto"/>
            <w:noWrap/>
            <w:vAlign w:val="center"/>
          </w:tcPr>
          <w:p w14:paraId="0A04EE84">
            <w:pPr>
              <w:pStyle w:val="31"/>
            </w:pPr>
            <w:r>
              <w:rPr>
                <w:rFonts w:hint="eastAsia"/>
              </w:rPr>
              <w:t>88.96</w:t>
            </w:r>
          </w:p>
        </w:tc>
        <w:tc>
          <w:tcPr>
            <w:tcW w:w="341" w:type="pct"/>
            <w:shd w:val="clear" w:color="auto" w:fill="auto"/>
            <w:noWrap/>
            <w:vAlign w:val="center"/>
          </w:tcPr>
          <w:p w14:paraId="7A3EF133">
            <w:pPr>
              <w:pStyle w:val="31"/>
            </w:pPr>
            <w:r>
              <w:rPr>
                <w:rFonts w:hint="eastAsia"/>
              </w:rPr>
              <w:t>85.00</w:t>
            </w:r>
          </w:p>
        </w:tc>
        <w:tc>
          <w:tcPr>
            <w:tcW w:w="341" w:type="pct"/>
            <w:shd w:val="clear" w:color="auto" w:fill="auto"/>
            <w:noWrap/>
            <w:vAlign w:val="center"/>
          </w:tcPr>
          <w:p w14:paraId="5BB83B05">
            <w:pPr>
              <w:pStyle w:val="31"/>
            </w:pPr>
            <w:r>
              <w:rPr>
                <w:rFonts w:hint="eastAsia"/>
              </w:rPr>
              <w:t>1</w:t>
            </w:r>
          </w:p>
        </w:tc>
        <w:tc>
          <w:tcPr>
            <w:tcW w:w="292" w:type="pct"/>
            <w:shd w:val="clear" w:color="auto" w:fill="auto"/>
            <w:noWrap/>
            <w:vAlign w:val="center"/>
          </w:tcPr>
          <w:p w14:paraId="45BD14A5">
            <w:pPr>
              <w:pStyle w:val="31"/>
            </w:pPr>
            <w:r>
              <w:rPr>
                <w:rFonts w:hint="eastAsia"/>
              </w:rPr>
              <w:t>4.61</w:t>
            </w:r>
          </w:p>
        </w:tc>
        <w:tc>
          <w:tcPr>
            <w:tcW w:w="292" w:type="pct"/>
            <w:shd w:val="clear" w:color="auto" w:fill="auto"/>
            <w:noWrap/>
            <w:vAlign w:val="center"/>
          </w:tcPr>
          <w:p w14:paraId="01CDD204">
            <w:pPr>
              <w:pStyle w:val="31"/>
            </w:pPr>
            <w:r>
              <w:rPr>
                <w:rFonts w:hint="eastAsia"/>
              </w:rPr>
              <w:t>70.55</w:t>
            </w:r>
          </w:p>
        </w:tc>
        <w:tc>
          <w:tcPr>
            <w:tcW w:w="243" w:type="pct"/>
            <w:shd w:val="clear" w:color="auto" w:fill="auto"/>
            <w:noWrap/>
            <w:vAlign w:val="center"/>
          </w:tcPr>
          <w:p w14:paraId="4FFE8F49">
            <w:pPr>
              <w:pStyle w:val="31"/>
            </w:pPr>
            <w:r>
              <w:rPr>
                <w:rFonts w:hint="eastAsia"/>
              </w:rPr>
              <w:t>昼间</w:t>
            </w:r>
          </w:p>
        </w:tc>
        <w:tc>
          <w:tcPr>
            <w:tcW w:w="390" w:type="pct"/>
            <w:shd w:val="clear" w:color="auto" w:fill="auto"/>
            <w:noWrap/>
            <w:vAlign w:val="center"/>
          </w:tcPr>
          <w:p w14:paraId="73CBC753">
            <w:pPr>
              <w:pStyle w:val="31"/>
            </w:pPr>
            <w:r>
              <w:rPr>
                <w:rFonts w:hint="eastAsia"/>
              </w:rPr>
              <w:t>26</w:t>
            </w:r>
          </w:p>
        </w:tc>
        <w:tc>
          <w:tcPr>
            <w:tcW w:w="323" w:type="pct"/>
            <w:shd w:val="clear" w:color="auto" w:fill="auto"/>
            <w:noWrap/>
            <w:vAlign w:val="center"/>
          </w:tcPr>
          <w:p w14:paraId="6BAAA9E5">
            <w:pPr>
              <w:pStyle w:val="31"/>
            </w:pPr>
            <w:r>
              <w:rPr>
                <w:rFonts w:hint="eastAsia"/>
              </w:rPr>
              <w:t>44.55</w:t>
            </w:r>
          </w:p>
        </w:tc>
        <w:tc>
          <w:tcPr>
            <w:tcW w:w="297" w:type="pct"/>
            <w:shd w:val="clear" w:color="auto" w:fill="auto"/>
            <w:noWrap/>
            <w:vAlign w:val="center"/>
          </w:tcPr>
          <w:p w14:paraId="0D44A204">
            <w:pPr>
              <w:pStyle w:val="31"/>
            </w:pPr>
            <w:r>
              <w:rPr>
                <w:rFonts w:hint="eastAsia"/>
              </w:rPr>
              <w:t>1</w:t>
            </w:r>
          </w:p>
        </w:tc>
      </w:tr>
      <w:tr w14:paraId="3059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5EFDB0C9">
            <w:pPr>
              <w:pStyle w:val="31"/>
            </w:pPr>
            <w:r>
              <w:rPr>
                <w:rFonts w:hint="eastAsia"/>
              </w:rPr>
              <w:t>5</w:t>
            </w:r>
          </w:p>
        </w:tc>
        <w:tc>
          <w:tcPr>
            <w:tcW w:w="305" w:type="pct"/>
            <w:vMerge w:val="continue"/>
            <w:shd w:val="clear" w:color="auto" w:fill="auto"/>
            <w:noWrap/>
            <w:vAlign w:val="center"/>
          </w:tcPr>
          <w:p w14:paraId="4573E650">
            <w:pPr>
              <w:pStyle w:val="31"/>
            </w:pPr>
          </w:p>
        </w:tc>
        <w:tc>
          <w:tcPr>
            <w:tcW w:w="681" w:type="pct"/>
            <w:shd w:val="clear" w:color="auto" w:fill="auto"/>
            <w:noWrap/>
            <w:vAlign w:val="center"/>
          </w:tcPr>
          <w:p w14:paraId="0A5755FF">
            <w:pPr>
              <w:pStyle w:val="31"/>
            </w:pPr>
            <w:r>
              <w:rPr>
                <w:rFonts w:hint="eastAsia"/>
              </w:rPr>
              <w:t>注塑成型机</w:t>
            </w:r>
          </w:p>
        </w:tc>
        <w:tc>
          <w:tcPr>
            <w:tcW w:w="633" w:type="pct"/>
            <w:shd w:val="clear" w:color="auto" w:fill="auto"/>
            <w:noWrap/>
            <w:vAlign w:val="center"/>
          </w:tcPr>
          <w:p w14:paraId="538ABD53">
            <w:pPr>
              <w:pStyle w:val="31"/>
            </w:pPr>
            <w:r>
              <w:rPr>
                <w:rFonts w:hint="eastAsia"/>
              </w:rPr>
              <w:t>85/1</w:t>
            </w:r>
          </w:p>
        </w:tc>
        <w:tc>
          <w:tcPr>
            <w:tcW w:w="340" w:type="pct"/>
            <w:vMerge w:val="continue"/>
            <w:shd w:val="clear" w:color="auto" w:fill="auto"/>
            <w:noWrap/>
            <w:vAlign w:val="center"/>
          </w:tcPr>
          <w:p w14:paraId="0C8E0102">
            <w:pPr>
              <w:pStyle w:val="31"/>
            </w:pPr>
          </w:p>
        </w:tc>
        <w:tc>
          <w:tcPr>
            <w:tcW w:w="341" w:type="pct"/>
            <w:shd w:val="clear" w:color="auto" w:fill="auto"/>
            <w:noWrap/>
            <w:vAlign w:val="center"/>
          </w:tcPr>
          <w:p w14:paraId="3EC953C3">
            <w:pPr>
              <w:pStyle w:val="31"/>
            </w:pPr>
            <w:r>
              <w:rPr>
                <w:rFonts w:hint="eastAsia"/>
              </w:rPr>
              <w:t>88.59</w:t>
            </w:r>
          </w:p>
        </w:tc>
        <w:tc>
          <w:tcPr>
            <w:tcW w:w="341" w:type="pct"/>
            <w:shd w:val="clear" w:color="auto" w:fill="auto"/>
            <w:noWrap/>
            <w:vAlign w:val="center"/>
          </w:tcPr>
          <w:p w14:paraId="4C9F35DB">
            <w:pPr>
              <w:pStyle w:val="31"/>
            </w:pPr>
            <w:r>
              <w:rPr>
                <w:rFonts w:hint="eastAsia"/>
              </w:rPr>
              <w:t>80.77</w:t>
            </w:r>
          </w:p>
        </w:tc>
        <w:tc>
          <w:tcPr>
            <w:tcW w:w="341" w:type="pct"/>
            <w:shd w:val="clear" w:color="auto" w:fill="auto"/>
            <w:noWrap/>
            <w:vAlign w:val="center"/>
          </w:tcPr>
          <w:p w14:paraId="12E2007B">
            <w:pPr>
              <w:pStyle w:val="31"/>
            </w:pPr>
            <w:r>
              <w:rPr>
                <w:rFonts w:hint="eastAsia"/>
              </w:rPr>
              <w:t>1</w:t>
            </w:r>
          </w:p>
        </w:tc>
        <w:tc>
          <w:tcPr>
            <w:tcW w:w="292" w:type="pct"/>
            <w:shd w:val="clear" w:color="auto" w:fill="auto"/>
            <w:noWrap/>
            <w:vAlign w:val="center"/>
          </w:tcPr>
          <w:p w14:paraId="03393412">
            <w:pPr>
              <w:pStyle w:val="31"/>
            </w:pPr>
            <w:r>
              <w:rPr>
                <w:rFonts w:hint="eastAsia"/>
              </w:rPr>
              <w:t>4.24</w:t>
            </w:r>
          </w:p>
        </w:tc>
        <w:tc>
          <w:tcPr>
            <w:tcW w:w="292" w:type="pct"/>
            <w:shd w:val="clear" w:color="auto" w:fill="auto"/>
            <w:noWrap/>
            <w:vAlign w:val="center"/>
          </w:tcPr>
          <w:p w14:paraId="448F51A8">
            <w:pPr>
              <w:pStyle w:val="31"/>
            </w:pPr>
            <w:r>
              <w:rPr>
                <w:rFonts w:hint="eastAsia"/>
              </w:rPr>
              <w:t>70.63</w:t>
            </w:r>
          </w:p>
        </w:tc>
        <w:tc>
          <w:tcPr>
            <w:tcW w:w="243" w:type="pct"/>
            <w:shd w:val="clear" w:color="auto" w:fill="auto"/>
            <w:noWrap/>
            <w:vAlign w:val="center"/>
          </w:tcPr>
          <w:p w14:paraId="493C7FF0">
            <w:pPr>
              <w:pStyle w:val="31"/>
            </w:pPr>
            <w:r>
              <w:rPr>
                <w:rFonts w:hint="eastAsia"/>
              </w:rPr>
              <w:t>昼间</w:t>
            </w:r>
          </w:p>
        </w:tc>
        <w:tc>
          <w:tcPr>
            <w:tcW w:w="390" w:type="pct"/>
            <w:shd w:val="clear" w:color="auto" w:fill="auto"/>
            <w:noWrap/>
            <w:vAlign w:val="center"/>
          </w:tcPr>
          <w:p w14:paraId="3104E5DE">
            <w:pPr>
              <w:pStyle w:val="31"/>
            </w:pPr>
            <w:r>
              <w:rPr>
                <w:rFonts w:hint="eastAsia"/>
              </w:rPr>
              <w:t>26</w:t>
            </w:r>
          </w:p>
        </w:tc>
        <w:tc>
          <w:tcPr>
            <w:tcW w:w="323" w:type="pct"/>
            <w:shd w:val="clear" w:color="auto" w:fill="auto"/>
            <w:noWrap/>
            <w:vAlign w:val="center"/>
          </w:tcPr>
          <w:p w14:paraId="23F33AA9">
            <w:pPr>
              <w:pStyle w:val="31"/>
            </w:pPr>
            <w:r>
              <w:rPr>
                <w:rFonts w:hint="eastAsia"/>
              </w:rPr>
              <w:t>44.63</w:t>
            </w:r>
          </w:p>
        </w:tc>
        <w:tc>
          <w:tcPr>
            <w:tcW w:w="297" w:type="pct"/>
            <w:shd w:val="clear" w:color="auto" w:fill="auto"/>
            <w:noWrap/>
            <w:vAlign w:val="center"/>
          </w:tcPr>
          <w:p w14:paraId="451E2409">
            <w:pPr>
              <w:pStyle w:val="31"/>
            </w:pPr>
            <w:r>
              <w:rPr>
                <w:rFonts w:hint="eastAsia"/>
              </w:rPr>
              <w:t>1</w:t>
            </w:r>
          </w:p>
        </w:tc>
      </w:tr>
      <w:tr w14:paraId="600A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B2F58AC">
            <w:pPr>
              <w:pStyle w:val="31"/>
            </w:pPr>
            <w:r>
              <w:rPr>
                <w:rFonts w:hint="eastAsia"/>
              </w:rPr>
              <w:t>6</w:t>
            </w:r>
          </w:p>
        </w:tc>
        <w:tc>
          <w:tcPr>
            <w:tcW w:w="305" w:type="pct"/>
            <w:vMerge w:val="continue"/>
            <w:shd w:val="clear" w:color="auto" w:fill="auto"/>
            <w:noWrap/>
            <w:vAlign w:val="center"/>
          </w:tcPr>
          <w:p w14:paraId="12699E2C">
            <w:pPr>
              <w:pStyle w:val="31"/>
            </w:pPr>
          </w:p>
        </w:tc>
        <w:tc>
          <w:tcPr>
            <w:tcW w:w="681" w:type="pct"/>
            <w:shd w:val="clear" w:color="auto" w:fill="auto"/>
            <w:noWrap/>
            <w:vAlign w:val="center"/>
          </w:tcPr>
          <w:p w14:paraId="78E5AFCF">
            <w:pPr>
              <w:pStyle w:val="31"/>
            </w:pPr>
            <w:r>
              <w:rPr>
                <w:rFonts w:hint="eastAsia"/>
              </w:rPr>
              <w:t>注塑成型机</w:t>
            </w:r>
          </w:p>
        </w:tc>
        <w:tc>
          <w:tcPr>
            <w:tcW w:w="633" w:type="pct"/>
            <w:shd w:val="clear" w:color="auto" w:fill="auto"/>
            <w:noWrap/>
            <w:vAlign w:val="center"/>
          </w:tcPr>
          <w:p w14:paraId="1E969063">
            <w:pPr>
              <w:pStyle w:val="31"/>
            </w:pPr>
            <w:r>
              <w:rPr>
                <w:rFonts w:hint="eastAsia"/>
              </w:rPr>
              <w:t>85/1</w:t>
            </w:r>
          </w:p>
        </w:tc>
        <w:tc>
          <w:tcPr>
            <w:tcW w:w="340" w:type="pct"/>
            <w:vMerge w:val="continue"/>
            <w:shd w:val="clear" w:color="auto" w:fill="auto"/>
            <w:noWrap/>
            <w:vAlign w:val="center"/>
          </w:tcPr>
          <w:p w14:paraId="112DE6EE">
            <w:pPr>
              <w:pStyle w:val="31"/>
            </w:pPr>
          </w:p>
        </w:tc>
        <w:tc>
          <w:tcPr>
            <w:tcW w:w="341" w:type="pct"/>
            <w:shd w:val="clear" w:color="auto" w:fill="auto"/>
            <w:noWrap/>
            <w:vAlign w:val="center"/>
          </w:tcPr>
          <w:p w14:paraId="2900FE72">
            <w:pPr>
              <w:pStyle w:val="31"/>
            </w:pPr>
            <w:r>
              <w:rPr>
                <w:rFonts w:hint="eastAsia"/>
              </w:rPr>
              <w:t>89.24</w:t>
            </w:r>
          </w:p>
        </w:tc>
        <w:tc>
          <w:tcPr>
            <w:tcW w:w="341" w:type="pct"/>
            <w:shd w:val="clear" w:color="auto" w:fill="auto"/>
            <w:noWrap/>
            <w:vAlign w:val="center"/>
          </w:tcPr>
          <w:p w14:paraId="262E27EB">
            <w:pPr>
              <w:pStyle w:val="31"/>
            </w:pPr>
            <w:r>
              <w:rPr>
                <w:rFonts w:hint="eastAsia"/>
              </w:rPr>
              <w:t>76.59</w:t>
            </w:r>
          </w:p>
        </w:tc>
        <w:tc>
          <w:tcPr>
            <w:tcW w:w="341" w:type="pct"/>
            <w:shd w:val="clear" w:color="auto" w:fill="auto"/>
            <w:noWrap/>
            <w:vAlign w:val="center"/>
          </w:tcPr>
          <w:p w14:paraId="53BE274E">
            <w:pPr>
              <w:pStyle w:val="31"/>
            </w:pPr>
            <w:r>
              <w:rPr>
                <w:rFonts w:hint="eastAsia"/>
              </w:rPr>
              <w:t>1</w:t>
            </w:r>
          </w:p>
        </w:tc>
        <w:tc>
          <w:tcPr>
            <w:tcW w:w="292" w:type="pct"/>
            <w:shd w:val="clear" w:color="auto" w:fill="auto"/>
            <w:noWrap/>
            <w:vAlign w:val="center"/>
          </w:tcPr>
          <w:p w14:paraId="40F6B95F">
            <w:pPr>
              <w:pStyle w:val="31"/>
            </w:pPr>
            <w:r>
              <w:rPr>
                <w:rFonts w:hint="eastAsia"/>
              </w:rPr>
              <w:t>4.89</w:t>
            </w:r>
          </w:p>
        </w:tc>
        <w:tc>
          <w:tcPr>
            <w:tcW w:w="292" w:type="pct"/>
            <w:shd w:val="clear" w:color="auto" w:fill="auto"/>
            <w:noWrap/>
            <w:vAlign w:val="center"/>
          </w:tcPr>
          <w:p w14:paraId="543249C7">
            <w:pPr>
              <w:pStyle w:val="31"/>
            </w:pPr>
            <w:r>
              <w:rPr>
                <w:rFonts w:hint="eastAsia"/>
              </w:rPr>
              <w:t>70.50</w:t>
            </w:r>
          </w:p>
        </w:tc>
        <w:tc>
          <w:tcPr>
            <w:tcW w:w="243" w:type="pct"/>
            <w:shd w:val="clear" w:color="auto" w:fill="auto"/>
            <w:noWrap/>
            <w:vAlign w:val="center"/>
          </w:tcPr>
          <w:p w14:paraId="28453016">
            <w:pPr>
              <w:pStyle w:val="31"/>
            </w:pPr>
            <w:r>
              <w:rPr>
                <w:rFonts w:hint="eastAsia"/>
              </w:rPr>
              <w:t>昼间</w:t>
            </w:r>
          </w:p>
        </w:tc>
        <w:tc>
          <w:tcPr>
            <w:tcW w:w="390" w:type="pct"/>
            <w:shd w:val="clear" w:color="auto" w:fill="auto"/>
            <w:noWrap/>
            <w:vAlign w:val="center"/>
          </w:tcPr>
          <w:p w14:paraId="015278D7">
            <w:pPr>
              <w:pStyle w:val="31"/>
            </w:pPr>
            <w:r>
              <w:rPr>
                <w:rFonts w:hint="eastAsia"/>
              </w:rPr>
              <w:t>26</w:t>
            </w:r>
          </w:p>
        </w:tc>
        <w:tc>
          <w:tcPr>
            <w:tcW w:w="323" w:type="pct"/>
            <w:shd w:val="clear" w:color="auto" w:fill="auto"/>
            <w:noWrap/>
            <w:vAlign w:val="center"/>
          </w:tcPr>
          <w:p w14:paraId="53F27019">
            <w:pPr>
              <w:pStyle w:val="31"/>
            </w:pPr>
            <w:r>
              <w:rPr>
                <w:rFonts w:hint="eastAsia"/>
              </w:rPr>
              <w:t>44.50</w:t>
            </w:r>
          </w:p>
        </w:tc>
        <w:tc>
          <w:tcPr>
            <w:tcW w:w="297" w:type="pct"/>
            <w:shd w:val="clear" w:color="auto" w:fill="auto"/>
            <w:noWrap/>
            <w:vAlign w:val="center"/>
          </w:tcPr>
          <w:p w14:paraId="16C35E6E">
            <w:pPr>
              <w:pStyle w:val="31"/>
            </w:pPr>
            <w:r>
              <w:rPr>
                <w:rFonts w:hint="eastAsia"/>
              </w:rPr>
              <w:t>1</w:t>
            </w:r>
          </w:p>
        </w:tc>
      </w:tr>
      <w:tr w14:paraId="08A0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08BB8D02">
            <w:pPr>
              <w:pStyle w:val="31"/>
            </w:pPr>
            <w:r>
              <w:rPr>
                <w:rFonts w:hint="eastAsia"/>
              </w:rPr>
              <w:t>7</w:t>
            </w:r>
          </w:p>
        </w:tc>
        <w:tc>
          <w:tcPr>
            <w:tcW w:w="305" w:type="pct"/>
            <w:vMerge w:val="continue"/>
            <w:shd w:val="clear" w:color="auto" w:fill="auto"/>
            <w:noWrap/>
            <w:vAlign w:val="center"/>
          </w:tcPr>
          <w:p w14:paraId="1E1D3BAD">
            <w:pPr>
              <w:pStyle w:val="31"/>
            </w:pPr>
          </w:p>
        </w:tc>
        <w:tc>
          <w:tcPr>
            <w:tcW w:w="681" w:type="pct"/>
            <w:shd w:val="clear" w:color="auto" w:fill="auto"/>
            <w:noWrap/>
            <w:vAlign w:val="center"/>
          </w:tcPr>
          <w:p w14:paraId="62872D4B">
            <w:pPr>
              <w:pStyle w:val="31"/>
            </w:pPr>
            <w:r>
              <w:rPr>
                <w:rFonts w:hint="eastAsia"/>
              </w:rPr>
              <w:t>注塑成型机</w:t>
            </w:r>
          </w:p>
        </w:tc>
        <w:tc>
          <w:tcPr>
            <w:tcW w:w="633" w:type="pct"/>
            <w:shd w:val="clear" w:color="auto" w:fill="auto"/>
            <w:noWrap/>
            <w:vAlign w:val="center"/>
          </w:tcPr>
          <w:p w14:paraId="76E18117">
            <w:pPr>
              <w:pStyle w:val="31"/>
            </w:pPr>
            <w:r>
              <w:rPr>
                <w:rFonts w:hint="eastAsia"/>
              </w:rPr>
              <w:t>85/1</w:t>
            </w:r>
          </w:p>
        </w:tc>
        <w:tc>
          <w:tcPr>
            <w:tcW w:w="340" w:type="pct"/>
            <w:vMerge w:val="continue"/>
            <w:shd w:val="clear" w:color="auto" w:fill="auto"/>
            <w:noWrap/>
            <w:vAlign w:val="center"/>
          </w:tcPr>
          <w:p w14:paraId="4422504F">
            <w:pPr>
              <w:pStyle w:val="31"/>
            </w:pPr>
          </w:p>
        </w:tc>
        <w:tc>
          <w:tcPr>
            <w:tcW w:w="341" w:type="pct"/>
            <w:shd w:val="clear" w:color="auto" w:fill="auto"/>
            <w:noWrap/>
            <w:vAlign w:val="center"/>
          </w:tcPr>
          <w:p w14:paraId="736FB166">
            <w:pPr>
              <w:pStyle w:val="31"/>
            </w:pPr>
            <w:r>
              <w:rPr>
                <w:rFonts w:hint="eastAsia"/>
              </w:rPr>
              <w:t>89.24</w:t>
            </w:r>
          </w:p>
        </w:tc>
        <w:tc>
          <w:tcPr>
            <w:tcW w:w="341" w:type="pct"/>
            <w:shd w:val="clear" w:color="auto" w:fill="auto"/>
            <w:noWrap/>
            <w:vAlign w:val="center"/>
          </w:tcPr>
          <w:p w14:paraId="1EF599EE">
            <w:pPr>
              <w:pStyle w:val="31"/>
            </w:pPr>
            <w:r>
              <w:rPr>
                <w:rFonts w:hint="eastAsia"/>
              </w:rPr>
              <w:t>72.28</w:t>
            </w:r>
          </w:p>
        </w:tc>
        <w:tc>
          <w:tcPr>
            <w:tcW w:w="341" w:type="pct"/>
            <w:shd w:val="clear" w:color="auto" w:fill="auto"/>
            <w:noWrap/>
            <w:vAlign w:val="center"/>
          </w:tcPr>
          <w:p w14:paraId="4F1F0D50">
            <w:pPr>
              <w:pStyle w:val="31"/>
            </w:pPr>
            <w:r>
              <w:rPr>
                <w:rFonts w:hint="eastAsia"/>
              </w:rPr>
              <w:t>1</w:t>
            </w:r>
          </w:p>
        </w:tc>
        <w:tc>
          <w:tcPr>
            <w:tcW w:w="292" w:type="pct"/>
            <w:shd w:val="clear" w:color="auto" w:fill="auto"/>
            <w:noWrap/>
            <w:vAlign w:val="center"/>
          </w:tcPr>
          <w:p w14:paraId="754E8555">
            <w:pPr>
              <w:pStyle w:val="31"/>
            </w:pPr>
            <w:r>
              <w:rPr>
                <w:rFonts w:hint="eastAsia"/>
              </w:rPr>
              <w:t>4.88</w:t>
            </w:r>
          </w:p>
        </w:tc>
        <w:tc>
          <w:tcPr>
            <w:tcW w:w="292" w:type="pct"/>
            <w:shd w:val="clear" w:color="auto" w:fill="auto"/>
            <w:noWrap/>
            <w:vAlign w:val="center"/>
          </w:tcPr>
          <w:p w14:paraId="605E14D3">
            <w:pPr>
              <w:pStyle w:val="31"/>
            </w:pPr>
            <w:r>
              <w:rPr>
                <w:rFonts w:hint="eastAsia"/>
              </w:rPr>
              <w:t>70.50</w:t>
            </w:r>
          </w:p>
        </w:tc>
        <w:tc>
          <w:tcPr>
            <w:tcW w:w="243" w:type="pct"/>
            <w:shd w:val="clear" w:color="auto" w:fill="auto"/>
            <w:noWrap/>
            <w:vAlign w:val="center"/>
          </w:tcPr>
          <w:p w14:paraId="1451C1BD">
            <w:pPr>
              <w:pStyle w:val="31"/>
            </w:pPr>
            <w:r>
              <w:rPr>
                <w:rFonts w:hint="eastAsia"/>
              </w:rPr>
              <w:t>昼间</w:t>
            </w:r>
          </w:p>
        </w:tc>
        <w:tc>
          <w:tcPr>
            <w:tcW w:w="390" w:type="pct"/>
            <w:shd w:val="clear" w:color="auto" w:fill="auto"/>
            <w:noWrap/>
            <w:vAlign w:val="center"/>
          </w:tcPr>
          <w:p w14:paraId="1F823665">
            <w:pPr>
              <w:pStyle w:val="31"/>
            </w:pPr>
            <w:r>
              <w:rPr>
                <w:rFonts w:hint="eastAsia"/>
              </w:rPr>
              <w:t>26</w:t>
            </w:r>
          </w:p>
        </w:tc>
        <w:tc>
          <w:tcPr>
            <w:tcW w:w="323" w:type="pct"/>
            <w:shd w:val="clear" w:color="auto" w:fill="auto"/>
            <w:noWrap/>
            <w:vAlign w:val="center"/>
          </w:tcPr>
          <w:p w14:paraId="616D8626">
            <w:pPr>
              <w:pStyle w:val="31"/>
            </w:pPr>
            <w:r>
              <w:rPr>
                <w:rFonts w:hint="eastAsia"/>
              </w:rPr>
              <w:t>44.50</w:t>
            </w:r>
          </w:p>
        </w:tc>
        <w:tc>
          <w:tcPr>
            <w:tcW w:w="297" w:type="pct"/>
            <w:shd w:val="clear" w:color="auto" w:fill="auto"/>
            <w:noWrap/>
            <w:vAlign w:val="center"/>
          </w:tcPr>
          <w:p w14:paraId="41C04841">
            <w:pPr>
              <w:pStyle w:val="31"/>
            </w:pPr>
            <w:r>
              <w:rPr>
                <w:rFonts w:hint="eastAsia"/>
              </w:rPr>
              <w:t>1</w:t>
            </w:r>
          </w:p>
        </w:tc>
      </w:tr>
      <w:tr w14:paraId="5992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B0E491B">
            <w:pPr>
              <w:pStyle w:val="31"/>
            </w:pPr>
            <w:r>
              <w:rPr>
                <w:rFonts w:hint="eastAsia"/>
              </w:rPr>
              <w:t>8</w:t>
            </w:r>
          </w:p>
        </w:tc>
        <w:tc>
          <w:tcPr>
            <w:tcW w:w="305" w:type="pct"/>
            <w:vMerge w:val="continue"/>
            <w:shd w:val="clear" w:color="auto" w:fill="auto"/>
            <w:noWrap/>
            <w:vAlign w:val="center"/>
          </w:tcPr>
          <w:p w14:paraId="0E175B5E">
            <w:pPr>
              <w:pStyle w:val="31"/>
            </w:pPr>
          </w:p>
        </w:tc>
        <w:tc>
          <w:tcPr>
            <w:tcW w:w="681" w:type="pct"/>
            <w:shd w:val="clear" w:color="auto" w:fill="auto"/>
            <w:noWrap/>
            <w:vAlign w:val="center"/>
          </w:tcPr>
          <w:p w14:paraId="3118CE5C">
            <w:pPr>
              <w:pStyle w:val="31"/>
            </w:pPr>
            <w:r>
              <w:rPr>
                <w:rFonts w:hint="eastAsia"/>
              </w:rPr>
              <w:t>注塑成型机</w:t>
            </w:r>
          </w:p>
        </w:tc>
        <w:tc>
          <w:tcPr>
            <w:tcW w:w="633" w:type="pct"/>
            <w:shd w:val="clear" w:color="auto" w:fill="auto"/>
            <w:noWrap/>
            <w:vAlign w:val="center"/>
          </w:tcPr>
          <w:p w14:paraId="1FB17584">
            <w:pPr>
              <w:pStyle w:val="31"/>
            </w:pPr>
            <w:r>
              <w:rPr>
                <w:rFonts w:hint="eastAsia"/>
              </w:rPr>
              <w:t>85/1</w:t>
            </w:r>
          </w:p>
        </w:tc>
        <w:tc>
          <w:tcPr>
            <w:tcW w:w="340" w:type="pct"/>
            <w:vMerge w:val="continue"/>
            <w:shd w:val="clear" w:color="auto" w:fill="auto"/>
            <w:noWrap/>
            <w:vAlign w:val="center"/>
          </w:tcPr>
          <w:p w14:paraId="75F6177A">
            <w:pPr>
              <w:pStyle w:val="31"/>
            </w:pPr>
          </w:p>
        </w:tc>
        <w:tc>
          <w:tcPr>
            <w:tcW w:w="341" w:type="pct"/>
            <w:shd w:val="clear" w:color="auto" w:fill="auto"/>
            <w:noWrap/>
            <w:vAlign w:val="center"/>
          </w:tcPr>
          <w:p w14:paraId="7CEF8AF1">
            <w:pPr>
              <w:pStyle w:val="31"/>
            </w:pPr>
            <w:r>
              <w:rPr>
                <w:rFonts w:hint="eastAsia"/>
              </w:rPr>
              <w:t>89.19</w:t>
            </w:r>
          </w:p>
        </w:tc>
        <w:tc>
          <w:tcPr>
            <w:tcW w:w="341" w:type="pct"/>
            <w:shd w:val="clear" w:color="auto" w:fill="auto"/>
            <w:noWrap/>
            <w:vAlign w:val="center"/>
          </w:tcPr>
          <w:p w14:paraId="0CB247D9">
            <w:pPr>
              <w:pStyle w:val="31"/>
            </w:pPr>
            <w:r>
              <w:rPr>
                <w:rFonts w:hint="eastAsia"/>
              </w:rPr>
              <w:t>68.18</w:t>
            </w:r>
          </w:p>
        </w:tc>
        <w:tc>
          <w:tcPr>
            <w:tcW w:w="341" w:type="pct"/>
            <w:shd w:val="clear" w:color="auto" w:fill="auto"/>
            <w:noWrap/>
            <w:vAlign w:val="center"/>
          </w:tcPr>
          <w:p w14:paraId="2E7B12E5">
            <w:pPr>
              <w:pStyle w:val="31"/>
            </w:pPr>
            <w:r>
              <w:rPr>
                <w:rFonts w:hint="eastAsia"/>
              </w:rPr>
              <w:t>1</w:t>
            </w:r>
          </w:p>
        </w:tc>
        <w:tc>
          <w:tcPr>
            <w:tcW w:w="292" w:type="pct"/>
            <w:shd w:val="clear" w:color="auto" w:fill="auto"/>
            <w:noWrap/>
            <w:vAlign w:val="center"/>
          </w:tcPr>
          <w:p w14:paraId="4290A479">
            <w:pPr>
              <w:pStyle w:val="31"/>
            </w:pPr>
            <w:r>
              <w:rPr>
                <w:rFonts w:hint="eastAsia"/>
              </w:rPr>
              <w:t>4.83</w:t>
            </w:r>
          </w:p>
        </w:tc>
        <w:tc>
          <w:tcPr>
            <w:tcW w:w="292" w:type="pct"/>
            <w:shd w:val="clear" w:color="auto" w:fill="auto"/>
            <w:noWrap/>
            <w:vAlign w:val="center"/>
          </w:tcPr>
          <w:p w14:paraId="42028229">
            <w:pPr>
              <w:pStyle w:val="31"/>
            </w:pPr>
            <w:r>
              <w:rPr>
                <w:rFonts w:hint="eastAsia"/>
              </w:rPr>
              <w:t>70.51</w:t>
            </w:r>
          </w:p>
        </w:tc>
        <w:tc>
          <w:tcPr>
            <w:tcW w:w="243" w:type="pct"/>
            <w:shd w:val="clear" w:color="auto" w:fill="auto"/>
            <w:noWrap/>
            <w:vAlign w:val="center"/>
          </w:tcPr>
          <w:p w14:paraId="75482E51">
            <w:pPr>
              <w:pStyle w:val="31"/>
            </w:pPr>
            <w:r>
              <w:rPr>
                <w:rFonts w:hint="eastAsia"/>
              </w:rPr>
              <w:t>昼间</w:t>
            </w:r>
          </w:p>
        </w:tc>
        <w:tc>
          <w:tcPr>
            <w:tcW w:w="390" w:type="pct"/>
            <w:shd w:val="clear" w:color="auto" w:fill="auto"/>
            <w:noWrap/>
            <w:vAlign w:val="center"/>
          </w:tcPr>
          <w:p w14:paraId="6D25C7F1">
            <w:pPr>
              <w:pStyle w:val="31"/>
            </w:pPr>
            <w:r>
              <w:rPr>
                <w:rFonts w:hint="eastAsia"/>
              </w:rPr>
              <w:t>26</w:t>
            </w:r>
          </w:p>
        </w:tc>
        <w:tc>
          <w:tcPr>
            <w:tcW w:w="323" w:type="pct"/>
            <w:shd w:val="clear" w:color="auto" w:fill="auto"/>
            <w:noWrap/>
            <w:vAlign w:val="center"/>
          </w:tcPr>
          <w:p w14:paraId="5D7465C1">
            <w:pPr>
              <w:pStyle w:val="31"/>
            </w:pPr>
            <w:r>
              <w:rPr>
                <w:rFonts w:hint="eastAsia"/>
              </w:rPr>
              <w:t>44.51</w:t>
            </w:r>
          </w:p>
        </w:tc>
        <w:tc>
          <w:tcPr>
            <w:tcW w:w="297" w:type="pct"/>
            <w:shd w:val="clear" w:color="auto" w:fill="auto"/>
            <w:noWrap/>
            <w:vAlign w:val="center"/>
          </w:tcPr>
          <w:p w14:paraId="55708B08">
            <w:pPr>
              <w:pStyle w:val="31"/>
            </w:pPr>
            <w:r>
              <w:rPr>
                <w:rFonts w:hint="eastAsia"/>
              </w:rPr>
              <w:t>1</w:t>
            </w:r>
          </w:p>
        </w:tc>
      </w:tr>
      <w:tr w14:paraId="3F38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8B6F126">
            <w:pPr>
              <w:pStyle w:val="31"/>
            </w:pPr>
            <w:r>
              <w:rPr>
                <w:rFonts w:hint="eastAsia"/>
              </w:rPr>
              <w:t>9</w:t>
            </w:r>
          </w:p>
        </w:tc>
        <w:tc>
          <w:tcPr>
            <w:tcW w:w="305" w:type="pct"/>
            <w:vMerge w:val="continue"/>
            <w:shd w:val="clear" w:color="auto" w:fill="auto"/>
            <w:noWrap/>
            <w:vAlign w:val="center"/>
          </w:tcPr>
          <w:p w14:paraId="4D4E24B5">
            <w:pPr>
              <w:pStyle w:val="31"/>
            </w:pPr>
          </w:p>
        </w:tc>
        <w:tc>
          <w:tcPr>
            <w:tcW w:w="681" w:type="pct"/>
            <w:shd w:val="clear" w:color="auto" w:fill="auto"/>
            <w:noWrap/>
            <w:vAlign w:val="center"/>
          </w:tcPr>
          <w:p w14:paraId="49E30ECB">
            <w:pPr>
              <w:pStyle w:val="31"/>
            </w:pPr>
            <w:r>
              <w:rPr>
                <w:rFonts w:hint="eastAsia"/>
              </w:rPr>
              <w:t>注塑成型机</w:t>
            </w:r>
          </w:p>
        </w:tc>
        <w:tc>
          <w:tcPr>
            <w:tcW w:w="633" w:type="pct"/>
            <w:shd w:val="clear" w:color="auto" w:fill="auto"/>
            <w:noWrap/>
            <w:vAlign w:val="center"/>
          </w:tcPr>
          <w:p w14:paraId="26BB4FD3">
            <w:pPr>
              <w:pStyle w:val="31"/>
            </w:pPr>
            <w:r>
              <w:rPr>
                <w:rFonts w:hint="eastAsia"/>
              </w:rPr>
              <w:t>85/1</w:t>
            </w:r>
          </w:p>
        </w:tc>
        <w:tc>
          <w:tcPr>
            <w:tcW w:w="340" w:type="pct"/>
            <w:vMerge w:val="continue"/>
            <w:shd w:val="clear" w:color="auto" w:fill="auto"/>
            <w:noWrap/>
            <w:vAlign w:val="center"/>
          </w:tcPr>
          <w:p w14:paraId="7AF20F77">
            <w:pPr>
              <w:pStyle w:val="31"/>
            </w:pPr>
          </w:p>
        </w:tc>
        <w:tc>
          <w:tcPr>
            <w:tcW w:w="341" w:type="pct"/>
            <w:shd w:val="clear" w:color="auto" w:fill="auto"/>
            <w:noWrap/>
            <w:vAlign w:val="center"/>
          </w:tcPr>
          <w:p w14:paraId="334842D0">
            <w:pPr>
              <w:pStyle w:val="31"/>
            </w:pPr>
            <w:r>
              <w:rPr>
                <w:rFonts w:hint="eastAsia"/>
              </w:rPr>
              <w:t>88.42</w:t>
            </w:r>
          </w:p>
        </w:tc>
        <w:tc>
          <w:tcPr>
            <w:tcW w:w="341" w:type="pct"/>
            <w:shd w:val="clear" w:color="auto" w:fill="auto"/>
            <w:noWrap/>
            <w:vAlign w:val="center"/>
          </w:tcPr>
          <w:p w14:paraId="763805B1">
            <w:pPr>
              <w:pStyle w:val="31"/>
            </w:pPr>
            <w:r>
              <w:rPr>
                <w:rFonts w:hint="eastAsia"/>
              </w:rPr>
              <w:t>59.32</w:t>
            </w:r>
          </w:p>
        </w:tc>
        <w:tc>
          <w:tcPr>
            <w:tcW w:w="341" w:type="pct"/>
            <w:shd w:val="clear" w:color="auto" w:fill="auto"/>
            <w:noWrap/>
            <w:vAlign w:val="center"/>
          </w:tcPr>
          <w:p w14:paraId="5E3F593A">
            <w:pPr>
              <w:pStyle w:val="31"/>
            </w:pPr>
            <w:r>
              <w:rPr>
                <w:rFonts w:hint="eastAsia"/>
              </w:rPr>
              <w:t>1</w:t>
            </w:r>
          </w:p>
        </w:tc>
        <w:tc>
          <w:tcPr>
            <w:tcW w:w="292" w:type="pct"/>
            <w:shd w:val="clear" w:color="auto" w:fill="auto"/>
            <w:noWrap/>
            <w:vAlign w:val="center"/>
          </w:tcPr>
          <w:p w14:paraId="3F4EDEB6">
            <w:pPr>
              <w:pStyle w:val="31"/>
            </w:pPr>
            <w:r>
              <w:rPr>
                <w:rFonts w:hint="eastAsia"/>
              </w:rPr>
              <w:t>4.06</w:t>
            </w:r>
          </w:p>
        </w:tc>
        <w:tc>
          <w:tcPr>
            <w:tcW w:w="292" w:type="pct"/>
            <w:shd w:val="clear" w:color="auto" w:fill="auto"/>
            <w:noWrap/>
            <w:vAlign w:val="center"/>
          </w:tcPr>
          <w:p w14:paraId="4FC2C163">
            <w:pPr>
              <w:pStyle w:val="31"/>
            </w:pPr>
            <w:r>
              <w:rPr>
                <w:rFonts w:hint="eastAsia"/>
              </w:rPr>
              <w:t>70.68</w:t>
            </w:r>
          </w:p>
        </w:tc>
        <w:tc>
          <w:tcPr>
            <w:tcW w:w="243" w:type="pct"/>
            <w:shd w:val="clear" w:color="auto" w:fill="auto"/>
            <w:noWrap/>
            <w:vAlign w:val="center"/>
          </w:tcPr>
          <w:p w14:paraId="7D81C190">
            <w:pPr>
              <w:pStyle w:val="31"/>
            </w:pPr>
            <w:r>
              <w:rPr>
                <w:rFonts w:hint="eastAsia"/>
              </w:rPr>
              <w:t>昼间</w:t>
            </w:r>
          </w:p>
        </w:tc>
        <w:tc>
          <w:tcPr>
            <w:tcW w:w="390" w:type="pct"/>
            <w:shd w:val="clear" w:color="auto" w:fill="auto"/>
            <w:noWrap/>
            <w:vAlign w:val="center"/>
          </w:tcPr>
          <w:p w14:paraId="75EB9FE7">
            <w:pPr>
              <w:pStyle w:val="31"/>
            </w:pPr>
            <w:r>
              <w:rPr>
                <w:rFonts w:hint="eastAsia"/>
              </w:rPr>
              <w:t>26</w:t>
            </w:r>
          </w:p>
        </w:tc>
        <w:tc>
          <w:tcPr>
            <w:tcW w:w="323" w:type="pct"/>
            <w:shd w:val="clear" w:color="auto" w:fill="auto"/>
            <w:noWrap/>
            <w:vAlign w:val="center"/>
          </w:tcPr>
          <w:p w14:paraId="6B626504">
            <w:pPr>
              <w:pStyle w:val="31"/>
            </w:pPr>
            <w:r>
              <w:rPr>
                <w:rFonts w:hint="eastAsia"/>
              </w:rPr>
              <w:t>44.68</w:t>
            </w:r>
          </w:p>
        </w:tc>
        <w:tc>
          <w:tcPr>
            <w:tcW w:w="297" w:type="pct"/>
            <w:shd w:val="clear" w:color="auto" w:fill="auto"/>
            <w:noWrap/>
            <w:vAlign w:val="center"/>
          </w:tcPr>
          <w:p w14:paraId="38CA2D49">
            <w:pPr>
              <w:pStyle w:val="31"/>
            </w:pPr>
            <w:r>
              <w:rPr>
                <w:rFonts w:hint="eastAsia"/>
              </w:rPr>
              <w:t>1</w:t>
            </w:r>
          </w:p>
        </w:tc>
      </w:tr>
      <w:tr w14:paraId="5B4B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54FED82">
            <w:pPr>
              <w:pStyle w:val="31"/>
            </w:pPr>
            <w:r>
              <w:rPr>
                <w:rFonts w:hint="eastAsia"/>
              </w:rPr>
              <w:t>10</w:t>
            </w:r>
          </w:p>
        </w:tc>
        <w:tc>
          <w:tcPr>
            <w:tcW w:w="305" w:type="pct"/>
            <w:vMerge w:val="continue"/>
            <w:shd w:val="clear" w:color="auto" w:fill="auto"/>
            <w:noWrap/>
            <w:vAlign w:val="center"/>
          </w:tcPr>
          <w:p w14:paraId="46578B4A">
            <w:pPr>
              <w:pStyle w:val="31"/>
            </w:pPr>
          </w:p>
        </w:tc>
        <w:tc>
          <w:tcPr>
            <w:tcW w:w="681" w:type="pct"/>
            <w:shd w:val="clear" w:color="auto" w:fill="auto"/>
            <w:noWrap/>
            <w:vAlign w:val="center"/>
          </w:tcPr>
          <w:p w14:paraId="2787616A">
            <w:pPr>
              <w:pStyle w:val="31"/>
            </w:pPr>
            <w:r>
              <w:rPr>
                <w:rFonts w:hint="eastAsia"/>
              </w:rPr>
              <w:t>注塑成型机</w:t>
            </w:r>
          </w:p>
        </w:tc>
        <w:tc>
          <w:tcPr>
            <w:tcW w:w="633" w:type="pct"/>
            <w:shd w:val="clear" w:color="auto" w:fill="auto"/>
            <w:noWrap/>
            <w:vAlign w:val="center"/>
          </w:tcPr>
          <w:p w14:paraId="0FB0D695">
            <w:pPr>
              <w:pStyle w:val="31"/>
            </w:pPr>
            <w:r>
              <w:rPr>
                <w:rFonts w:hint="eastAsia"/>
              </w:rPr>
              <w:t>85/1</w:t>
            </w:r>
          </w:p>
        </w:tc>
        <w:tc>
          <w:tcPr>
            <w:tcW w:w="340" w:type="pct"/>
            <w:vMerge w:val="continue"/>
            <w:shd w:val="clear" w:color="auto" w:fill="auto"/>
            <w:noWrap/>
            <w:vAlign w:val="center"/>
          </w:tcPr>
          <w:p w14:paraId="0E24D904">
            <w:pPr>
              <w:pStyle w:val="31"/>
            </w:pPr>
          </w:p>
        </w:tc>
        <w:tc>
          <w:tcPr>
            <w:tcW w:w="341" w:type="pct"/>
            <w:shd w:val="clear" w:color="auto" w:fill="auto"/>
            <w:noWrap/>
            <w:vAlign w:val="center"/>
          </w:tcPr>
          <w:p w14:paraId="36A61B7C">
            <w:pPr>
              <w:pStyle w:val="31"/>
            </w:pPr>
            <w:r>
              <w:rPr>
                <w:rFonts w:hint="eastAsia"/>
              </w:rPr>
              <w:t>88.57</w:t>
            </w:r>
          </w:p>
        </w:tc>
        <w:tc>
          <w:tcPr>
            <w:tcW w:w="341" w:type="pct"/>
            <w:shd w:val="clear" w:color="auto" w:fill="auto"/>
            <w:noWrap/>
            <w:vAlign w:val="center"/>
          </w:tcPr>
          <w:p w14:paraId="1D794442">
            <w:pPr>
              <w:pStyle w:val="31"/>
            </w:pPr>
            <w:r>
              <w:rPr>
                <w:rFonts w:hint="eastAsia"/>
              </w:rPr>
              <w:t>54.99</w:t>
            </w:r>
          </w:p>
        </w:tc>
        <w:tc>
          <w:tcPr>
            <w:tcW w:w="341" w:type="pct"/>
            <w:shd w:val="clear" w:color="auto" w:fill="auto"/>
            <w:noWrap/>
            <w:vAlign w:val="center"/>
          </w:tcPr>
          <w:p w14:paraId="503C5425">
            <w:pPr>
              <w:pStyle w:val="31"/>
            </w:pPr>
            <w:r>
              <w:rPr>
                <w:rFonts w:hint="eastAsia"/>
              </w:rPr>
              <w:t>1</w:t>
            </w:r>
          </w:p>
        </w:tc>
        <w:tc>
          <w:tcPr>
            <w:tcW w:w="292" w:type="pct"/>
            <w:shd w:val="clear" w:color="auto" w:fill="auto"/>
            <w:noWrap/>
            <w:vAlign w:val="center"/>
          </w:tcPr>
          <w:p w14:paraId="3574E3D0">
            <w:pPr>
              <w:pStyle w:val="31"/>
            </w:pPr>
            <w:r>
              <w:rPr>
                <w:rFonts w:hint="eastAsia"/>
              </w:rPr>
              <w:t>4.20</w:t>
            </w:r>
          </w:p>
        </w:tc>
        <w:tc>
          <w:tcPr>
            <w:tcW w:w="292" w:type="pct"/>
            <w:shd w:val="clear" w:color="auto" w:fill="auto"/>
            <w:noWrap/>
            <w:vAlign w:val="center"/>
          </w:tcPr>
          <w:p w14:paraId="60546A44">
            <w:pPr>
              <w:pStyle w:val="31"/>
            </w:pPr>
            <w:r>
              <w:rPr>
                <w:rFonts w:hint="eastAsia"/>
              </w:rPr>
              <w:t>70.64</w:t>
            </w:r>
          </w:p>
        </w:tc>
        <w:tc>
          <w:tcPr>
            <w:tcW w:w="243" w:type="pct"/>
            <w:shd w:val="clear" w:color="auto" w:fill="auto"/>
            <w:noWrap/>
            <w:vAlign w:val="center"/>
          </w:tcPr>
          <w:p w14:paraId="217DAC64">
            <w:pPr>
              <w:pStyle w:val="31"/>
            </w:pPr>
            <w:r>
              <w:rPr>
                <w:rFonts w:hint="eastAsia"/>
              </w:rPr>
              <w:t>昼间</w:t>
            </w:r>
          </w:p>
        </w:tc>
        <w:tc>
          <w:tcPr>
            <w:tcW w:w="390" w:type="pct"/>
            <w:shd w:val="clear" w:color="auto" w:fill="auto"/>
            <w:noWrap/>
            <w:vAlign w:val="center"/>
          </w:tcPr>
          <w:p w14:paraId="6D4B2B34">
            <w:pPr>
              <w:pStyle w:val="31"/>
            </w:pPr>
            <w:r>
              <w:rPr>
                <w:rFonts w:hint="eastAsia"/>
              </w:rPr>
              <w:t>26</w:t>
            </w:r>
          </w:p>
        </w:tc>
        <w:tc>
          <w:tcPr>
            <w:tcW w:w="323" w:type="pct"/>
            <w:shd w:val="clear" w:color="auto" w:fill="auto"/>
            <w:noWrap/>
            <w:vAlign w:val="center"/>
          </w:tcPr>
          <w:p w14:paraId="77C5508A">
            <w:pPr>
              <w:pStyle w:val="31"/>
            </w:pPr>
            <w:r>
              <w:rPr>
                <w:rFonts w:hint="eastAsia"/>
              </w:rPr>
              <w:t>44.64</w:t>
            </w:r>
          </w:p>
        </w:tc>
        <w:tc>
          <w:tcPr>
            <w:tcW w:w="297" w:type="pct"/>
            <w:shd w:val="clear" w:color="auto" w:fill="auto"/>
            <w:noWrap/>
            <w:vAlign w:val="center"/>
          </w:tcPr>
          <w:p w14:paraId="67AFB8A3">
            <w:pPr>
              <w:pStyle w:val="31"/>
            </w:pPr>
            <w:r>
              <w:rPr>
                <w:rFonts w:hint="eastAsia"/>
              </w:rPr>
              <w:t>1</w:t>
            </w:r>
          </w:p>
        </w:tc>
      </w:tr>
      <w:tr w14:paraId="68E0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719BEC93">
            <w:pPr>
              <w:pStyle w:val="31"/>
            </w:pPr>
            <w:r>
              <w:rPr>
                <w:rFonts w:hint="eastAsia"/>
              </w:rPr>
              <w:t>11</w:t>
            </w:r>
          </w:p>
        </w:tc>
        <w:tc>
          <w:tcPr>
            <w:tcW w:w="305" w:type="pct"/>
            <w:vMerge w:val="continue"/>
            <w:shd w:val="clear" w:color="auto" w:fill="auto"/>
            <w:noWrap/>
            <w:vAlign w:val="center"/>
          </w:tcPr>
          <w:p w14:paraId="05CFBDC4">
            <w:pPr>
              <w:pStyle w:val="31"/>
            </w:pPr>
          </w:p>
        </w:tc>
        <w:tc>
          <w:tcPr>
            <w:tcW w:w="681" w:type="pct"/>
            <w:shd w:val="clear" w:color="auto" w:fill="auto"/>
            <w:noWrap/>
            <w:vAlign w:val="center"/>
          </w:tcPr>
          <w:p w14:paraId="0DAFAD25">
            <w:pPr>
              <w:pStyle w:val="31"/>
            </w:pPr>
            <w:r>
              <w:rPr>
                <w:rFonts w:hint="eastAsia"/>
              </w:rPr>
              <w:t>注塑成型机</w:t>
            </w:r>
          </w:p>
        </w:tc>
        <w:tc>
          <w:tcPr>
            <w:tcW w:w="633" w:type="pct"/>
            <w:shd w:val="clear" w:color="auto" w:fill="auto"/>
            <w:noWrap/>
            <w:vAlign w:val="center"/>
          </w:tcPr>
          <w:p w14:paraId="27922CF9">
            <w:pPr>
              <w:pStyle w:val="31"/>
            </w:pPr>
            <w:r>
              <w:rPr>
                <w:rFonts w:hint="eastAsia"/>
              </w:rPr>
              <w:t>85/1</w:t>
            </w:r>
          </w:p>
        </w:tc>
        <w:tc>
          <w:tcPr>
            <w:tcW w:w="340" w:type="pct"/>
            <w:vMerge w:val="continue"/>
            <w:shd w:val="clear" w:color="auto" w:fill="auto"/>
            <w:noWrap/>
            <w:vAlign w:val="center"/>
          </w:tcPr>
          <w:p w14:paraId="2DD41FB4">
            <w:pPr>
              <w:pStyle w:val="31"/>
            </w:pPr>
          </w:p>
        </w:tc>
        <w:tc>
          <w:tcPr>
            <w:tcW w:w="341" w:type="pct"/>
            <w:shd w:val="clear" w:color="auto" w:fill="auto"/>
            <w:noWrap/>
            <w:vAlign w:val="center"/>
          </w:tcPr>
          <w:p w14:paraId="3DD10EAA">
            <w:pPr>
              <w:pStyle w:val="31"/>
            </w:pPr>
            <w:r>
              <w:rPr>
                <w:rFonts w:hint="eastAsia"/>
              </w:rPr>
              <w:t>88.67</w:t>
            </w:r>
          </w:p>
        </w:tc>
        <w:tc>
          <w:tcPr>
            <w:tcW w:w="341" w:type="pct"/>
            <w:shd w:val="clear" w:color="auto" w:fill="auto"/>
            <w:noWrap/>
            <w:vAlign w:val="center"/>
          </w:tcPr>
          <w:p w14:paraId="182C542C">
            <w:pPr>
              <w:pStyle w:val="31"/>
            </w:pPr>
            <w:r>
              <w:rPr>
                <w:rFonts w:hint="eastAsia"/>
              </w:rPr>
              <w:t>50.77</w:t>
            </w:r>
          </w:p>
        </w:tc>
        <w:tc>
          <w:tcPr>
            <w:tcW w:w="341" w:type="pct"/>
            <w:shd w:val="clear" w:color="auto" w:fill="auto"/>
            <w:noWrap/>
            <w:vAlign w:val="center"/>
          </w:tcPr>
          <w:p w14:paraId="77A5C93D">
            <w:pPr>
              <w:pStyle w:val="31"/>
            </w:pPr>
            <w:r>
              <w:rPr>
                <w:rFonts w:hint="eastAsia"/>
              </w:rPr>
              <w:t>1</w:t>
            </w:r>
          </w:p>
        </w:tc>
        <w:tc>
          <w:tcPr>
            <w:tcW w:w="292" w:type="pct"/>
            <w:shd w:val="clear" w:color="auto" w:fill="auto"/>
            <w:noWrap/>
            <w:vAlign w:val="center"/>
          </w:tcPr>
          <w:p w14:paraId="2E261E46">
            <w:pPr>
              <w:pStyle w:val="31"/>
            </w:pPr>
            <w:r>
              <w:rPr>
                <w:rFonts w:hint="eastAsia"/>
              </w:rPr>
              <w:t>4.30</w:t>
            </w:r>
          </w:p>
        </w:tc>
        <w:tc>
          <w:tcPr>
            <w:tcW w:w="292" w:type="pct"/>
            <w:shd w:val="clear" w:color="auto" w:fill="auto"/>
            <w:noWrap/>
            <w:vAlign w:val="center"/>
          </w:tcPr>
          <w:p w14:paraId="076439AD">
            <w:pPr>
              <w:pStyle w:val="31"/>
            </w:pPr>
            <w:r>
              <w:rPr>
                <w:rFonts w:hint="eastAsia"/>
              </w:rPr>
              <w:t>70.62</w:t>
            </w:r>
          </w:p>
        </w:tc>
        <w:tc>
          <w:tcPr>
            <w:tcW w:w="243" w:type="pct"/>
            <w:shd w:val="clear" w:color="auto" w:fill="auto"/>
            <w:noWrap/>
            <w:vAlign w:val="center"/>
          </w:tcPr>
          <w:p w14:paraId="2B0557F3">
            <w:pPr>
              <w:pStyle w:val="31"/>
            </w:pPr>
            <w:r>
              <w:rPr>
                <w:rFonts w:hint="eastAsia"/>
              </w:rPr>
              <w:t>昼间</w:t>
            </w:r>
          </w:p>
        </w:tc>
        <w:tc>
          <w:tcPr>
            <w:tcW w:w="390" w:type="pct"/>
            <w:shd w:val="clear" w:color="auto" w:fill="auto"/>
            <w:noWrap/>
            <w:vAlign w:val="center"/>
          </w:tcPr>
          <w:p w14:paraId="070BBE4D">
            <w:pPr>
              <w:pStyle w:val="31"/>
            </w:pPr>
            <w:r>
              <w:rPr>
                <w:rFonts w:hint="eastAsia"/>
              </w:rPr>
              <w:t>26</w:t>
            </w:r>
          </w:p>
        </w:tc>
        <w:tc>
          <w:tcPr>
            <w:tcW w:w="323" w:type="pct"/>
            <w:shd w:val="clear" w:color="auto" w:fill="auto"/>
            <w:noWrap/>
            <w:vAlign w:val="center"/>
          </w:tcPr>
          <w:p w14:paraId="68904C36">
            <w:pPr>
              <w:pStyle w:val="31"/>
            </w:pPr>
            <w:r>
              <w:rPr>
                <w:rFonts w:hint="eastAsia"/>
              </w:rPr>
              <w:t>44.62</w:t>
            </w:r>
          </w:p>
        </w:tc>
        <w:tc>
          <w:tcPr>
            <w:tcW w:w="297" w:type="pct"/>
            <w:shd w:val="clear" w:color="auto" w:fill="auto"/>
            <w:noWrap/>
            <w:vAlign w:val="center"/>
          </w:tcPr>
          <w:p w14:paraId="02C8B552">
            <w:pPr>
              <w:pStyle w:val="31"/>
            </w:pPr>
            <w:r>
              <w:rPr>
                <w:rFonts w:hint="eastAsia"/>
              </w:rPr>
              <w:t>1</w:t>
            </w:r>
          </w:p>
        </w:tc>
      </w:tr>
      <w:tr w14:paraId="51B5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35A0C93">
            <w:pPr>
              <w:pStyle w:val="31"/>
            </w:pPr>
            <w:r>
              <w:rPr>
                <w:rFonts w:hint="eastAsia"/>
              </w:rPr>
              <w:t>12</w:t>
            </w:r>
          </w:p>
        </w:tc>
        <w:tc>
          <w:tcPr>
            <w:tcW w:w="305" w:type="pct"/>
            <w:vMerge w:val="continue"/>
            <w:shd w:val="clear" w:color="auto" w:fill="auto"/>
            <w:noWrap/>
            <w:vAlign w:val="center"/>
          </w:tcPr>
          <w:p w14:paraId="00A129C4">
            <w:pPr>
              <w:pStyle w:val="31"/>
            </w:pPr>
          </w:p>
        </w:tc>
        <w:tc>
          <w:tcPr>
            <w:tcW w:w="681" w:type="pct"/>
            <w:shd w:val="clear" w:color="auto" w:fill="auto"/>
            <w:noWrap/>
            <w:vAlign w:val="center"/>
          </w:tcPr>
          <w:p w14:paraId="41CBE6D2">
            <w:pPr>
              <w:pStyle w:val="31"/>
            </w:pPr>
            <w:r>
              <w:rPr>
                <w:rFonts w:hint="eastAsia"/>
              </w:rPr>
              <w:t>注塑成型机</w:t>
            </w:r>
          </w:p>
        </w:tc>
        <w:tc>
          <w:tcPr>
            <w:tcW w:w="633" w:type="pct"/>
            <w:shd w:val="clear" w:color="auto" w:fill="auto"/>
            <w:noWrap/>
            <w:vAlign w:val="center"/>
          </w:tcPr>
          <w:p w14:paraId="4662DCFB">
            <w:pPr>
              <w:pStyle w:val="31"/>
            </w:pPr>
            <w:r>
              <w:rPr>
                <w:rFonts w:hint="eastAsia"/>
              </w:rPr>
              <w:t>85/1</w:t>
            </w:r>
          </w:p>
        </w:tc>
        <w:tc>
          <w:tcPr>
            <w:tcW w:w="340" w:type="pct"/>
            <w:vMerge w:val="continue"/>
            <w:shd w:val="clear" w:color="auto" w:fill="auto"/>
            <w:noWrap/>
            <w:vAlign w:val="center"/>
          </w:tcPr>
          <w:p w14:paraId="59C4748E">
            <w:pPr>
              <w:pStyle w:val="31"/>
            </w:pPr>
          </w:p>
        </w:tc>
        <w:tc>
          <w:tcPr>
            <w:tcW w:w="341" w:type="pct"/>
            <w:shd w:val="clear" w:color="auto" w:fill="auto"/>
            <w:noWrap/>
            <w:vAlign w:val="center"/>
          </w:tcPr>
          <w:p w14:paraId="60B85096">
            <w:pPr>
              <w:pStyle w:val="31"/>
            </w:pPr>
            <w:r>
              <w:rPr>
                <w:rFonts w:hint="eastAsia"/>
              </w:rPr>
              <w:t>88.57</w:t>
            </w:r>
          </w:p>
        </w:tc>
        <w:tc>
          <w:tcPr>
            <w:tcW w:w="341" w:type="pct"/>
            <w:shd w:val="clear" w:color="auto" w:fill="auto"/>
            <w:noWrap/>
            <w:vAlign w:val="center"/>
          </w:tcPr>
          <w:p w14:paraId="19F88501">
            <w:pPr>
              <w:pStyle w:val="31"/>
            </w:pPr>
            <w:r>
              <w:rPr>
                <w:rFonts w:hint="eastAsia"/>
              </w:rPr>
              <w:t>46.38</w:t>
            </w:r>
          </w:p>
        </w:tc>
        <w:tc>
          <w:tcPr>
            <w:tcW w:w="341" w:type="pct"/>
            <w:shd w:val="clear" w:color="auto" w:fill="auto"/>
            <w:noWrap/>
            <w:vAlign w:val="center"/>
          </w:tcPr>
          <w:p w14:paraId="6E132A2A">
            <w:pPr>
              <w:pStyle w:val="31"/>
            </w:pPr>
            <w:r>
              <w:rPr>
                <w:rFonts w:hint="eastAsia"/>
              </w:rPr>
              <w:t>1</w:t>
            </w:r>
          </w:p>
        </w:tc>
        <w:tc>
          <w:tcPr>
            <w:tcW w:w="292" w:type="pct"/>
            <w:shd w:val="clear" w:color="auto" w:fill="auto"/>
            <w:noWrap/>
            <w:vAlign w:val="center"/>
          </w:tcPr>
          <w:p w14:paraId="70456CF0">
            <w:pPr>
              <w:pStyle w:val="31"/>
            </w:pPr>
            <w:r>
              <w:rPr>
                <w:rFonts w:hint="eastAsia"/>
              </w:rPr>
              <w:t>4.20</w:t>
            </w:r>
          </w:p>
        </w:tc>
        <w:tc>
          <w:tcPr>
            <w:tcW w:w="292" w:type="pct"/>
            <w:shd w:val="clear" w:color="auto" w:fill="auto"/>
            <w:noWrap/>
            <w:vAlign w:val="center"/>
          </w:tcPr>
          <w:p w14:paraId="327131BE">
            <w:pPr>
              <w:pStyle w:val="31"/>
            </w:pPr>
            <w:r>
              <w:rPr>
                <w:rFonts w:hint="eastAsia"/>
              </w:rPr>
              <w:t>70.64</w:t>
            </w:r>
          </w:p>
        </w:tc>
        <w:tc>
          <w:tcPr>
            <w:tcW w:w="243" w:type="pct"/>
            <w:shd w:val="clear" w:color="auto" w:fill="auto"/>
            <w:noWrap/>
            <w:vAlign w:val="center"/>
          </w:tcPr>
          <w:p w14:paraId="3B8E17EC">
            <w:pPr>
              <w:pStyle w:val="31"/>
            </w:pPr>
            <w:r>
              <w:rPr>
                <w:rFonts w:hint="eastAsia"/>
              </w:rPr>
              <w:t>昼间</w:t>
            </w:r>
          </w:p>
        </w:tc>
        <w:tc>
          <w:tcPr>
            <w:tcW w:w="390" w:type="pct"/>
            <w:shd w:val="clear" w:color="auto" w:fill="auto"/>
            <w:noWrap/>
            <w:vAlign w:val="center"/>
          </w:tcPr>
          <w:p w14:paraId="553880AA">
            <w:pPr>
              <w:pStyle w:val="31"/>
            </w:pPr>
            <w:r>
              <w:rPr>
                <w:rFonts w:hint="eastAsia"/>
              </w:rPr>
              <w:t>26</w:t>
            </w:r>
          </w:p>
        </w:tc>
        <w:tc>
          <w:tcPr>
            <w:tcW w:w="323" w:type="pct"/>
            <w:shd w:val="clear" w:color="auto" w:fill="auto"/>
            <w:noWrap/>
            <w:vAlign w:val="center"/>
          </w:tcPr>
          <w:p w14:paraId="73ACE1FB">
            <w:pPr>
              <w:pStyle w:val="31"/>
            </w:pPr>
            <w:r>
              <w:rPr>
                <w:rFonts w:hint="eastAsia"/>
              </w:rPr>
              <w:t>44.64</w:t>
            </w:r>
          </w:p>
        </w:tc>
        <w:tc>
          <w:tcPr>
            <w:tcW w:w="297" w:type="pct"/>
            <w:shd w:val="clear" w:color="auto" w:fill="auto"/>
            <w:noWrap/>
            <w:vAlign w:val="center"/>
          </w:tcPr>
          <w:p w14:paraId="4A664D6C">
            <w:pPr>
              <w:pStyle w:val="31"/>
            </w:pPr>
            <w:r>
              <w:rPr>
                <w:rFonts w:hint="eastAsia"/>
              </w:rPr>
              <w:t>1</w:t>
            </w:r>
          </w:p>
        </w:tc>
      </w:tr>
      <w:tr w14:paraId="75FA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2A39CC43">
            <w:pPr>
              <w:pStyle w:val="31"/>
            </w:pPr>
            <w:r>
              <w:rPr>
                <w:rFonts w:hint="eastAsia"/>
              </w:rPr>
              <w:t>13</w:t>
            </w:r>
          </w:p>
        </w:tc>
        <w:tc>
          <w:tcPr>
            <w:tcW w:w="305" w:type="pct"/>
            <w:vMerge w:val="continue"/>
            <w:shd w:val="clear" w:color="auto" w:fill="auto"/>
            <w:noWrap/>
            <w:vAlign w:val="center"/>
          </w:tcPr>
          <w:p w14:paraId="065DF83E">
            <w:pPr>
              <w:pStyle w:val="31"/>
            </w:pPr>
          </w:p>
        </w:tc>
        <w:tc>
          <w:tcPr>
            <w:tcW w:w="681" w:type="pct"/>
            <w:shd w:val="clear" w:color="auto" w:fill="auto"/>
            <w:noWrap/>
            <w:vAlign w:val="center"/>
          </w:tcPr>
          <w:p w14:paraId="5E090417">
            <w:pPr>
              <w:pStyle w:val="31"/>
            </w:pPr>
            <w:r>
              <w:rPr>
                <w:rFonts w:hint="eastAsia"/>
              </w:rPr>
              <w:t>注塑成型机</w:t>
            </w:r>
          </w:p>
        </w:tc>
        <w:tc>
          <w:tcPr>
            <w:tcW w:w="633" w:type="pct"/>
            <w:shd w:val="clear" w:color="auto" w:fill="auto"/>
            <w:noWrap/>
            <w:vAlign w:val="center"/>
          </w:tcPr>
          <w:p w14:paraId="1AEECE95">
            <w:pPr>
              <w:pStyle w:val="31"/>
            </w:pPr>
            <w:r>
              <w:rPr>
                <w:rFonts w:hint="eastAsia"/>
              </w:rPr>
              <w:t>85/1</w:t>
            </w:r>
          </w:p>
        </w:tc>
        <w:tc>
          <w:tcPr>
            <w:tcW w:w="340" w:type="pct"/>
            <w:vMerge w:val="continue"/>
            <w:shd w:val="clear" w:color="auto" w:fill="auto"/>
            <w:noWrap/>
            <w:vAlign w:val="center"/>
          </w:tcPr>
          <w:p w14:paraId="5677F701">
            <w:pPr>
              <w:pStyle w:val="31"/>
            </w:pPr>
          </w:p>
        </w:tc>
        <w:tc>
          <w:tcPr>
            <w:tcW w:w="341" w:type="pct"/>
            <w:shd w:val="clear" w:color="auto" w:fill="auto"/>
            <w:noWrap/>
            <w:vAlign w:val="center"/>
          </w:tcPr>
          <w:p w14:paraId="534BC923">
            <w:pPr>
              <w:pStyle w:val="31"/>
            </w:pPr>
            <w:r>
              <w:rPr>
                <w:rFonts w:hint="eastAsia"/>
              </w:rPr>
              <w:t>88.47</w:t>
            </w:r>
          </w:p>
        </w:tc>
        <w:tc>
          <w:tcPr>
            <w:tcW w:w="341" w:type="pct"/>
            <w:shd w:val="clear" w:color="auto" w:fill="auto"/>
            <w:noWrap/>
            <w:vAlign w:val="center"/>
          </w:tcPr>
          <w:p w14:paraId="1D703383">
            <w:pPr>
              <w:pStyle w:val="31"/>
            </w:pPr>
            <w:r>
              <w:rPr>
                <w:rFonts w:hint="eastAsia"/>
              </w:rPr>
              <w:t>42.16</w:t>
            </w:r>
          </w:p>
        </w:tc>
        <w:tc>
          <w:tcPr>
            <w:tcW w:w="341" w:type="pct"/>
            <w:shd w:val="clear" w:color="auto" w:fill="auto"/>
            <w:noWrap/>
            <w:vAlign w:val="center"/>
          </w:tcPr>
          <w:p w14:paraId="7474DC5D">
            <w:pPr>
              <w:pStyle w:val="31"/>
            </w:pPr>
            <w:r>
              <w:rPr>
                <w:rFonts w:hint="eastAsia"/>
              </w:rPr>
              <w:t>1</w:t>
            </w:r>
          </w:p>
        </w:tc>
        <w:tc>
          <w:tcPr>
            <w:tcW w:w="292" w:type="pct"/>
            <w:shd w:val="clear" w:color="auto" w:fill="auto"/>
            <w:noWrap/>
            <w:vAlign w:val="center"/>
          </w:tcPr>
          <w:p w14:paraId="4236C955">
            <w:pPr>
              <w:pStyle w:val="31"/>
            </w:pPr>
            <w:r>
              <w:rPr>
                <w:rFonts w:hint="eastAsia"/>
              </w:rPr>
              <w:t>4.10</w:t>
            </w:r>
          </w:p>
        </w:tc>
        <w:tc>
          <w:tcPr>
            <w:tcW w:w="292" w:type="pct"/>
            <w:shd w:val="clear" w:color="auto" w:fill="auto"/>
            <w:noWrap/>
            <w:vAlign w:val="center"/>
          </w:tcPr>
          <w:p w14:paraId="4AD68AEF">
            <w:pPr>
              <w:pStyle w:val="31"/>
            </w:pPr>
            <w:r>
              <w:rPr>
                <w:rFonts w:hint="eastAsia"/>
              </w:rPr>
              <w:t>70.67</w:t>
            </w:r>
          </w:p>
        </w:tc>
        <w:tc>
          <w:tcPr>
            <w:tcW w:w="243" w:type="pct"/>
            <w:shd w:val="clear" w:color="auto" w:fill="auto"/>
            <w:noWrap/>
            <w:vAlign w:val="center"/>
          </w:tcPr>
          <w:p w14:paraId="239CD07D">
            <w:pPr>
              <w:pStyle w:val="31"/>
            </w:pPr>
            <w:r>
              <w:rPr>
                <w:rFonts w:hint="eastAsia"/>
              </w:rPr>
              <w:t>昼间</w:t>
            </w:r>
          </w:p>
        </w:tc>
        <w:tc>
          <w:tcPr>
            <w:tcW w:w="390" w:type="pct"/>
            <w:shd w:val="clear" w:color="auto" w:fill="auto"/>
            <w:noWrap/>
            <w:vAlign w:val="center"/>
          </w:tcPr>
          <w:p w14:paraId="51F700D5">
            <w:pPr>
              <w:pStyle w:val="31"/>
            </w:pPr>
            <w:r>
              <w:rPr>
                <w:rFonts w:hint="eastAsia"/>
              </w:rPr>
              <w:t>26</w:t>
            </w:r>
          </w:p>
        </w:tc>
        <w:tc>
          <w:tcPr>
            <w:tcW w:w="323" w:type="pct"/>
            <w:shd w:val="clear" w:color="auto" w:fill="auto"/>
            <w:noWrap/>
            <w:vAlign w:val="center"/>
          </w:tcPr>
          <w:p w14:paraId="0BE7D8C7">
            <w:pPr>
              <w:pStyle w:val="31"/>
            </w:pPr>
            <w:r>
              <w:rPr>
                <w:rFonts w:hint="eastAsia"/>
              </w:rPr>
              <w:t>44.67</w:t>
            </w:r>
          </w:p>
        </w:tc>
        <w:tc>
          <w:tcPr>
            <w:tcW w:w="297" w:type="pct"/>
            <w:shd w:val="clear" w:color="auto" w:fill="auto"/>
            <w:noWrap/>
            <w:vAlign w:val="center"/>
          </w:tcPr>
          <w:p w14:paraId="58740543">
            <w:pPr>
              <w:pStyle w:val="31"/>
            </w:pPr>
            <w:r>
              <w:rPr>
                <w:rFonts w:hint="eastAsia"/>
              </w:rPr>
              <w:t>1</w:t>
            </w:r>
          </w:p>
        </w:tc>
      </w:tr>
      <w:tr w14:paraId="33D1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2DBD9A9E">
            <w:pPr>
              <w:pStyle w:val="31"/>
            </w:pPr>
            <w:r>
              <w:rPr>
                <w:rFonts w:hint="eastAsia"/>
              </w:rPr>
              <w:t>14</w:t>
            </w:r>
          </w:p>
        </w:tc>
        <w:tc>
          <w:tcPr>
            <w:tcW w:w="305" w:type="pct"/>
            <w:vMerge w:val="continue"/>
            <w:shd w:val="clear" w:color="auto" w:fill="auto"/>
            <w:noWrap/>
            <w:vAlign w:val="center"/>
          </w:tcPr>
          <w:p w14:paraId="5DE16CCC">
            <w:pPr>
              <w:pStyle w:val="31"/>
            </w:pPr>
          </w:p>
        </w:tc>
        <w:tc>
          <w:tcPr>
            <w:tcW w:w="681" w:type="pct"/>
            <w:shd w:val="clear" w:color="auto" w:fill="auto"/>
            <w:noWrap/>
            <w:vAlign w:val="center"/>
          </w:tcPr>
          <w:p w14:paraId="2C17C04D">
            <w:pPr>
              <w:pStyle w:val="31"/>
            </w:pPr>
            <w:r>
              <w:rPr>
                <w:rFonts w:hint="eastAsia"/>
              </w:rPr>
              <w:t>注塑成型机</w:t>
            </w:r>
          </w:p>
        </w:tc>
        <w:tc>
          <w:tcPr>
            <w:tcW w:w="633" w:type="pct"/>
            <w:shd w:val="clear" w:color="auto" w:fill="auto"/>
            <w:noWrap/>
            <w:vAlign w:val="center"/>
          </w:tcPr>
          <w:p w14:paraId="26391CEC">
            <w:pPr>
              <w:pStyle w:val="31"/>
            </w:pPr>
            <w:r>
              <w:rPr>
                <w:rFonts w:hint="eastAsia"/>
              </w:rPr>
              <w:t>85/1</w:t>
            </w:r>
          </w:p>
        </w:tc>
        <w:tc>
          <w:tcPr>
            <w:tcW w:w="340" w:type="pct"/>
            <w:vMerge w:val="continue"/>
            <w:shd w:val="clear" w:color="auto" w:fill="auto"/>
            <w:noWrap/>
            <w:vAlign w:val="center"/>
          </w:tcPr>
          <w:p w14:paraId="78174021">
            <w:pPr>
              <w:pStyle w:val="31"/>
            </w:pPr>
          </w:p>
        </w:tc>
        <w:tc>
          <w:tcPr>
            <w:tcW w:w="341" w:type="pct"/>
            <w:shd w:val="clear" w:color="auto" w:fill="auto"/>
            <w:noWrap/>
            <w:vAlign w:val="center"/>
          </w:tcPr>
          <w:p w14:paraId="2F042D3F">
            <w:pPr>
              <w:pStyle w:val="31"/>
            </w:pPr>
            <w:r>
              <w:rPr>
                <w:rFonts w:hint="eastAsia"/>
              </w:rPr>
              <w:t>88.52</w:t>
            </w:r>
          </w:p>
        </w:tc>
        <w:tc>
          <w:tcPr>
            <w:tcW w:w="341" w:type="pct"/>
            <w:shd w:val="clear" w:color="auto" w:fill="auto"/>
            <w:noWrap/>
            <w:vAlign w:val="center"/>
          </w:tcPr>
          <w:p w14:paraId="4E489C15">
            <w:pPr>
              <w:pStyle w:val="31"/>
            </w:pPr>
            <w:r>
              <w:rPr>
                <w:rFonts w:hint="eastAsia"/>
              </w:rPr>
              <w:t>37.93</w:t>
            </w:r>
          </w:p>
        </w:tc>
        <w:tc>
          <w:tcPr>
            <w:tcW w:w="341" w:type="pct"/>
            <w:shd w:val="clear" w:color="auto" w:fill="auto"/>
            <w:noWrap/>
            <w:vAlign w:val="center"/>
          </w:tcPr>
          <w:p w14:paraId="5298B56F">
            <w:pPr>
              <w:pStyle w:val="31"/>
            </w:pPr>
            <w:r>
              <w:rPr>
                <w:rFonts w:hint="eastAsia"/>
              </w:rPr>
              <w:t>1</w:t>
            </w:r>
          </w:p>
        </w:tc>
        <w:tc>
          <w:tcPr>
            <w:tcW w:w="292" w:type="pct"/>
            <w:shd w:val="clear" w:color="auto" w:fill="auto"/>
            <w:noWrap/>
            <w:vAlign w:val="center"/>
          </w:tcPr>
          <w:p w14:paraId="47753B11">
            <w:pPr>
              <w:pStyle w:val="31"/>
            </w:pPr>
            <w:r>
              <w:rPr>
                <w:rFonts w:hint="eastAsia"/>
              </w:rPr>
              <w:t>4.14</w:t>
            </w:r>
          </w:p>
        </w:tc>
        <w:tc>
          <w:tcPr>
            <w:tcW w:w="292" w:type="pct"/>
            <w:shd w:val="clear" w:color="auto" w:fill="auto"/>
            <w:noWrap/>
            <w:vAlign w:val="center"/>
          </w:tcPr>
          <w:p w14:paraId="7767C98C">
            <w:pPr>
              <w:pStyle w:val="31"/>
            </w:pPr>
            <w:r>
              <w:rPr>
                <w:rFonts w:hint="eastAsia"/>
              </w:rPr>
              <w:t>70.66</w:t>
            </w:r>
          </w:p>
        </w:tc>
        <w:tc>
          <w:tcPr>
            <w:tcW w:w="243" w:type="pct"/>
            <w:shd w:val="clear" w:color="auto" w:fill="auto"/>
            <w:noWrap/>
            <w:vAlign w:val="center"/>
          </w:tcPr>
          <w:p w14:paraId="63ABFFE9">
            <w:pPr>
              <w:pStyle w:val="31"/>
            </w:pPr>
            <w:r>
              <w:rPr>
                <w:rFonts w:hint="eastAsia"/>
              </w:rPr>
              <w:t>昼间</w:t>
            </w:r>
          </w:p>
        </w:tc>
        <w:tc>
          <w:tcPr>
            <w:tcW w:w="390" w:type="pct"/>
            <w:shd w:val="clear" w:color="auto" w:fill="auto"/>
            <w:noWrap/>
            <w:vAlign w:val="center"/>
          </w:tcPr>
          <w:p w14:paraId="588577D1">
            <w:pPr>
              <w:pStyle w:val="31"/>
            </w:pPr>
            <w:r>
              <w:rPr>
                <w:rFonts w:hint="eastAsia"/>
              </w:rPr>
              <w:t>26</w:t>
            </w:r>
          </w:p>
        </w:tc>
        <w:tc>
          <w:tcPr>
            <w:tcW w:w="323" w:type="pct"/>
            <w:shd w:val="clear" w:color="auto" w:fill="auto"/>
            <w:noWrap/>
            <w:vAlign w:val="center"/>
          </w:tcPr>
          <w:p w14:paraId="13527587">
            <w:pPr>
              <w:pStyle w:val="31"/>
            </w:pPr>
            <w:r>
              <w:rPr>
                <w:rFonts w:hint="eastAsia"/>
              </w:rPr>
              <w:t>44.66</w:t>
            </w:r>
          </w:p>
        </w:tc>
        <w:tc>
          <w:tcPr>
            <w:tcW w:w="297" w:type="pct"/>
            <w:shd w:val="clear" w:color="auto" w:fill="auto"/>
            <w:noWrap/>
            <w:vAlign w:val="center"/>
          </w:tcPr>
          <w:p w14:paraId="5D738565">
            <w:pPr>
              <w:pStyle w:val="31"/>
            </w:pPr>
            <w:r>
              <w:rPr>
                <w:rFonts w:hint="eastAsia"/>
              </w:rPr>
              <w:t>1</w:t>
            </w:r>
          </w:p>
        </w:tc>
      </w:tr>
      <w:tr w14:paraId="6C8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04581561">
            <w:pPr>
              <w:pStyle w:val="31"/>
            </w:pPr>
            <w:r>
              <w:rPr>
                <w:rFonts w:hint="eastAsia"/>
              </w:rPr>
              <w:t>15</w:t>
            </w:r>
          </w:p>
        </w:tc>
        <w:tc>
          <w:tcPr>
            <w:tcW w:w="305" w:type="pct"/>
            <w:vMerge w:val="continue"/>
            <w:shd w:val="clear" w:color="auto" w:fill="auto"/>
            <w:noWrap/>
            <w:vAlign w:val="center"/>
          </w:tcPr>
          <w:p w14:paraId="4238CC68">
            <w:pPr>
              <w:pStyle w:val="31"/>
            </w:pPr>
          </w:p>
        </w:tc>
        <w:tc>
          <w:tcPr>
            <w:tcW w:w="681" w:type="pct"/>
            <w:shd w:val="clear" w:color="auto" w:fill="auto"/>
            <w:noWrap/>
            <w:vAlign w:val="center"/>
          </w:tcPr>
          <w:p w14:paraId="18068508">
            <w:pPr>
              <w:pStyle w:val="31"/>
            </w:pPr>
            <w:r>
              <w:rPr>
                <w:rFonts w:hint="eastAsia"/>
              </w:rPr>
              <w:t>注塑成型机</w:t>
            </w:r>
          </w:p>
        </w:tc>
        <w:tc>
          <w:tcPr>
            <w:tcW w:w="633" w:type="pct"/>
            <w:shd w:val="clear" w:color="auto" w:fill="auto"/>
            <w:noWrap/>
            <w:vAlign w:val="center"/>
          </w:tcPr>
          <w:p w14:paraId="4D2A2FD0">
            <w:pPr>
              <w:pStyle w:val="31"/>
            </w:pPr>
            <w:r>
              <w:rPr>
                <w:rFonts w:hint="eastAsia"/>
              </w:rPr>
              <w:t>85/1</w:t>
            </w:r>
          </w:p>
        </w:tc>
        <w:tc>
          <w:tcPr>
            <w:tcW w:w="340" w:type="pct"/>
            <w:vMerge w:val="continue"/>
            <w:shd w:val="clear" w:color="auto" w:fill="auto"/>
            <w:noWrap/>
            <w:vAlign w:val="center"/>
          </w:tcPr>
          <w:p w14:paraId="66792955">
            <w:pPr>
              <w:pStyle w:val="31"/>
            </w:pPr>
          </w:p>
        </w:tc>
        <w:tc>
          <w:tcPr>
            <w:tcW w:w="341" w:type="pct"/>
            <w:shd w:val="clear" w:color="auto" w:fill="auto"/>
            <w:noWrap/>
            <w:vAlign w:val="center"/>
          </w:tcPr>
          <w:p w14:paraId="51339BDD">
            <w:pPr>
              <w:pStyle w:val="31"/>
            </w:pPr>
            <w:r>
              <w:rPr>
                <w:rFonts w:hint="eastAsia"/>
              </w:rPr>
              <w:t>88.47</w:t>
            </w:r>
          </w:p>
        </w:tc>
        <w:tc>
          <w:tcPr>
            <w:tcW w:w="341" w:type="pct"/>
            <w:shd w:val="clear" w:color="auto" w:fill="auto"/>
            <w:noWrap/>
            <w:vAlign w:val="center"/>
          </w:tcPr>
          <w:p w14:paraId="43EF3C09">
            <w:pPr>
              <w:pStyle w:val="31"/>
            </w:pPr>
            <w:r>
              <w:rPr>
                <w:rFonts w:hint="eastAsia"/>
              </w:rPr>
              <w:t>33.6</w:t>
            </w:r>
          </w:p>
        </w:tc>
        <w:tc>
          <w:tcPr>
            <w:tcW w:w="341" w:type="pct"/>
            <w:shd w:val="clear" w:color="auto" w:fill="auto"/>
            <w:noWrap/>
            <w:vAlign w:val="center"/>
          </w:tcPr>
          <w:p w14:paraId="4BDEFB70">
            <w:pPr>
              <w:pStyle w:val="31"/>
            </w:pPr>
            <w:r>
              <w:rPr>
                <w:rFonts w:hint="eastAsia"/>
              </w:rPr>
              <w:t>1</w:t>
            </w:r>
          </w:p>
        </w:tc>
        <w:tc>
          <w:tcPr>
            <w:tcW w:w="292" w:type="pct"/>
            <w:shd w:val="clear" w:color="auto" w:fill="auto"/>
            <w:noWrap/>
            <w:vAlign w:val="center"/>
          </w:tcPr>
          <w:p w14:paraId="4460CD2E">
            <w:pPr>
              <w:pStyle w:val="31"/>
            </w:pPr>
            <w:r>
              <w:rPr>
                <w:rFonts w:hint="eastAsia"/>
              </w:rPr>
              <w:t>2.89</w:t>
            </w:r>
          </w:p>
        </w:tc>
        <w:tc>
          <w:tcPr>
            <w:tcW w:w="292" w:type="pct"/>
            <w:shd w:val="clear" w:color="auto" w:fill="auto"/>
            <w:noWrap/>
            <w:vAlign w:val="center"/>
          </w:tcPr>
          <w:p w14:paraId="50AC4137">
            <w:pPr>
              <w:pStyle w:val="31"/>
            </w:pPr>
            <w:r>
              <w:rPr>
                <w:rFonts w:hint="eastAsia"/>
              </w:rPr>
              <w:t>71.20</w:t>
            </w:r>
          </w:p>
        </w:tc>
        <w:tc>
          <w:tcPr>
            <w:tcW w:w="243" w:type="pct"/>
            <w:shd w:val="clear" w:color="auto" w:fill="auto"/>
            <w:noWrap/>
            <w:vAlign w:val="center"/>
          </w:tcPr>
          <w:p w14:paraId="7B4EBD35">
            <w:pPr>
              <w:pStyle w:val="31"/>
            </w:pPr>
            <w:r>
              <w:rPr>
                <w:rFonts w:hint="eastAsia"/>
              </w:rPr>
              <w:t>昼间</w:t>
            </w:r>
          </w:p>
        </w:tc>
        <w:tc>
          <w:tcPr>
            <w:tcW w:w="390" w:type="pct"/>
            <w:shd w:val="clear" w:color="auto" w:fill="auto"/>
            <w:noWrap/>
            <w:vAlign w:val="center"/>
          </w:tcPr>
          <w:p w14:paraId="16BD9F7B">
            <w:pPr>
              <w:pStyle w:val="31"/>
            </w:pPr>
            <w:r>
              <w:rPr>
                <w:rFonts w:hint="eastAsia"/>
              </w:rPr>
              <w:t>26</w:t>
            </w:r>
          </w:p>
        </w:tc>
        <w:tc>
          <w:tcPr>
            <w:tcW w:w="323" w:type="pct"/>
            <w:shd w:val="clear" w:color="auto" w:fill="auto"/>
            <w:noWrap/>
            <w:vAlign w:val="center"/>
          </w:tcPr>
          <w:p w14:paraId="039BE3AA">
            <w:pPr>
              <w:pStyle w:val="31"/>
            </w:pPr>
            <w:r>
              <w:rPr>
                <w:rFonts w:hint="eastAsia"/>
              </w:rPr>
              <w:t>45.20</w:t>
            </w:r>
          </w:p>
        </w:tc>
        <w:tc>
          <w:tcPr>
            <w:tcW w:w="297" w:type="pct"/>
            <w:shd w:val="clear" w:color="auto" w:fill="auto"/>
            <w:noWrap/>
            <w:vAlign w:val="center"/>
          </w:tcPr>
          <w:p w14:paraId="0E79AA28">
            <w:pPr>
              <w:pStyle w:val="31"/>
            </w:pPr>
            <w:r>
              <w:rPr>
                <w:rFonts w:hint="eastAsia"/>
              </w:rPr>
              <w:t>1</w:t>
            </w:r>
          </w:p>
        </w:tc>
      </w:tr>
      <w:tr w14:paraId="5D63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3E157959">
            <w:pPr>
              <w:pStyle w:val="31"/>
            </w:pPr>
            <w:r>
              <w:rPr>
                <w:rFonts w:hint="eastAsia"/>
              </w:rPr>
              <w:t>16</w:t>
            </w:r>
          </w:p>
        </w:tc>
        <w:tc>
          <w:tcPr>
            <w:tcW w:w="305" w:type="pct"/>
            <w:vMerge w:val="continue"/>
            <w:shd w:val="clear" w:color="auto" w:fill="auto"/>
            <w:noWrap/>
            <w:vAlign w:val="center"/>
          </w:tcPr>
          <w:p w14:paraId="58DD10CA">
            <w:pPr>
              <w:pStyle w:val="31"/>
            </w:pPr>
          </w:p>
        </w:tc>
        <w:tc>
          <w:tcPr>
            <w:tcW w:w="681" w:type="pct"/>
            <w:shd w:val="clear" w:color="auto" w:fill="auto"/>
            <w:noWrap/>
            <w:vAlign w:val="center"/>
          </w:tcPr>
          <w:p w14:paraId="33D9FDD5">
            <w:pPr>
              <w:pStyle w:val="31"/>
            </w:pPr>
            <w:r>
              <w:rPr>
                <w:rFonts w:hint="eastAsia"/>
              </w:rPr>
              <w:t>注塑成型机</w:t>
            </w:r>
          </w:p>
        </w:tc>
        <w:tc>
          <w:tcPr>
            <w:tcW w:w="633" w:type="pct"/>
            <w:shd w:val="clear" w:color="auto" w:fill="auto"/>
            <w:noWrap/>
            <w:vAlign w:val="center"/>
          </w:tcPr>
          <w:p w14:paraId="4CEBB629">
            <w:pPr>
              <w:pStyle w:val="31"/>
            </w:pPr>
            <w:r>
              <w:rPr>
                <w:rFonts w:hint="eastAsia"/>
              </w:rPr>
              <w:t>85/1</w:t>
            </w:r>
          </w:p>
        </w:tc>
        <w:tc>
          <w:tcPr>
            <w:tcW w:w="340" w:type="pct"/>
            <w:vMerge w:val="continue"/>
            <w:shd w:val="clear" w:color="auto" w:fill="auto"/>
            <w:noWrap/>
            <w:vAlign w:val="center"/>
          </w:tcPr>
          <w:p w14:paraId="09B81E50">
            <w:pPr>
              <w:pStyle w:val="31"/>
            </w:pPr>
          </w:p>
        </w:tc>
        <w:tc>
          <w:tcPr>
            <w:tcW w:w="341" w:type="pct"/>
            <w:shd w:val="clear" w:color="auto" w:fill="auto"/>
            <w:noWrap/>
            <w:vAlign w:val="center"/>
          </w:tcPr>
          <w:p w14:paraId="776F8740">
            <w:pPr>
              <w:pStyle w:val="31"/>
            </w:pPr>
            <w:r>
              <w:rPr>
                <w:rFonts w:hint="eastAsia"/>
              </w:rPr>
              <w:t>101.77</w:t>
            </w:r>
          </w:p>
        </w:tc>
        <w:tc>
          <w:tcPr>
            <w:tcW w:w="341" w:type="pct"/>
            <w:shd w:val="clear" w:color="auto" w:fill="auto"/>
            <w:noWrap/>
            <w:vAlign w:val="center"/>
          </w:tcPr>
          <w:p w14:paraId="0CA49831">
            <w:pPr>
              <w:pStyle w:val="31"/>
            </w:pPr>
            <w:r>
              <w:rPr>
                <w:rFonts w:hint="eastAsia"/>
              </w:rPr>
              <w:t>34.41</w:t>
            </w:r>
          </w:p>
        </w:tc>
        <w:tc>
          <w:tcPr>
            <w:tcW w:w="341" w:type="pct"/>
            <w:shd w:val="clear" w:color="auto" w:fill="auto"/>
            <w:noWrap/>
            <w:vAlign w:val="center"/>
          </w:tcPr>
          <w:p w14:paraId="216F3FAF">
            <w:pPr>
              <w:pStyle w:val="31"/>
            </w:pPr>
            <w:r>
              <w:rPr>
                <w:rFonts w:hint="eastAsia"/>
              </w:rPr>
              <w:t>1</w:t>
            </w:r>
          </w:p>
        </w:tc>
        <w:tc>
          <w:tcPr>
            <w:tcW w:w="292" w:type="pct"/>
            <w:shd w:val="clear" w:color="auto" w:fill="auto"/>
            <w:noWrap/>
            <w:vAlign w:val="center"/>
          </w:tcPr>
          <w:p w14:paraId="43EAD2AC">
            <w:pPr>
              <w:pStyle w:val="31"/>
            </w:pPr>
            <w:r>
              <w:rPr>
                <w:rFonts w:hint="eastAsia"/>
              </w:rPr>
              <w:t>3.69</w:t>
            </w:r>
          </w:p>
        </w:tc>
        <w:tc>
          <w:tcPr>
            <w:tcW w:w="292" w:type="pct"/>
            <w:shd w:val="clear" w:color="auto" w:fill="auto"/>
            <w:noWrap/>
            <w:vAlign w:val="center"/>
          </w:tcPr>
          <w:p w14:paraId="22A0EFDF">
            <w:pPr>
              <w:pStyle w:val="31"/>
            </w:pPr>
            <w:r>
              <w:rPr>
                <w:rFonts w:hint="eastAsia"/>
              </w:rPr>
              <w:t>70.80</w:t>
            </w:r>
          </w:p>
        </w:tc>
        <w:tc>
          <w:tcPr>
            <w:tcW w:w="243" w:type="pct"/>
            <w:shd w:val="clear" w:color="auto" w:fill="auto"/>
            <w:noWrap/>
            <w:vAlign w:val="center"/>
          </w:tcPr>
          <w:p w14:paraId="131EFA42">
            <w:pPr>
              <w:pStyle w:val="31"/>
            </w:pPr>
            <w:r>
              <w:rPr>
                <w:rFonts w:hint="eastAsia"/>
              </w:rPr>
              <w:t>昼间</w:t>
            </w:r>
          </w:p>
        </w:tc>
        <w:tc>
          <w:tcPr>
            <w:tcW w:w="390" w:type="pct"/>
            <w:shd w:val="clear" w:color="auto" w:fill="auto"/>
            <w:noWrap/>
            <w:vAlign w:val="center"/>
          </w:tcPr>
          <w:p w14:paraId="26736AF4">
            <w:pPr>
              <w:pStyle w:val="31"/>
            </w:pPr>
            <w:r>
              <w:rPr>
                <w:rFonts w:hint="eastAsia"/>
              </w:rPr>
              <w:t>26</w:t>
            </w:r>
          </w:p>
        </w:tc>
        <w:tc>
          <w:tcPr>
            <w:tcW w:w="323" w:type="pct"/>
            <w:shd w:val="clear" w:color="auto" w:fill="auto"/>
            <w:noWrap/>
            <w:vAlign w:val="center"/>
          </w:tcPr>
          <w:p w14:paraId="34DAD63A">
            <w:pPr>
              <w:pStyle w:val="31"/>
            </w:pPr>
            <w:r>
              <w:rPr>
                <w:rFonts w:hint="eastAsia"/>
              </w:rPr>
              <w:t>44.80</w:t>
            </w:r>
          </w:p>
        </w:tc>
        <w:tc>
          <w:tcPr>
            <w:tcW w:w="297" w:type="pct"/>
            <w:shd w:val="clear" w:color="auto" w:fill="auto"/>
            <w:noWrap/>
            <w:vAlign w:val="center"/>
          </w:tcPr>
          <w:p w14:paraId="4A5942C4">
            <w:pPr>
              <w:pStyle w:val="31"/>
            </w:pPr>
            <w:r>
              <w:rPr>
                <w:rFonts w:hint="eastAsia"/>
              </w:rPr>
              <w:t>1</w:t>
            </w:r>
          </w:p>
        </w:tc>
      </w:tr>
      <w:tr w14:paraId="4E3B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410BE5C8">
            <w:pPr>
              <w:pStyle w:val="31"/>
            </w:pPr>
            <w:r>
              <w:rPr>
                <w:rFonts w:hint="eastAsia"/>
              </w:rPr>
              <w:t>17</w:t>
            </w:r>
          </w:p>
        </w:tc>
        <w:tc>
          <w:tcPr>
            <w:tcW w:w="305" w:type="pct"/>
            <w:vMerge w:val="continue"/>
            <w:shd w:val="clear" w:color="auto" w:fill="auto"/>
            <w:noWrap/>
            <w:vAlign w:val="center"/>
          </w:tcPr>
          <w:p w14:paraId="007AFF87">
            <w:pPr>
              <w:pStyle w:val="31"/>
            </w:pPr>
          </w:p>
        </w:tc>
        <w:tc>
          <w:tcPr>
            <w:tcW w:w="681" w:type="pct"/>
            <w:shd w:val="clear" w:color="auto" w:fill="auto"/>
            <w:noWrap/>
            <w:vAlign w:val="center"/>
          </w:tcPr>
          <w:p w14:paraId="09A997AB">
            <w:pPr>
              <w:pStyle w:val="31"/>
            </w:pPr>
            <w:r>
              <w:rPr>
                <w:rFonts w:hint="eastAsia"/>
              </w:rPr>
              <w:t>注塑成型机</w:t>
            </w:r>
          </w:p>
        </w:tc>
        <w:tc>
          <w:tcPr>
            <w:tcW w:w="633" w:type="pct"/>
            <w:shd w:val="clear" w:color="auto" w:fill="auto"/>
            <w:noWrap/>
            <w:vAlign w:val="center"/>
          </w:tcPr>
          <w:p w14:paraId="4A2C2262">
            <w:pPr>
              <w:pStyle w:val="31"/>
            </w:pPr>
            <w:r>
              <w:rPr>
                <w:rFonts w:hint="eastAsia"/>
              </w:rPr>
              <w:t>85/1</w:t>
            </w:r>
          </w:p>
        </w:tc>
        <w:tc>
          <w:tcPr>
            <w:tcW w:w="340" w:type="pct"/>
            <w:vMerge w:val="continue"/>
            <w:shd w:val="clear" w:color="auto" w:fill="auto"/>
            <w:noWrap/>
            <w:vAlign w:val="center"/>
          </w:tcPr>
          <w:p w14:paraId="1A2FF5D7">
            <w:pPr>
              <w:pStyle w:val="31"/>
            </w:pPr>
          </w:p>
        </w:tc>
        <w:tc>
          <w:tcPr>
            <w:tcW w:w="341" w:type="pct"/>
            <w:shd w:val="clear" w:color="auto" w:fill="auto"/>
            <w:noWrap/>
            <w:vAlign w:val="center"/>
          </w:tcPr>
          <w:p w14:paraId="3CF6E803">
            <w:pPr>
              <w:pStyle w:val="31"/>
            </w:pPr>
            <w:r>
              <w:rPr>
                <w:rFonts w:hint="eastAsia"/>
              </w:rPr>
              <w:t>101.7</w:t>
            </w:r>
          </w:p>
        </w:tc>
        <w:tc>
          <w:tcPr>
            <w:tcW w:w="341" w:type="pct"/>
            <w:shd w:val="clear" w:color="auto" w:fill="auto"/>
            <w:noWrap/>
            <w:vAlign w:val="center"/>
          </w:tcPr>
          <w:p w14:paraId="672F89B0">
            <w:pPr>
              <w:pStyle w:val="31"/>
            </w:pPr>
            <w:r>
              <w:rPr>
                <w:rFonts w:hint="eastAsia"/>
              </w:rPr>
              <w:t>38.25</w:t>
            </w:r>
          </w:p>
        </w:tc>
        <w:tc>
          <w:tcPr>
            <w:tcW w:w="341" w:type="pct"/>
            <w:shd w:val="clear" w:color="auto" w:fill="auto"/>
            <w:noWrap/>
            <w:vAlign w:val="center"/>
          </w:tcPr>
          <w:p w14:paraId="25C21389">
            <w:pPr>
              <w:pStyle w:val="31"/>
            </w:pPr>
            <w:r>
              <w:rPr>
                <w:rFonts w:hint="eastAsia"/>
              </w:rPr>
              <w:t>1</w:t>
            </w:r>
          </w:p>
        </w:tc>
        <w:tc>
          <w:tcPr>
            <w:tcW w:w="292" w:type="pct"/>
            <w:shd w:val="clear" w:color="auto" w:fill="auto"/>
            <w:noWrap/>
            <w:vAlign w:val="center"/>
          </w:tcPr>
          <w:p w14:paraId="21742625">
            <w:pPr>
              <w:pStyle w:val="31"/>
            </w:pPr>
            <w:r>
              <w:rPr>
                <w:rFonts w:hint="eastAsia"/>
              </w:rPr>
              <w:t>7.53</w:t>
            </w:r>
          </w:p>
        </w:tc>
        <w:tc>
          <w:tcPr>
            <w:tcW w:w="292" w:type="pct"/>
            <w:shd w:val="clear" w:color="auto" w:fill="auto"/>
            <w:noWrap/>
            <w:vAlign w:val="center"/>
          </w:tcPr>
          <w:p w14:paraId="7FE815D4">
            <w:pPr>
              <w:pStyle w:val="31"/>
            </w:pPr>
            <w:r>
              <w:rPr>
                <w:rFonts w:hint="eastAsia"/>
              </w:rPr>
              <w:t>70.26</w:t>
            </w:r>
          </w:p>
        </w:tc>
        <w:tc>
          <w:tcPr>
            <w:tcW w:w="243" w:type="pct"/>
            <w:shd w:val="clear" w:color="auto" w:fill="auto"/>
            <w:noWrap/>
            <w:vAlign w:val="center"/>
          </w:tcPr>
          <w:p w14:paraId="059A75A8">
            <w:pPr>
              <w:pStyle w:val="31"/>
            </w:pPr>
            <w:r>
              <w:rPr>
                <w:rFonts w:hint="eastAsia"/>
              </w:rPr>
              <w:t>昼间</w:t>
            </w:r>
          </w:p>
        </w:tc>
        <w:tc>
          <w:tcPr>
            <w:tcW w:w="390" w:type="pct"/>
            <w:shd w:val="clear" w:color="auto" w:fill="auto"/>
            <w:noWrap/>
            <w:vAlign w:val="center"/>
          </w:tcPr>
          <w:p w14:paraId="11A06974">
            <w:pPr>
              <w:pStyle w:val="31"/>
            </w:pPr>
            <w:r>
              <w:rPr>
                <w:rFonts w:hint="eastAsia"/>
              </w:rPr>
              <w:t>26</w:t>
            </w:r>
          </w:p>
        </w:tc>
        <w:tc>
          <w:tcPr>
            <w:tcW w:w="323" w:type="pct"/>
            <w:shd w:val="clear" w:color="auto" w:fill="auto"/>
            <w:noWrap/>
            <w:vAlign w:val="center"/>
          </w:tcPr>
          <w:p w14:paraId="51FA3C30">
            <w:pPr>
              <w:pStyle w:val="31"/>
            </w:pPr>
            <w:r>
              <w:rPr>
                <w:rFonts w:hint="eastAsia"/>
              </w:rPr>
              <w:t>44.26</w:t>
            </w:r>
          </w:p>
        </w:tc>
        <w:tc>
          <w:tcPr>
            <w:tcW w:w="297" w:type="pct"/>
            <w:shd w:val="clear" w:color="auto" w:fill="auto"/>
            <w:noWrap/>
            <w:vAlign w:val="center"/>
          </w:tcPr>
          <w:p w14:paraId="07E3EE5C">
            <w:pPr>
              <w:pStyle w:val="31"/>
            </w:pPr>
            <w:r>
              <w:rPr>
                <w:rFonts w:hint="eastAsia"/>
              </w:rPr>
              <w:t>1</w:t>
            </w:r>
          </w:p>
        </w:tc>
      </w:tr>
      <w:tr w14:paraId="5989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B5864F1">
            <w:pPr>
              <w:pStyle w:val="31"/>
            </w:pPr>
            <w:r>
              <w:rPr>
                <w:rFonts w:hint="eastAsia"/>
              </w:rPr>
              <w:t>18</w:t>
            </w:r>
          </w:p>
        </w:tc>
        <w:tc>
          <w:tcPr>
            <w:tcW w:w="305" w:type="pct"/>
            <w:vMerge w:val="continue"/>
            <w:shd w:val="clear" w:color="auto" w:fill="auto"/>
            <w:noWrap/>
            <w:vAlign w:val="center"/>
          </w:tcPr>
          <w:p w14:paraId="39256671">
            <w:pPr>
              <w:pStyle w:val="31"/>
            </w:pPr>
          </w:p>
        </w:tc>
        <w:tc>
          <w:tcPr>
            <w:tcW w:w="681" w:type="pct"/>
            <w:shd w:val="clear" w:color="auto" w:fill="auto"/>
            <w:noWrap/>
            <w:vAlign w:val="center"/>
          </w:tcPr>
          <w:p w14:paraId="6AD7BE50">
            <w:pPr>
              <w:pStyle w:val="31"/>
            </w:pPr>
            <w:r>
              <w:rPr>
                <w:rFonts w:hint="eastAsia"/>
              </w:rPr>
              <w:t>注塑成型机</w:t>
            </w:r>
          </w:p>
        </w:tc>
        <w:tc>
          <w:tcPr>
            <w:tcW w:w="633" w:type="pct"/>
            <w:shd w:val="clear" w:color="auto" w:fill="auto"/>
            <w:noWrap/>
            <w:vAlign w:val="center"/>
          </w:tcPr>
          <w:p w14:paraId="71ACE4EB">
            <w:pPr>
              <w:pStyle w:val="31"/>
            </w:pPr>
            <w:r>
              <w:rPr>
                <w:rFonts w:hint="eastAsia"/>
              </w:rPr>
              <w:t>85/1</w:t>
            </w:r>
          </w:p>
        </w:tc>
        <w:tc>
          <w:tcPr>
            <w:tcW w:w="340" w:type="pct"/>
            <w:vMerge w:val="continue"/>
            <w:shd w:val="clear" w:color="auto" w:fill="auto"/>
            <w:noWrap/>
            <w:vAlign w:val="center"/>
          </w:tcPr>
          <w:p w14:paraId="10D6EDE8">
            <w:pPr>
              <w:pStyle w:val="31"/>
            </w:pPr>
          </w:p>
        </w:tc>
        <w:tc>
          <w:tcPr>
            <w:tcW w:w="341" w:type="pct"/>
            <w:shd w:val="clear" w:color="auto" w:fill="auto"/>
            <w:noWrap/>
            <w:vAlign w:val="center"/>
          </w:tcPr>
          <w:p w14:paraId="20718B5D">
            <w:pPr>
              <w:pStyle w:val="31"/>
            </w:pPr>
            <w:r>
              <w:rPr>
                <w:rFonts w:hint="eastAsia"/>
              </w:rPr>
              <w:t>101.98</w:t>
            </w:r>
          </w:p>
        </w:tc>
        <w:tc>
          <w:tcPr>
            <w:tcW w:w="341" w:type="pct"/>
            <w:shd w:val="clear" w:color="auto" w:fill="auto"/>
            <w:noWrap/>
            <w:vAlign w:val="center"/>
          </w:tcPr>
          <w:p w14:paraId="3EFC3D76">
            <w:pPr>
              <w:pStyle w:val="31"/>
            </w:pPr>
            <w:r>
              <w:rPr>
                <w:rFonts w:hint="eastAsia"/>
              </w:rPr>
              <w:t>42.52</w:t>
            </w:r>
          </w:p>
        </w:tc>
        <w:tc>
          <w:tcPr>
            <w:tcW w:w="341" w:type="pct"/>
            <w:shd w:val="clear" w:color="auto" w:fill="auto"/>
            <w:noWrap/>
            <w:vAlign w:val="center"/>
          </w:tcPr>
          <w:p w14:paraId="6DCEA710">
            <w:pPr>
              <w:pStyle w:val="31"/>
            </w:pPr>
            <w:r>
              <w:rPr>
                <w:rFonts w:hint="eastAsia"/>
              </w:rPr>
              <w:t>1</w:t>
            </w:r>
          </w:p>
        </w:tc>
        <w:tc>
          <w:tcPr>
            <w:tcW w:w="292" w:type="pct"/>
            <w:shd w:val="clear" w:color="auto" w:fill="auto"/>
            <w:noWrap/>
            <w:vAlign w:val="center"/>
          </w:tcPr>
          <w:p w14:paraId="2BEC10CB">
            <w:pPr>
              <w:pStyle w:val="31"/>
            </w:pPr>
            <w:r>
              <w:rPr>
                <w:rFonts w:hint="eastAsia"/>
              </w:rPr>
              <w:t>11.80</w:t>
            </w:r>
          </w:p>
        </w:tc>
        <w:tc>
          <w:tcPr>
            <w:tcW w:w="292" w:type="pct"/>
            <w:shd w:val="clear" w:color="auto" w:fill="auto"/>
            <w:noWrap/>
            <w:vAlign w:val="center"/>
          </w:tcPr>
          <w:p w14:paraId="1A4CF884">
            <w:pPr>
              <w:pStyle w:val="31"/>
            </w:pPr>
            <w:r>
              <w:rPr>
                <w:rFonts w:hint="eastAsia"/>
              </w:rPr>
              <w:t>70.15</w:t>
            </w:r>
          </w:p>
        </w:tc>
        <w:tc>
          <w:tcPr>
            <w:tcW w:w="243" w:type="pct"/>
            <w:shd w:val="clear" w:color="auto" w:fill="auto"/>
            <w:noWrap/>
            <w:vAlign w:val="center"/>
          </w:tcPr>
          <w:p w14:paraId="15E69F58">
            <w:pPr>
              <w:pStyle w:val="31"/>
            </w:pPr>
            <w:r>
              <w:rPr>
                <w:rFonts w:hint="eastAsia"/>
              </w:rPr>
              <w:t>昼间</w:t>
            </w:r>
          </w:p>
        </w:tc>
        <w:tc>
          <w:tcPr>
            <w:tcW w:w="390" w:type="pct"/>
            <w:shd w:val="clear" w:color="auto" w:fill="auto"/>
            <w:noWrap/>
            <w:vAlign w:val="center"/>
          </w:tcPr>
          <w:p w14:paraId="4B7BC012">
            <w:pPr>
              <w:pStyle w:val="31"/>
            </w:pPr>
            <w:r>
              <w:rPr>
                <w:rFonts w:hint="eastAsia"/>
              </w:rPr>
              <w:t>26</w:t>
            </w:r>
          </w:p>
        </w:tc>
        <w:tc>
          <w:tcPr>
            <w:tcW w:w="323" w:type="pct"/>
            <w:shd w:val="clear" w:color="auto" w:fill="auto"/>
            <w:noWrap/>
            <w:vAlign w:val="center"/>
          </w:tcPr>
          <w:p w14:paraId="658448DB">
            <w:pPr>
              <w:pStyle w:val="31"/>
            </w:pPr>
            <w:r>
              <w:rPr>
                <w:rFonts w:hint="eastAsia"/>
              </w:rPr>
              <w:t>44.15</w:t>
            </w:r>
          </w:p>
        </w:tc>
        <w:tc>
          <w:tcPr>
            <w:tcW w:w="297" w:type="pct"/>
            <w:shd w:val="clear" w:color="auto" w:fill="auto"/>
            <w:noWrap/>
            <w:vAlign w:val="center"/>
          </w:tcPr>
          <w:p w14:paraId="1EEBDCFE">
            <w:pPr>
              <w:pStyle w:val="31"/>
            </w:pPr>
            <w:r>
              <w:rPr>
                <w:rFonts w:hint="eastAsia"/>
              </w:rPr>
              <w:t>1</w:t>
            </w:r>
          </w:p>
        </w:tc>
      </w:tr>
      <w:tr w14:paraId="0B3C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25EC7F8">
            <w:pPr>
              <w:pStyle w:val="31"/>
            </w:pPr>
            <w:r>
              <w:rPr>
                <w:rFonts w:hint="eastAsia"/>
              </w:rPr>
              <w:t>19</w:t>
            </w:r>
          </w:p>
        </w:tc>
        <w:tc>
          <w:tcPr>
            <w:tcW w:w="305" w:type="pct"/>
            <w:vMerge w:val="continue"/>
            <w:shd w:val="clear" w:color="auto" w:fill="auto"/>
            <w:noWrap/>
            <w:vAlign w:val="center"/>
          </w:tcPr>
          <w:p w14:paraId="592A268C">
            <w:pPr>
              <w:pStyle w:val="31"/>
            </w:pPr>
          </w:p>
        </w:tc>
        <w:tc>
          <w:tcPr>
            <w:tcW w:w="681" w:type="pct"/>
            <w:shd w:val="clear" w:color="auto" w:fill="auto"/>
            <w:noWrap/>
            <w:vAlign w:val="center"/>
          </w:tcPr>
          <w:p w14:paraId="41159E34">
            <w:pPr>
              <w:pStyle w:val="31"/>
            </w:pPr>
            <w:r>
              <w:rPr>
                <w:rFonts w:hint="eastAsia"/>
              </w:rPr>
              <w:t>注塑成型机</w:t>
            </w:r>
          </w:p>
        </w:tc>
        <w:tc>
          <w:tcPr>
            <w:tcW w:w="633" w:type="pct"/>
            <w:shd w:val="clear" w:color="auto" w:fill="auto"/>
            <w:noWrap/>
            <w:vAlign w:val="center"/>
          </w:tcPr>
          <w:p w14:paraId="75630675">
            <w:pPr>
              <w:pStyle w:val="31"/>
            </w:pPr>
            <w:r>
              <w:rPr>
                <w:rFonts w:hint="eastAsia"/>
              </w:rPr>
              <w:t>85/1</w:t>
            </w:r>
          </w:p>
        </w:tc>
        <w:tc>
          <w:tcPr>
            <w:tcW w:w="340" w:type="pct"/>
            <w:vMerge w:val="continue"/>
            <w:shd w:val="clear" w:color="auto" w:fill="auto"/>
            <w:noWrap/>
            <w:vAlign w:val="center"/>
          </w:tcPr>
          <w:p w14:paraId="72FBA0F9">
            <w:pPr>
              <w:pStyle w:val="31"/>
            </w:pPr>
          </w:p>
        </w:tc>
        <w:tc>
          <w:tcPr>
            <w:tcW w:w="341" w:type="pct"/>
            <w:shd w:val="clear" w:color="auto" w:fill="auto"/>
            <w:noWrap/>
            <w:vAlign w:val="center"/>
          </w:tcPr>
          <w:p w14:paraId="3A5B7501">
            <w:pPr>
              <w:pStyle w:val="31"/>
            </w:pPr>
            <w:r>
              <w:rPr>
                <w:rFonts w:hint="eastAsia"/>
              </w:rPr>
              <w:t>102.05</w:t>
            </w:r>
          </w:p>
        </w:tc>
        <w:tc>
          <w:tcPr>
            <w:tcW w:w="341" w:type="pct"/>
            <w:shd w:val="clear" w:color="auto" w:fill="auto"/>
            <w:noWrap/>
            <w:vAlign w:val="center"/>
          </w:tcPr>
          <w:p w14:paraId="61A48DA3">
            <w:pPr>
              <w:pStyle w:val="31"/>
            </w:pPr>
            <w:r>
              <w:rPr>
                <w:rFonts w:hint="eastAsia"/>
              </w:rPr>
              <w:t>46.64</w:t>
            </w:r>
          </w:p>
        </w:tc>
        <w:tc>
          <w:tcPr>
            <w:tcW w:w="341" w:type="pct"/>
            <w:shd w:val="clear" w:color="auto" w:fill="auto"/>
            <w:noWrap/>
            <w:vAlign w:val="center"/>
          </w:tcPr>
          <w:p w14:paraId="00DAA419">
            <w:pPr>
              <w:pStyle w:val="31"/>
            </w:pPr>
            <w:r>
              <w:rPr>
                <w:rFonts w:hint="eastAsia"/>
              </w:rPr>
              <w:t>1</w:t>
            </w:r>
          </w:p>
        </w:tc>
        <w:tc>
          <w:tcPr>
            <w:tcW w:w="292" w:type="pct"/>
            <w:shd w:val="clear" w:color="auto" w:fill="auto"/>
            <w:noWrap/>
            <w:vAlign w:val="center"/>
          </w:tcPr>
          <w:p w14:paraId="5ED60C8D">
            <w:pPr>
              <w:pStyle w:val="31"/>
            </w:pPr>
            <w:r>
              <w:rPr>
                <w:rFonts w:hint="eastAsia"/>
              </w:rPr>
              <w:t>15.92</w:t>
            </w:r>
          </w:p>
        </w:tc>
        <w:tc>
          <w:tcPr>
            <w:tcW w:w="292" w:type="pct"/>
            <w:shd w:val="clear" w:color="auto" w:fill="auto"/>
            <w:noWrap/>
            <w:vAlign w:val="center"/>
          </w:tcPr>
          <w:p w14:paraId="54AC6346">
            <w:pPr>
              <w:pStyle w:val="31"/>
            </w:pPr>
            <w:r>
              <w:rPr>
                <w:rFonts w:hint="eastAsia"/>
              </w:rPr>
              <w:t>70.12</w:t>
            </w:r>
          </w:p>
        </w:tc>
        <w:tc>
          <w:tcPr>
            <w:tcW w:w="243" w:type="pct"/>
            <w:shd w:val="clear" w:color="auto" w:fill="auto"/>
            <w:noWrap/>
            <w:vAlign w:val="center"/>
          </w:tcPr>
          <w:p w14:paraId="746968DE">
            <w:pPr>
              <w:pStyle w:val="31"/>
            </w:pPr>
            <w:r>
              <w:rPr>
                <w:rFonts w:hint="eastAsia"/>
              </w:rPr>
              <w:t>昼间</w:t>
            </w:r>
          </w:p>
        </w:tc>
        <w:tc>
          <w:tcPr>
            <w:tcW w:w="390" w:type="pct"/>
            <w:shd w:val="clear" w:color="auto" w:fill="auto"/>
            <w:noWrap/>
            <w:vAlign w:val="center"/>
          </w:tcPr>
          <w:p w14:paraId="0AE8F0D5">
            <w:pPr>
              <w:pStyle w:val="31"/>
            </w:pPr>
            <w:r>
              <w:rPr>
                <w:rFonts w:hint="eastAsia"/>
              </w:rPr>
              <w:t>26</w:t>
            </w:r>
          </w:p>
        </w:tc>
        <w:tc>
          <w:tcPr>
            <w:tcW w:w="323" w:type="pct"/>
            <w:shd w:val="clear" w:color="auto" w:fill="auto"/>
            <w:noWrap/>
            <w:vAlign w:val="center"/>
          </w:tcPr>
          <w:p w14:paraId="256BC950">
            <w:pPr>
              <w:pStyle w:val="31"/>
            </w:pPr>
            <w:r>
              <w:rPr>
                <w:rFonts w:hint="eastAsia"/>
              </w:rPr>
              <w:t>44.12</w:t>
            </w:r>
          </w:p>
        </w:tc>
        <w:tc>
          <w:tcPr>
            <w:tcW w:w="297" w:type="pct"/>
            <w:shd w:val="clear" w:color="auto" w:fill="auto"/>
            <w:noWrap/>
            <w:vAlign w:val="center"/>
          </w:tcPr>
          <w:p w14:paraId="3316C2CD">
            <w:pPr>
              <w:pStyle w:val="31"/>
            </w:pPr>
            <w:r>
              <w:rPr>
                <w:rFonts w:hint="eastAsia"/>
              </w:rPr>
              <w:t>1</w:t>
            </w:r>
          </w:p>
        </w:tc>
      </w:tr>
      <w:tr w14:paraId="24E9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9552EE0">
            <w:pPr>
              <w:pStyle w:val="31"/>
            </w:pPr>
            <w:r>
              <w:rPr>
                <w:rFonts w:hint="eastAsia"/>
              </w:rPr>
              <w:t>20</w:t>
            </w:r>
          </w:p>
        </w:tc>
        <w:tc>
          <w:tcPr>
            <w:tcW w:w="305" w:type="pct"/>
            <w:vMerge w:val="continue"/>
            <w:shd w:val="clear" w:color="auto" w:fill="auto"/>
            <w:noWrap/>
            <w:vAlign w:val="center"/>
          </w:tcPr>
          <w:p w14:paraId="73F40B2F">
            <w:pPr>
              <w:pStyle w:val="31"/>
            </w:pPr>
          </w:p>
        </w:tc>
        <w:tc>
          <w:tcPr>
            <w:tcW w:w="681" w:type="pct"/>
            <w:shd w:val="clear" w:color="auto" w:fill="auto"/>
            <w:noWrap/>
            <w:vAlign w:val="center"/>
          </w:tcPr>
          <w:p w14:paraId="745DF2AC">
            <w:pPr>
              <w:pStyle w:val="31"/>
            </w:pPr>
            <w:r>
              <w:rPr>
                <w:rFonts w:hint="eastAsia"/>
              </w:rPr>
              <w:t>注塑成型机</w:t>
            </w:r>
          </w:p>
        </w:tc>
        <w:tc>
          <w:tcPr>
            <w:tcW w:w="633" w:type="pct"/>
            <w:shd w:val="clear" w:color="auto" w:fill="auto"/>
            <w:noWrap/>
            <w:vAlign w:val="center"/>
          </w:tcPr>
          <w:p w14:paraId="5333A034">
            <w:pPr>
              <w:pStyle w:val="31"/>
            </w:pPr>
            <w:r>
              <w:rPr>
                <w:rFonts w:hint="eastAsia"/>
              </w:rPr>
              <w:t>85/1</w:t>
            </w:r>
          </w:p>
        </w:tc>
        <w:tc>
          <w:tcPr>
            <w:tcW w:w="340" w:type="pct"/>
            <w:vMerge w:val="continue"/>
            <w:shd w:val="clear" w:color="auto" w:fill="auto"/>
            <w:noWrap/>
            <w:vAlign w:val="center"/>
          </w:tcPr>
          <w:p w14:paraId="7E95BE22">
            <w:pPr>
              <w:pStyle w:val="31"/>
            </w:pPr>
          </w:p>
        </w:tc>
        <w:tc>
          <w:tcPr>
            <w:tcW w:w="341" w:type="pct"/>
            <w:shd w:val="clear" w:color="auto" w:fill="auto"/>
            <w:noWrap/>
            <w:vAlign w:val="center"/>
          </w:tcPr>
          <w:p w14:paraId="51AC16FC">
            <w:pPr>
              <w:pStyle w:val="31"/>
            </w:pPr>
            <w:r>
              <w:rPr>
                <w:rFonts w:hint="eastAsia"/>
              </w:rPr>
              <w:t>101.36</w:t>
            </w:r>
          </w:p>
        </w:tc>
        <w:tc>
          <w:tcPr>
            <w:tcW w:w="341" w:type="pct"/>
            <w:shd w:val="clear" w:color="auto" w:fill="auto"/>
            <w:noWrap/>
            <w:vAlign w:val="center"/>
          </w:tcPr>
          <w:p w14:paraId="51FAAC78">
            <w:pPr>
              <w:pStyle w:val="31"/>
            </w:pPr>
            <w:r>
              <w:rPr>
                <w:rFonts w:hint="eastAsia"/>
              </w:rPr>
              <w:t>50.77</w:t>
            </w:r>
          </w:p>
        </w:tc>
        <w:tc>
          <w:tcPr>
            <w:tcW w:w="341" w:type="pct"/>
            <w:shd w:val="clear" w:color="auto" w:fill="auto"/>
            <w:noWrap/>
            <w:vAlign w:val="center"/>
          </w:tcPr>
          <w:p w14:paraId="18B75927">
            <w:pPr>
              <w:pStyle w:val="31"/>
            </w:pPr>
            <w:r>
              <w:rPr>
                <w:rFonts w:hint="eastAsia"/>
              </w:rPr>
              <w:t>1</w:t>
            </w:r>
          </w:p>
        </w:tc>
        <w:tc>
          <w:tcPr>
            <w:tcW w:w="292" w:type="pct"/>
            <w:shd w:val="clear" w:color="auto" w:fill="auto"/>
            <w:noWrap/>
            <w:vAlign w:val="center"/>
          </w:tcPr>
          <w:p w14:paraId="4CE3F3AD">
            <w:pPr>
              <w:pStyle w:val="31"/>
            </w:pPr>
            <w:r>
              <w:rPr>
                <w:rFonts w:hint="eastAsia"/>
              </w:rPr>
              <w:t>16.99</w:t>
            </w:r>
          </w:p>
        </w:tc>
        <w:tc>
          <w:tcPr>
            <w:tcW w:w="292" w:type="pct"/>
            <w:shd w:val="clear" w:color="auto" w:fill="auto"/>
            <w:noWrap/>
            <w:vAlign w:val="center"/>
          </w:tcPr>
          <w:p w14:paraId="60080AC3">
            <w:pPr>
              <w:pStyle w:val="31"/>
            </w:pPr>
            <w:r>
              <w:rPr>
                <w:rFonts w:hint="eastAsia"/>
              </w:rPr>
              <w:t>70.11</w:t>
            </w:r>
          </w:p>
        </w:tc>
        <w:tc>
          <w:tcPr>
            <w:tcW w:w="243" w:type="pct"/>
            <w:shd w:val="clear" w:color="auto" w:fill="auto"/>
            <w:noWrap/>
            <w:vAlign w:val="center"/>
          </w:tcPr>
          <w:p w14:paraId="2F91CFA8">
            <w:pPr>
              <w:pStyle w:val="31"/>
            </w:pPr>
            <w:r>
              <w:rPr>
                <w:rFonts w:hint="eastAsia"/>
              </w:rPr>
              <w:t>昼间</w:t>
            </w:r>
          </w:p>
        </w:tc>
        <w:tc>
          <w:tcPr>
            <w:tcW w:w="390" w:type="pct"/>
            <w:shd w:val="clear" w:color="auto" w:fill="auto"/>
            <w:noWrap/>
            <w:vAlign w:val="center"/>
          </w:tcPr>
          <w:p w14:paraId="07D81A54">
            <w:pPr>
              <w:pStyle w:val="31"/>
            </w:pPr>
            <w:r>
              <w:rPr>
                <w:rFonts w:hint="eastAsia"/>
              </w:rPr>
              <w:t>26</w:t>
            </w:r>
          </w:p>
        </w:tc>
        <w:tc>
          <w:tcPr>
            <w:tcW w:w="323" w:type="pct"/>
            <w:shd w:val="clear" w:color="auto" w:fill="auto"/>
            <w:noWrap/>
            <w:vAlign w:val="center"/>
          </w:tcPr>
          <w:p w14:paraId="0876C822">
            <w:pPr>
              <w:pStyle w:val="31"/>
            </w:pPr>
            <w:r>
              <w:rPr>
                <w:rFonts w:hint="eastAsia"/>
              </w:rPr>
              <w:t>44.11</w:t>
            </w:r>
          </w:p>
        </w:tc>
        <w:tc>
          <w:tcPr>
            <w:tcW w:w="297" w:type="pct"/>
            <w:shd w:val="clear" w:color="auto" w:fill="auto"/>
            <w:noWrap/>
            <w:vAlign w:val="center"/>
          </w:tcPr>
          <w:p w14:paraId="4FE87BFE">
            <w:pPr>
              <w:pStyle w:val="31"/>
            </w:pPr>
            <w:r>
              <w:rPr>
                <w:rFonts w:hint="eastAsia"/>
              </w:rPr>
              <w:t>1</w:t>
            </w:r>
          </w:p>
        </w:tc>
      </w:tr>
      <w:tr w14:paraId="67EC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34021869">
            <w:pPr>
              <w:pStyle w:val="31"/>
            </w:pPr>
            <w:r>
              <w:rPr>
                <w:rFonts w:hint="eastAsia"/>
              </w:rPr>
              <w:t>21</w:t>
            </w:r>
          </w:p>
        </w:tc>
        <w:tc>
          <w:tcPr>
            <w:tcW w:w="305" w:type="pct"/>
            <w:vMerge w:val="continue"/>
            <w:shd w:val="clear" w:color="auto" w:fill="auto"/>
            <w:noWrap/>
            <w:vAlign w:val="center"/>
          </w:tcPr>
          <w:p w14:paraId="4F6F44D7">
            <w:pPr>
              <w:pStyle w:val="31"/>
            </w:pPr>
          </w:p>
        </w:tc>
        <w:tc>
          <w:tcPr>
            <w:tcW w:w="681" w:type="pct"/>
            <w:shd w:val="clear" w:color="auto" w:fill="auto"/>
            <w:noWrap/>
            <w:vAlign w:val="center"/>
          </w:tcPr>
          <w:p w14:paraId="7AB0DDFE">
            <w:pPr>
              <w:pStyle w:val="31"/>
            </w:pPr>
            <w:r>
              <w:rPr>
                <w:rFonts w:hint="eastAsia"/>
              </w:rPr>
              <w:t>注塑成型机</w:t>
            </w:r>
          </w:p>
        </w:tc>
        <w:tc>
          <w:tcPr>
            <w:tcW w:w="633" w:type="pct"/>
            <w:shd w:val="clear" w:color="auto" w:fill="auto"/>
            <w:noWrap/>
            <w:vAlign w:val="center"/>
          </w:tcPr>
          <w:p w14:paraId="6E415D12">
            <w:pPr>
              <w:pStyle w:val="31"/>
            </w:pPr>
            <w:r>
              <w:rPr>
                <w:rFonts w:hint="eastAsia"/>
              </w:rPr>
              <w:t>85/1</w:t>
            </w:r>
          </w:p>
        </w:tc>
        <w:tc>
          <w:tcPr>
            <w:tcW w:w="340" w:type="pct"/>
            <w:vMerge w:val="continue"/>
            <w:shd w:val="clear" w:color="auto" w:fill="auto"/>
            <w:noWrap/>
            <w:vAlign w:val="center"/>
          </w:tcPr>
          <w:p w14:paraId="5C9C68DC">
            <w:pPr>
              <w:pStyle w:val="31"/>
            </w:pPr>
          </w:p>
        </w:tc>
        <w:tc>
          <w:tcPr>
            <w:tcW w:w="341" w:type="pct"/>
            <w:shd w:val="clear" w:color="auto" w:fill="auto"/>
            <w:noWrap/>
            <w:vAlign w:val="center"/>
          </w:tcPr>
          <w:p w14:paraId="776F9A5B">
            <w:pPr>
              <w:pStyle w:val="31"/>
            </w:pPr>
            <w:r>
              <w:rPr>
                <w:rFonts w:hint="eastAsia"/>
              </w:rPr>
              <w:t>102.05</w:t>
            </w:r>
          </w:p>
        </w:tc>
        <w:tc>
          <w:tcPr>
            <w:tcW w:w="341" w:type="pct"/>
            <w:shd w:val="clear" w:color="auto" w:fill="auto"/>
            <w:noWrap/>
            <w:vAlign w:val="center"/>
          </w:tcPr>
          <w:p w14:paraId="0F819E7B">
            <w:pPr>
              <w:pStyle w:val="31"/>
            </w:pPr>
            <w:r>
              <w:rPr>
                <w:rFonts w:hint="eastAsia"/>
              </w:rPr>
              <w:t>55.03</w:t>
            </w:r>
          </w:p>
        </w:tc>
        <w:tc>
          <w:tcPr>
            <w:tcW w:w="341" w:type="pct"/>
            <w:shd w:val="clear" w:color="auto" w:fill="auto"/>
            <w:noWrap/>
            <w:vAlign w:val="center"/>
          </w:tcPr>
          <w:p w14:paraId="7AA98D40">
            <w:pPr>
              <w:pStyle w:val="31"/>
            </w:pPr>
            <w:r>
              <w:rPr>
                <w:rFonts w:hint="eastAsia"/>
              </w:rPr>
              <w:t>1</w:t>
            </w:r>
          </w:p>
        </w:tc>
        <w:tc>
          <w:tcPr>
            <w:tcW w:w="292" w:type="pct"/>
            <w:shd w:val="clear" w:color="auto" w:fill="auto"/>
            <w:noWrap/>
            <w:vAlign w:val="center"/>
          </w:tcPr>
          <w:p w14:paraId="559CD5C5">
            <w:pPr>
              <w:pStyle w:val="31"/>
            </w:pPr>
            <w:r>
              <w:rPr>
                <w:rFonts w:hint="eastAsia"/>
              </w:rPr>
              <w:t>17.68</w:t>
            </w:r>
          </w:p>
        </w:tc>
        <w:tc>
          <w:tcPr>
            <w:tcW w:w="292" w:type="pct"/>
            <w:shd w:val="clear" w:color="auto" w:fill="auto"/>
            <w:noWrap/>
            <w:vAlign w:val="center"/>
          </w:tcPr>
          <w:p w14:paraId="7CC1DAC7">
            <w:pPr>
              <w:pStyle w:val="31"/>
            </w:pPr>
            <w:r>
              <w:rPr>
                <w:rFonts w:hint="eastAsia"/>
              </w:rPr>
              <w:t>70.11</w:t>
            </w:r>
          </w:p>
        </w:tc>
        <w:tc>
          <w:tcPr>
            <w:tcW w:w="243" w:type="pct"/>
            <w:shd w:val="clear" w:color="auto" w:fill="auto"/>
            <w:noWrap/>
            <w:vAlign w:val="center"/>
          </w:tcPr>
          <w:p w14:paraId="33F2F9EE">
            <w:pPr>
              <w:pStyle w:val="31"/>
            </w:pPr>
            <w:r>
              <w:rPr>
                <w:rFonts w:hint="eastAsia"/>
              </w:rPr>
              <w:t>昼间</w:t>
            </w:r>
          </w:p>
        </w:tc>
        <w:tc>
          <w:tcPr>
            <w:tcW w:w="390" w:type="pct"/>
            <w:shd w:val="clear" w:color="auto" w:fill="auto"/>
            <w:noWrap/>
            <w:vAlign w:val="center"/>
          </w:tcPr>
          <w:p w14:paraId="0B6B0032">
            <w:pPr>
              <w:pStyle w:val="31"/>
            </w:pPr>
            <w:r>
              <w:rPr>
                <w:rFonts w:hint="eastAsia"/>
              </w:rPr>
              <w:t>26</w:t>
            </w:r>
          </w:p>
        </w:tc>
        <w:tc>
          <w:tcPr>
            <w:tcW w:w="323" w:type="pct"/>
            <w:shd w:val="clear" w:color="auto" w:fill="auto"/>
            <w:noWrap/>
            <w:vAlign w:val="center"/>
          </w:tcPr>
          <w:p w14:paraId="22F344C0">
            <w:pPr>
              <w:pStyle w:val="31"/>
            </w:pPr>
            <w:r>
              <w:rPr>
                <w:rFonts w:hint="eastAsia"/>
              </w:rPr>
              <w:t>44.11</w:t>
            </w:r>
          </w:p>
        </w:tc>
        <w:tc>
          <w:tcPr>
            <w:tcW w:w="297" w:type="pct"/>
            <w:shd w:val="clear" w:color="auto" w:fill="auto"/>
            <w:noWrap/>
            <w:vAlign w:val="center"/>
          </w:tcPr>
          <w:p w14:paraId="69A13145">
            <w:pPr>
              <w:pStyle w:val="31"/>
            </w:pPr>
            <w:r>
              <w:rPr>
                <w:rFonts w:hint="eastAsia"/>
              </w:rPr>
              <w:t>1</w:t>
            </w:r>
          </w:p>
        </w:tc>
      </w:tr>
      <w:tr w14:paraId="21E4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6E53782">
            <w:pPr>
              <w:pStyle w:val="31"/>
            </w:pPr>
            <w:r>
              <w:rPr>
                <w:rFonts w:hint="eastAsia"/>
              </w:rPr>
              <w:t>22</w:t>
            </w:r>
          </w:p>
        </w:tc>
        <w:tc>
          <w:tcPr>
            <w:tcW w:w="305" w:type="pct"/>
            <w:vMerge w:val="continue"/>
            <w:shd w:val="clear" w:color="auto" w:fill="auto"/>
            <w:noWrap/>
            <w:vAlign w:val="center"/>
          </w:tcPr>
          <w:p w14:paraId="028F58B0">
            <w:pPr>
              <w:pStyle w:val="31"/>
            </w:pPr>
          </w:p>
        </w:tc>
        <w:tc>
          <w:tcPr>
            <w:tcW w:w="681" w:type="pct"/>
            <w:shd w:val="clear" w:color="auto" w:fill="auto"/>
            <w:noWrap/>
            <w:vAlign w:val="center"/>
          </w:tcPr>
          <w:p w14:paraId="5049FEF9">
            <w:pPr>
              <w:pStyle w:val="31"/>
            </w:pPr>
            <w:r>
              <w:rPr>
                <w:rFonts w:hint="eastAsia"/>
              </w:rPr>
              <w:t>注塑成型机</w:t>
            </w:r>
          </w:p>
        </w:tc>
        <w:tc>
          <w:tcPr>
            <w:tcW w:w="633" w:type="pct"/>
            <w:shd w:val="clear" w:color="auto" w:fill="auto"/>
            <w:noWrap/>
            <w:vAlign w:val="center"/>
          </w:tcPr>
          <w:p w14:paraId="41C788A6">
            <w:pPr>
              <w:pStyle w:val="31"/>
            </w:pPr>
            <w:r>
              <w:rPr>
                <w:rFonts w:hint="eastAsia"/>
              </w:rPr>
              <w:t>85/1</w:t>
            </w:r>
          </w:p>
        </w:tc>
        <w:tc>
          <w:tcPr>
            <w:tcW w:w="340" w:type="pct"/>
            <w:vMerge w:val="continue"/>
            <w:shd w:val="clear" w:color="auto" w:fill="auto"/>
            <w:noWrap/>
            <w:vAlign w:val="center"/>
          </w:tcPr>
          <w:p w14:paraId="1ED23241">
            <w:pPr>
              <w:pStyle w:val="31"/>
            </w:pPr>
          </w:p>
        </w:tc>
        <w:tc>
          <w:tcPr>
            <w:tcW w:w="341" w:type="pct"/>
            <w:shd w:val="clear" w:color="auto" w:fill="auto"/>
            <w:noWrap/>
            <w:vAlign w:val="center"/>
          </w:tcPr>
          <w:p w14:paraId="00DEBB50">
            <w:pPr>
              <w:pStyle w:val="31"/>
            </w:pPr>
            <w:r>
              <w:rPr>
                <w:rFonts w:hint="eastAsia"/>
              </w:rPr>
              <w:t>102.18</w:t>
            </w:r>
          </w:p>
        </w:tc>
        <w:tc>
          <w:tcPr>
            <w:tcW w:w="341" w:type="pct"/>
            <w:shd w:val="clear" w:color="auto" w:fill="auto"/>
            <w:noWrap/>
            <w:vAlign w:val="center"/>
          </w:tcPr>
          <w:p w14:paraId="7BC49B6A">
            <w:pPr>
              <w:pStyle w:val="31"/>
            </w:pPr>
            <w:r>
              <w:rPr>
                <w:rFonts w:hint="eastAsia"/>
              </w:rPr>
              <w:t>59.02</w:t>
            </w:r>
          </w:p>
        </w:tc>
        <w:tc>
          <w:tcPr>
            <w:tcW w:w="341" w:type="pct"/>
            <w:shd w:val="clear" w:color="auto" w:fill="auto"/>
            <w:noWrap/>
            <w:vAlign w:val="center"/>
          </w:tcPr>
          <w:p w14:paraId="408B29EB">
            <w:pPr>
              <w:pStyle w:val="31"/>
            </w:pPr>
            <w:r>
              <w:rPr>
                <w:rFonts w:hint="eastAsia"/>
              </w:rPr>
              <w:t>1</w:t>
            </w:r>
          </w:p>
        </w:tc>
        <w:tc>
          <w:tcPr>
            <w:tcW w:w="292" w:type="pct"/>
            <w:shd w:val="clear" w:color="auto" w:fill="auto"/>
            <w:noWrap/>
            <w:vAlign w:val="center"/>
          </w:tcPr>
          <w:p w14:paraId="35D3FDDB">
            <w:pPr>
              <w:pStyle w:val="31"/>
            </w:pPr>
            <w:r>
              <w:rPr>
                <w:rFonts w:hint="eastAsia"/>
              </w:rPr>
              <w:t>17.82</w:t>
            </w:r>
          </w:p>
        </w:tc>
        <w:tc>
          <w:tcPr>
            <w:tcW w:w="292" w:type="pct"/>
            <w:shd w:val="clear" w:color="auto" w:fill="auto"/>
            <w:noWrap/>
            <w:vAlign w:val="center"/>
          </w:tcPr>
          <w:p w14:paraId="20BE7A1A">
            <w:pPr>
              <w:pStyle w:val="31"/>
            </w:pPr>
            <w:r>
              <w:rPr>
                <w:rFonts w:hint="eastAsia"/>
              </w:rPr>
              <w:t>70.11</w:t>
            </w:r>
          </w:p>
        </w:tc>
        <w:tc>
          <w:tcPr>
            <w:tcW w:w="243" w:type="pct"/>
            <w:shd w:val="clear" w:color="auto" w:fill="auto"/>
            <w:noWrap/>
            <w:vAlign w:val="center"/>
          </w:tcPr>
          <w:p w14:paraId="465EEC1F">
            <w:pPr>
              <w:pStyle w:val="31"/>
            </w:pPr>
            <w:r>
              <w:rPr>
                <w:rFonts w:hint="eastAsia"/>
              </w:rPr>
              <w:t>昼间</w:t>
            </w:r>
          </w:p>
        </w:tc>
        <w:tc>
          <w:tcPr>
            <w:tcW w:w="390" w:type="pct"/>
            <w:shd w:val="clear" w:color="auto" w:fill="auto"/>
            <w:noWrap/>
            <w:vAlign w:val="center"/>
          </w:tcPr>
          <w:p w14:paraId="42952F56">
            <w:pPr>
              <w:pStyle w:val="31"/>
            </w:pPr>
            <w:r>
              <w:rPr>
                <w:rFonts w:hint="eastAsia"/>
              </w:rPr>
              <w:t>26</w:t>
            </w:r>
          </w:p>
        </w:tc>
        <w:tc>
          <w:tcPr>
            <w:tcW w:w="323" w:type="pct"/>
            <w:shd w:val="clear" w:color="auto" w:fill="auto"/>
            <w:noWrap/>
            <w:vAlign w:val="center"/>
          </w:tcPr>
          <w:p w14:paraId="7045DA6B">
            <w:pPr>
              <w:pStyle w:val="31"/>
            </w:pPr>
            <w:r>
              <w:rPr>
                <w:rFonts w:hint="eastAsia"/>
              </w:rPr>
              <w:t>44.11</w:t>
            </w:r>
          </w:p>
        </w:tc>
        <w:tc>
          <w:tcPr>
            <w:tcW w:w="297" w:type="pct"/>
            <w:shd w:val="clear" w:color="auto" w:fill="auto"/>
            <w:noWrap/>
            <w:vAlign w:val="center"/>
          </w:tcPr>
          <w:p w14:paraId="42D93574">
            <w:pPr>
              <w:pStyle w:val="31"/>
            </w:pPr>
            <w:r>
              <w:rPr>
                <w:rFonts w:hint="eastAsia"/>
              </w:rPr>
              <w:t>1</w:t>
            </w:r>
          </w:p>
        </w:tc>
      </w:tr>
      <w:tr w14:paraId="4F33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568CEFFE">
            <w:pPr>
              <w:pStyle w:val="31"/>
            </w:pPr>
            <w:r>
              <w:rPr>
                <w:rFonts w:hint="eastAsia"/>
              </w:rPr>
              <w:t>23</w:t>
            </w:r>
          </w:p>
        </w:tc>
        <w:tc>
          <w:tcPr>
            <w:tcW w:w="305" w:type="pct"/>
            <w:vMerge w:val="continue"/>
            <w:shd w:val="clear" w:color="auto" w:fill="auto"/>
            <w:noWrap/>
            <w:vAlign w:val="center"/>
          </w:tcPr>
          <w:p w14:paraId="77DFBBC3">
            <w:pPr>
              <w:pStyle w:val="31"/>
            </w:pPr>
          </w:p>
        </w:tc>
        <w:tc>
          <w:tcPr>
            <w:tcW w:w="681" w:type="pct"/>
            <w:shd w:val="clear" w:color="auto" w:fill="auto"/>
            <w:noWrap/>
            <w:vAlign w:val="center"/>
          </w:tcPr>
          <w:p w14:paraId="5D331589">
            <w:pPr>
              <w:pStyle w:val="31"/>
            </w:pPr>
            <w:r>
              <w:rPr>
                <w:rFonts w:hint="eastAsia"/>
              </w:rPr>
              <w:t>压泡机</w:t>
            </w:r>
          </w:p>
        </w:tc>
        <w:tc>
          <w:tcPr>
            <w:tcW w:w="633" w:type="pct"/>
            <w:shd w:val="clear" w:color="auto" w:fill="auto"/>
            <w:noWrap/>
            <w:vAlign w:val="center"/>
          </w:tcPr>
          <w:p w14:paraId="0BCDFF9D">
            <w:pPr>
              <w:pStyle w:val="31"/>
            </w:pPr>
            <w:r>
              <w:rPr>
                <w:rFonts w:hint="eastAsia"/>
              </w:rPr>
              <w:t>75/1</w:t>
            </w:r>
          </w:p>
        </w:tc>
        <w:tc>
          <w:tcPr>
            <w:tcW w:w="340" w:type="pct"/>
            <w:vMerge w:val="continue"/>
            <w:shd w:val="clear" w:color="auto" w:fill="auto"/>
            <w:noWrap/>
            <w:vAlign w:val="center"/>
          </w:tcPr>
          <w:p w14:paraId="78D3F183">
            <w:pPr>
              <w:pStyle w:val="31"/>
            </w:pPr>
          </w:p>
        </w:tc>
        <w:tc>
          <w:tcPr>
            <w:tcW w:w="341" w:type="pct"/>
            <w:shd w:val="clear" w:color="auto" w:fill="auto"/>
            <w:noWrap/>
            <w:vAlign w:val="center"/>
          </w:tcPr>
          <w:p w14:paraId="75E539BB">
            <w:pPr>
              <w:pStyle w:val="31"/>
            </w:pPr>
            <w:r>
              <w:rPr>
                <w:rFonts w:hint="eastAsia"/>
              </w:rPr>
              <w:t>114.02</w:t>
            </w:r>
          </w:p>
        </w:tc>
        <w:tc>
          <w:tcPr>
            <w:tcW w:w="341" w:type="pct"/>
            <w:shd w:val="clear" w:color="auto" w:fill="auto"/>
            <w:noWrap/>
            <w:vAlign w:val="center"/>
          </w:tcPr>
          <w:p w14:paraId="75E4A09C">
            <w:pPr>
              <w:pStyle w:val="31"/>
            </w:pPr>
            <w:r>
              <w:rPr>
                <w:rFonts w:hint="eastAsia"/>
              </w:rPr>
              <w:t>78.96</w:t>
            </w:r>
          </w:p>
        </w:tc>
        <w:tc>
          <w:tcPr>
            <w:tcW w:w="341" w:type="pct"/>
            <w:shd w:val="clear" w:color="auto" w:fill="auto"/>
            <w:noWrap/>
            <w:vAlign w:val="center"/>
          </w:tcPr>
          <w:p w14:paraId="5EF26D3E">
            <w:pPr>
              <w:pStyle w:val="31"/>
            </w:pPr>
            <w:r>
              <w:rPr>
                <w:rFonts w:hint="eastAsia"/>
              </w:rPr>
              <w:t>1</w:t>
            </w:r>
          </w:p>
        </w:tc>
        <w:tc>
          <w:tcPr>
            <w:tcW w:w="292" w:type="pct"/>
            <w:shd w:val="clear" w:color="auto" w:fill="auto"/>
            <w:noWrap/>
            <w:vAlign w:val="center"/>
          </w:tcPr>
          <w:p w14:paraId="1555C502">
            <w:pPr>
              <w:pStyle w:val="31"/>
            </w:pPr>
            <w:r>
              <w:rPr>
                <w:rFonts w:hint="eastAsia"/>
              </w:rPr>
              <w:t>21.64</w:t>
            </w:r>
          </w:p>
        </w:tc>
        <w:tc>
          <w:tcPr>
            <w:tcW w:w="292" w:type="pct"/>
            <w:shd w:val="clear" w:color="auto" w:fill="auto"/>
            <w:noWrap/>
            <w:vAlign w:val="center"/>
          </w:tcPr>
          <w:p w14:paraId="16739D45">
            <w:pPr>
              <w:pStyle w:val="31"/>
            </w:pPr>
            <w:r>
              <w:rPr>
                <w:rFonts w:hint="eastAsia"/>
              </w:rPr>
              <w:t>60.10</w:t>
            </w:r>
          </w:p>
        </w:tc>
        <w:tc>
          <w:tcPr>
            <w:tcW w:w="243" w:type="pct"/>
            <w:shd w:val="clear" w:color="auto" w:fill="auto"/>
            <w:noWrap/>
            <w:vAlign w:val="center"/>
          </w:tcPr>
          <w:p w14:paraId="6C6514BD">
            <w:pPr>
              <w:pStyle w:val="31"/>
            </w:pPr>
            <w:r>
              <w:rPr>
                <w:rFonts w:hint="eastAsia"/>
              </w:rPr>
              <w:t>昼间</w:t>
            </w:r>
          </w:p>
        </w:tc>
        <w:tc>
          <w:tcPr>
            <w:tcW w:w="390" w:type="pct"/>
            <w:shd w:val="clear" w:color="auto" w:fill="auto"/>
            <w:noWrap/>
            <w:vAlign w:val="center"/>
          </w:tcPr>
          <w:p w14:paraId="7CD98B18">
            <w:pPr>
              <w:pStyle w:val="31"/>
            </w:pPr>
            <w:r>
              <w:rPr>
                <w:rFonts w:hint="eastAsia"/>
              </w:rPr>
              <w:t>26</w:t>
            </w:r>
          </w:p>
        </w:tc>
        <w:tc>
          <w:tcPr>
            <w:tcW w:w="323" w:type="pct"/>
            <w:shd w:val="clear" w:color="auto" w:fill="auto"/>
            <w:noWrap/>
            <w:vAlign w:val="center"/>
          </w:tcPr>
          <w:p w14:paraId="40BA2269">
            <w:pPr>
              <w:pStyle w:val="31"/>
            </w:pPr>
            <w:r>
              <w:rPr>
                <w:rFonts w:hint="eastAsia"/>
              </w:rPr>
              <w:t>34.10</w:t>
            </w:r>
          </w:p>
        </w:tc>
        <w:tc>
          <w:tcPr>
            <w:tcW w:w="297" w:type="pct"/>
            <w:shd w:val="clear" w:color="auto" w:fill="auto"/>
            <w:noWrap/>
            <w:vAlign w:val="center"/>
          </w:tcPr>
          <w:p w14:paraId="3FC6F860">
            <w:pPr>
              <w:pStyle w:val="31"/>
            </w:pPr>
            <w:r>
              <w:rPr>
                <w:rFonts w:hint="eastAsia"/>
              </w:rPr>
              <w:t>1</w:t>
            </w:r>
          </w:p>
        </w:tc>
      </w:tr>
      <w:tr w14:paraId="2CF1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0006597E">
            <w:pPr>
              <w:pStyle w:val="31"/>
            </w:pPr>
            <w:r>
              <w:rPr>
                <w:rFonts w:hint="eastAsia"/>
              </w:rPr>
              <w:t>24</w:t>
            </w:r>
          </w:p>
        </w:tc>
        <w:tc>
          <w:tcPr>
            <w:tcW w:w="305" w:type="pct"/>
            <w:vMerge w:val="continue"/>
            <w:shd w:val="clear" w:color="auto" w:fill="auto"/>
            <w:noWrap/>
            <w:vAlign w:val="center"/>
          </w:tcPr>
          <w:p w14:paraId="0EA3E23C">
            <w:pPr>
              <w:pStyle w:val="31"/>
            </w:pPr>
          </w:p>
        </w:tc>
        <w:tc>
          <w:tcPr>
            <w:tcW w:w="681" w:type="pct"/>
            <w:shd w:val="clear" w:color="auto" w:fill="auto"/>
            <w:noWrap/>
            <w:vAlign w:val="center"/>
          </w:tcPr>
          <w:p w14:paraId="402AD8C3">
            <w:pPr>
              <w:pStyle w:val="31"/>
            </w:pPr>
            <w:r>
              <w:rPr>
                <w:rFonts w:hint="eastAsia"/>
              </w:rPr>
              <w:t>压泡机</w:t>
            </w:r>
          </w:p>
        </w:tc>
        <w:tc>
          <w:tcPr>
            <w:tcW w:w="633" w:type="pct"/>
            <w:shd w:val="clear" w:color="auto" w:fill="auto"/>
            <w:noWrap/>
            <w:vAlign w:val="center"/>
          </w:tcPr>
          <w:p w14:paraId="46CA847A">
            <w:pPr>
              <w:pStyle w:val="31"/>
            </w:pPr>
            <w:r>
              <w:rPr>
                <w:rFonts w:hint="eastAsia"/>
              </w:rPr>
              <w:t>75/1</w:t>
            </w:r>
          </w:p>
        </w:tc>
        <w:tc>
          <w:tcPr>
            <w:tcW w:w="340" w:type="pct"/>
            <w:vMerge w:val="continue"/>
            <w:shd w:val="clear" w:color="auto" w:fill="auto"/>
            <w:noWrap/>
            <w:vAlign w:val="center"/>
          </w:tcPr>
          <w:p w14:paraId="62492990">
            <w:pPr>
              <w:pStyle w:val="31"/>
            </w:pPr>
          </w:p>
        </w:tc>
        <w:tc>
          <w:tcPr>
            <w:tcW w:w="341" w:type="pct"/>
            <w:shd w:val="clear" w:color="auto" w:fill="auto"/>
            <w:noWrap/>
            <w:vAlign w:val="center"/>
          </w:tcPr>
          <w:p w14:paraId="2BCC7313">
            <w:pPr>
              <w:pStyle w:val="31"/>
            </w:pPr>
            <w:r>
              <w:rPr>
                <w:rFonts w:hint="eastAsia"/>
              </w:rPr>
              <w:t>114.19</w:t>
            </w:r>
          </w:p>
        </w:tc>
        <w:tc>
          <w:tcPr>
            <w:tcW w:w="341" w:type="pct"/>
            <w:shd w:val="clear" w:color="auto" w:fill="auto"/>
            <w:noWrap/>
            <w:vAlign w:val="center"/>
          </w:tcPr>
          <w:p w14:paraId="5D6759BF">
            <w:pPr>
              <w:pStyle w:val="31"/>
            </w:pPr>
            <w:r>
              <w:rPr>
                <w:rFonts w:hint="eastAsia"/>
              </w:rPr>
              <w:t>68.91</w:t>
            </w:r>
          </w:p>
        </w:tc>
        <w:tc>
          <w:tcPr>
            <w:tcW w:w="341" w:type="pct"/>
            <w:shd w:val="clear" w:color="auto" w:fill="auto"/>
            <w:noWrap/>
            <w:vAlign w:val="center"/>
          </w:tcPr>
          <w:p w14:paraId="60EAD6EA">
            <w:pPr>
              <w:pStyle w:val="31"/>
            </w:pPr>
            <w:r>
              <w:rPr>
                <w:rFonts w:hint="eastAsia"/>
              </w:rPr>
              <w:t>1</w:t>
            </w:r>
          </w:p>
        </w:tc>
        <w:tc>
          <w:tcPr>
            <w:tcW w:w="292" w:type="pct"/>
            <w:shd w:val="clear" w:color="auto" w:fill="auto"/>
            <w:noWrap/>
            <w:vAlign w:val="center"/>
          </w:tcPr>
          <w:p w14:paraId="2C43C9BE">
            <w:pPr>
              <w:pStyle w:val="31"/>
            </w:pPr>
            <w:r>
              <w:rPr>
                <w:rFonts w:hint="eastAsia"/>
              </w:rPr>
              <w:t>31.69</w:t>
            </w:r>
          </w:p>
        </w:tc>
        <w:tc>
          <w:tcPr>
            <w:tcW w:w="292" w:type="pct"/>
            <w:shd w:val="clear" w:color="auto" w:fill="auto"/>
            <w:noWrap/>
            <w:vAlign w:val="center"/>
          </w:tcPr>
          <w:p w14:paraId="3F9F45BB">
            <w:pPr>
              <w:pStyle w:val="31"/>
            </w:pPr>
            <w:r>
              <w:rPr>
                <w:rFonts w:hint="eastAsia"/>
              </w:rPr>
              <w:t>60.09</w:t>
            </w:r>
          </w:p>
        </w:tc>
        <w:tc>
          <w:tcPr>
            <w:tcW w:w="243" w:type="pct"/>
            <w:shd w:val="clear" w:color="auto" w:fill="auto"/>
            <w:noWrap/>
            <w:vAlign w:val="center"/>
          </w:tcPr>
          <w:p w14:paraId="5C42EA41">
            <w:pPr>
              <w:pStyle w:val="31"/>
            </w:pPr>
            <w:r>
              <w:rPr>
                <w:rFonts w:hint="eastAsia"/>
              </w:rPr>
              <w:t>昼间</w:t>
            </w:r>
          </w:p>
        </w:tc>
        <w:tc>
          <w:tcPr>
            <w:tcW w:w="390" w:type="pct"/>
            <w:shd w:val="clear" w:color="auto" w:fill="auto"/>
            <w:noWrap/>
            <w:vAlign w:val="center"/>
          </w:tcPr>
          <w:p w14:paraId="0E2198DB">
            <w:pPr>
              <w:pStyle w:val="31"/>
            </w:pPr>
            <w:r>
              <w:rPr>
                <w:rFonts w:hint="eastAsia"/>
              </w:rPr>
              <w:t>26</w:t>
            </w:r>
          </w:p>
        </w:tc>
        <w:tc>
          <w:tcPr>
            <w:tcW w:w="323" w:type="pct"/>
            <w:shd w:val="clear" w:color="auto" w:fill="auto"/>
            <w:noWrap/>
            <w:vAlign w:val="center"/>
          </w:tcPr>
          <w:p w14:paraId="39F1C9D9">
            <w:pPr>
              <w:pStyle w:val="31"/>
            </w:pPr>
            <w:r>
              <w:rPr>
                <w:rFonts w:hint="eastAsia"/>
              </w:rPr>
              <w:t>34.09</w:t>
            </w:r>
          </w:p>
        </w:tc>
        <w:tc>
          <w:tcPr>
            <w:tcW w:w="297" w:type="pct"/>
            <w:shd w:val="clear" w:color="auto" w:fill="auto"/>
            <w:noWrap/>
            <w:vAlign w:val="center"/>
          </w:tcPr>
          <w:p w14:paraId="0BD95DD5">
            <w:pPr>
              <w:pStyle w:val="31"/>
            </w:pPr>
            <w:r>
              <w:rPr>
                <w:rFonts w:hint="eastAsia"/>
              </w:rPr>
              <w:t>1</w:t>
            </w:r>
          </w:p>
        </w:tc>
      </w:tr>
      <w:tr w14:paraId="5756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41F98773">
            <w:pPr>
              <w:pStyle w:val="31"/>
            </w:pPr>
            <w:r>
              <w:rPr>
                <w:rFonts w:hint="eastAsia"/>
              </w:rPr>
              <w:t>25</w:t>
            </w:r>
          </w:p>
        </w:tc>
        <w:tc>
          <w:tcPr>
            <w:tcW w:w="305" w:type="pct"/>
            <w:vMerge w:val="continue"/>
            <w:shd w:val="clear" w:color="auto" w:fill="auto"/>
            <w:noWrap/>
            <w:vAlign w:val="center"/>
          </w:tcPr>
          <w:p w14:paraId="1CCE1E25">
            <w:pPr>
              <w:pStyle w:val="31"/>
            </w:pPr>
          </w:p>
        </w:tc>
        <w:tc>
          <w:tcPr>
            <w:tcW w:w="681" w:type="pct"/>
            <w:shd w:val="clear" w:color="auto" w:fill="auto"/>
            <w:noWrap/>
            <w:vAlign w:val="center"/>
          </w:tcPr>
          <w:p w14:paraId="2A674357">
            <w:pPr>
              <w:pStyle w:val="31"/>
            </w:pPr>
            <w:r>
              <w:rPr>
                <w:rFonts w:hint="eastAsia"/>
              </w:rPr>
              <w:t>全自动烫印机</w:t>
            </w:r>
          </w:p>
        </w:tc>
        <w:tc>
          <w:tcPr>
            <w:tcW w:w="633" w:type="pct"/>
            <w:shd w:val="clear" w:color="auto" w:fill="auto"/>
            <w:noWrap/>
            <w:vAlign w:val="center"/>
          </w:tcPr>
          <w:p w14:paraId="568F2889">
            <w:pPr>
              <w:pStyle w:val="31"/>
            </w:pPr>
            <w:r>
              <w:rPr>
                <w:rFonts w:hint="eastAsia"/>
              </w:rPr>
              <w:t>80/1</w:t>
            </w:r>
          </w:p>
        </w:tc>
        <w:tc>
          <w:tcPr>
            <w:tcW w:w="340" w:type="pct"/>
            <w:vMerge w:val="continue"/>
            <w:shd w:val="clear" w:color="auto" w:fill="auto"/>
            <w:noWrap/>
            <w:vAlign w:val="center"/>
          </w:tcPr>
          <w:p w14:paraId="4D12F7FF">
            <w:pPr>
              <w:pStyle w:val="31"/>
            </w:pPr>
          </w:p>
        </w:tc>
        <w:tc>
          <w:tcPr>
            <w:tcW w:w="341" w:type="pct"/>
            <w:shd w:val="clear" w:color="auto" w:fill="auto"/>
            <w:noWrap/>
            <w:vAlign w:val="center"/>
          </w:tcPr>
          <w:p w14:paraId="6BC0BE83">
            <w:pPr>
              <w:pStyle w:val="31"/>
            </w:pPr>
            <w:r>
              <w:rPr>
                <w:rFonts w:hint="eastAsia"/>
              </w:rPr>
              <w:t>112.97</w:t>
            </w:r>
          </w:p>
        </w:tc>
        <w:tc>
          <w:tcPr>
            <w:tcW w:w="341" w:type="pct"/>
            <w:shd w:val="clear" w:color="auto" w:fill="auto"/>
            <w:noWrap/>
            <w:vAlign w:val="center"/>
          </w:tcPr>
          <w:p w14:paraId="5C598F5D">
            <w:pPr>
              <w:pStyle w:val="31"/>
            </w:pPr>
            <w:r>
              <w:rPr>
                <w:rFonts w:hint="eastAsia"/>
              </w:rPr>
              <w:t>98.23</w:t>
            </w:r>
          </w:p>
        </w:tc>
        <w:tc>
          <w:tcPr>
            <w:tcW w:w="341" w:type="pct"/>
            <w:shd w:val="clear" w:color="auto" w:fill="auto"/>
            <w:noWrap/>
            <w:vAlign w:val="center"/>
          </w:tcPr>
          <w:p w14:paraId="72DDD2A6">
            <w:pPr>
              <w:pStyle w:val="31"/>
            </w:pPr>
            <w:r>
              <w:rPr>
                <w:rFonts w:hint="eastAsia"/>
              </w:rPr>
              <w:t>1</w:t>
            </w:r>
          </w:p>
        </w:tc>
        <w:tc>
          <w:tcPr>
            <w:tcW w:w="292" w:type="pct"/>
            <w:shd w:val="clear" w:color="auto" w:fill="auto"/>
            <w:noWrap/>
            <w:vAlign w:val="center"/>
          </w:tcPr>
          <w:p w14:paraId="42E731C6">
            <w:pPr>
              <w:pStyle w:val="31"/>
            </w:pPr>
            <w:r>
              <w:rPr>
                <w:rFonts w:hint="eastAsia"/>
              </w:rPr>
              <w:t>2.37</w:t>
            </w:r>
          </w:p>
        </w:tc>
        <w:tc>
          <w:tcPr>
            <w:tcW w:w="292" w:type="pct"/>
            <w:shd w:val="clear" w:color="auto" w:fill="auto"/>
            <w:noWrap/>
            <w:vAlign w:val="center"/>
          </w:tcPr>
          <w:p w14:paraId="3A6D625B">
            <w:pPr>
              <w:pStyle w:val="31"/>
            </w:pPr>
            <w:r>
              <w:rPr>
                <w:rFonts w:hint="eastAsia"/>
              </w:rPr>
              <w:t>66.66</w:t>
            </w:r>
          </w:p>
        </w:tc>
        <w:tc>
          <w:tcPr>
            <w:tcW w:w="243" w:type="pct"/>
            <w:shd w:val="clear" w:color="auto" w:fill="auto"/>
            <w:noWrap/>
            <w:vAlign w:val="center"/>
          </w:tcPr>
          <w:p w14:paraId="11630657">
            <w:pPr>
              <w:pStyle w:val="31"/>
            </w:pPr>
            <w:r>
              <w:rPr>
                <w:rFonts w:hint="eastAsia"/>
              </w:rPr>
              <w:t>昼间</w:t>
            </w:r>
          </w:p>
        </w:tc>
        <w:tc>
          <w:tcPr>
            <w:tcW w:w="390" w:type="pct"/>
            <w:shd w:val="clear" w:color="auto" w:fill="auto"/>
            <w:noWrap/>
            <w:vAlign w:val="center"/>
          </w:tcPr>
          <w:p w14:paraId="1EF703CF">
            <w:pPr>
              <w:pStyle w:val="31"/>
            </w:pPr>
            <w:r>
              <w:rPr>
                <w:rFonts w:hint="eastAsia"/>
              </w:rPr>
              <w:t>26</w:t>
            </w:r>
          </w:p>
        </w:tc>
        <w:tc>
          <w:tcPr>
            <w:tcW w:w="323" w:type="pct"/>
            <w:shd w:val="clear" w:color="auto" w:fill="auto"/>
            <w:noWrap/>
            <w:vAlign w:val="center"/>
          </w:tcPr>
          <w:p w14:paraId="0559EBA1">
            <w:pPr>
              <w:pStyle w:val="31"/>
            </w:pPr>
            <w:r>
              <w:rPr>
                <w:rFonts w:hint="eastAsia"/>
              </w:rPr>
              <w:t>40.66</w:t>
            </w:r>
          </w:p>
        </w:tc>
        <w:tc>
          <w:tcPr>
            <w:tcW w:w="297" w:type="pct"/>
            <w:shd w:val="clear" w:color="auto" w:fill="auto"/>
            <w:noWrap/>
            <w:vAlign w:val="center"/>
          </w:tcPr>
          <w:p w14:paraId="65B12147">
            <w:pPr>
              <w:pStyle w:val="31"/>
            </w:pPr>
            <w:r>
              <w:rPr>
                <w:rFonts w:hint="eastAsia"/>
              </w:rPr>
              <w:t>1</w:t>
            </w:r>
          </w:p>
        </w:tc>
      </w:tr>
      <w:tr w14:paraId="3E15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30F54D9D">
            <w:pPr>
              <w:pStyle w:val="31"/>
            </w:pPr>
            <w:r>
              <w:rPr>
                <w:rFonts w:hint="eastAsia"/>
              </w:rPr>
              <w:t>26</w:t>
            </w:r>
          </w:p>
        </w:tc>
        <w:tc>
          <w:tcPr>
            <w:tcW w:w="305" w:type="pct"/>
            <w:vMerge w:val="continue"/>
            <w:shd w:val="clear" w:color="auto" w:fill="auto"/>
            <w:noWrap/>
            <w:vAlign w:val="center"/>
          </w:tcPr>
          <w:p w14:paraId="4DAF4292">
            <w:pPr>
              <w:pStyle w:val="31"/>
            </w:pPr>
          </w:p>
        </w:tc>
        <w:tc>
          <w:tcPr>
            <w:tcW w:w="681" w:type="pct"/>
            <w:shd w:val="clear" w:color="auto" w:fill="auto"/>
            <w:noWrap/>
            <w:vAlign w:val="center"/>
          </w:tcPr>
          <w:p w14:paraId="5799C044">
            <w:pPr>
              <w:pStyle w:val="31"/>
            </w:pPr>
            <w:r>
              <w:rPr>
                <w:rFonts w:hint="eastAsia"/>
              </w:rPr>
              <w:t>全自动烫印机</w:t>
            </w:r>
          </w:p>
        </w:tc>
        <w:tc>
          <w:tcPr>
            <w:tcW w:w="633" w:type="pct"/>
            <w:shd w:val="clear" w:color="auto" w:fill="auto"/>
            <w:noWrap/>
            <w:vAlign w:val="center"/>
          </w:tcPr>
          <w:p w14:paraId="4071D9C1">
            <w:pPr>
              <w:pStyle w:val="31"/>
            </w:pPr>
            <w:r>
              <w:rPr>
                <w:rFonts w:hint="eastAsia"/>
              </w:rPr>
              <w:t>80/1</w:t>
            </w:r>
          </w:p>
        </w:tc>
        <w:tc>
          <w:tcPr>
            <w:tcW w:w="340" w:type="pct"/>
            <w:vMerge w:val="continue"/>
            <w:shd w:val="clear" w:color="auto" w:fill="auto"/>
            <w:noWrap/>
            <w:vAlign w:val="center"/>
          </w:tcPr>
          <w:p w14:paraId="6ABB8DEA">
            <w:pPr>
              <w:pStyle w:val="31"/>
            </w:pPr>
          </w:p>
        </w:tc>
        <w:tc>
          <w:tcPr>
            <w:tcW w:w="341" w:type="pct"/>
            <w:shd w:val="clear" w:color="auto" w:fill="auto"/>
            <w:noWrap/>
            <w:vAlign w:val="center"/>
          </w:tcPr>
          <w:p w14:paraId="38402AD1">
            <w:pPr>
              <w:pStyle w:val="31"/>
            </w:pPr>
            <w:r>
              <w:rPr>
                <w:rFonts w:hint="eastAsia"/>
              </w:rPr>
              <w:t>117.91</w:t>
            </w:r>
          </w:p>
        </w:tc>
        <w:tc>
          <w:tcPr>
            <w:tcW w:w="341" w:type="pct"/>
            <w:shd w:val="clear" w:color="auto" w:fill="auto"/>
            <w:noWrap/>
            <w:vAlign w:val="center"/>
          </w:tcPr>
          <w:p w14:paraId="10B7617B">
            <w:pPr>
              <w:pStyle w:val="31"/>
            </w:pPr>
            <w:r>
              <w:rPr>
                <w:rFonts w:hint="eastAsia"/>
              </w:rPr>
              <w:t>98.37</w:t>
            </w:r>
          </w:p>
        </w:tc>
        <w:tc>
          <w:tcPr>
            <w:tcW w:w="341" w:type="pct"/>
            <w:shd w:val="clear" w:color="auto" w:fill="auto"/>
            <w:noWrap/>
            <w:vAlign w:val="center"/>
          </w:tcPr>
          <w:p w14:paraId="66235F15">
            <w:pPr>
              <w:pStyle w:val="31"/>
            </w:pPr>
            <w:r>
              <w:rPr>
                <w:rFonts w:hint="eastAsia"/>
              </w:rPr>
              <w:t>1</w:t>
            </w:r>
          </w:p>
        </w:tc>
        <w:tc>
          <w:tcPr>
            <w:tcW w:w="292" w:type="pct"/>
            <w:shd w:val="clear" w:color="auto" w:fill="auto"/>
            <w:noWrap/>
            <w:vAlign w:val="center"/>
          </w:tcPr>
          <w:p w14:paraId="760399B1">
            <w:pPr>
              <w:pStyle w:val="31"/>
            </w:pPr>
            <w:r>
              <w:rPr>
                <w:rFonts w:hint="eastAsia"/>
              </w:rPr>
              <w:t>2.24</w:t>
            </w:r>
          </w:p>
        </w:tc>
        <w:tc>
          <w:tcPr>
            <w:tcW w:w="292" w:type="pct"/>
            <w:shd w:val="clear" w:color="auto" w:fill="auto"/>
            <w:noWrap/>
            <w:vAlign w:val="center"/>
          </w:tcPr>
          <w:p w14:paraId="032C1F2E">
            <w:pPr>
              <w:pStyle w:val="31"/>
            </w:pPr>
            <w:r>
              <w:rPr>
                <w:rFonts w:hint="eastAsia"/>
              </w:rPr>
              <w:t>66.82</w:t>
            </w:r>
          </w:p>
        </w:tc>
        <w:tc>
          <w:tcPr>
            <w:tcW w:w="243" w:type="pct"/>
            <w:shd w:val="clear" w:color="auto" w:fill="auto"/>
            <w:noWrap/>
            <w:vAlign w:val="center"/>
          </w:tcPr>
          <w:p w14:paraId="4EB4CF33">
            <w:pPr>
              <w:pStyle w:val="31"/>
            </w:pPr>
            <w:r>
              <w:rPr>
                <w:rFonts w:hint="eastAsia"/>
              </w:rPr>
              <w:t>昼间</w:t>
            </w:r>
          </w:p>
        </w:tc>
        <w:tc>
          <w:tcPr>
            <w:tcW w:w="390" w:type="pct"/>
            <w:shd w:val="clear" w:color="auto" w:fill="auto"/>
            <w:noWrap/>
            <w:vAlign w:val="center"/>
          </w:tcPr>
          <w:p w14:paraId="097DA6CF">
            <w:pPr>
              <w:pStyle w:val="31"/>
            </w:pPr>
            <w:r>
              <w:rPr>
                <w:rFonts w:hint="eastAsia"/>
              </w:rPr>
              <w:t>26</w:t>
            </w:r>
          </w:p>
        </w:tc>
        <w:tc>
          <w:tcPr>
            <w:tcW w:w="323" w:type="pct"/>
            <w:shd w:val="clear" w:color="auto" w:fill="auto"/>
            <w:noWrap/>
            <w:vAlign w:val="center"/>
          </w:tcPr>
          <w:p w14:paraId="3474FE0F">
            <w:pPr>
              <w:pStyle w:val="31"/>
            </w:pPr>
            <w:r>
              <w:rPr>
                <w:rFonts w:hint="eastAsia"/>
              </w:rPr>
              <w:t>40.82</w:t>
            </w:r>
          </w:p>
        </w:tc>
        <w:tc>
          <w:tcPr>
            <w:tcW w:w="297" w:type="pct"/>
            <w:shd w:val="clear" w:color="auto" w:fill="auto"/>
            <w:noWrap/>
            <w:vAlign w:val="center"/>
          </w:tcPr>
          <w:p w14:paraId="07435B65">
            <w:pPr>
              <w:pStyle w:val="31"/>
            </w:pPr>
            <w:r>
              <w:rPr>
                <w:rFonts w:hint="eastAsia"/>
              </w:rPr>
              <w:t>1</w:t>
            </w:r>
          </w:p>
        </w:tc>
      </w:tr>
      <w:tr w14:paraId="5E8E7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6AFC7DA9">
            <w:pPr>
              <w:pStyle w:val="31"/>
            </w:pPr>
            <w:r>
              <w:rPr>
                <w:rFonts w:hint="eastAsia"/>
              </w:rPr>
              <w:t>27</w:t>
            </w:r>
          </w:p>
        </w:tc>
        <w:tc>
          <w:tcPr>
            <w:tcW w:w="305" w:type="pct"/>
            <w:vMerge w:val="continue"/>
            <w:shd w:val="clear" w:color="auto" w:fill="auto"/>
            <w:noWrap/>
            <w:vAlign w:val="center"/>
          </w:tcPr>
          <w:p w14:paraId="736D9D80">
            <w:pPr>
              <w:pStyle w:val="31"/>
            </w:pPr>
          </w:p>
        </w:tc>
        <w:tc>
          <w:tcPr>
            <w:tcW w:w="681" w:type="pct"/>
            <w:shd w:val="clear" w:color="auto" w:fill="auto"/>
            <w:noWrap/>
            <w:vAlign w:val="center"/>
          </w:tcPr>
          <w:p w14:paraId="4F4020EC">
            <w:pPr>
              <w:pStyle w:val="31"/>
            </w:pPr>
            <w:r>
              <w:rPr>
                <w:rFonts w:hint="eastAsia"/>
              </w:rPr>
              <w:t>全自动烫印机</w:t>
            </w:r>
          </w:p>
        </w:tc>
        <w:tc>
          <w:tcPr>
            <w:tcW w:w="633" w:type="pct"/>
            <w:shd w:val="clear" w:color="auto" w:fill="auto"/>
            <w:noWrap/>
            <w:vAlign w:val="center"/>
          </w:tcPr>
          <w:p w14:paraId="6A3BED73">
            <w:pPr>
              <w:pStyle w:val="31"/>
            </w:pPr>
            <w:r>
              <w:rPr>
                <w:rFonts w:hint="eastAsia"/>
              </w:rPr>
              <w:t>80/1</w:t>
            </w:r>
          </w:p>
        </w:tc>
        <w:tc>
          <w:tcPr>
            <w:tcW w:w="340" w:type="pct"/>
            <w:vMerge w:val="continue"/>
            <w:shd w:val="clear" w:color="auto" w:fill="auto"/>
            <w:noWrap/>
            <w:vAlign w:val="center"/>
          </w:tcPr>
          <w:p w14:paraId="18114E50">
            <w:pPr>
              <w:pStyle w:val="31"/>
            </w:pPr>
          </w:p>
        </w:tc>
        <w:tc>
          <w:tcPr>
            <w:tcW w:w="341" w:type="pct"/>
            <w:shd w:val="clear" w:color="auto" w:fill="auto"/>
            <w:noWrap/>
            <w:vAlign w:val="center"/>
          </w:tcPr>
          <w:p w14:paraId="6AF61E5D">
            <w:pPr>
              <w:pStyle w:val="31"/>
            </w:pPr>
            <w:r>
              <w:rPr>
                <w:rFonts w:hint="eastAsia"/>
              </w:rPr>
              <w:t>124.54</w:t>
            </w:r>
          </w:p>
        </w:tc>
        <w:tc>
          <w:tcPr>
            <w:tcW w:w="341" w:type="pct"/>
            <w:shd w:val="clear" w:color="auto" w:fill="auto"/>
            <w:noWrap/>
            <w:vAlign w:val="center"/>
          </w:tcPr>
          <w:p w14:paraId="7EF7C4AD">
            <w:pPr>
              <w:pStyle w:val="31"/>
            </w:pPr>
            <w:r>
              <w:rPr>
                <w:rFonts w:hint="eastAsia"/>
              </w:rPr>
              <w:t>98.15</w:t>
            </w:r>
          </w:p>
        </w:tc>
        <w:tc>
          <w:tcPr>
            <w:tcW w:w="341" w:type="pct"/>
            <w:shd w:val="clear" w:color="auto" w:fill="auto"/>
            <w:noWrap/>
            <w:vAlign w:val="center"/>
          </w:tcPr>
          <w:p w14:paraId="02411A76">
            <w:pPr>
              <w:pStyle w:val="31"/>
            </w:pPr>
            <w:r>
              <w:rPr>
                <w:rFonts w:hint="eastAsia"/>
              </w:rPr>
              <w:t>1</w:t>
            </w:r>
          </w:p>
        </w:tc>
        <w:tc>
          <w:tcPr>
            <w:tcW w:w="292" w:type="pct"/>
            <w:shd w:val="clear" w:color="auto" w:fill="auto"/>
            <w:noWrap/>
            <w:vAlign w:val="center"/>
          </w:tcPr>
          <w:p w14:paraId="16A0CCDA">
            <w:pPr>
              <w:pStyle w:val="31"/>
            </w:pPr>
            <w:r>
              <w:rPr>
                <w:rFonts w:hint="eastAsia"/>
              </w:rPr>
              <w:t>2.46</w:t>
            </w:r>
          </w:p>
        </w:tc>
        <w:tc>
          <w:tcPr>
            <w:tcW w:w="292" w:type="pct"/>
            <w:shd w:val="clear" w:color="auto" w:fill="auto"/>
            <w:noWrap/>
            <w:vAlign w:val="center"/>
          </w:tcPr>
          <w:p w14:paraId="31DF9294">
            <w:pPr>
              <w:pStyle w:val="31"/>
            </w:pPr>
            <w:r>
              <w:rPr>
                <w:rFonts w:hint="eastAsia"/>
              </w:rPr>
              <w:t>66.56</w:t>
            </w:r>
          </w:p>
        </w:tc>
        <w:tc>
          <w:tcPr>
            <w:tcW w:w="243" w:type="pct"/>
            <w:shd w:val="clear" w:color="auto" w:fill="auto"/>
            <w:noWrap/>
            <w:vAlign w:val="center"/>
          </w:tcPr>
          <w:p w14:paraId="6906F7E7">
            <w:pPr>
              <w:pStyle w:val="31"/>
            </w:pPr>
            <w:r>
              <w:rPr>
                <w:rFonts w:hint="eastAsia"/>
              </w:rPr>
              <w:t>昼间</w:t>
            </w:r>
          </w:p>
        </w:tc>
        <w:tc>
          <w:tcPr>
            <w:tcW w:w="390" w:type="pct"/>
            <w:shd w:val="clear" w:color="auto" w:fill="auto"/>
            <w:noWrap/>
            <w:vAlign w:val="center"/>
          </w:tcPr>
          <w:p w14:paraId="4B614557">
            <w:pPr>
              <w:pStyle w:val="31"/>
            </w:pPr>
            <w:r>
              <w:rPr>
                <w:rFonts w:hint="eastAsia"/>
              </w:rPr>
              <w:t>26</w:t>
            </w:r>
          </w:p>
        </w:tc>
        <w:tc>
          <w:tcPr>
            <w:tcW w:w="323" w:type="pct"/>
            <w:shd w:val="clear" w:color="auto" w:fill="auto"/>
            <w:noWrap/>
            <w:vAlign w:val="center"/>
          </w:tcPr>
          <w:p w14:paraId="6DADEE13">
            <w:pPr>
              <w:pStyle w:val="31"/>
            </w:pPr>
            <w:r>
              <w:rPr>
                <w:rFonts w:hint="eastAsia"/>
              </w:rPr>
              <w:t>40.56</w:t>
            </w:r>
          </w:p>
        </w:tc>
        <w:tc>
          <w:tcPr>
            <w:tcW w:w="297" w:type="pct"/>
            <w:shd w:val="clear" w:color="auto" w:fill="auto"/>
            <w:noWrap/>
            <w:vAlign w:val="center"/>
          </w:tcPr>
          <w:p w14:paraId="44933614">
            <w:pPr>
              <w:pStyle w:val="31"/>
            </w:pPr>
            <w:r>
              <w:rPr>
                <w:rFonts w:hint="eastAsia"/>
              </w:rPr>
              <w:t>1</w:t>
            </w:r>
          </w:p>
        </w:tc>
      </w:tr>
      <w:tr w14:paraId="32FF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B2E5077">
            <w:pPr>
              <w:pStyle w:val="31"/>
            </w:pPr>
            <w:r>
              <w:rPr>
                <w:rFonts w:hint="eastAsia"/>
              </w:rPr>
              <w:t>28</w:t>
            </w:r>
          </w:p>
        </w:tc>
        <w:tc>
          <w:tcPr>
            <w:tcW w:w="305" w:type="pct"/>
            <w:vMerge w:val="continue"/>
            <w:shd w:val="clear" w:color="auto" w:fill="auto"/>
            <w:noWrap/>
            <w:vAlign w:val="center"/>
          </w:tcPr>
          <w:p w14:paraId="5AD1A54B">
            <w:pPr>
              <w:pStyle w:val="31"/>
            </w:pPr>
          </w:p>
        </w:tc>
        <w:tc>
          <w:tcPr>
            <w:tcW w:w="681" w:type="pct"/>
            <w:shd w:val="clear" w:color="auto" w:fill="auto"/>
            <w:noWrap/>
            <w:vAlign w:val="center"/>
          </w:tcPr>
          <w:p w14:paraId="37BF13B3">
            <w:pPr>
              <w:pStyle w:val="31"/>
            </w:pPr>
            <w:r>
              <w:rPr>
                <w:rFonts w:hint="eastAsia"/>
              </w:rPr>
              <w:t>全自动烫印机</w:t>
            </w:r>
          </w:p>
        </w:tc>
        <w:tc>
          <w:tcPr>
            <w:tcW w:w="633" w:type="pct"/>
            <w:shd w:val="clear" w:color="auto" w:fill="auto"/>
            <w:noWrap/>
            <w:vAlign w:val="center"/>
          </w:tcPr>
          <w:p w14:paraId="3863919F">
            <w:pPr>
              <w:pStyle w:val="31"/>
            </w:pPr>
            <w:r>
              <w:rPr>
                <w:rFonts w:hint="eastAsia"/>
              </w:rPr>
              <w:t>80/1</w:t>
            </w:r>
          </w:p>
        </w:tc>
        <w:tc>
          <w:tcPr>
            <w:tcW w:w="340" w:type="pct"/>
            <w:vMerge w:val="continue"/>
            <w:shd w:val="clear" w:color="auto" w:fill="auto"/>
            <w:noWrap/>
            <w:vAlign w:val="center"/>
          </w:tcPr>
          <w:p w14:paraId="5ED64133">
            <w:pPr>
              <w:pStyle w:val="31"/>
            </w:pPr>
          </w:p>
        </w:tc>
        <w:tc>
          <w:tcPr>
            <w:tcW w:w="341" w:type="pct"/>
            <w:shd w:val="clear" w:color="auto" w:fill="auto"/>
            <w:noWrap/>
            <w:vAlign w:val="center"/>
          </w:tcPr>
          <w:p w14:paraId="5C902375">
            <w:pPr>
              <w:pStyle w:val="31"/>
            </w:pPr>
            <w:r>
              <w:rPr>
                <w:rFonts w:hint="eastAsia"/>
              </w:rPr>
              <w:t>128.97</w:t>
            </w:r>
          </w:p>
        </w:tc>
        <w:tc>
          <w:tcPr>
            <w:tcW w:w="341" w:type="pct"/>
            <w:shd w:val="clear" w:color="auto" w:fill="auto"/>
            <w:noWrap/>
            <w:vAlign w:val="center"/>
          </w:tcPr>
          <w:p w14:paraId="20AD28DB">
            <w:pPr>
              <w:pStyle w:val="31"/>
            </w:pPr>
            <w:r>
              <w:rPr>
                <w:rFonts w:hint="eastAsia"/>
              </w:rPr>
              <w:t>98.23</w:t>
            </w:r>
          </w:p>
        </w:tc>
        <w:tc>
          <w:tcPr>
            <w:tcW w:w="341" w:type="pct"/>
            <w:shd w:val="clear" w:color="auto" w:fill="auto"/>
            <w:noWrap/>
            <w:vAlign w:val="center"/>
          </w:tcPr>
          <w:p w14:paraId="2E051BDF">
            <w:pPr>
              <w:pStyle w:val="31"/>
            </w:pPr>
            <w:r>
              <w:rPr>
                <w:rFonts w:hint="eastAsia"/>
              </w:rPr>
              <w:t>1</w:t>
            </w:r>
          </w:p>
        </w:tc>
        <w:tc>
          <w:tcPr>
            <w:tcW w:w="292" w:type="pct"/>
            <w:shd w:val="clear" w:color="auto" w:fill="auto"/>
            <w:noWrap/>
            <w:vAlign w:val="center"/>
          </w:tcPr>
          <w:p w14:paraId="150B0A56">
            <w:pPr>
              <w:pStyle w:val="31"/>
            </w:pPr>
            <w:r>
              <w:rPr>
                <w:rFonts w:hint="eastAsia"/>
              </w:rPr>
              <w:t>2.38</w:t>
            </w:r>
          </w:p>
        </w:tc>
        <w:tc>
          <w:tcPr>
            <w:tcW w:w="292" w:type="pct"/>
            <w:shd w:val="clear" w:color="auto" w:fill="auto"/>
            <w:noWrap/>
            <w:vAlign w:val="center"/>
          </w:tcPr>
          <w:p w14:paraId="6398544A">
            <w:pPr>
              <w:pStyle w:val="31"/>
            </w:pPr>
            <w:r>
              <w:rPr>
                <w:rFonts w:hint="eastAsia"/>
              </w:rPr>
              <w:t>66.65</w:t>
            </w:r>
          </w:p>
        </w:tc>
        <w:tc>
          <w:tcPr>
            <w:tcW w:w="243" w:type="pct"/>
            <w:shd w:val="clear" w:color="auto" w:fill="auto"/>
            <w:noWrap/>
            <w:vAlign w:val="center"/>
          </w:tcPr>
          <w:p w14:paraId="65E68CEC">
            <w:pPr>
              <w:pStyle w:val="31"/>
            </w:pPr>
            <w:r>
              <w:rPr>
                <w:rFonts w:hint="eastAsia"/>
              </w:rPr>
              <w:t>昼间</w:t>
            </w:r>
          </w:p>
        </w:tc>
        <w:tc>
          <w:tcPr>
            <w:tcW w:w="390" w:type="pct"/>
            <w:shd w:val="clear" w:color="auto" w:fill="auto"/>
            <w:noWrap/>
            <w:vAlign w:val="center"/>
          </w:tcPr>
          <w:p w14:paraId="58B9251B">
            <w:pPr>
              <w:pStyle w:val="31"/>
            </w:pPr>
            <w:r>
              <w:rPr>
                <w:rFonts w:hint="eastAsia"/>
              </w:rPr>
              <w:t>26</w:t>
            </w:r>
          </w:p>
        </w:tc>
        <w:tc>
          <w:tcPr>
            <w:tcW w:w="323" w:type="pct"/>
            <w:shd w:val="clear" w:color="auto" w:fill="auto"/>
            <w:noWrap/>
            <w:vAlign w:val="center"/>
          </w:tcPr>
          <w:p w14:paraId="51D161D0">
            <w:pPr>
              <w:pStyle w:val="31"/>
            </w:pPr>
            <w:r>
              <w:rPr>
                <w:rFonts w:hint="eastAsia"/>
              </w:rPr>
              <w:t>40.65</w:t>
            </w:r>
          </w:p>
        </w:tc>
        <w:tc>
          <w:tcPr>
            <w:tcW w:w="297" w:type="pct"/>
            <w:shd w:val="clear" w:color="auto" w:fill="auto"/>
            <w:noWrap/>
            <w:vAlign w:val="center"/>
          </w:tcPr>
          <w:p w14:paraId="68A23CB4">
            <w:pPr>
              <w:pStyle w:val="31"/>
            </w:pPr>
            <w:r>
              <w:rPr>
                <w:rFonts w:hint="eastAsia"/>
              </w:rPr>
              <w:t>1</w:t>
            </w:r>
          </w:p>
        </w:tc>
      </w:tr>
      <w:tr w14:paraId="44AF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9324B0F">
            <w:pPr>
              <w:pStyle w:val="31"/>
            </w:pPr>
            <w:r>
              <w:rPr>
                <w:rFonts w:hint="eastAsia"/>
              </w:rPr>
              <w:t>29</w:t>
            </w:r>
          </w:p>
        </w:tc>
        <w:tc>
          <w:tcPr>
            <w:tcW w:w="305" w:type="pct"/>
            <w:vMerge w:val="continue"/>
            <w:shd w:val="clear" w:color="auto" w:fill="auto"/>
            <w:noWrap/>
            <w:vAlign w:val="center"/>
          </w:tcPr>
          <w:p w14:paraId="39763034">
            <w:pPr>
              <w:pStyle w:val="31"/>
            </w:pPr>
          </w:p>
        </w:tc>
        <w:tc>
          <w:tcPr>
            <w:tcW w:w="681" w:type="pct"/>
            <w:shd w:val="clear" w:color="auto" w:fill="auto"/>
            <w:noWrap/>
            <w:vAlign w:val="center"/>
          </w:tcPr>
          <w:p w14:paraId="062405BF">
            <w:pPr>
              <w:pStyle w:val="31"/>
            </w:pPr>
            <w:r>
              <w:rPr>
                <w:rFonts w:hint="eastAsia"/>
              </w:rPr>
              <w:t>空压机</w:t>
            </w:r>
          </w:p>
        </w:tc>
        <w:tc>
          <w:tcPr>
            <w:tcW w:w="633" w:type="pct"/>
            <w:shd w:val="clear" w:color="auto" w:fill="auto"/>
            <w:noWrap/>
            <w:vAlign w:val="center"/>
          </w:tcPr>
          <w:p w14:paraId="2EFD3579">
            <w:pPr>
              <w:pStyle w:val="31"/>
            </w:pPr>
            <w:r>
              <w:rPr>
                <w:rFonts w:hint="eastAsia"/>
              </w:rPr>
              <w:t>85/1</w:t>
            </w:r>
          </w:p>
        </w:tc>
        <w:tc>
          <w:tcPr>
            <w:tcW w:w="340" w:type="pct"/>
            <w:vMerge w:val="continue"/>
            <w:shd w:val="clear" w:color="auto" w:fill="auto"/>
            <w:noWrap/>
            <w:vAlign w:val="center"/>
          </w:tcPr>
          <w:p w14:paraId="42F92891">
            <w:pPr>
              <w:pStyle w:val="31"/>
            </w:pPr>
          </w:p>
        </w:tc>
        <w:tc>
          <w:tcPr>
            <w:tcW w:w="341" w:type="pct"/>
            <w:shd w:val="clear" w:color="auto" w:fill="auto"/>
            <w:noWrap/>
            <w:vAlign w:val="center"/>
          </w:tcPr>
          <w:p w14:paraId="6B9612B2">
            <w:pPr>
              <w:pStyle w:val="31"/>
            </w:pPr>
            <w:r>
              <w:rPr>
                <w:rFonts w:hint="eastAsia"/>
              </w:rPr>
              <w:t>144.3</w:t>
            </w:r>
          </w:p>
        </w:tc>
        <w:tc>
          <w:tcPr>
            <w:tcW w:w="341" w:type="pct"/>
            <w:shd w:val="clear" w:color="auto" w:fill="auto"/>
            <w:noWrap/>
            <w:vAlign w:val="center"/>
          </w:tcPr>
          <w:p w14:paraId="77583690">
            <w:pPr>
              <w:pStyle w:val="31"/>
            </w:pPr>
            <w:r>
              <w:rPr>
                <w:rFonts w:hint="eastAsia"/>
              </w:rPr>
              <w:t>40.07</w:t>
            </w:r>
          </w:p>
        </w:tc>
        <w:tc>
          <w:tcPr>
            <w:tcW w:w="341" w:type="pct"/>
            <w:shd w:val="clear" w:color="auto" w:fill="auto"/>
            <w:noWrap/>
            <w:vAlign w:val="center"/>
          </w:tcPr>
          <w:p w14:paraId="0E3234EA">
            <w:pPr>
              <w:pStyle w:val="31"/>
            </w:pPr>
            <w:r>
              <w:rPr>
                <w:rFonts w:hint="eastAsia"/>
              </w:rPr>
              <w:t>1</w:t>
            </w:r>
          </w:p>
        </w:tc>
        <w:tc>
          <w:tcPr>
            <w:tcW w:w="292" w:type="pct"/>
            <w:shd w:val="clear" w:color="auto" w:fill="auto"/>
            <w:noWrap/>
            <w:vAlign w:val="center"/>
          </w:tcPr>
          <w:p w14:paraId="3724BF90">
            <w:pPr>
              <w:pStyle w:val="31"/>
            </w:pPr>
            <w:r>
              <w:rPr>
                <w:rFonts w:hint="eastAsia"/>
              </w:rPr>
              <w:t>5.58</w:t>
            </w:r>
          </w:p>
        </w:tc>
        <w:tc>
          <w:tcPr>
            <w:tcW w:w="292" w:type="pct"/>
            <w:shd w:val="clear" w:color="auto" w:fill="auto"/>
            <w:noWrap/>
            <w:vAlign w:val="center"/>
          </w:tcPr>
          <w:p w14:paraId="17D5C6E4">
            <w:pPr>
              <w:pStyle w:val="31"/>
            </w:pPr>
            <w:r>
              <w:rPr>
                <w:rFonts w:hint="eastAsia"/>
              </w:rPr>
              <w:t>70.41</w:t>
            </w:r>
          </w:p>
        </w:tc>
        <w:tc>
          <w:tcPr>
            <w:tcW w:w="243" w:type="pct"/>
            <w:shd w:val="clear" w:color="auto" w:fill="auto"/>
            <w:noWrap/>
            <w:vAlign w:val="center"/>
          </w:tcPr>
          <w:p w14:paraId="7F3BC88E">
            <w:pPr>
              <w:pStyle w:val="31"/>
            </w:pPr>
            <w:r>
              <w:rPr>
                <w:rFonts w:hint="eastAsia"/>
              </w:rPr>
              <w:t>昼间</w:t>
            </w:r>
          </w:p>
        </w:tc>
        <w:tc>
          <w:tcPr>
            <w:tcW w:w="390" w:type="pct"/>
            <w:shd w:val="clear" w:color="auto" w:fill="auto"/>
            <w:noWrap/>
            <w:vAlign w:val="center"/>
          </w:tcPr>
          <w:p w14:paraId="3389E47A">
            <w:pPr>
              <w:pStyle w:val="31"/>
            </w:pPr>
            <w:r>
              <w:rPr>
                <w:rFonts w:hint="eastAsia"/>
              </w:rPr>
              <w:t>26</w:t>
            </w:r>
          </w:p>
        </w:tc>
        <w:tc>
          <w:tcPr>
            <w:tcW w:w="323" w:type="pct"/>
            <w:shd w:val="clear" w:color="auto" w:fill="auto"/>
            <w:noWrap/>
            <w:vAlign w:val="center"/>
          </w:tcPr>
          <w:p w14:paraId="4C0EDD95">
            <w:pPr>
              <w:pStyle w:val="31"/>
            </w:pPr>
            <w:r>
              <w:rPr>
                <w:rFonts w:hint="eastAsia"/>
              </w:rPr>
              <w:t>44.41</w:t>
            </w:r>
          </w:p>
        </w:tc>
        <w:tc>
          <w:tcPr>
            <w:tcW w:w="297" w:type="pct"/>
            <w:shd w:val="clear" w:color="auto" w:fill="auto"/>
            <w:noWrap/>
            <w:vAlign w:val="center"/>
          </w:tcPr>
          <w:p w14:paraId="71577EFC">
            <w:pPr>
              <w:pStyle w:val="31"/>
            </w:pPr>
            <w:r>
              <w:rPr>
                <w:rFonts w:hint="eastAsia"/>
              </w:rPr>
              <w:t>1</w:t>
            </w:r>
          </w:p>
        </w:tc>
      </w:tr>
      <w:tr w14:paraId="6ADA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 w:type="pct"/>
            <w:shd w:val="clear" w:color="auto" w:fill="auto"/>
            <w:noWrap/>
            <w:vAlign w:val="center"/>
          </w:tcPr>
          <w:p w14:paraId="18CC4FF9">
            <w:pPr>
              <w:pStyle w:val="31"/>
            </w:pPr>
            <w:r>
              <w:rPr>
                <w:rFonts w:hint="eastAsia"/>
              </w:rPr>
              <w:t>30</w:t>
            </w:r>
          </w:p>
        </w:tc>
        <w:tc>
          <w:tcPr>
            <w:tcW w:w="305" w:type="pct"/>
            <w:vMerge w:val="continue"/>
            <w:shd w:val="clear" w:color="auto" w:fill="auto"/>
            <w:noWrap/>
            <w:vAlign w:val="center"/>
          </w:tcPr>
          <w:p w14:paraId="7124B402">
            <w:pPr>
              <w:pStyle w:val="31"/>
            </w:pPr>
          </w:p>
        </w:tc>
        <w:tc>
          <w:tcPr>
            <w:tcW w:w="681" w:type="pct"/>
            <w:shd w:val="clear" w:color="auto" w:fill="auto"/>
            <w:noWrap/>
            <w:vAlign w:val="center"/>
          </w:tcPr>
          <w:p w14:paraId="281AA58B">
            <w:pPr>
              <w:pStyle w:val="31"/>
            </w:pPr>
            <w:r>
              <w:rPr>
                <w:rFonts w:hint="eastAsia"/>
              </w:rPr>
              <w:t>空压机</w:t>
            </w:r>
          </w:p>
        </w:tc>
        <w:tc>
          <w:tcPr>
            <w:tcW w:w="633" w:type="pct"/>
            <w:shd w:val="clear" w:color="auto" w:fill="auto"/>
            <w:noWrap/>
            <w:vAlign w:val="center"/>
          </w:tcPr>
          <w:p w14:paraId="214D7FDE">
            <w:pPr>
              <w:pStyle w:val="31"/>
            </w:pPr>
            <w:r>
              <w:rPr>
                <w:rFonts w:hint="eastAsia"/>
              </w:rPr>
              <w:t>85/1</w:t>
            </w:r>
          </w:p>
        </w:tc>
        <w:tc>
          <w:tcPr>
            <w:tcW w:w="340" w:type="pct"/>
            <w:vMerge w:val="continue"/>
            <w:shd w:val="clear" w:color="auto" w:fill="auto"/>
            <w:noWrap/>
            <w:vAlign w:val="center"/>
          </w:tcPr>
          <w:p w14:paraId="352F2E3B">
            <w:pPr>
              <w:pStyle w:val="31"/>
            </w:pPr>
          </w:p>
        </w:tc>
        <w:tc>
          <w:tcPr>
            <w:tcW w:w="341" w:type="pct"/>
            <w:shd w:val="clear" w:color="auto" w:fill="auto"/>
            <w:noWrap/>
            <w:vAlign w:val="center"/>
          </w:tcPr>
          <w:p w14:paraId="6E0D6B51">
            <w:pPr>
              <w:pStyle w:val="31"/>
            </w:pPr>
            <w:r>
              <w:rPr>
                <w:rFonts w:hint="eastAsia"/>
              </w:rPr>
              <w:t>144.42</w:t>
            </w:r>
          </w:p>
        </w:tc>
        <w:tc>
          <w:tcPr>
            <w:tcW w:w="341" w:type="pct"/>
            <w:shd w:val="clear" w:color="auto" w:fill="auto"/>
            <w:noWrap/>
            <w:vAlign w:val="center"/>
          </w:tcPr>
          <w:p w14:paraId="13DAF31F">
            <w:pPr>
              <w:pStyle w:val="31"/>
            </w:pPr>
            <w:r>
              <w:rPr>
                <w:rFonts w:hint="eastAsia"/>
              </w:rPr>
              <w:t>33.61</w:t>
            </w:r>
          </w:p>
        </w:tc>
        <w:tc>
          <w:tcPr>
            <w:tcW w:w="341" w:type="pct"/>
            <w:shd w:val="clear" w:color="auto" w:fill="auto"/>
            <w:noWrap/>
            <w:vAlign w:val="center"/>
          </w:tcPr>
          <w:p w14:paraId="51ADA6EE">
            <w:pPr>
              <w:pStyle w:val="31"/>
            </w:pPr>
            <w:r>
              <w:rPr>
                <w:rFonts w:hint="eastAsia"/>
              </w:rPr>
              <w:t>1</w:t>
            </w:r>
          </w:p>
        </w:tc>
        <w:tc>
          <w:tcPr>
            <w:tcW w:w="292" w:type="pct"/>
            <w:shd w:val="clear" w:color="auto" w:fill="auto"/>
            <w:noWrap/>
            <w:vAlign w:val="center"/>
          </w:tcPr>
          <w:p w14:paraId="0DE9DAEC">
            <w:pPr>
              <w:pStyle w:val="31"/>
            </w:pPr>
            <w:r>
              <w:rPr>
                <w:rFonts w:hint="eastAsia"/>
              </w:rPr>
              <w:t>2.86</w:t>
            </w:r>
          </w:p>
        </w:tc>
        <w:tc>
          <w:tcPr>
            <w:tcW w:w="292" w:type="pct"/>
            <w:shd w:val="clear" w:color="auto" w:fill="auto"/>
            <w:noWrap/>
            <w:vAlign w:val="center"/>
          </w:tcPr>
          <w:p w14:paraId="5F8036C5">
            <w:pPr>
              <w:pStyle w:val="31"/>
            </w:pPr>
            <w:r>
              <w:rPr>
                <w:rFonts w:hint="eastAsia"/>
              </w:rPr>
              <w:t>71.22</w:t>
            </w:r>
          </w:p>
        </w:tc>
        <w:tc>
          <w:tcPr>
            <w:tcW w:w="243" w:type="pct"/>
            <w:shd w:val="clear" w:color="auto" w:fill="auto"/>
            <w:noWrap/>
            <w:vAlign w:val="center"/>
          </w:tcPr>
          <w:p w14:paraId="54C215C2">
            <w:pPr>
              <w:pStyle w:val="31"/>
            </w:pPr>
            <w:r>
              <w:rPr>
                <w:rFonts w:hint="eastAsia"/>
              </w:rPr>
              <w:t>昼间</w:t>
            </w:r>
          </w:p>
        </w:tc>
        <w:tc>
          <w:tcPr>
            <w:tcW w:w="390" w:type="pct"/>
            <w:shd w:val="clear" w:color="auto" w:fill="auto"/>
            <w:noWrap/>
            <w:vAlign w:val="center"/>
          </w:tcPr>
          <w:p w14:paraId="34C9866C">
            <w:pPr>
              <w:pStyle w:val="31"/>
            </w:pPr>
            <w:r>
              <w:rPr>
                <w:rFonts w:hint="eastAsia"/>
              </w:rPr>
              <w:t>26</w:t>
            </w:r>
          </w:p>
        </w:tc>
        <w:tc>
          <w:tcPr>
            <w:tcW w:w="323" w:type="pct"/>
            <w:shd w:val="clear" w:color="auto" w:fill="auto"/>
            <w:noWrap/>
            <w:vAlign w:val="center"/>
          </w:tcPr>
          <w:p w14:paraId="3236B9FF">
            <w:pPr>
              <w:pStyle w:val="31"/>
            </w:pPr>
            <w:r>
              <w:rPr>
                <w:rFonts w:hint="eastAsia"/>
              </w:rPr>
              <w:t>45.22</w:t>
            </w:r>
          </w:p>
        </w:tc>
        <w:tc>
          <w:tcPr>
            <w:tcW w:w="297" w:type="pct"/>
            <w:shd w:val="clear" w:color="auto" w:fill="auto"/>
            <w:noWrap/>
            <w:vAlign w:val="center"/>
          </w:tcPr>
          <w:p w14:paraId="788A4087">
            <w:pPr>
              <w:pStyle w:val="31"/>
            </w:pPr>
            <w:r>
              <w:rPr>
                <w:rFonts w:hint="eastAsia"/>
              </w:rPr>
              <w:t>1</w:t>
            </w:r>
          </w:p>
        </w:tc>
      </w:tr>
      <w:tr w14:paraId="5909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4"/>
            <w:shd w:val="clear" w:color="auto" w:fill="auto"/>
            <w:noWrap/>
            <w:vAlign w:val="center"/>
          </w:tcPr>
          <w:p w14:paraId="598EDEE1">
            <w:pPr>
              <w:pStyle w:val="31"/>
              <w:jc w:val="both"/>
            </w:pPr>
            <w:r>
              <w:rPr>
                <w:rFonts w:hint="eastAsia"/>
              </w:rPr>
              <w:t>注：坐标原点经纬度</w:t>
            </w:r>
            <w:r>
              <w:t>坐标为东经105.278673°，北纬30.590014°。</w:t>
            </w:r>
          </w:p>
        </w:tc>
      </w:tr>
    </w:tbl>
    <w:p w14:paraId="4029DFED">
      <w:pPr>
        <w:rPr>
          <w:rFonts w:hint="eastAsia" w:ascii="宋体" w:hAnsi="宋体"/>
          <w:sz w:val="28"/>
          <w:szCs w:val="28"/>
        </w:rPr>
      </w:pPr>
    </w:p>
    <w:p w14:paraId="4E08EFFA">
      <w:pPr>
        <w:rPr>
          <w:rFonts w:hint="eastAsia" w:ascii="宋体" w:hAnsi="宋体"/>
          <w:sz w:val="28"/>
          <w:szCs w:val="28"/>
        </w:rPr>
        <w:sectPr>
          <w:pgSz w:w="16838" w:h="11906" w:orient="landscape"/>
          <w:pgMar w:top="1134" w:right="1134" w:bottom="1134" w:left="1134" w:header="851" w:footer="992" w:gutter="0"/>
          <w:cols w:space="720" w:num="1"/>
          <w:docGrid w:type="lines" w:linePitch="312" w:charSpace="0"/>
        </w:sect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9373"/>
      </w:tblGrid>
      <w:tr w14:paraId="2030D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244" w:type="pct"/>
            <w:vAlign w:val="center"/>
          </w:tcPr>
          <w:p w14:paraId="0F08AAC9">
            <w:pPr>
              <w:spacing w:line="360" w:lineRule="auto"/>
              <w:jc w:val="center"/>
              <w:rPr>
                <w:rFonts w:cs="Times New Roman"/>
                <w:sz w:val="24"/>
                <w:szCs w:val="24"/>
              </w:rPr>
            </w:pPr>
            <w:r>
              <w:rPr>
                <w:rFonts w:hint="eastAsia" w:cs="Times New Roman"/>
                <w:sz w:val="24"/>
                <w:szCs w:val="24"/>
              </w:rPr>
              <w:t>运营期环境影响和保护措施</w:t>
            </w:r>
          </w:p>
        </w:tc>
        <w:tc>
          <w:tcPr>
            <w:tcW w:w="4756" w:type="pct"/>
            <w:vAlign w:val="center"/>
          </w:tcPr>
          <w:p w14:paraId="5A8C8BE1">
            <w:pPr>
              <w:spacing w:line="360" w:lineRule="auto"/>
              <w:ind w:firstLine="482" w:firstLineChars="200"/>
              <w:rPr>
                <w:b/>
                <w:bCs/>
                <w:sz w:val="24"/>
                <w:szCs w:val="24"/>
              </w:rPr>
            </w:pPr>
            <w:r>
              <w:rPr>
                <w:b/>
                <w:bCs/>
                <w:sz w:val="24"/>
                <w:szCs w:val="24"/>
              </w:rPr>
              <w:t>2</w:t>
            </w:r>
            <w:r>
              <w:rPr>
                <w:rFonts w:hint="eastAsia"/>
                <w:b/>
                <w:bCs/>
                <w:sz w:val="24"/>
                <w:szCs w:val="24"/>
              </w:rPr>
              <w:t>）预测方法</w:t>
            </w:r>
          </w:p>
          <w:p w14:paraId="5CDF0CAE">
            <w:pPr>
              <w:spacing w:line="360" w:lineRule="auto"/>
              <w:ind w:firstLine="480" w:firstLineChars="200"/>
              <w:rPr>
                <w:bCs/>
                <w:sz w:val="24"/>
                <w:szCs w:val="24"/>
              </w:rPr>
            </w:pPr>
            <w:r>
              <w:rPr>
                <w:rFonts w:hint="eastAsia"/>
                <w:bCs/>
                <w:sz w:val="24"/>
                <w:szCs w:val="24"/>
              </w:rPr>
              <w:t>本次环评采用《环境影响评价技术导则 声环境》（HJ2.4-2021）中工业噪声预测计算模型，预测方法为：</w:t>
            </w:r>
          </w:p>
          <w:p w14:paraId="73F65629">
            <w:pPr>
              <w:spacing w:line="360" w:lineRule="auto"/>
              <w:ind w:firstLine="482" w:firstLineChars="200"/>
              <w:rPr>
                <w:b/>
                <w:sz w:val="24"/>
                <w:szCs w:val="24"/>
              </w:rPr>
            </w:pPr>
            <w:r>
              <w:rPr>
                <w:rFonts w:hint="eastAsia"/>
                <w:b/>
                <w:sz w:val="24"/>
                <w:szCs w:val="24"/>
              </w:rPr>
              <w:t>①声源描述</w:t>
            </w:r>
          </w:p>
          <w:p w14:paraId="4C5452C3">
            <w:pPr>
              <w:spacing w:line="360" w:lineRule="auto"/>
              <w:ind w:firstLine="480" w:firstLineChars="200"/>
              <w:rPr>
                <w:bCs/>
                <w:sz w:val="24"/>
                <w:szCs w:val="24"/>
              </w:rPr>
            </w:pPr>
            <w:r>
              <w:rPr>
                <w:rFonts w:hint="eastAsia"/>
                <w:bCs/>
                <w:sz w:val="24"/>
                <w:szCs w:val="24"/>
              </w:rPr>
              <w:t>声环境影响预测，一般采用声源的倍频带声功率级、A声功率级或靠近声源某一位置的倍频带声压级、A声级来预测计算距声源不同距离的声级。工业声源有室外和室内两种声源，应分别计算。</w:t>
            </w:r>
          </w:p>
          <w:p w14:paraId="59F7E405">
            <w:pPr>
              <w:pStyle w:val="58"/>
              <w:ind w:firstLine="482"/>
            </w:pPr>
            <w:r>
              <w:rPr>
                <w:rFonts w:hint="eastAsia"/>
              </w:rPr>
              <w:t>②室外声源在预测点产生的声级计算</w:t>
            </w:r>
          </w:p>
          <w:p w14:paraId="15F38436">
            <w:pPr>
              <w:spacing w:line="360" w:lineRule="auto"/>
              <w:ind w:firstLine="480" w:firstLineChars="200"/>
              <w:rPr>
                <w:rFonts w:cs="Times New Roman"/>
                <w:sz w:val="24"/>
                <w:szCs w:val="24"/>
              </w:rPr>
            </w:pPr>
            <w:r>
              <w:rPr>
                <w:rFonts w:cs="Times New Roman"/>
                <w:sz w:val="24"/>
                <w:szCs w:val="24"/>
              </w:rPr>
              <w:t>按照无指向性点声源几何发散衰减进行计算</w:t>
            </w:r>
            <w:r>
              <w:rPr>
                <w:rFonts w:hint="eastAsia" w:cs="Times New Roman"/>
                <w:sz w:val="24"/>
                <w:szCs w:val="24"/>
              </w:rPr>
              <w:t>：</w:t>
            </w:r>
          </w:p>
          <w:p w14:paraId="3A23D0C7">
            <w:pPr>
              <w:spacing w:line="360" w:lineRule="auto"/>
              <w:jc w:val="center"/>
              <w:rPr>
                <w:rFonts w:cs="Times New Roman"/>
                <w:sz w:val="24"/>
                <w:szCs w:val="24"/>
              </w:rPr>
            </w:pPr>
            <w:r>
              <w:rPr>
                <w:position w:val="-14"/>
              </w:rPr>
              <w:object>
                <v:shape id="_x0000_i1035" o:spt="75" type="#_x0000_t75" style="height:21.75pt;width:144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p>
          <w:p w14:paraId="432D560B">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rPr>
              <w:t>（</w:t>
            </w:r>
            <w:r>
              <w:rPr>
                <w:i/>
                <w:sz w:val="24"/>
                <w:szCs w:val="24"/>
              </w:rPr>
              <w:t>r</w:t>
            </w:r>
            <w:r>
              <w:rPr>
                <w:sz w:val="24"/>
                <w:szCs w:val="24"/>
              </w:rPr>
              <w:t>）——</w:t>
            </w:r>
            <w:r>
              <w:rPr>
                <w:rFonts w:hint="eastAsia"/>
                <w:sz w:val="24"/>
                <w:szCs w:val="24"/>
              </w:rPr>
              <w:t>预测点处声压级，dB；</w:t>
            </w:r>
          </w:p>
          <w:p w14:paraId="3D4AAC3A">
            <w:pPr>
              <w:spacing w:line="360" w:lineRule="auto"/>
              <w:ind w:firstLine="1200" w:firstLineChars="500"/>
              <w:rPr>
                <w:sz w:val="24"/>
                <w:szCs w:val="24"/>
              </w:rPr>
            </w:pPr>
            <w:r>
              <w:rPr>
                <w:i/>
                <w:sz w:val="24"/>
                <w:szCs w:val="24"/>
              </w:rPr>
              <w:t>L</w:t>
            </w:r>
            <w:r>
              <w:rPr>
                <w:i/>
                <w:sz w:val="24"/>
                <w:szCs w:val="24"/>
                <w:vertAlign w:val="subscript"/>
              </w:rPr>
              <w:t>p</w:t>
            </w:r>
            <w:r>
              <w:rPr>
                <w:sz w:val="24"/>
                <w:szCs w:val="24"/>
              </w:rPr>
              <w:t>（</w:t>
            </w:r>
            <w:r>
              <w:rPr>
                <w:i/>
                <w:sz w:val="24"/>
                <w:szCs w:val="24"/>
              </w:rPr>
              <w:t>r</w:t>
            </w:r>
            <w:r>
              <w:rPr>
                <w:i/>
                <w:sz w:val="24"/>
                <w:szCs w:val="24"/>
                <w:vertAlign w:val="subscript"/>
              </w:rPr>
              <w:t>0</w:t>
            </w:r>
            <w:r>
              <w:rPr>
                <w:sz w:val="24"/>
                <w:szCs w:val="24"/>
              </w:rPr>
              <w:t>）——</w:t>
            </w:r>
            <w:r>
              <w:rPr>
                <w:rFonts w:hint="eastAsia"/>
                <w:sz w:val="24"/>
                <w:szCs w:val="24"/>
              </w:rPr>
              <w:t>参考位置</w:t>
            </w:r>
            <w:r>
              <w:rPr>
                <w:rFonts w:hint="eastAsia"/>
                <w:i/>
                <w:sz w:val="24"/>
                <w:szCs w:val="24"/>
              </w:rPr>
              <w:t>r</w:t>
            </w:r>
            <w:r>
              <w:rPr>
                <w:sz w:val="24"/>
                <w:szCs w:val="24"/>
                <w:vertAlign w:val="subscript"/>
              </w:rPr>
              <w:t>0</w:t>
            </w:r>
            <w:r>
              <w:rPr>
                <w:sz w:val="24"/>
                <w:szCs w:val="24"/>
              </w:rPr>
              <w:t>处的声压级</w:t>
            </w:r>
            <w:r>
              <w:rPr>
                <w:rFonts w:hint="eastAsia"/>
                <w:sz w:val="24"/>
                <w:szCs w:val="24"/>
              </w:rPr>
              <w:t>，dB；</w:t>
            </w:r>
          </w:p>
          <w:p w14:paraId="74BE0ACD">
            <w:pPr>
              <w:spacing w:line="360" w:lineRule="auto"/>
              <w:ind w:firstLine="1200" w:firstLineChars="500"/>
              <w:rPr>
                <w:sz w:val="24"/>
                <w:szCs w:val="24"/>
              </w:rPr>
            </w:pPr>
            <w:r>
              <w:rPr>
                <w:rFonts w:hint="eastAsia"/>
                <w:i/>
                <w:sz w:val="24"/>
                <w:szCs w:val="24"/>
              </w:rPr>
              <w:t>r</w:t>
            </w:r>
            <w:r>
              <w:rPr>
                <w:sz w:val="24"/>
                <w:szCs w:val="24"/>
              </w:rPr>
              <w:t>——</w:t>
            </w:r>
            <w:r>
              <w:rPr>
                <w:rFonts w:hint="eastAsia"/>
                <w:sz w:val="24"/>
                <w:szCs w:val="24"/>
              </w:rPr>
              <w:t>预测点距声源的距离，m；</w:t>
            </w:r>
          </w:p>
          <w:p w14:paraId="39B16398">
            <w:pPr>
              <w:spacing w:line="360" w:lineRule="auto"/>
              <w:ind w:firstLine="1200" w:firstLineChars="500"/>
              <w:rPr>
                <w:sz w:val="24"/>
                <w:szCs w:val="24"/>
              </w:rPr>
            </w:pPr>
            <w:r>
              <w:rPr>
                <w:rFonts w:hint="eastAsia"/>
                <w:i/>
                <w:sz w:val="24"/>
                <w:szCs w:val="24"/>
              </w:rPr>
              <w:t>r</w:t>
            </w:r>
            <w:r>
              <w:rPr>
                <w:sz w:val="24"/>
                <w:szCs w:val="24"/>
                <w:vertAlign w:val="subscript"/>
              </w:rPr>
              <w:t>0</w:t>
            </w:r>
            <w:r>
              <w:rPr>
                <w:sz w:val="24"/>
                <w:szCs w:val="24"/>
              </w:rPr>
              <w:t>——</w:t>
            </w:r>
            <w:r>
              <w:rPr>
                <w:rFonts w:hint="eastAsia"/>
                <w:sz w:val="24"/>
                <w:szCs w:val="24"/>
              </w:rPr>
              <w:t>参考位置距声源的距离，m。</w:t>
            </w:r>
          </w:p>
          <w:p w14:paraId="65468147">
            <w:pPr>
              <w:pStyle w:val="58"/>
              <w:ind w:firstLine="482"/>
            </w:pPr>
            <w:r>
              <w:rPr>
                <w:rFonts w:hint="eastAsia"/>
              </w:rPr>
              <w:t>③室内声源等效室外声源声功率级计算</w:t>
            </w:r>
          </w:p>
          <w:p w14:paraId="5CDA706F">
            <w:pPr>
              <w:spacing w:line="360" w:lineRule="auto"/>
              <w:ind w:firstLine="480" w:firstLineChars="200"/>
              <w:rPr>
                <w:sz w:val="24"/>
                <w:szCs w:val="24"/>
              </w:rPr>
            </w:pPr>
            <w:r>
              <w:rPr>
                <w:rFonts w:hint="eastAsia"/>
                <w:sz w:val="24"/>
                <w:szCs w:val="24"/>
              </w:rPr>
              <w:t>如下图所示，声源位于室内，</w:t>
            </w:r>
            <w:r>
              <w:rPr>
                <w:sz w:val="24"/>
                <w:szCs w:val="24"/>
              </w:rPr>
              <w:t>室内声源可采用等效室外声源声功率级</w:t>
            </w:r>
            <w:r>
              <w:rPr>
                <w:rFonts w:hint="eastAsia"/>
                <w:sz w:val="24"/>
                <w:szCs w:val="24"/>
              </w:rPr>
              <w:t>法</w:t>
            </w:r>
            <w:r>
              <w:rPr>
                <w:sz w:val="24"/>
                <w:szCs w:val="24"/>
              </w:rPr>
              <w:t>进行计算</w:t>
            </w:r>
            <w:r>
              <w:rPr>
                <w:rFonts w:hint="eastAsia"/>
                <w:sz w:val="24"/>
                <w:szCs w:val="24"/>
              </w:rPr>
              <w:t>。</w:t>
            </w:r>
            <w:r>
              <w:rPr>
                <w:sz w:val="24"/>
                <w:szCs w:val="24"/>
              </w:rPr>
              <w:t>设靠近开口处（</w:t>
            </w:r>
            <w:r>
              <w:rPr>
                <w:rFonts w:hint="eastAsia"/>
                <w:sz w:val="24"/>
                <w:szCs w:val="24"/>
              </w:rPr>
              <w:t>或</w:t>
            </w:r>
            <w:r>
              <w:rPr>
                <w:sz w:val="24"/>
                <w:szCs w:val="24"/>
              </w:rPr>
              <w:t>窗户）</w:t>
            </w:r>
            <w:r>
              <w:rPr>
                <w:rFonts w:hint="eastAsia"/>
                <w:sz w:val="24"/>
                <w:szCs w:val="24"/>
              </w:rPr>
              <w:t>室内</w:t>
            </w:r>
            <w:r>
              <w:rPr>
                <w:sz w:val="24"/>
                <w:szCs w:val="24"/>
              </w:rPr>
              <w:t>、室外某倍频带的声压级分别为</w:t>
            </w:r>
            <w:r>
              <w:rPr>
                <w:i/>
                <w:sz w:val="24"/>
                <w:szCs w:val="24"/>
              </w:rPr>
              <w:t>L</w:t>
            </w:r>
            <w:r>
              <w:rPr>
                <w:i/>
                <w:sz w:val="24"/>
                <w:szCs w:val="24"/>
                <w:vertAlign w:val="subscript"/>
              </w:rPr>
              <w:t>p</w:t>
            </w:r>
            <w:r>
              <w:rPr>
                <w:sz w:val="24"/>
                <w:szCs w:val="24"/>
                <w:vertAlign w:val="subscript"/>
              </w:rPr>
              <w:t>1</w:t>
            </w:r>
            <w:r>
              <w:rPr>
                <w:rFonts w:hint="eastAsia"/>
                <w:sz w:val="24"/>
                <w:szCs w:val="24"/>
              </w:rPr>
              <w:t>和</w:t>
            </w:r>
            <w:r>
              <w:rPr>
                <w:i/>
                <w:sz w:val="24"/>
                <w:szCs w:val="24"/>
              </w:rPr>
              <w:t>L</w:t>
            </w:r>
            <w:r>
              <w:rPr>
                <w:i/>
                <w:sz w:val="24"/>
                <w:szCs w:val="24"/>
                <w:vertAlign w:val="subscript"/>
              </w:rPr>
              <w:t>p</w:t>
            </w:r>
            <w:r>
              <w:rPr>
                <w:sz w:val="24"/>
                <w:szCs w:val="24"/>
                <w:vertAlign w:val="subscript"/>
              </w:rPr>
              <w:t>2</w:t>
            </w:r>
            <w:r>
              <w:rPr>
                <w:rFonts w:hint="eastAsia"/>
                <w:sz w:val="24"/>
                <w:szCs w:val="24"/>
              </w:rPr>
              <w:t>，</w:t>
            </w:r>
            <w:r>
              <w:rPr>
                <w:sz w:val="24"/>
                <w:szCs w:val="24"/>
              </w:rPr>
              <w:t>若</w:t>
            </w:r>
            <w:r>
              <w:rPr>
                <w:rFonts w:hint="eastAsia"/>
                <w:sz w:val="24"/>
                <w:szCs w:val="24"/>
              </w:rPr>
              <w:t>声源</w:t>
            </w:r>
            <w:r>
              <w:rPr>
                <w:sz w:val="24"/>
                <w:szCs w:val="24"/>
              </w:rPr>
              <w:t>所在室内声场为近似扩散声场，则室外倍频带声压级按下式计算：</w:t>
            </w:r>
          </w:p>
          <w:p w14:paraId="431844E4">
            <w:pPr>
              <w:spacing w:line="360" w:lineRule="auto"/>
              <w:jc w:val="center"/>
              <w:rPr>
                <w:sz w:val="24"/>
                <w:szCs w:val="24"/>
              </w:rPr>
            </w:pPr>
            <w:r>
              <w:rPr>
                <w:position w:val="-14"/>
              </w:rPr>
              <w:object>
                <v:shape id="_x0000_i1036" o:spt="75" type="#_x0000_t75" style="height:14.25pt;width:64.5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p>
          <w:p w14:paraId="61C1AB79">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i/>
                <w:sz w:val="24"/>
                <w:szCs w:val="24"/>
                <w:vertAlign w:val="subscript"/>
              </w:rPr>
              <w:t>p</w:t>
            </w:r>
            <w:r>
              <w:rPr>
                <w:sz w:val="24"/>
                <w:szCs w:val="24"/>
                <w:vertAlign w:val="subscript"/>
              </w:rPr>
              <w:t>1</w:t>
            </w:r>
            <w:r>
              <w:rPr>
                <w:sz w:val="24"/>
                <w:szCs w:val="24"/>
              </w:rPr>
              <w:t>——</w:t>
            </w:r>
            <w:r>
              <w:rPr>
                <w:rFonts w:hint="eastAsia"/>
                <w:sz w:val="24"/>
                <w:szCs w:val="24"/>
              </w:rPr>
              <w:t>靠近开口处（或窗户）室内某倍频带的声压级或A声级，dB；</w:t>
            </w:r>
          </w:p>
          <w:p w14:paraId="5DDC3445">
            <w:pPr>
              <w:spacing w:line="360" w:lineRule="auto"/>
              <w:ind w:firstLine="1200" w:firstLineChars="500"/>
              <w:rPr>
                <w:sz w:val="24"/>
                <w:szCs w:val="24"/>
              </w:rPr>
            </w:pPr>
            <w:r>
              <w:rPr>
                <w:i/>
                <w:sz w:val="24"/>
                <w:szCs w:val="24"/>
              </w:rPr>
              <w:t>L</w:t>
            </w:r>
            <w:r>
              <w:rPr>
                <w:i/>
                <w:sz w:val="24"/>
                <w:szCs w:val="24"/>
                <w:vertAlign w:val="subscript"/>
              </w:rPr>
              <w:t>p</w:t>
            </w:r>
            <w:r>
              <w:rPr>
                <w:sz w:val="24"/>
                <w:szCs w:val="24"/>
                <w:vertAlign w:val="subscript"/>
              </w:rPr>
              <w:t>2</w:t>
            </w:r>
            <w:r>
              <w:rPr>
                <w:sz w:val="24"/>
                <w:szCs w:val="24"/>
              </w:rPr>
              <w:t>——</w:t>
            </w:r>
            <w:r>
              <w:rPr>
                <w:rFonts w:hint="eastAsia"/>
                <w:sz w:val="24"/>
                <w:szCs w:val="24"/>
              </w:rPr>
              <w:t>靠近开口处（或窗户）室外某倍频带的声压级或A声级，dB；</w:t>
            </w:r>
          </w:p>
          <w:p w14:paraId="63CE29CF">
            <w:pPr>
              <w:spacing w:line="360" w:lineRule="auto"/>
              <w:ind w:firstLine="1200" w:firstLineChars="500"/>
              <w:rPr>
                <w:sz w:val="24"/>
                <w:szCs w:val="24"/>
              </w:rPr>
            </w:pPr>
            <w:r>
              <w:rPr>
                <w:rFonts w:hint="eastAsia"/>
                <w:i/>
                <w:sz w:val="24"/>
                <w:szCs w:val="24"/>
              </w:rPr>
              <w:t>TL</w:t>
            </w:r>
            <w:r>
              <w:rPr>
                <w:sz w:val="24"/>
                <w:szCs w:val="24"/>
              </w:rPr>
              <w:t>——</w:t>
            </w:r>
            <w:r>
              <w:rPr>
                <w:rFonts w:hint="eastAsia"/>
                <w:sz w:val="24"/>
                <w:szCs w:val="24"/>
              </w:rPr>
              <w:t>隔墙（或</w:t>
            </w:r>
            <w:r>
              <w:rPr>
                <w:sz w:val="24"/>
                <w:szCs w:val="24"/>
              </w:rPr>
              <w:t>窗户</w:t>
            </w:r>
            <w:r>
              <w:rPr>
                <w:rFonts w:hint="eastAsia"/>
                <w:sz w:val="24"/>
                <w:szCs w:val="24"/>
              </w:rPr>
              <w:t>）倍频带或A声级的隔声量，dB。</w:t>
            </w:r>
          </w:p>
          <w:p w14:paraId="7726D5DE">
            <w:pPr>
              <w:spacing w:line="360" w:lineRule="auto"/>
              <w:jc w:val="center"/>
              <w:rPr>
                <w:sz w:val="24"/>
                <w:szCs w:val="24"/>
              </w:rPr>
            </w:pPr>
            <w:r>
              <w:drawing>
                <wp:inline distT="0" distB="0" distL="0" distR="0">
                  <wp:extent cx="2419350" cy="11626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2465648" cy="1185169"/>
                          </a:xfrm>
                          <a:prstGeom prst="rect">
                            <a:avLst/>
                          </a:prstGeom>
                        </pic:spPr>
                      </pic:pic>
                    </a:graphicData>
                  </a:graphic>
                </wp:inline>
              </w:drawing>
            </w:r>
          </w:p>
          <w:p w14:paraId="22FDAD1A">
            <w:pPr>
              <w:pStyle w:val="51"/>
              <w:numPr>
                <w:ilvl w:val="0"/>
                <w:numId w:val="7"/>
              </w:numPr>
              <w:spacing w:line="360" w:lineRule="auto"/>
              <w:ind w:firstLineChars="0"/>
              <w:jc w:val="center"/>
              <w:rPr>
                <w:rFonts w:eastAsia="黑体" w:cs="Times New Roman"/>
                <w:szCs w:val="21"/>
              </w:rPr>
            </w:pPr>
            <w:r>
              <w:rPr>
                <w:rFonts w:hint="eastAsia" w:eastAsia="黑体" w:cs="Times New Roman"/>
                <w:szCs w:val="21"/>
              </w:rPr>
              <w:t>室内声源等效为室外声源图例</w:t>
            </w:r>
          </w:p>
          <w:p w14:paraId="7CEC4CB3">
            <w:pPr>
              <w:spacing w:line="360" w:lineRule="auto"/>
              <w:ind w:firstLine="480" w:firstLineChars="200"/>
              <w:rPr>
                <w:sz w:val="24"/>
                <w:szCs w:val="24"/>
              </w:rPr>
            </w:pPr>
            <w:r>
              <w:rPr>
                <w:rFonts w:hint="eastAsia"/>
                <w:sz w:val="24"/>
                <w:szCs w:val="24"/>
              </w:rPr>
              <w:t>某一室内声源靠近围护结构处产生的倍频带声压级或A声级按下式计算：</w:t>
            </w:r>
          </w:p>
          <w:p w14:paraId="1047700F">
            <w:pPr>
              <w:spacing w:line="360" w:lineRule="auto"/>
              <w:jc w:val="center"/>
              <w:rPr>
                <w:sz w:val="24"/>
                <w:szCs w:val="24"/>
              </w:rPr>
            </w:pPr>
            <w:r>
              <w:rPr>
                <w:position w:val="-28"/>
              </w:rPr>
              <w:object>
                <v:shape id="_x0000_i1037" o:spt="75" type="#_x0000_t75" style="height:28.5pt;width:115.5pt;" o:ole="t" filled="f" o:preferrelative="t" stroked="f" coordsize="21600,21600">
                  <v:path/>
                  <v:fill on="f" focussize="0,0"/>
                  <v:stroke on="f" joinstyle="miter"/>
                  <v:imagedata r:id="rId41" o:title=""/>
                  <o:lock v:ext="edit" aspectratio="t"/>
                  <w10:wrap type="none"/>
                  <w10:anchorlock/>
                </v:shape>
                <o:OLEObject Type="Embed" ProgID="Equation.DSMT4" ShapeID="_x0000_i1037" DrawAspect="Content" ObjectID="_1468075737" r:id="rId40">
                  <o:LockedField>false</o:LockedField>
                </o:OLEObject>
              </w:object>
            </w:r>
          </w:p>
          <w:p w14:paraId="7B7570B5">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w</w:t>
            </w:r>
            <w:r>
              <w:rPr>
                <w:rFonts w:cs="Times New Roman"/>
                <w:sz w:val="24"/>
                <w:szCs w:val="24"/>
              </w:rPr>
              <w:t>——点声源声功率级（A计权或倍频带），dB；</w:t>
            </w:r>
          </w:p>
          <w:p w14:paraId="6371BA3A">
            <w:pPr>
              <w:spacing w:line="360" w:lineRule="auto"/>
              <w:ind w:firstLine="1200" w:firstLineChars="500"/>
              <w:rPr>
                <w:sz w:val="24"/>
                <w:szCs w:val="24"/>
              </w:rPr>
            </w:pPr>
            <w:r>
              <w:rPr>
                <w:rFonts w:hint="eastAsia"/>
                <w:i/>
                <w:sz w:val="24"/>
                <w:szCs w:val="24"/>
              </w:rPr>
              <w:t>Q</w:t>
            </w:r>
            <w:r>
              <w:rPr>
                <w:sz w:val="24"/>
                <w:szCs w:val="24"/>
              </w:rPr>
              <w:t>——</w:t>
            </w:r>
            <w:r>
              <w:rPr>
                <w:rFonts w:hint="eastAsia"/>
                <w:sz w:val="24"/>
                <w:szCs w:val="24"/>
              </w:rPr>
              <w:t>指向性因数；通常对无指向性声源，当声源放在房间中心时，</w:t>
            </w:r>
            <w:r>
              <w:rPr>
                <w:rFonts w:hint="eastAsia"/>
                <w:i/>
                <w:iCs/>
                <w:sz w:val="24"/>
                <w:szCs w:val="24"/>
              </w:rPr>
              <w:t>Q</w:t>
            </w:r>
            <w:r>
              <w:rPr>
                <w:rFonts w:hint="eastAsia"/>
                <w:sz w:val="24"/>
                <w:szCs w:val="24"/>
              </w:rPr>
              <w:t>=1；当放在一面墙的中心时，</w:t>
            </w:r>
            <w:r>
              <w:rPr>
                <w:rFonts w:hint="eastAsia"/>
                <w:i/>
                <w:iCs/>
                <w:sz w:val="24"/>
                <w:szCs w:val="24"/>
              </w:rPr>
              <w:t>Q</w:t>
            </w:r>
            <w:r>
              <w:rPr>
                <w:rFonts w:hint="eastAsia"/>
                <w:sz w:val="24"/>
                <w:szCs w:val="24"/>
              </w:rPr>
              <w:t>=2；当放在两面墙夹角处时，</w:t>
            </w:r>
            <w:r>
              <w:rPr>
                <w:rFonts w:hint="eastAsia"/>
                <w:i/>
                <w:iCs/>
                <w:sz w:val="24"/>
                <w:szCs w:val="24"/>
              </w:rPr>
              <w:t>Q</w:t>
            </w:r>
            <w:r>
              <w:rPr>
                <w:rFonts w:hint="eastAsia"/>
                <w:sz w:val="24"/>
                <w:szCs w:val="24"/>
              </w:rPr>
              <w:t>=4；当放在三面墙夹角处时，</w:t>
            </w:r>
            <w:r>
              <w:rPr>
                <w:rFonts w:hint="eastAsia"/>
                <w:i/>
                <w:iCs/>
                <w:sz w:val="24"/>
                <w:szCs w:val="24"/>
              </w:rPr>
              <w:t>Q</w:t>
            </w:r>
            <w:r>
              <w:rPr>
                <w:rFonts w:hint="eastAsia"/>
                <w:sz w:val="24"/>
                <w:szCs w:val="24"/>
              </w:rPr>
              <w:t>=8；</w:t>
            </w:r>
          </w:p>
          <w:p w14:paraId="1D022142">
            <w:pPr>
              <w:spacing w:line="360" w:lineRule="auto"/>
              <w:ind w:firstLine="1200" w:firstLineChars="500"/>
              <w:rPr>
                <w:rFonts w:cs="Times New Roman"/>
                <w:sz w:val="24"/>
                <w:szCs w:val="24"/>
              </w:rPr>
            </w:pPr>
            <w:r>
              <w:rPr>
                <w:rFonts w:cs="Times New Roman"/>
                <w:i/>
                <w:sz w:val="24"/>
                <w:szCs w:val="24"/>
              </w:rPr>
              <w:t>R</w:t>
            </w:r>
            <w:r>
              <w:rPr>
                <w:rFonts w:cs="Times New Roman"/>
                <w:sz w:val="24"/>
                <w:szCs w:val="24"/>
              </w:rPr>
              <w:t>——房间常数；</w:t>
            </w:r>
            <w:r>
              <w:rPr>
                <w:rFonts w:cs="Times New Roman"/>
                <w:i/>
                <w:iCs/>
                <w:sz w:val="24"/>
                <w:szCs w:val="24"/>
              </w:rPr>
              <w:t>R</w:t>
            </w:r>
            <w:r>
              <w:rPr>
                <w:rFonts w:cs="Times New Roman"/>
                <w:sz w:val="24"/>
                <w:szCs w:val="24"/>
              </w:rPr>
              <w:t>=</w:t>
            </w:r>
            <w:r>
              <w:rPr>
                <w:rFonts w:cs="Times New Roman"/>
                <w:i/>
                <w:iCs/>
                <w:sz w:val="24"/>
                <w:szCs w:val="24"/>
              </w:rPr>
              <w:t>Sα</w:t>
            </w:r>
            <w:r>
              <w:rPr>
                <w:rFonts w:cs="Times New Roman"/>
                <w:sz w:val="24"/>
                <w:szCs w:val="24"/>
              </w:rPr>
              <w:t>/（1-</w:t>
            </w:r>
            <w:r>
              <w:rPr>
                <w:rFonts w:cs="Times New Roman"/>
                <w:i/>
                <w:iCs/>
                <w:sz w:val="24"/>
                <w:szCs w:val="24"/>
              </w:rPr>
              <w:t>α</w:t>
            </w:r>
            <w:r>
              <w:rPr>
                <w:rFonts w:cs="Times New Roman"/>
                <w:sz w:val="24"/>
                <w:szCs w:val="24"/>
              </w:rPr>
              <w:t>），</w:t>
            </w:r>
            <w:r>
              <w:rPr>
                <w:rFonts w:cs="Times New Roman"/>
                <w:i/>
                <w:iCs/>
                <w:sz w:val="24"/>
                <w:szCs w:val="24"/>
              </w:rPr>
              <w:t>S</w:t>
            </w:r>
            <w:r>
              <w:rPr>
                <w:rFonts w:cs="Times New Roman"/>
                <w:sz w:val="24"/>
                <w:szCs w:val="24"/>
              </w:rPr>
              <w:t>为房间内表面面积，m</w:t>
            </w:r>
            <w:r>
              <w:rPr>
                <w:rFonts w:cs="Times New Roman"/>
                <w:sz w:val="24"/>
                <w:szCs w:val="24"/>
                <w:vertAlign w:val="superscript"/>
              </w:rPr>
              <w:t>2</w:t>
            </w:r>
            <w:r>
              <w:rPr>
                <w:rFonts w:cs="Times New Roman"/>
                <w:sz w:val="24"/>
                <w:szCs w:val="24"/>
              </w:rPr>
              <w:t>；</w:t>
            </w:r>
            <w:r>
              <w:rPr>
                <w:rFonts w:cs="Times New Roman"/>
                <w:i/>
                <w:iCs/>
                <w:sz w:val="24"/>
                <w:szCs w:val="24"/>
              </w:rPr>
              <w:t>α</w:t>
            </w:r>
            <w:r>
              <w:rPr>
                <w:rFonts w:cs="Times New Roman"/>
                <w:sz w:val="24"/>
                <w:szCs w:val="24"/>
              </w:rPr>
              <w:t>为平均吸声系数；</w:t>
            </w:r>
          </w:p>
          <w:p w14:paraId="75C2A0D0">
            <w:pPr>
              <w:spacing w:line="360" w:lineRule="auto"/>
              <w:ind w:firstLine="1200" w:firstLineChars="500"/>
              <w:rPr>
                <w:rFonts w:cs="Times New Roman"/>
                <w:sz w:val="24"/>
                <w:szCs w:val="24"/>
              </w:rPr>
            </w:pPr>
            <w:r>
              <w:rPr>
                <w:rFonts w:hint="eastAsia" w:cs="Times New Roman"/>
                <w:i/>
                <w:sz w:val="24"/>
                <w:szCs w:val="24"/>
              </w:rPr>
              <w:t>r</w:t>
            </w:r>
            <w:r>
              <w:rPr>
                <w:rFonts w:cs="Times New Roman"/>
                <w:sz w:val="24"/>
                <w:szCs w:val="24"/>
              </w:rPr>
              <w:t>——</w:t>
            </w:r>
            <w:r>
              <w:rPr>
                <w:rFonts w:hint="eastAsia" w:cs="Times New Roman"/>
                <w:sz w:val="24"/>
                <w:szCs w:val="24"/>
              </w:rPr>
              <w:t>声源到靠近围护结构某点处的距离，m。</w:t>
            </w:r>
          </w:p>
          <w:p w14:paraId="46A04279">
            <w:pPr>
              <w:spacing w:line="360" w:lineRule="auto"/>
              <w:ind w:firstLine="480" w:firstLineChars="200"/>
              <w:rPr>
                <w:sz w:val="24"/>
                <w:szCs w:val="24"/>
              </w:rPr>
            </w:pPr>
            <w:r>
              <w:rPr>
                <w:rFonts w:hint="eastAsia"/>
                <w:sz w:val="24"/>
                <w:szCs w:val="24"/>
              </w:rPr>
              <w:t>然后按下式计算出所有室内声源在围护结构处产生的</w:t>
            </w:r>
            <w:r>
              <w:rPr>
                <w:rFonts w:hint="eastAsia"/>
                <w:i/>
                <w:iCs/>
                <w:sz w:val="24"/>
                <w:szCs w:val="24"/>
              </w:rPr>
              <w:t xml:space="preserve">i </w:t>
            </w:r>
            <w:r>
              <w:rPr>
                <w:rFonts w:hint="eastAsia"/>
                <w:sz w:val="24"/>
                <w:szCs w:val="24"/>
              </w:rPr>
              <w:t>倍频带叠加声压级：</w:t>
            </w:r>
          </w:p>
          <w:p w14:paraId="0D22FFFD">
            <w:pPr>
              <w:spacing w:line="360" w:lineRule="auto"/>
              <w:jc w:val="center"/>
              <w:rPr>
                <w:sz w:val="24"/>
                <w:szCs w:val="24"/>
              </w:rPr>
            </w:pPr>
            <w:r>
              <w:rPr>
                <w:position w:val="-32"/>
              </w:rPr>
              <w:object>
                <v:shape id="_x0000_i1038" o:spt="75" type="#_x0000_t75" style="height:28.5pt;width:108pt;" o:ole="t" filled="f" o:preferrelative="t" stroked="f" coordsize="21600,21600">
                  <v:path/>
                  <v:fill on="f" focussize="0,0"/>
                  <v:stroke on="f" joinstyle="miter"/>
                  <v:imagedata r:id="rId43" o:title=""/>
                  <o:lock v:ext="edit" aspectratio="t"/>
                  <w10:wrap type="none"/>
                  <w10:anchorlock/>
                </v:shape>
                <o:OLEObject Type="Embed" ProgID="Equation.DSMT4" ShapeID="_x0000_i1038" DrawAspect="Content" ObjectID="_1468075738" r:id="rId42">
                  <o:LockedField>false</o:LockedField>
                </o:OLEObject>
              </w:object>
            </w:r>
          </w:p>
          <w:p w14:paraId="29FC28AF">
            <w:pPr>
              <w:spacing w:line="360" w:lineRule="auto"/>
              <w:ind w:firstLine="480" w:firstLineChars="200"/>
              <w:rPr>
                <w:rFonts w:cs="Times New Roman"/>
                <w:sz w:val="24"/>
                <w:szCs w:val="24"/>
              </w:rPr>
            </w:pPr>
            <w:r>
              <w:rPr>
                <w:rFonts w:cs="Times New Roman"/>
                <w:sz w:val="24"/>
                <w:szCs w:val="24"/>
              </w:rPr>
              <w:t>式中，</w:t>
            </w:r>
            <w:r>
              <w:rPr>
                <w:rFonts w:cs="Times New Roman"/>
                <w:i/>
                <w:iCs/>
                <w:sz w:val="24"/>
                <w:szCs w:val="24"/>
              </w:rPr>
              <w:t>L</w:t>
            </w:r>
            <w:r>
              <w:rPr>
                <w:rFonts w:cs="Times New Roman"/>
                <w:i/>
                <w:iCs/>
                <w:sz w:val="24"/>
                <w:szCs w:val="24"/>
                <w:vertAlign w:val="subscript"/>
              </w:rPr>
              <w:t>p1i</w:t>
            </w:r>
            <w:r>
              <w:rPr>
                <w:rFonts w:cs="Times New Roman"/>
                <w:sz w:val="24"/>
                <w:szCs w:val="24"/>
              </w:rPr>
              <w:t>(</w:t>
            </w:r>
            <w:r>
              <w:rPr>
                <w:rFonts w:cs="Times New Roman"/>
                <w:i/>
                <w:iCs/>
                <w:sz w:val="24"/>
                <w:szCs w:val="24"/>
              </w:rPr>
              <w:t>T</w:t>
            </w:r>
            <w:r>
              <w:rPr>
                <w:rFonts w:cs="Times New Roman"/>
                <w:sz w:val="24"/>
                <w:szCs w:val="24"/>
              </w:rPr>
              <w:t>)——</w:t>
            </w:r>
            <w:r>
              <w:rPr>
                <w:rFonts w:hint="eastAsia" w:cs="Times New Roman"/>
                <w:sz w:val="24"/>
                <w:szCs w:val="24"/>
              </w:rPr>
              <w:t>靠近围护结构处室内N个声源</w:t>
            </w:r>
            <w:r>
              <w:rPr>
                <w:rFonts w:hint="eastAsia" w:cs="Times New Roman"/>
                <w:i/>
                <w:iCs/>
                <w:sz w:val="24"/>
                <w:szCs w:val="24"/>
              </w:rPr>
              <w:t>i</w:t>
            </w:r>
            <w:r>
              <w:rPr>
                <w:rFonts w:hint="eastAsia" w:cs="Times New Roman"/>
                <w:sz w:val="24"/>
                <w:szCs w:val="24"/>
              </w:rPr>
              <w:t>倍频带的叠加声压级，dB；</w:t>
            </w:r>
          </w:p>
          <w:p w14:paraId="49B18E3A">
            <w:pPr>
              <w:spacing w:line="360" w:lineRule="auto"/>
              <w:ind w:firstLine="1200" w:firstLineChars="500"/>
              <w:rPr>
                <w:sz w:val="24"/>
                <w:szCs w:val="24"/>
              </w:rPr>
            </w:pPr>
            <w:r>
              <w:rPr>
                <w:rFonts w:cs="Times New Roman"/>
                <w:i/>
                <w:iCs/>
                <w:sz w:val="24"/>
                <w:szCs w:val="24"/>
              </w:rPr>
              <w:t>L</w:t>
            </w:r>
            <w:r>
              <w:rPr>
                <w:rFonts w:cs="Times New Roman"/>
                <w:i/>
                <w:iCs/>
                <w:sz w:val="24"/>
                <w:szCs w:val="24"/>
                <w:vertAlign w:val="subscript"/>
              </w:rPr>
              <w:t>p1ij</w:t>
            </w:r>
            <w:r>
              <w:rPr>
                <w:rFonts w:cs="Times New Roman"/>
                <w:sz w:val="24"/>
                <w:szCs w:val="24"/>
              </w:rPr>
              <w:t>——</w:t>
            </w:r>
            <w:r>
              <w:rPr>
                <w:rFonts w:hint="eastAsia" w:cs="Times New Roman"/>
                <w:sz w:val="24"/>
                <w:szCs w:val="24"/>
              </w:rPr>
              <w:t>室内</w:t>
            </w:r>
            <w:r>
              <w:rPr>
                <w:rFonts w:hint="eastAsia" w:cs="Times New Roman"/>
                <w:i/>
                <w:iCs/>
                <w:sz w:val="24"/>
                <w:szCs w:val="24"/>
              </w:rPr>
              <w:t>j</w:t>
            </w:r>
            <w:r>
              <w:rPr>
                <w:rFonts w:hint="eastAsia" w:cs="Times New Roman"/>
                <w:sz w:val="24"/>
                <w:szCs w:val="24"/>
              </w:rPr>
              <w:t>声源</w:t>
            </w:r>
            <w:r>
              <w:rPr>
                <w:rFonts w:hint="eastAsia" w:cs="Times New Roman"/>
                <w:i/>
                <w:iCs/>
                <w:sz w:val="24"/>
                <w:szCs w:val="24"/>
              </w:rPr>
              <w:t>i</w:t>
            </w:r>
            <w:r>
              <w:rPr>
                <w:rFonts w:hint="eastAsia" w:cs="Times New Roman"/>
                <w:sz w:val="24"/>
                <w:szCs w:val="24"/>
              </w:rPr>
              <w:t>倍频带的声压级，dB；</w:t>
            </w:r>
          </w:p>
          <w:p w14:paraId="3BAA30F2">
            <w:pPr>
              <w:spacing w:line="360" w:lineRule="auto"/>
              <w:ind w:firstLine="1200" w:firstLineChars="500"/>
              <w:rPr>
                <w:rFonts w:cs="Times New Roman"/>
                <w:sz w:val="24"/>
                <w:szCs w:val="24"/>
              </w:rPr>
            </w:pPr>
            <w:r>
              <w:rPr>
                <w:rFonts w:hint="eastAsia"/>
                <w:i/>
                <w:iCs/>
                <w:sz w:val="24"/>
                <w:szCs w:val="24"/>
              </w:rPr>
              <w:t>N</w:t>
            </w:r>
            <w:r>
              <w:rPr>
                <w:rFonts w:cs="Times New Roman"/>
                <w:sz w:val="24"/>
                <w:szCs w:val="24"/>
              </w:rPr>
              <w:t>——</w:t>
            </w:r>
            <w:r>
              <w:rPr>
                <w:rFonts w:hint="eastAsia" w:cs="Times New Roman"/>
                <w:sz w:val="24"/>
                <w:szCs w:val="24"/>
              </w:rPr>
              <w:t>室内声源总数。</w:t>
            </w:r>
          </w:p>
          <w:p w14:paraId="0B2480A5">
            <w:pPr>
              <w:spacing w:line="360" w:lineRule="auto"/>
              <w:ind w:firstLine="482" w:firstLineChars="200"/>
              <w:rPr>
                <w:b/>
                <w:bCs/>
                <w:sz w:val="24"/>
                <w:szCs w:val="24"/>
              </w:rPr>
            </w:pPr>
            <w:r>
              <w:rPr>
                <w:rFonts w:hint="eastAsia"/>
                <w:b/>
                <w:bCs/>
                <w:sz w:val="24"/>
                <w:szCs w:val="24"/>
              </w:rPr>
              <w:t>④靠近声源处的预测点噪声预测模型</w:t>
            </w:r>
          </w:p>
          <w:p w14:paraId="1267ED6C">
            <w:pPr>
              <w:spacing w:line="360" w:lineRule="auto"/>
              <w:ind w:firstLine="480" w:firstLineChars="200"/>
              <w:rPr>
                <w:sz w:val="24"/>
                <w:szCs w:val="24"/>
              </w:rPr>
            </w:pPr>
            <w:r>
              <w:rPr>
                <w:rFonts w:hint="eastAsia"/>
                <w:sz w:val="24"/>
                <w:szCs w:val="24"/>
              </w:rPr>
              <w:t>如预测点在靠近声源处，但不能满足点声源条件时，需按线声源或面声源模型计算。</w:t>
            </w:r>
          </w:p>
          <w:p w14:paraId="380BF38B">
            <w:pPr>
              <w:spacing w:line="360" w:lineRule="auto"/>
              <w:ind w:firstLine="482" w:firstLineChars="200"/>
              <w:rPr>
                <w:b/>
                <w:bCs/>
                <w:sz w:val="24"/>
                <w:szCs w:val="24"/>
              </w:rPr>
            </w:pPr>
            <w:r>
              <w:rPr>
                <w:rFonts w:hint="eastAsia"/>
                <w:b/>
                <w:bCs/>
                <w:sz w:val="24"/>
                <w:szCs w:val="24"/>
              </w:rPr>
              <w:t>⑤工业企业噪声计算</w:t>
            </w:r>
          </w:p>
          <w:p w14:paraId="3D8AF4E3">
            <w:pPr>
              <w:spacing w:line="360" w:lineRule="auto"/>
              <w:ind w:firstLine="480" w:firstLineChars="200"/>
              <w:rPr>
                <w:sz w:val="24"/>
                <w:szCs w:val="24"/>
              </w:rPr>
            </w:pPr>
            <w:r>
              <w:rPr>
                <w:rFonts w:hint="eastAsia"/>
                <w:sz w:val="24"/>
                <w:szCs w:val="24"/>
              </w:rPr>
              <w:t>设</w:t>
            </w:r>
            <w:r>
              <w:rPr>
                <w:sz w:val="24"/>
                <w:szCs w:val="24"/>
              </w:rPr>
              <w:t>第</w:t>
            </w:r>
            <w:r>
              <w:rPr>
                <w:i/>
                <w:sz w:val="24"/>
                <w:szCs w:val="24"/>
              </w:rPr>
              <w:t>i</w:t>
            </w:r>
            <w:r>
              <w:rPr>
                <w:sz w:val="24"/>
                <w:szCs w:val="24"/>
              </w:rPr>
              <w:t>个室外</w:t>
            </w:r>
            <w:r>
              <w:rPr>
                <w:rFonts w:hint="eastAsia"/>
                <w:sz w:val="24"/>
                <w:szCs w:val="24"/>
              </w:rPr>
              <w:t>声源</w:t>
            </w:r>
            <w:r>
              <w:rPr>
                <w:sz w:val="24"/>
                <w:szCs w:val="24"/>
              </w:rPr>
              <w:t>在预测点产生的A声级为</w:t>
            </w:r>
            <w:r>
              <w:rPr>
                <w:i/>
                <w:sz w:val="24"/>
                <w:szCs w:val="24"/>
              </w:rPr>
              <w:t>L</w:t>
            </w:r>
            <w:r>
              <w:rPr>
                <w:sz w:val="24"/>
                <w:szCs w:val="24"/>
                <w:vertAlign w:val="subscript"/>
              </w:rPr>
              <w:t>A</w:t>
            </w:r>
            <w:r>
              <w:rPr>
                <w:i/>
                <w:sz w:val="24"/>
                <w:szCs w:val="24"/>
                <w:vertAlign w:val="subscript"/>
              </w:rPr>
              <w:t>i</w:t>
            </w:r>
            <w:r>
              <w:rPr>
                <w:sz w:val="24"/>
                <w:szCs w:val="24"/>
              </w:rPr>
              <w:t>，在</w:t>
            </w:r>
            <w:r>
              <w:rPr>
                <w:i/>
                <w:sz w:val="24"/>
                <w:szCs w:val="24"/>
              </w:rPr>
              <w:t>T</w:t>
            </w:r>
            <w:r>
              <w:rPr>
                <w:sz w:val="24"/>
                <w:szCs w:val="24"/>
              </w:rPr>
              <w:t>时间内该声源工作时间为</w:t>
            </w:r>
            <w:r>
              <w:rPr>
                <w:rFonts w:hint="eastAsia"/>
                <w:i/>
                <w:sz w:val="24"/>
                <w:szCs w:val="24"/>
              </w:rPr>
              <w:t>t</w:t>
            </w:r>
            <w:r>
              <w:rPr>
                <w:rFonts w:hint="eastAsia"/>
                <w:i/>
                <w:sz w:val="24"/>
                <w:szCs w:val="24"/>
                <w:vertAlign w:val="subscript"/>
              </w:rPr>
              <w:t>i</w:t>
            </w:r>
            <w:r>
              <w:rPr>
                <w:rFonts w:hint="eastAsia"/>
                <w:sz w:val="24"/>
                <w:szCs w:val="24"/>
              </w:rPr>
              <w:t>，第</w:t>
            </w:r>
            <w:r>
              <w:rPr>
                <w:rFonts w:hint="eastAsia"/>
                <w:i/>
                <w:iCs/>
                <w:sz w:val="24"/>
                <w:szCs w:val="24"/>
              </w:rPr>
              <w:t>j</w:t>
            </w:r>
            <w:r>
              <w:rPr>
                <w:rFonts w:hint="eastAsia"/>
                <w:sz w:val="24"/>
                <w:szCs w:val="24"/>
              </w:rPr>
              <w:t>个等效室外声源在预测点产生的A声级为</w:t>
            </w:r>
            <w:r>
              <w:rPr>
                <w:rFonts w:hint="eastAsia"/>
                <w:i/>
                <w:iCs/>
                <w:sz w:val="24"/>
                <w:szCs w:val="24"/>
              </w:rPr>
              <w:t>L</w:t>
            </w:r>
            <w:r>
              <w:rPr>
                <w:rFonts w:hint="eastAsia"/>
                <w:sz w:val="24"/>
                <w:szCs w:val="24"/>
                <w:vertAlign w:val="subscript"/>
              </w:rPr>
              <w:t>A</w:t>
            </w:r>
            <w:r>
              <w:rPr>
                <w:rFonts w:hint="eastAsia"/>
                <w:i/>
                <w:iCs/>
                <w:sz w:val="24"/>
                <w:szCs w:val="24"/>
                <w:vertAlign w:val="subscript"/>
              </w:rPr>
              <w:t>j</w:t>
            </w:r>
            <w:r>
              <w:rPr>
                <w:rFonts w:hint="eastAsia"/>
                <w:sz w:val="24"/>
                <w:szCs w:val="24"/>
              </w:rPr>
              <w:t xml:space="preserve"> ，在</w:t>
            </w:r>
            <w:r>
              <w:rPr>
                <w:rFonts w:hint="eastAsia"/>
                <w:i/>
                <w:iCs/>
                <w:sz w:val="24"/>
                <w:szCs w:val="24"/>
              </w:rPr>
              <w:t>T</w:t>
            </w:r>
            <w:r>
              <w:rPr>
                <w:rFonts w:hint="eastAsia"/>
                <w:sz w:val="24"/>
                <w:szCs w:val="24"/>
              </w:rPr>
              <w:t>时间内该声源工作时间为</w:t>
            </w:r>
            <w:r>
              <w:rPr>
                <w:rFonts w:hint="eastAsia"/>
                <w:i/>
                <w:sz w:val="24"/>
                <w:szCs w:val="24"/>
              </w:rPr>
              <w:t>t</w:t>
            </w:r>
            <w:r>
              <w:rPr>
                <w:rFonts w:hint="eastAsia"/>
                <w:i/>
                <w:sz w:val="24"/>
                <w:szCs w:val="24"/>
                <w:vertAlign w:val="subscript"/>
              </w:rPr>
              <w:t>j</w:t>
            </w:r>
            <w:r>
              <w:rPr>
                <w:rFonts w:hint="eastAsia"/>
                <w:sz w:val="24"/>
                <w:szCs w:val="24"/>
              </w:rPr>
              <w:t>，则拟建工程声源对预测点产生的贡献值（</w:t>
            </w:r>
            <w:r>
              <w:rPr>
                <w:rFonts w:hint="eastAsia"/>
                <w:i/>
                <w:iCs/>
                <w:sz w:val="24"/>
                <w:szCs w:val="24"/>
              </w:rPr>
              <w:t>L</w:t>
            </w:r>
            <w:r>
              <w:rPr>
                <w:rFonts w:hint="eastAsia"/>
                <w:sz w:val="24"/>
                <w:szCs w:val="24"/>
                <w:vertAlign w:val="subscript"/>
              </w:rPr>
              <w:t>eqg</w:t>
            </w:r>
            <w:r>
              <w:rPr>
                <w:rFonts w:hint="eastAsia"/>
                <w:sz w:val="24"/>
                <w:szCs w:val="24"/>
              </w:rPr>
              <w:t>）为</w:t>
            </w:r>
            <w:r>
              <w:rPr>
                <w:sz w:val="24"/>
                <w:szCs w:val="24"/>
              </w:rPr>
              <w:t>：</w:t>
            </w:r>
          </w:p>
          <w:p w14:paraId="16E176B1">
            <w:pPr>
              <w:spacing w:line="360" w:lineRule="auto"/>
              <w:jc w:val="center"/>
              <w:rPr>
                <w:sz w:val="24"/>
                <w:szCs w:val="24"/>
              </w:rPr>
            </w:pPr>
            <w:r>
              <w:rPr>
                <w:position w:val="-34"/>
                <w:sz w:val="24"/>
                <w:szCs w:val="24"/>
              </w:rPr>
              <w:object>
                <v:shape id="_x0000_i1039" o:spt="75" type="#_x0000_t75" style="height:28.5pt;width:180pt;" o:ole="t" filled="f" o:preferrelative="t" stroked="f" coordsize="21600,21600">
                  <v:path/>
                  <v:fill on="f" focussize="0,0"/>
                  <v:stroke on="f" joinstyle="miter"/>
                  <v:imagedata r:id="rId45" o:title=""/>
                  <o:lock v:ext="edit" aspectratio="t"/>
                  <w10:wrap type="none"/>
                  <w10:anchorlock/>
                </v:shape>
                <o:OLEObject Type="Embed" ProgID="Equation.DSMT4" ShapeID="_x0000_i1039" DrawAspect="Content" ObjectID="_1468075739" r:id="rId44">
                  <o:LockedField>false</o:LockedField>
                </o:OLEObject>
              </w:object>
            </w:r>
          </w:p>
          <w:p w14:paraId="04283CBA">
            <w:pPr>
              <w:spacing w:line="360" w:lineRule="auto"/>
              <w:ind w:firstLine="480" w:firstLineChars="200"/>
              <w:rPr>
                <w:sz w:val="24"/>
                <w:szCs w:val="24"/>
              </w:rPr>
            </w:pPr>
            <w:r>
              <w:rPr>
                <w:rFonts w:hint="eastAsia"/>
                <w:sz w:val="24"/>
                <w:szCs w:val="24"/>
              </w:rPr>
              <w:t>式中</w:t>
            </w:r>
            <w:r>
              <w:rPr>
                <w:sz w:val="24"/>
                <w:szCs w:val="24"/>
              </w:rPr>
              <w:t>，</w:t>
            </w:r>
            <w:r>
              <w:rPr>
                <w:rFonts w:hint="eastAsia"/>
                <w:i/>
                <w:iCs/>
                <w:sz w:val="24"/>
                <w:szCs w:val="24"/>
              </w:rPr>
              <w:t>L</w:t>
            </w:r>
            <w:r>
              <w:rPr>
                <w:rFonts w:hint="eastAsia"/>
                <w:sz w:val="24"/>
                <w:szCs w:val="24"/>
                <w:vertAlign w:val="subscript"/>
              </w:rPr>
              <w:t>eqg</w:t>
            </w:r>
            <w:r>
              <w:rPr>
                <w:sz w:val="24"/>
                <w:szCs w:val="24"/>
              </w:rPr>
              <w:t>——</w:t>
            </w:r>
            <w:r>
              <w:rPr>
                <w:rFonts w:hint="eastAsia"/>
                <w:sz w:val="24"/>
                <w:szCs w:val="24"/>
              </w:rPr>
              <w:t>建设项目声源在预测点产生的噪声贡献值，dB；</w:t>
            </w:r>
          </w:p>
          <w:p w14:paraId="16AE64E5">
            <w:pPr>
              <w:spacing w:line="360" w:lineRule="auto"/>
              <w:ind w:firstLine="1200" w:firstLineChars="500"/>
              <w:rPr>
                <w:sz w:val="24"/>
                <w:szCs w:val="24"/>
              </w:rPr>
            </w:pPr>
            <w:r>
              <w:rPr>
                <w:i/>
                <w:sz w:val="24"/>
                <w:szCs w:val="24"/>
              </w:rPr>
              <w:t>T</w:t>
            </w:r>
            <w:r>
              <w:rPr>
                <w:sz w:val="24"/>
                <w:szCs w:val="24"/>
              </w:rPr>
              <w:t>——</w:t>
            </w:r>
            <w:r>
              <w:rPr>
                <w:rFonts w:hint="eastAsia"/>
                <w:sz w:val="24"/>
                <w:szCs w:val="24"/>
              </w:rPr>
              <w:t>用于</w:t>
            </w:r>
            <w:r>
              <w:rPr>
                <w:sz w:val="24"/>
                <w:szCs w:val="24"/>
              </w:rPr>
              <w:t>计算等效声级的时间</w:t>
            </w:r>
            <w:r>
              <w:rPr>
                <w:rFonts w:hint="eastAsia"/>
                <w:sz w:val="24"/>
                <w:szCs w:val="24"/>
              </w:rPr>
              <w:t>，</w:t>
            </w:r>
            <w:r>
              <w:rPr>
                <w:sz w:val="24"/>
                <w:szCs w:val="24"/>
              </w:rPr>
              <w:t>s</w:t>
            </w:r>
            <w:r>
              <w:rPr>
                <w:rFonts w:hint="eastAsia"/>
                <w:sz w:val="24"/>
                <w:szCs w:val="24"/>
              </w:rPr>
              <w:t>；</w:t>
            </w:r>
          </w:p>
          <w:p w14:paraId="3B6156F2">
            <w:pPr>
              <w:spacing w:line="360" w:lineRule="auto"/>
              <w:ind w:firstLine="1200" w:firstLineChars="500"/>
              <w:rPr>
                <w:sz w:val="24"/>
                <w:szCs w:val="24"/>
              </w:rPr>
            </w:pPr>
            <w:r>
              <w:rPr>
                <w:i/>
                <w:sz w:val="24"/>
                <w:szCs w:val="24"/>
              </w:rPr>
              <w:t>N</w:t>
            </w:r>
            <w:r>
              <w:rPr>
                <w:sz w:val="24"/>
                <w:szCs w:val="24"/>
              </w:rPr>
              <w:t>——</w:t>
            </w:r>
            <w:r>
              <w:rPr>
                <w:rFonts w:hint="eastAsia"/>
                <w:sz w:val="24"/>
                <w:szCs w:val="24"/>
              </w:rPr>
              <w:t>室外</w:t>
            </w:r>
            <w:r>
              <w:rPr>
                <w:sz w:val="24"/>
                <w:szCs w:val="24"/>
              </w:rPr>
              <w:t>声源个数</w:t>
            </w:r>
            <w:r>
              <w:rPr>
                <w:rFonts w:hint="eastAsia"/>
                <w:sz w:val="24"/>
                <w:szCs w:val="24"/>
              </w:rPr>
              <w:t>；</w:t>
            </w:r>
          </w:p>
          <w:p w14:paraId="20514CC5">
            <w:pPr>
              <w:spacing w:line="360" w:lineRule="auto"/>
              <w:ind w:firstLine="1200" w:firstLineChars="500"/>
              <w:rPr>
                <w:rFonts w:cs="Times New Roman"/>
                <w:sz w:val="24"/>
                <w:szCs w:val="24"/>
              </w:rPr>
            </w:pPr>
            <w:r>
              <w:rPr>
                <w:rFonts w:cs="Times New Roman"/>
                <w:i/>
                <w:iCs/>
                <w:sz w:val="24"/>
                <w:szCs w:val="24"/>
              </w:rPr>
              <w:t>t</w:t>
            </w:r>
            <w:r>
              <w:rPr>
                <w:rFonts w:hint="eastAsia" w:cs="Times New Roman"/>
                <w:i/>
                <w:iCs/>
                <w:sz w:val="24"/>
                <w:szCs w:val="24"/>
                <w:vertAlign w:val="subscript"/>
              </w:rPr>
              <w:t>i</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i</w:t>
            </w:r>
            <w:r>
              <w:rPr>
                <w:rFonts w:cs="Times New Roman"/>
                <w:sz w:val="24"/>
                <w:szCs w:val="24"/>
              </w:rPr>
              <w:t>声源工作时间，s；</w:t>
            </w:r>
          </w:p>
          <w:p w14:paraId="69FAE6A6">
            <w:pPr>
              <w:spacing w:line="360" w:lineRule="auto"/>
              <w:ind w:firstLine="1200" w:firstLineChars="500"/>
              <w:rPr>
                <w:rFonts w:cs="Times New Roman"/>
                <w:sz w:val="24"/>
                <w:szCs w:val="24"/>
              </w:rPr>
            </w:pPr>
            <w:r>
              <w:rPr>
                <w:rFonts w:cs="Times New Roman"/>
                <w:i/>
                <w:iCs/>
                <w:sz w:val="24"/>
                <w:szCs w:val="24"/>
              </w:rPr>
              <w:t>M</w:t>
            </w:r>
            <w:r>
              <w:rPr>
                <w:rFonts w:cs="Times New Roman"/>
                <w:sz w:val="24"/>
                <w:szCs w:val="24"/>
              </w:rPr>
              <w:t>——等效室外声源个数；</w:t>
            </w:r>
          </w:p>
          <w:p w14:paraId="596F5A46">
            <w:pPr>
              <w:spacing w:line="360" w:lineRule="auto"/>
              <w:ind w:firstLine="1200" w:firstLineChars="500"/>
              <w:rPr>
                <w:rFonts w:cs="Times New Roman"/>
                <w:sz w:val="24"/>
                <w:szCs w:val="24"/>
              </w:rPr>
            </w:pPr>
            <w:r>
              <w:rPr>
                <w:rFonts w:hint="eastAsia" w:cs="Times New Roman"/>
                <w:i/>
                <w:iCs/>
                <w:sz w:val="24"/>
                <w:szCs w:val="24"/>
              </w:rPr>
              <w:t>t</w:t>
            </w:r>
            <w:r>
              <w:rPr>
                <w:rFonts w:hint="eastAsia" w:cs="Times New Roman"/>
                <w:i/>
                <w:iCs/>
                <w:sz w:val="24"/>
                <w:szCs w:val="24"/>
                <w:vertAlign w:val="subscript"/>
              </w:rPr>
              <w:t>j</w:t>
            </w:r>
            <w:r>
              <w:rPr>
                <w:rFonts w:cs="Times New Roman"/>
                <w:sz w:val="24"/>
                <w:szCs w:val="24"/>
              </w:rPr>
              <w:t>——在</w:t>
            </w:r>
            <w:r>
              <w:rPr>
                <w:rFonts w:cs="Times New Roman"/>
                <w:i/>
                <w:iCs/>
                <w:sz w:val="24"/>
                <w:szCs w:val="24"/>
              </w:rPr>
              <w:t>T</w:t>
            </w:r>
            <w:r>
              <w:rPr>
                <w:rFonts w:cs="Times New Roman"/>
                <w:sz w:val="24"/>
                <w:szCs w:val="24"/>
              </w:rPr>
              <w:t>时间内</w:t>
            </w:r>
            <w:r>
              <w:rPr>
                <w:rFonts w:cs="Times New Roman"/>
                <w:i/>
                <w:iCs/>
                <w:sz w:val="24"/>
                <w:szCs w:val="24"/>
              </w:rPr>
              <w:t>j</w:t>
            </w:r>
            <w:r>
              <w:rPr>
                <w:rFonts w:cs="Times New Roman"/>
                <w:sz w:val="24"/>
                <w:szCs w:val="24"/>
              </w:rPr>
              <w:t>声源工作时间，s。</w:t>
            </w:r>
          </w:p>
          <w:p w14:paraId="1FE725D2">
            <w:pPr>
              <w:spacing w:line="360" w:lineRule="auto"/>
              <w:ind w:firstLine="482" w:firstLineChars="200"/>
              <w:rPr>
                <w:b/>
                <w:bCs/>
                <w:sz w:val="24"/>
                <w:szCs w:val="24"/>
              </w:rPr>
            </w:pPr>
            <w:r>
              <w:rPr>
                <w:rFonts w:hint="eastAsia"/>
                <w:b/>
                <w:bCs/>
                <w:sz w:val="24"/>
                <w:szCs w:val="24"/>
              </w:rPr>
              <w:t>⑥预测值计算</w:t>
            </w:r>
          </w:p>
          <w:p w14:paraId="01A29C78">
            <w:pPr>
              <w:spacing w:line="360" w:lineRule="auto"/>
              <w:jc w:val="center"/>
              <w:rPr>
                <w:sz w:val="24"/>
                <w:szCs w:val="24"/>
              </w:rPr>
            </w:pPr>
            <w:r>
              <w:rPr>
                <w:position w:val="-14"/>
              </w:rPr>
              <w:object>
                <v:shape id="_x0000_i1040" o:spt="75" type="#_x0000_t75" style="height:21.75pt;width:122.25pt;" o:ole="t" filled="f" o:preferrelative="t" stroked="f" coordsize="21600,21600">
                  <v:path/>
                  <v:fill on="f" focussize="0,0"/>
                  <v:stroke on="f" joinstyle="miter"/>
                  <v:imagedata r:id="rId47" o:title=""/>
                  <o:lock v:ext="edit" aspectratio="t"/>
                  <w10:wrap type="none"/>
                  <w10:anchorlock/>
                </v:shape>
                <o:OLEObject Type="Embed" ProgID="Equation.DSMT4" ShapeID="_x0000_i1040" DrawAspect="Content" ObjectID="_1468075740" r:id="rId46">
                  <o:LockedField>false</o:LockedField>
                </o:OLEObject>
              </w:object>
            </w:r>
          </w:p>
          <w:p w14:paraId="3A898940">
            <w:pPr>
              <w:spacing w:line="360" w:lineRule="auto"/>
              <w:ind w:firstLine="480" w:firstLineChars="200"/>
              <w:rPr>
                <w:sz w:val="24"/>
                <w:szCs w:val="24"/>
              </w:rPr>
            </w:pPr>
            <w:r>
              <w:rPr>
                <w:rFonts w:hint="eastAsia"/>
                <w:sz w:val="24"/>
                <w:szCs w:val="24"/>
              </w:rPr>
              <w:t>式中</w:t>
            </w:r>
            <w:r>
              <w:rPr>
                <w:sz w:val="24"/>
                <w:szCs w:val="24"/>
              </w:rPr>
              <w:t>，</w:t>
            </w:r>
            <w:r>
              <w:rPr>
                <w:i/>
                <w:sz w:val="24"/>
                <w:szCs w:val="24"/>
              </w:rPr>
              <w:t>L</w:t>
            </w:r>
            <w:r>
              <w:rPr>
                <w:sz w:val="24"/>
                <w:szCs w:val="24"/>
                <w:vertAlign w:val="subscript"/>
              </w:rPr>
              <w:t>eq</w:t>
            </w:r>
            <w:r>
              <w:rPr>
                <w:sz w:val="24"/>
                <w:szCs w:val="24"/>
              </w:rPr>
              <w:t>——</w:t>
            </w:r>
            <w:r>
              <w:rPr>
                <w:rFonts w:hint="eastAsia"/>
                <w:sz w:val="24"/>
                <w:szCs w:val="24"/>
              </w:rPr>
              <w:t>预测点的噪声预测值，dB；；</w:t>
            </w:r>
          </w:p>
          <w:p w14:paraId="4963212F">
            <w:pPr>
              <w:spacing w:line="360" w:lineRule="auto"/>
              <w:ind w:firstLine="1200" w:firstLineChars="500"/>
              <w:rPr>
                <w:sz w:val="24"/>
                <w:szCs w:val="24"/>
              </w:rPr>
            </w:pPr>
            <w:r>
              <w:rPr>
                <w:i/>
                <w:sz w:val="24"/>
                <w:szCs w:val="24"/>
              </w:rPr>
              <w:t>L</w:t>
            </w:r>
            <w:r>
              <w:rPr>
                <w:sz w:val="24"/>
                <w:szCs w:val="24"/>
                <w:vertAlign w:val="subscript"/>
              </w:rPr>
              <w:t>eqb</w:t>
            </w:r>
            <w:r>
              <w:rPr>
                <w:sz w:val="24"/>
                <w:szCs w:val="24"/>
              </w:rPr>
              <w:t>——</w:t>
            </w:r>
            <w:r>
              <w:rPr>
                <w:rFonts w:hint="eastAsia"/>
                <w:sz w:val="24"/>
                <w:szCs w:val="24"/>
              </w:rPr>
              <w:t>预测点</w:t>
            </w:r>
            <w:r>
              <w:rPr>
                <w:sz w:val="24"/>
                <w:szCs w:val="24"/>
              </w:rPr>
              <w:t>的背景值</w:t>
            </w:r>
            <w:r>
              <w:rPr>
                <w:rFonts w:hint="eastAsia"/>
                <w:sz w:val="24"/>
                <w:szCs w:val="24"/>
              </w:rPr>
              <w:t>，</w:t>
            </w:r>
            <w:r>
              <w:rPr>
                <w:sz w:val="24"/>
                <w:szCs w:val="24"/>
              </w:rPr>
              <w:t>dB</w:t>
            </w:r>
            <w:r>
              <w:rPr>
                <w:rFonts w:hint="eastAsia"/>
                <w:sz w:val="24"/>
                <w:szCs w:val="24"/>
              </w:rPr>
              <w:t>。</w:t>
            </w:r>
          </w:p>
          <w:p w14:paraId="7AFCE61B">
            <w:pPr>
              <w:spacing w:line="360" w:lineRule="auto"/>
              <w:ind w:firstLine="482" w:firstLineChars="200"/>
              <w:rPr>
                <w:b/>
                <w:bCs/>
                <w:sz w:val="24"/>
                <w:szCs w:val="24"/>
              </w:rPr>
            </w:pPr>
            <w:r>
              <w:rPr>
                <w:b/>
                <w:bCs/>
                <w:sz w:val="24"/>
                <w:szCs w:val="24"/>
              </w:rPr>
              <w:t>3</w:t>
            </w:r>
            <w:r>
              <w:rPr>
                <w:rFonts w:hint="eastAsia"/>
                <w:b/>
                <w:bCs/>
                <w:sz w:val="24"/>
                <w:szCs w:val="24"/>
              </w:rPr>
              <w:t>）预测结果</w:t>
            </w:r>
          </w:p>
          <w:p w14:paraId="53149870">
            <w:pPr>
              <w:spacing w:line="360" w:lineRule="auto"/>
              <w:ind w:firstLine="480" w:firstLineChars="200"/>
              <w:rPr>
                <w:sz w:val="24"/>
                <w:szCs w:val="24"/>
              </w:rPr>
            </w:pPr>
            <w:r>
              <w:rPr>
                <w:rFonts w:hint="eastAsia"/>
                <w:sz w:val="24"/>
                <w:szCs w:val="24"/>
              </w:rPr>
              <w:t>通过预测模型计算，项目噪声预测结果见下表。</w:t>
            </w:r>
          </w:p>
          <w:p w14:paraId="623684A4">
            <w:pPr>
              <w:pStyle w:val="51"/>
              <w:numPr>
                <w:ilvl w:val="0"/>
                <w:numId w:val="6"/>
              </w:numPr>
              <w:spacing w:line="360" w:lineRule="auto"/>
              <w:ind w:firstLineChars="0"/>
              <w:jc w:val="center"/>
              <w:rPr>
                <w:rFonts w:eastAsia="黑体" w:cs="Times New Roman"/>
                <w:szCs w:val="21"/>
              </w:rPr>
            </w:pPr>
            <w:r>
              <w:rPr>
                <w:rFonts w:hint="eastAsia" w:eastAsia="黑体" w:cs="Times New Roman"/>
                <w:szCs w:val="21"/>
              </w:rPr>
              <w:t>厂界昼间</w:t>
            </w:r>
            <w:r>
              <w:rPr>
                <w:rFonts w:eastAsia="黑体" w:cs="Times New Roman"/>
                <w:szCs w:val="21"/>
              </w:rPr>
              <w:t>噪声预测结果</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281"/>
              <w:gridCol w:w="854"/>
              <w:gridCol w:w="854"/>
              <w:gridCol w:w="829"/>
              <w:gridCol w:w="829"/>
              <w:gridCol w:w="829"/>
              <w:gridCol w:w="829"/>
              <w:gridCol w:w="829"/>
              <w:gridCol w:w="834"/>
              <w:gridCol w:w="756"/>
            </w:tblGrid>
            <w:tr w14:paraId="78C4F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14:paraId="16695227">
                  <w:pPr>
                    <w:pStyle w:val="31"/>
                    <w:rPr>
                      <w:rFonts w:eastAsiaTheme="minorEastAsia"/>
                      <w:sz w:val="18"/>
                      <w:szCs w:val="18"/>
                    </w:rPr>
                  </w:pPr>
                  <w:r>
                    <w:rPr>
                      <w:rFonts w:eastAsiaTheme="minorEastAsia"/>
                      <w:sz w:val="18"/>
                      <w:szCs w:val="18"/>
                    </w:rPr>
                    <w:t>序号</w:t>
                  </w:r>
                </w:p>
              </w:tc>
              <w:tc>
                <w:tcPr>
                  <w:tcW w:w="700" w:type="pct"/>
                  <w:shd w:val="clear" w:color="auto" w:fill="auto"/>
                  <w:vAlign w:val="center"/>
                </w:tcPr>
                <w:p w14:paraId="61815318">
                  <w:pPr>
                    <w:pStyle w:val="31"/>
                    <w:rPr>
                      <w:rFonts w:eastAsiaTheme="minorEastAsia"/>
                      <w:sz w:val="18"/>
                      <w:szCs w:val="18"/>
                    </w:rPr>
                  </w:pPr>
                  <w:r>
                    <w:rPr>
                      <w:rFonts w:eastAsiaTheme="minorEastAsia"/>
                      <w:sz w:val="18"/>
                      <w:szCs w:val="18"/>
                    </w:rPr>
                    <w:t>名称</w:t>
                  </w:r>
                </w:p>
              </w:tc>
              <w:tc>
                <w:tcPr>
                  <w:tcW w:w="934" w:type="pct"/>
                  <w:gridSpan w:val="2"/>
                  <w:shd w:val="clear" w:color="auto" w:fill="auto"/>
                  <w:vAlign w:val="center"/>
                </w:tcPr>
                <w:p w14:paraId="395DB103">
                  <w:pPr>
                    <w:pStyle w:val="31"/>
                    <w:rPr>
                      <w:rFonts w:eastAsiaTheme="minorEastAsia"/>
                      <w:sz w:val="18"/>
                      <w:szCs w:val="18"/>
                    </w:rPr>
                  </w:pPr>
                  <w:r>
                    <w:rPr>
                      <w:rFonts w:eastAsiaTheme="minorEastAsia"/>
                      <w:sz w:val="18"/>
                      <w:szCs w:val="18"/>
                    </w:rPr>
                    <w:t>相对位置</w:t>
                  </w:r>
                </w:p>
              </w:tc>
              <w:tc>
                <w:tcPr>
                  <w:tcW w:w="453" w:type="pct"/>
                  <w:shd w:val="clear" w:color="auto" w:fill="auto"/>
                  <w:vAlign w:val="center"/>
                </w:tcPr>
                <w:p w14:paraId="5A5C8C24">
                  <w:pPr>
                    <w:pStyle w:val="31"/>
                    <w:rPr>
                      <w:rFonts w:eastAsiaTheme="minorEastAsia"/>
                      <w:sz w:val="18"/>
                      <w:szCs w:val="18"/>
                    </w:rPr>
                  </w:pPr>
                  <w:r>
                    <w:rPr>
                      <w:rFonts w:eastAsiaTheme="minorEastAsia"/>
                      <w:sz w:val="18"/>
                      <w:szCs w:val="18"/>
                    </w:rPr>
                    <w:t>离地高度</w:t>
                  </w:r>
                  <w:r>
                    <w:rPr>
                      <w:rFonts w:hint="eastAsia" w:eastAsiaTheme="minorEastAsia"/>
                      <w:sz w:val="18"/>
                      <w:szCs w:val="18"/>
                    </w:rPr>
                    <w:t>(</w:t>
                  </w:r>
                  <w:r>
                    <w:rPr>
                      <w:rFonts w:eastAsiaTheme="minorEastAsia"/>
                      <w:sz w:val="18"/>
                      <w:szCs w:val="18"/>
                    </w:rPr>
                    <w:t>m</w:t>
                  </w:r>
                  <w:r>
                    <w:rPr>
                      <w:rFonts w:hint="eastAsia" w:eastAsiaTheme="minorEastAsia"/>
                      <w:sz w:val="18"/>
                      <w:szCs w:val="18"/>
                    </w:rPr>
                    <w:t>)</w:t>
                  </w:r>
                </w:p>
              </w:tc>
              <w:tc>
                <w:tcPr>
                  <w:tcW w:w="453" w:type="pct"/>
                  <w:shd w:val="clear" w:color="auto" w:fill="auto"/>
                  <w:vAlign w:val="center"/>
                </w:tcPr>
                <w:p w14:paraId="2B7928EE">
                  <w:pPr>
                    <w:pStyle w:val="31"/>
                    <w:rPr>
                      <w:rFonts w:eastAsiaTheme="minorEastAsia"/>
                      <w:sz w:val="18"/>
                      <w:szCs w:val="18"/>
                    </w:rPr>
                  </w:pPr>
                  <w:r>
                    <w:rPr>
                      <w:rFonts w:eastAsiaTheme="minorEastAsia"/>
                      <w:sz w:val="18"/>
                      <w:szCs w:val="18"/>
                    </w:rPr>
                    <w:t>贡献值</w:t>
                  </w:r>
                  <w:r>
                    <w:rPr>
                      <w:rFonts w:hint="eastAsia" w:eastAsiaTheme="minorEastAsia"/>
                      <w:sz w:val="18"/>
                      <w:szCs w:val="18"/>
                    </w:rPr>
                    <w:t>(dB)</w:t>
                  </w:r>
                </w:p>
              </w:tc>
              <w:tc>
                <w:tcPr>
                  <w:tcW w:w="453" w:type="pct"/>
                  <w:vAlign w:val="center"/>
                </w:tcPr>
                <w:p w14:paraId="622402DB">
                  <w:pPr>
                    <w:pStyle w:val="31"/>
                    <w:rPr>
                      <w:rFonts w:eastAsiaTheme="minorEastAsia"/>
                      <w:sz w:val="18"/>
                      <w:szCs w:val="18"/>
                    </w:rPr>
                  </w:pPr>
                  <w:r>
                    <w:rPr>
                      <w:rFonts w:hint="eastAsia" w:eastAsiaTheme="minorEastAsia"/>
                      <w:sz w:val="18"/>
                      <w:szCs w:val="18"/>
                    </w:rPr>
                    <w:t>背景</w:t>
                  </w:r>
                  <w:r>
                    <w:rPr>
                      <w:rFonts w:eastAsiaTheme="minorEastAsia"/>
                      <w:sz w:val="18"/>
                      <w:szCs w:val="18"/>
                    </w:rPr>
                    <w:t>值</w:t>
                  </w:r>
                  <w:r>
                    <w:rPr>
                      <w:rFonts w:hint="eastAsia" w:eastAsiaTheme="minorEastAsia"/>
                      <w:sz w:val="18"/>
                      <w:szCs w:val="18"/>
                    </w:rPr>
                    <w:t>(dB)</w:t>
                  </w:r>
                </w:p>
              </w:tc>
              <w:tc>
                <w:tcPr>
                  <w:tcW w:w="453" w:type="pct"/>
                  <w:vAlign w:val="center"/>
                </w:tcPr>
                <w:p w14:paraId="1A8E87F1">
                  <w:pPr>
                    <w:pStyle w:val="31"/>
                    <w:rPr>
                      <w:rFonts w:eastAsiaTheme="minorEastAsia"/>
                      <w:sz w:val="18"/>
                      <w:szCs w:val="18"/>
                    </w:rPr>
                  </w:pPr>
                  <w:r>
                    <w:rPr>
                      <w:rFonts w:hint="eastAsia" w:eastAsiaTheme="minorEastAsia"/>
                      <w:sz w:val="18"/>
                      <w:szCs w:val="18"/>
                    </w:rPr>
                    <w:t>叠加</w:t>
                  </w:r>
                  <w:r>
                    <w:rPr>
                      <w:rFonts w:eastAsiaTheme="minorEastAsia"/>
                      <w:sz w:val="18"/>
                      <w:szCs w:val="18"/>
                    </w:rPr>
                    <w:t>值</w:t>
                  </w:r>
                  <w:r>
                    <w:rPr>
                      <w:rFonts w:hint="eastAsia" w:eastAsiaTheme="minorEastAsia"/>
                      <w:sz w:val="18"/>
                      <w:szCs w:val="18"/>
                    </w:rPr>
                    <w:t>(dB)</w:t>
                  </w:r>
                </w:p>
              </w:tc>
              <w:tc>
                <w:tcPr>
                  <w:tcW w:w="453" w:type="pct"/>
                  <w:shd w:val="clear" w:color="auto" w:fill="auto"/>
                  <w:vAlign w:val="center"/>
                </w:tcPr>
                <w:p w14:paraId="6901F01B">
                  <w:pPr>
                    <w:pStyle w:val="31"/>
                    <w:rPr>
                      <w:rFonts w:eastAsiaTheme="minorEastAsia"/>
                      <w:sz w:val="18"/>
                      <w:szCs w:val="18"/>
                    </w:rPr>
                  </w:pPr>
                  <w:r>
                    <w:rPr>
                      <w:rFonts w:eastAsiaTheme="minorEastAsia"/>
                      <w:sz w:val="18"/>
                      <w:szCs w:val="18"/>
                    </w:rPr>
                    <w:t>功能区类型</w:t>
                  </w:r>
                </w:p>
              </w:tc>
              <w:tc>
                <w:tcPr>
                  <w:tcW w:w="456" w:type="pct"/>
                  <w:shd w:val="clear" w:color="auto" w:fill="auto"/>
                  <w:vAlign w:val="center"/>
                </w:tcPr>
                <w:p w14:paraId="0A65278F">
                  <w:pPr>
                    <w:pStyle w:val="31"/>
                    <w:rPr>
                      <w:rFonts w:eastAsiaTheme="minorEastAsia"/>
                      <w:sz w:val="18"/>
                      <w:szCs w:val="18"/>
                    </w:rPr>
                  </w:pPr>
                  <w:r>
                    <w:rPr>
                      <w:rFonts w:eastAsiaTheme="minorEastAsia"/>
                      <w:sz w:val="18"/>
                      <w:szCs w:val="18"/>
                    </w:rPr>
                    <w:t>标准值</w:t>
                  </w:r>
                  <w:r>
                    <w:rPr>
                      <w:rFonts w:hint="eastAsia" w:eastAsiaTheme="minorEastAsia"/>
                      <w:sz w:val="18"/>
                      <w:szCs w:val="18"/>
                    </w:rPr>
                    <w:t>(dB)</w:t>
                  </w:r>
                </w:p>
              </w:tc>
              <w:tc>
                <w:tcPr>
                  <w:tcW w:w="413" w:type="pct"/>
                  <w:shd w:val="clear" w:color="auto" w:fill="auto"/>
                  <w:vAlign w:val="center"/>
                </w:tcPr>
                <w:p w14:paraId="65AB5411">
                  <w:pPr>
                    <w:pStyle w:val="31"/>
                    <w:rPr>
                      <w:rFonts w:eastAsiaTheme="minorEastAsia"/>
                      <w:sz w:val="18"/>
                      <w:szCs w:val="18"/>
                    </w:rPr>
                  </w:pPr>
                  <w:r>
                    <w:rPr>
                      <w:rFonts w:eastAsiaTheme="minorEastAsia"/>
                      <w:sz w:val="18"/>
                      <w:szCs w:val="18"/>
                    </w:rPr>
                    <w:t>是否达标</w:t>
                  </w:r>
                </w:p>
              </w:tc>
            </w:tr>
            <w:tr w14:paraId="62BF8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14:paraId="3721384E">
                  <w:pPr>
                    <w:pStyle w:val="31"/>
                    <w:rPr>
                      <w:rFonts w:eastAsiaTheme="minorEastAsia"/>
                      <w:sz w:val="18"/>
                      <w:szCs w:val="18"/>
                    </w:rPr>
                  </w:pPr>
                  <w:r>
                    <w:rPr>
                      <w:rFonts w:eastAsiaTheme="minorEastAsia"/>
                      <w:sz w:val="18"/>
                      <w:szCs w:val="18"/>
                    </w:rPr>
                    <w:t>1</w:t>
                  </w:r>
                </w:p>
              </w:tc>
              <w:tc>
                <w:tcPr>
                  <w:tcW w:w="700" w:type="pct"/>
                  <w:shd w:val="clear" w:color="auto" w:fill="auto"/>
                  <w:vAlign w:val="center"/>
                </w:tcPr>
                <w:p w14:paraId="1079D67D">
                  <w:pPr>
                    <w:pStyle w:val="31"/>
                    <w:rPr>
                      <w:rFonts w:eastAsiaTheme="minorEastAsia"/>
                      <w:sz w:val="18"/>
                      <w:szCs w:val="18"/>
                    </w:rPr>
                  </w:pPr>
                  <w:r>
                    <w:rPr>
                      <w:sz w:val="18"/>
                      <w:szCs w:val="18"/>
                    </w:rPr>
                    <w:t>厂界</w:t>
                  </w:r>
                  <w:r>
                    <w:rPr>
                      <w:rFonts w:hint="eastAsia"/>
                      <w:sz w:val="18"/>
                      <w:szCs w:val="18"/>
                    </w:rPr>
                    <w:t>北侧</w:t>
                  </w:r>
                </w:p>
              </w:tc>
              <w:tc>
                <w:tcPr>
                  <w:tcW w:w="467" w:type="pct"/>
                  <w:shd w:val="clear" w:color="auto" w:fill="auto"/>
                </w:tcPr>
                <w:p w14:paraId="2D263E32">
                  <w:pPr>
                    <w:pStyle w:val="31"/>
                    <w:rPr>
                      <w:rFonts w:eastAsiaTheme="minorEastAsia"/>
                      <w:sz w:val="18"/>
                      <w:szCs w:val="18"/>
                    </w:rPr>
                  </w:pPr>
                  <w:r>
                    <w:rPr>
                      <w:sz w:val="18"/>
                      <w:szCs w:val="18"/>
                    </w:rPr>
                    <w:t>69.34</w:t>
                  </w:r>
                </w:p>
              </w:tc>
              <w:tc>
                <w:tcPr>
                  <w:tcW w:w="467" w:type="pct"/>
                  <w:shd w:val="clear" w:color="auto" w:fill="auto"/>
                </w:tcPr>
                <w:p w14:paraId="2F2CD444">
                  <w:pPr>
                    <w:pStyle w:val="31"/>
                    <w:rPr>
                      <w:rFonts w:eastAsiaTheme="minorEastAsia"/>
                      <w:sz w:val="18"/>
                      <w:szCs w:val="18"/>
                    </w:rPr>
                  </w:pPr>
                  <w:r>
                    <w:rPr>
                      <w:sz w:val="18"/>
                      <w:szCs w:val="18"/>
                    </w:rPr>
                    <w:t>213.17</w:t>
                  </w:r>
                </w:p>
              </w:tc>
              <w:tc>
                <w:tcPr>
                  <w:tcW w:w="453" w:type="pct"/>
                  <w:shd w:val="clear" w:color="auto" w:fill="auto"/>
                  <w:vAlign w:val="center"/>
                </w:tcPr>
                <w:p w14:paraId="65D7EED8">
                  <w:pPr>
                    <w:pStyle w:val="31"/>
                    <w:rPr>
                      <w:rFonts w:eastAsiaTheme="minorEastAsia"/>
                      <w:sz w:val="18"/>
                      <w:szCs w:val="18"/>
                    </w:rPr>
                  </w:pPr>
                  <w:r>
                    <w:rPr>
                      <w:rFonts w:hint="eastAsia" w:eastAsiaTheme="minorEastAsia"/>
                      <w:sz w:val="18"/>
                      <w:szCs w:val="18"/>
                    </w:rPr>
                    <w:t>1.2</w:t>
                  </w:r>
                </w:p>
              </w:tc>
              <w:tc>
                <w:tcPr>
                  <w:tcW w:w="453" w:type="pct"/>
                  <w:shd w:val="clear" w:color="auto" w:fill="auto"/>
                  <w:vAlign w:val="center"/>
                </w:tcPr>
                <w:p w14:paraId="27F2D2E0">
                  <w:pPr>
                    <w:widowControl/>
                    <w:jc w:val="center"/>
                    <w:rPr>
                      <w:rFonts w:cs="Times New Roman" w:eastAsiaTheme="minorEastAsia"/>
                      <w:sz w:val="18"/>
                      <w:szCs w:val="18"/>
                    </w:rPr>
                  </w:pPr>
                  <w:r>
                    <w:rPr>
                      <w:rFonts w:hint="eastAsia" w:cs="Times New Roman" w:eastAsiaTheme="minorEastAsia"/>
                      <w:sz w:val="18"/>
                      <w:szCs w:val="18"/>
                    </w:rPr>
                    <w:t>36.7</w:t>
                  </w:r>
                </w:p>
              </w:tc>
              <w:tc>
                <w:tcPr>
                  <w:tcW w:w="453" w:type="pct"/>
                  <w:vAlign w:val="center"/>
                </w:tcPr>
                <w:p w14:paraId="29909F43">
                  <w:pPr>
                    <w:pStyle w:val="31"/>
                    <w:rPr>
                      <w:rFonts w:eastAsiaTheme="minorEastAsia"/>
                      <w:sz w:val="18"/>
                      <w:szCs w:val="18"/>
                    </w:rPr>
                  </w:pPr>
                  <w:r>
                    <w:rPr>
                      <w:rFonts w:hint="eastAsia" w:eastAsiaTheme="minorEastAsia"/>
                      <w:sz w:val="18"/>
                      <w:szCs w:val="18"/>
                    </w:rPr>
                    <w:t>55.6</w:t>
                  </w:r>
                </w:p>
              </w:tc>
              <w:tc>
                <w:tcPr>
                  <w:tcW w:w="453" w:type="pct"/>
                  <w:vAlign w:val="center"/>
                </w:tcPr>
                <w:p w14:paraId="2C3A968C">
                  <w:pPr>
                    <w:pStyle w:val="31"/>
                    <w:rPr>
                      <w:rFonts w:eastAsiaTheme="minorEastAsia"/>
                      <w:sz w:val="18"/>
                      <w:szCs w:val="18"/>
                    </w:rPr>
                  </w:pPr>
                  <w:r>
                    <w:rPr>
                      <w:rFonts w:hint="eastAsia" w:eastAsia="等线"/>
                      <w:sz w:val="18"/>
                      <w:szCs w:val="18"/>
                    </w:rPr>
                    <w:t>55.7</w:t>
                  </w:r>
                </w:p>
              </w:tc>
              <w:tc>
                <w:tcPr>
                  <w:tcW w:w="453" w:type="pct"/>
                  <w:vMerge w:val="restart"/>
                  <w:shd w:val="clear" w:color="auto" w:fill="auto"/>
                  <w:vAlign w:val="center"/>
                </w:tcPr>
                <w:p w14:paraId="5EAE3E17">
                  <w:pPr>
                    <w:pStyle w:val="31"/>
                    <w:rPr>
                      <w:rFonts w:eastAsiaTheme="minorEastAsia"/>
                      <w:sz w:val="18"/>
                      <w:szCs w:val="18"/>
                    </w:rPr>
                  </w:pPr>
                  <w:r>
                    <w:rPr>
                      <w:rFonts w:hint="eastAsia" w:eastAsiaTheme="minorEastAsia"/>
                      <w:sz w:val="18"/>
                      <w:szCs w:val="18"/>
                    </w:rPr>
                    <w:t>3类</w:t>
                  </w:r>
                </w:p>
              </w:tc>
              <w:tc>
                <w:tcPr>
                  <w:tcW w:w="456" w:type="pct"/>
                  <w:vMerge w:val="restart"/>
                  <w:shd w:val="clear" w:color="auto" w:fill="auto"/>
                  <w:vAlign w:val="center"/>
                </w:tcPr>
                <w:p w14:paraId="5D90F243">
                  <w:pPr>
                    <w:pStyle w:val="31"/>
                    <w:rPr>
                      <w:rFonts w:eastAsiaTheme="minorEastAsia"/>
                      <w:sz w:val="18"/>
                      <w:szCs w:val="18"/>
                    </w:rPr>
                  </w:pPr>
                  <w:r>
                    <w:rPr>
                      <w:rFonts w:hint="eastAsia" w:eastAsiaTheme="minorEastAsia"/>
                      <w:sz w:val="18"/>
                      <w:szCs w:val="18"/>
                    </w:rPr>
                    <w:t>65</w:t>
                  </w:r>
                </w:p>
              </w:tc>
              <w:tc>
                <w:tcPr>
                  <w:tcW w:w="413" w:type="pct"/>
                  <w:shd w:val="clear" w:color="auto" w:fill="auto"/>
                  <w:vAlign w:val="center"/>
                </w:tcPr>
                <w:p w14:paraId="1CAAE27D">
                  <w:pPr>
                    <w:pStyle w:val="31"/>
                    <w:rPr>
                      <w:rFonts w:eastAsiaTheme="minorEastAsia"/>
                      <w:sz w:val="18"/>
                      <w:szCs w:val="18"/>
                    </w:rPr>
                  </w:pPr>
                  <w:r>
                    <w:rPr>
                      <w:rFonts w:eastAsiaTheme="minorEastAsia"/>
                      <w:sz w:val="18"/>
                      <w:szCs w:val="18"/>
                    </w:rPr>
                    <w:t>是</w:t>
                  </w:r>
                </w:p>
              </w:tc>
            </w:tr>
            <w:tr w14:paraId="2C84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32" w:type="pct"/>
                  <w:shd w:val="clear" w:color="auto" w:fill="auto"/>
                  <w:vAlign w:val="center"/>
                </w:tcPr>
                <w:p w14:paraId="69047D5C">
                  <w:pPr>
                    <w:pStyle w:val="31"/>
                    <w:rPr>
                      <w:rFonts w:eastAsiaTheme="minorEastAsia"/>
                      <w:sz w:val="18"/>
                      <w:szCs w:val="18"/>
                    </w:rPr>
                  </w:pPr>
                  <w:r>
                    <w:rPr>
                      <w:rFonts w:eastAsiaTheme="minorEastAsia"/>
                      <w:sz w:val="18"/>
                      <w:szCs w:val="18"/>
                    </w:rPr>
                    <w:t>2</w:t>
                  </w:r>
                </w:p>
              </w:tc>
              <w:tc>
                <w:tcPr>
                  <w:tcW w:w="700" w:type="pct"/>
                  <w:shd w:val="clear" w:color="auto" w:fill="auto"/>
                  <w:vAlign w:val="center"/>
                </w:tcPr>
                <w:p w14:paraId="6C4A1972">
                  <w:pPr>
                    <w:pStyle w:val="31"/>
                    <w:rPr>
                      <w:rFonts w:eastAsiaTheme="minorEastAsia"/>
                      <w:sz w:val="18"/>
                      <w:szCs w:val="18"/>
                    </w:rPr>
                  </w:pPr>
                  <w:r>
                    <w:rPr>
                      <w:sz w:val="18"/>
                      <w:szCs w:val="18"/>
                    </w:rPr>
                    <w:t>厂界东侧</w:t>
                  </w:r>
                </w:p>
              </w:tc>
              <w:tc>
                <w:tcPr>
                  <w:tcW w:w="467" w:type="pct"/>
                  <w:shd w:val="clear" w:color="auto" w:fill="auto"/>
                </w:tcPr>
                <w:p w14:paraId="71BF213F">
                  <w:pPr>
                    <w:pStyle w:val="31"/>
                    <w:rPr>
                      <w:rFonts w:eastAsiaTheme="minorEastAsia"/>
                      <w:sz w:val="18"/>
                      <w:szCs w:val="18"/>
                    </w:rPr>
                  </w:pPr>
                  <w:r>
                    <w:rPr>
                      <w:sz w:val="18"/>
                      <w:szCs w:val="18"/>
                    </w:rPr>
                    <w:t>178.78</w:t>
                  </w:r>
                </w:p>
              </w:tc>
              <w:tc>
                <w:tcPr>
                  <w:tcW w:w="467" w:type="pct"/>
                  <w:shd w:val="clear" w:color="auto" w:fill="auto"/>
                </w:tcPr>
                <w:p w14:paraId="4C6B7163">
                  <w:pPr>
                    <w:pStyle w:val="31"/>
                    <w:rPr>
                      <w:rFonts w:eastAsiaTheme="minorEastAsia"/>
                      <w:sz w:val="18"/>
                      <w:szCs w:val="18"/>
                    </w:rPr>
                  </w:pPr>
                  <w:r>
                    <w:rPr>
                      <w:sz w:val="18"/>
                      <w:szCs w:val="18"/>
                    </w:rPr>
                    <w:t>95.55</w:t>
                  </w:r>
                </w:p>
              </w:tc>
              <w:tc>
                <w:tcPr>
                  <w:tcW w:w="453" w:type="pct"/>
                  <w:shd w:val="clear" w:color="auto" w:fill="auto"/>
                </w:tcPr>
                <w:p w14:paraId="50E9B469">
                  <w:pPr>
                    <w:pStyle w:val="31"/>
                    <w:rPr>
                      <w:rFonts w:eastAsiaTheme="minorEastAsia"/>
                      <w:sz w:val="18"/>
                      <w:szCs w:val="18"/>
                    </w:rPr>
                  </w:pPr>
                  <w:r>
                    <w:rPr>
                      <w:rFonts w:hint="eastAsia" w:eastAsiaTheme="minorEastAsia"/>
                      <w:sz w:val="18"/>
                      <w:szCs w:val="18"/>
                    </w:rPr>
                    <w:t>1.2</w:t>
                  </w:r>
                </w:p>
              </w:tc>
              <w:tc>
                <w:tcPr>
                  <w:tcW w:w="453" w:type="pct"/>
                  <w:shd w:val="clear" w:color="auto" w:fill="auto"/>
                  <w:vAlign w:val="center"/>
                </w:tcPr>
                <w:p w14:paraId="30BB0AFE">
                  <w:pPr>
                    <w:widowControl/>
                    <w:jc w:val="center"/>
                    <w:rPr>
                      <w:rFonts w:cs="Times New Roman" w:eastAsiaTheme="minorEastAsia"/>
                      <w:sz w:val="18"/>
                      <w:szCs w:val="18"/>
                    </w:rPr>
                  </w:pPr>
                  <w:r>
                    <w:rPr>
                      <w:rFonts w:hint="eastAsia" w:cs="Times New Roman" w:eastAsiaTheme="minorEastAsia"/>
                      <w:sz w:val="18"/>
                      <w:szCs w:val="18"/>
                    </w:rPr>
                    <w:t>48.2</w:t>
                  </w:r>
                </w:p>
              </w:tc>
              <w:tc>
                <w:tcPr>
                  <w:tcW w:w="453" w:type="pct"/>
                  <w:vAlign w:val="center"/>
                </w:tcPr>
                <w:p w14:paraId="12A18CDD">
                  <w:pPr>
                    <w:pStyle w:val="31"/>
                    <w:rPr>
                      <w:rFonts w:eastAsiaTheme="minorEastAsia"/>
                      <w:sz w:val="18"/>
                      <w:szCs w:val="18"/>
                    </w:rPr>
                  </w:pPr>
                  <w:r>
                    <w:rPr>
                      <w:rFonts w:hint="eastAsia" w:eastAsiaTheme="minorEastAsia"/>
                      <w:sz w:val="18"/>
                      <w:szCs w:val="18"/>
                    </w:rPr>
                    <w:t>55.4</w:t>
                  </w:r>
                </w:p>
              </w:tc>
              <w:tc>
                <w:tcPr>
                  <w:tcW w:w="453" w:type="pct"/>
                  <w:vAlign w:val="center"/>
                </w:tcPr>
                <w:p w14:paraId="5AA5C4EA">
                  <w:pPr>
                    <w:pStyle w:val="31"/>
                    <w:rPr>
                      <w:rFonts w:eastAsiaTheme="minorEastAsia"/>
                      <w:sz w:val="18"/>
                      <w:szCs w:val="18"/>
                    </w:rPr>
                  </w:pPr>
                  <w:r>
                    <w:rPr>
                      <w:rFonts w:eastAsia="等线"/>
                      <w:sz w:val="18"/>
                      <w:szCs w:val="18"/>
                    </w:rPr>
                    <w:t>56.2</w:t>
                  </w:r>
                </w:p>
              </w:tc>
              <w:tc>
                <w:tcPr>
                  <w:tcW w:w="453" w:type="pct"/>
                  <w:vMerge w:val="continue"/>
                  <w:shd w:val="clear" w:color="auto" w:fill="auto"/>
                </w:tcPr>
                <w:p w14:paraId="24801B8D">
                  <w:pPr>
                    <w:pStyle w:val="31"/>
                    <w:rPr>
                      <w:rFonts w:eastAsiaTheme="minorEastAsia"/>
                      <w:sz w:val="18"/>
                      <w:szCs w:val="18"/>
                    </w:rPr>
                  </w:pPr>
                </w:p>
              </w:tc>
              <w:tc>
                <w:tcPr>
                  <w:tcW w:w="456" w:type="pct"/>
                  <w:vMerge w:val="continue"/>
                  <w:shd w:val="clear" w:color="auto" w:fill="auto"/>
                  <w:vAlign w:val="center"/>
                </w:tcPr>
                <w:p w14:paraId="61ADC231">
                  <w:pPr>
                    <w:pStyle w:val="31"/>
                    <w:rPr>
                      <w:rFonts w:eastAsiaTheme="minorEastAsia"/>
                      <w:sz w:val="18"/>
                      <w:szCs w:val="18"/>
                    </w:rPr>
                  </w:pPr>
                </w:p>
              </w:tc>
              <w:tc>
                <w:tcPr>
                  <w:tcW w:w="413" w:type="pct"/>
                  <w:shd w:val="clear" w:color="auto" w:fill="auto"/>
                  <w:vAlign w:val="center"/>
                </w:tcPr>
                <w:p w14:paraId="61FFC710">
                  <w:pPr>
                    <w:pStyle w:val="31"/>
                    <w:rPr>
                      <w:rFonts w:eastAsiaTheme="minorEastAsia"/>
                      <w:sz w:val="18"/>
                      <w:szCs w:val="18"/>
                    </w:rPr>
                  </w:pPr>
                  <w:r>
                    <w:rPr>
                      <w:rFonts w:eastAsiaTheme="minorEastAsia"/>
                      <w:sz w:val="18"/>
                      <w:szCs w:val="18"/>
                    </w:rPr>
                    <w:t>是</w:t>
                  </w:r>
                </w:p>
              </w:tc>
            </w:tr>
            <w:tr w14:paraId="79E8D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14:paraId="5CC63BF4">
                  <w:pPr>
                    <w:pStyle w:val="31"/>
                    <w:rPr>
                      <w:rFonts w:eastAsiaTheme="minorEastAsia"/>
                      <w:sz w:val="18"/>
                      <w:szCs w:val="18"/>
                    </w:rPr>
                  </w:pPr>
                  <w:r>
                    <w:rPr>
                      <w:rFonts w:hint="eastAsia" w:eastAsiaTheme="minorEastAsia"/>
                      <w:sz w:val="18"/>
                      <w:szCs w:val="18"/>
                    </w:rPr>
                    <w:t>3</w:t>
                  </w:r>
                </w:p>
              </w:tc>
              <w:tc>
                <w:tcPr>
                  <w:tcW w:w="700" w:type="pct"/>
                  <w:shd w:val="clear" w:color="auto" w:fill="auto"/>
                  <w:vAlign w:val="center"/>
                </w:tcPr>
                <w:p w14:paraId="3BF6EDDC">
                  <w:pPr>
                    <w:pStyle w:val="31"/>
                    <w:rPr>
                      <w:sz w:val="18"/>
                      <w:szCs w:val="18"/>
                    </w:rPr>
                  </w:pPr>
                  <w:r>
                    <w:rPr>
                      <w:sz w:val="18"/>
                      <w:szCs w:val="18"/>
                    </w:rPr>
                    <w:t>厂界</w:t>
                  </w:r>
                  <w:r>
                    <w:rPr>
                      <w:rFonts w:hint="eastAsia"/>
                      <w:sz w:val="18"/>
                      <w:szCs w:val="18"/>
                    </w:rPr>
                    <w:t>南侧</w:t>
                  </w:r>
                </w:p>
              </w:tc>
              <w:tc>
                <w:tcPr>
                  <w:tcW w:w="467" w:type="pct"/>
                  <w:shd w:val="clear" w:color="auto" w:fill="auto"/>
                </w:tcPr>
                <w:p w14:paraId="0B0FF22F">
                  <w:pPr>
                    <w:pStyle w:val="31"/>
                    <w:rPr>
                      <w:rFonts w:eastAsiaTheme="minorEastAsia"/>
                      <w:sz w:val="18"/>
                      <w:szCs w:val="18"/>
                    </w:rPr>
                  </w:pPr>
                  <w:r>
                    <w:rPr>
                      <w:sz w:val="18"/>
                      <w:szCs w:val="18"/>
                    </w:rPr>
                    <w:t>117.56</w:t>
                  </w:r>
                </w:p>
              </w:tc>
              <w:tc>
                <w:tcPr>
                  <w:tcW w:w="467" w:type="pct"/>
                  <w:shd w:val="clear" w:color="auto" w:fill="auto"/>
                </w:tcPr>
                <w:p w14:paraId="7DCA9FB4">
                  <w:pPr>
                    <w:pStyle w:val="31"/>
                    <w:rPr>
                      <w:rFonts w:eastAsiaTheme="minorEastAsia"/>
                      <w:sz w:val="18"/>
                      <w:szCs w:val="18"/>
                    </w:rPr>
                  </w:pPr>
                  <w:r>
                    <w:rPr>
                      <w:sz w:val="18"/>
                      <w:szCs w:val="18"/>
                    </w:rPr>
                    <w:t>14.65</w:t>
                  </w:r>
                </w:p>
              </w:tc>
              <w:tc>
                <w:tcPr>
                  <w:tcW w:w="453" w:type="pct"/>
                  <w:shd w:val="clear" w:color="auto" w:fill="auto"/>
                </w:tcPr>
                <w:p w14:paraId="615DCA27">
                  <w:pPr>
                    <w:pStyle w:val="31"/>
                    <w:rPr>
                      <w:rFonts w:eastAsiaTheme="minorEastAsia"/>
                      <w:sz w:val="18"/>
                      <w:szCs w:val="18"/>
                    </w:rPr>
                  </w:pPr>
                  <w:r>
                    <w:rPr>
                      <w:rFonts w:hint="eastAsia" w:eastAsiaTheme="minorEastAsia"/>
                      <w:sz w:val="18"/>
                      <w:szCs w:val="18"/>
                    </w:rPr>
                    <w:t>1.2</w:t>
                  </w:r>
                </w:p>
              </w:tc>
              <w:tc>
                <w:tcPr>
                  <w:tcW w:w="453" w:type="pct"/>
                  <w:shd w:val="clear" w:color="auto" w:fill="auto"/>
                  <w:vAlign w:val="center"/>
                </w:tcPr>
                <w:p w14:paraId="66212D7B">
                  <w:pPr>
                    <w:pStyle w:val="31"/>
                    <w:rPr>
                      <w:rFonts w:eastAsiaTheme="minorEastAsia"/>
                      <w:sz w:val="18"/>
                      <w:szCs w:val="18"/>
                    </w:rPr>
                  </w:pPr>
                  <w:r>
                    <w:rPr>
                      <w:rFonts w:hint="eastAsia" w:eastAsiaTheme="minorEastAsia"/>
                      <w:sz w:val="18"/>
                      <w:szCs w:val="18"/>
                    </w:rPr>
                    <w:t>62.2</w:t>
                  </w:r>
                </w:p>
              </w:tc>
              <w:tc>
                <w:tcPr>
                  <w:tcW w:w="453" w:type="pct"/>
                  <w:vAlign w:val="center"/>
                </w:tcPr>
                <w:p w14:paraId="21DAB66E">
                  <w:pPr>
                    <w:pStyle w:val="31"/>
                    <w:rPr>
                      <w:rFonts w:eastAsiaTheme="minorEastAsia"/>
                      <w:sz w:val="18"/>
                      <w:szCs w:val="18"/>
                    </w:rPr>
                  </w:pPr>
                  <w:r>
                    <w:rPr>
                      <w:rFonts w:hint="eastAsia" w:eastAsiaTheme="minorEastAsia"/>
                      <w:sz w:val="18"/>
                      <w:szCs w:val="18"/>
                    </w:rPr>
                    <w:t>55.4</w:t>
                  </w:r>
                </w:p>
              </w:tc>
              <w:tc>
                <w:tcPr>
                  <w:tcW w:w="453" w:type="pct"/>
                  <w:vAlign w:val="center"/>
                </w:tcPr>
                <w:p w14:paraId="5E955F45">
                  <w:pPr>
                    <w:pStyle w:val="31"/>
                    <w:rPr>
                      <w:rFonts w:eastAsiaTheme="minorEastAsia"/>
                      <w:sz w:val="18"/>
                      <w:szCs w:val="18"/>
                    </w:rPr>
                  </w:pPr>
                  <w:r>
                    <w:rPr>
                      <w:rFonts w:eastAsia="等线"/>
                      <w:sz w:val="18"/>
                      <w:szCs w:val="18"/>
                    </w:rPr>
                    <w:t>63.0</w:t>
                  </w:r>
                </w:p>
              </w:tc>
              <w:tc>
                <w:tcPr>
                  <w:tcW w:w="453" w:type="pct"/>
                  <w:vMerge w:val="continue"/>
                  <w:shd w:val="clear" w:color="auto" w:fill="auto"/>
                </w:tcPr>
                <w:p w14:paraId="2374B495">
                  <w:pPr>
                    <w:pStyle w:val="31"/>
                    <w:rPr>
                      <w:rFonts w:eastAsiaTheme="minorEastAsia"/>
                      <w:sz w:val="18"/>
                      <w:szCs w:val="18"/>
                    </w:rPr>
                  </w:pPr>
                </w:p>
              </w:tc>
              <w:tc>
                <w:tcPr>
                  <w:tcW w:w="456" w:type="pct"/>
                  <w:vMerge w:val="continue"/>
                  <w:shd w:val="clear" w:color="auto" w:fill="auto"/>
                  <w:vAlign w:val="center"/>
                </w:tcPr>
                <w:p w14:paraId="4F407BCA">
                  <w:pPr>
                    <w:pStyle w:val="31"/>
                    <w:rPr>
                      <w:rFonts w:eastAsiaTheme="minorEastAsia"/>
                      <w:sz w:val="18"/>
                      <w:szCs w:val="18"/>
                    </w:rPr>
                  </w:pPr>
                </w:p>
              </w:tc>
              <w:tc>
                <w:tcPr>
                  <w:tcW w:w="413" w:type="pct"/>
                  <w:shd w:val="clear" w:color="auto" w:fill="auto"/>
                  <w:vAlign w:val="center"/>
                </w:tcPr>
                <w:p w14:paraId="77D9CF0B">
                  <w:pPr>
                    <w:pStyle w:val="31"/>
                    <w:rPr>
                      <w:rFonts w:eastAsiaTheme="minorEastAsia"/>
                      <w:sz w:val="18"/>
                      <w:szCs w:val="18"/>
                    </w:rPr>
                  </w:pPr>
                  <w:r>
                    <w:rPr>
                      <w:rFonts w:eastAsiaTheme="minorEastAsia"/>
                      <w:sz w:val="18"/>
                      <w:szCs w:val="18"/>
                    </w:rPr>
                    <w:t>是</w:t>
                  </w:r>
                </w:p>
              </w:tc>
            </w:tr>
            <w:tr w14:paraId="03AE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14:paraId="73A5197F">
                  <w:pPr>
                    <w:pStyle w:val="31"/>
                    <w:rPr>
                      <w:rFonts w:eastAsiaTheme="minorEastAsia"/>
                      <w:sz w:val="18"/>
                      <w:szCs w:val="18"/>
                    </w:rPr>
                  </w:pPr>
                  <w:r>
                    <w:rPr>
                      <w:rFonts w:hint="eastAsia" w:eastAsiaTheme="minorEastAsia"/>
                      <w:sz w:val="18"/>
                      <w:szCs w:val="18"/>
                    </w:rPr>
                    <w:t>4</w:t>
                  </w:r>
                </w:p>
              </w:tc>
              <w:tc>
                <w:tcPr>
                  <w:tcW w:w="700" w:type="pct"/>
                  <w:shd w:val="clear" w:color="auto" w:fill="auto"/>
                  <w:vAlign w:val="center"/>
                </w:tcPr>
                <w:p w14:paraId="1FD01CE4">
                  <w:pPr>
                    <w:pStyle w:val="31"/>
                    <w:rPr>
                      <w:sz w:val="18"/>
                      <w:szCs w:val="18"/>
                    </w:rPr>
                  </w:pPr>
                  <w:r>
                    <w:rPr>
                      <w:sz w:val="18"/>
                      <w:szCs w:val="18"/>
                    </w:rPr>
                    <w:t>厂界</w:t>
                  </w:r>
                  <w:r>
                    <w:rPr>
                      <w:rFonts w:hint="eastAsia"/>
                      <w:sz w:val="18"/>
                      <w:szCs w:val="18"/>
                    </w:rPr>
                    <w:t>西侧</w:t>
                  </w:r>
                </w:p>
              </w:tc>
              <w:tc>
                <w:tcPr>
                  <w:tcW w:w="467" w:type="pct"/>
                  <w:shd w:val="clear" w:color="auto" w:fill="auto"/>
                </w:tcPr>
                <w:p w14:paraId="0DF12522">
                  <w:pPr>
                    <w:pStyle w:val="31"/>
                    <w:rPr>
                      <w:rFonts w:eastAsiaTheme="minorEastAsia"/>
                      <w:sz w:val="18"/>
                      <w:szCs w:val="18"/>
                    </w:rPr>
                  </w:pPr>
                  <w:r>
                    <w:rPr>
                      <w:sz w:val="18"/>
                      <w:szCs w:val="18"/>
                    </w:rPr>
                    <w:t>12.74</w:t>
                  </w:r>
                </w:p>
              </w:tc>
              <w:tc>
                <w:tcPr>
                  <w:tcW w:w="467" w:type="pct"/>
                  <w:shd w:val="clear" w:color="auto" w:fill="auto"/>
                </w:tcPr>
                <w:p w14:paraId="772A35B5">
                  <w:pPr>
                    <w:pStyle w:val="31"/>
                    <w:rPr>
                      <w:rFonts w:eastAsiaTheme="minorEastAsia"/>
                      <w:sz w:val="18"/>
                      <w:szCs w:val="18"/>
                    </w:rPr>
                  </w:pPr>
                  <w:r>
                    <w:rPr>
                      <w:sz w:val="18"/>
                      <w:szCs w:val="18"/>
                    </w:rPr>
                    <w:t>102.15</w:t>
                  </w:r>
                </w:p>
              </w:tc>
              <w:tc>
                <w:tcPr>
                  <w:tcW w:w="453" w:type="pct"/>
                  <w:shd w:val="clear" w:color="auto" w:fill="auto"/>
                </w:tcPr>
                <w:p w14:paraId="295B4EFA">
                  <w:pPr>
                    <w:pStyle w:val="31"/>
                    <w:rPr>
                      <w:rFonts w:eastAsiaTheme="minorEastAsia"/>
                      <w:sz w:val="18"/>
                      <w:szCs w:val="18"/>
                    </w:rPr>
                  </w:pPr>
                  <w:r>
                    <w:rPr>
                      <w:rFonts w:hint="eastAsia" w:eastAsiaTheme="minorEastAsia"/>
                      <w:sz w:val="18"/>
                      <w:szCs w:val="18"/>
                    </w:rPr>
                    <w:t>1.2</w:t>
                  </w:r>
                </w:p>
              </w:tc>
              <w:tc>
                <w:tcPr>
                  <w:tcW w:w="453" w:type="pct"/>
                  <w:shd w:val="clear" w:color="auto" w:fill="auto"/>
                  <w:vAlign w:val="center"/>
                </w:tcPr>
                <w:p w14:paraId="2EF187CA">
                  <w:pPr>
                    <w:pStyle w:val="31"/>
                    <w:rPr>
                      <w:rFonts w:eastAsiaTheme="minorEastAsia"/>
                      <w:sz w:val="18"/>
                      <w:szCs w:val="18"/>
                    </w:rPr>
                  </w:pPr>
                  <w:r>
                    <w:rPr>
                      <w:rFonts w:hint="eastAsia" w:eastAsiaTheme="minorEastAsia"/>
                      <w:sz w:val="18"/>
                      <w:szCs w:val="18"/>
                    </w:rPr>
                    <w:t>47.5</w:t>
                  </w:r>
                </w:p>
              </w:tc>
              <w:tc>
                <w:tcPr>
                  <w:tcW w:w="453" w:type="pct"/>
                  <w:vAlign w:val="center"/>
                </w:tcPr>
                <w:p w14:paraId="02F3285A">
                  <w:pPr>
                    <w:pStyle w:val="31"/>
                    <w:rPr>
                      <w:rFonts w:eastAsiaTheme="minorEastAsia"/>
                      <w:sz w:val="18"/>
                      <w:szCs w:val="18"/>
                    </w:rPr>
                  </w:pPr>
                  <w:r>
                    <w:rPr>
                      <w:rFonts w:hint="eastAsia" w:eastAsiaTheme="minorEastAsia"/>
                      <w:sz w:val="18"/>
                      <w:szCs w:val="18"/>
                    </w:rPr>
                    <w:t>54.7</w:t>
                  </w:r>
                </w:p>
              </w:tc>
              <w:tc>
                <w:tcPr>
                  <w:tcW w:w="453" w:type="pct"/>
                  <w:vAlign w:val="center"/>
                </w:tcPr>
                <w:p w14:paraId="455FC19D">
                  <w:pPr>
                    <w:pStyle w:val="31"/>
                    <w:rPr>
                      <w:rFonts w:eastAsiaTheme="minorEastAsia"/>
                      <w:sz w:val="18"/>
                      <w:szCs w:val="18"/>
                    </w:rPr>
                  </w:pPr>
                  <w:r>
                    <w:rPr>
                      <w:rFonts w:eastAsia="等线"/>
                      <w:sz w:val="18"/>
                      <w:szCs w:val="18"/>
                    </w:rPr>
                    <w:t>55.5</w:t>
                  </w:r>
                </w:p>
              </w:tc>
              <w:tc>
                <w:tcPr>
                  <w:tcW w:w="453" w:type="pct"/>
                  <w:vMerge w:val="continue"/>
                  <w:shd w:val="clear" w:color="auto" w:fill="auto"/>
                </w:tcPr>
                <w:p w14:paraId="0593715E">
                  <w:pPr>
                    <w:pStyle w:val="31"/>
                    <w:rPr>
                      <w:rFonts w:eastAsiaTheme="minorEastAsia"/>
                      <w:sz w:val="18"/>
                      <w:szCs w:val="18"/>
                    </w:rPr>
                  </w:pPr>
                </w:p>
              </w:tc>
              <w:tc>
                <w:tcPr>
                  <w:tcW w:w="456" w:type="pct"/>
                  <w:vMerge w:val="continue"/>
                  <w:shd w:val="clear" w:color="auto" w:fill="auto"/>
                  <w:vAlign w:val="center"/>
                </w:tcPr>
                <w:p w14:paraId="0470D8A7">
                  <w:pPr>
                    <w:pStyle w:val="31"/>
                    <w:rPr>
                      <w:rFonts w:eastAsiaTheme="minorEastAsia"/>
                      <w:sz w:val="18"/>
                      <w:szCs w:val="18"/>
                    </w:rPr>
                  </w:pPr>
                </w:p>
              </w:tc>
              <w:tc>
                <w:tcPr>
                  <w:tcW w:w="413" w:type="pct"/>
                  <w:shd w:val="clear" w:color="auto" w:fill="auto"/>
                  <w:vAlign w:val="center"/>
                </w:tcPr>
                <w:p w14:paraId="7834264D">
                  <w:pPr>
                    <w:pStyle w:val="31"/>
                    <w:rPr>
                      <w:rFonts w:eastAsiaTheme="minorEastAsia"/>
                      <w:sz w:val="18"/>
                      <w:szCs w:val="18"/>
                    </w:rPr>
                  </w:pPr>
                  <w:r>
                    <w:rPr>
                      <w:rFonts w:eastAsiaTheme="minorEastAsia"/>
                      <w:sz w:val="18"/>
                      <w:szCs w:val="18"/>
                    </w:rPr>
                    <w:t>是</w:t>
                  </w:r>
                </w:p>
              </w:tc>
            </w:tr>
            <w:tr w14:paraId="0643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 w:type="pct"/>
                  <w:shd w:val="clear" w:color="auto" w:fill="auto"/>
                  <w:vAlign w:val="center"/>
                </w:tcPr>
                <w:p w14:paraId="7ECD273F">
                  <w:pPr>
                    <w:pStyle w:val="31"/>
                    <w:rPr>
                      <w:rFonts w:eastAsiaTheme="minorEastAsia"/>
                      <w:sz w:val="18"/>
                      <w:szCs w:val="18"/>
                    </w:rPr>
                  </w:pPr>
                  <w:r>
                    <w:rPr>
                      <w:rFonts w:hint="eastAsia" w:eastAsiaTheme="minorEastAsia"/>
                      <w:sz w:val="18"/>
                      <w:szCs w:val="18"/>
                    </w:rPr>
                    <w:t>5</w:t>
                  </w:r>
                </w:p>
              </w:tc>
              <w:tc>
                <w:tcPr>
                  <w:tcW w:w="700" w:type="pct"/>
                  <w:shd w:val="clear" w:color="auto" w:fill="auto"/>
                  <w:vAlign w:val="center"/>
                </w:tcPr>
                <w:p w14:paraId="1F67AA54">
                  <w:pPr>
                    <w:pStyle w:val="31"/>
                    <w:rPr>
                      <w:sz w:val="18"/>
                      <w:szCs w:val="18"/>
                    </w:rPr>
                  </w:pPr>
                  <w:r>
                    <w:rPr>
                      <w:rFonts w:hint="eastAsia"/>
                      <w:sz w:val="18"/>
                      <w:szCs w:val="18"/>
                    </w:rPr>
                    <w:t>厂界最大值</w:t>
                  </w:r>
                </w:p>
              </w:tc>
              <w:tc>
                <w:tcPr>
                  <w:tcW w:w="467" w:type="pct"/>
                  <w:shd w:val="clear" w:color="auto" w:fill="auto"/>
                  <w:vAlign w:val="center"/>
                </w:tcPr>
                <w:p w14:paraId="66FE1787">
                  <w:pPr>
                    <w:pStyle w:val="31"/>
                    <w:rPr>
                      <w:rFonts w:eastAsiaTheme="minorEastAsia"/>
                      <w:sz w:val="18"/>
                      <w:szCs w:val="18"/>
                    </w:rPr>
                  </w:pPr>
                  <w:r>
                    <w:rPr>
                      <w:rFonts w:hint="eastAsia" w:eastAsiaTheme="minorEastAsia"/>
                      <w:sz w:val="18"/>
                      <w:szCs w:val="18"/>
                    </w:rPr>
                    <w:t>84.2</w:t>
                  </w:r>
                </w:p>
              </w:tc>
              <w:tc>
                <w:tcPr>
                  <w:tcW w:w="467" w:type="pct"/>
                  <w:shd w:val="clear" w:color="auto" w:fill="auto"/>
                  <w:vAlign w:val="center"/>
                </w:tcPr>
                <w:p w14:paraId="3CD98D08">
                  <w:pPr>
                    <w:pStyle w:val="31"/>
                    <w:rPr>
                      <w:rFonts w:eastAsiaTheme="minorEastAsia"/>
                      <w:sz w:val="18"/>
                      <w:szCs w:val="18"/>
                    </w:rPr>
                  </w:pPr>
                  <w:r>
                    <w:rPr>
                      <w:rFonts w:hint="eastAsia" w:eastAsiaTheme="minorEastAsia"/>
                      <w:sz w:val="18"/>
                      <w:szCs w:val="18"/>
                    </w:rPr>
                    <w:t>14.6</w:t>
                  </w:r>
                </w:p>
              </w:tc>
              <w:tc>
                <w:tcPr>
                  <w:tcW w:w="453" w:type="pct"/>
                  <w:shd w:val="clear" w:color="auto" w:fill="auto"/>
                </w:tcPr>
                <w:p w14:paraId="01043078">
                  <w:pPr>
                    <w:pStyle w:val="31"/>
                    <w:rPr>
                      <w:rFonts w:eastAsiaTheme="minorEastAsia"/>
                      <w:sz w:val="18"/>
                      <w:szCs w:val="18"/>
                    </w:rPr>
                  </w:pPr>
                  <w:r>
                    <w:rPr>
                      <w:rFonts w:hint="eastAsia" w:eastAsiaTheme="minorEastAsia"/>
                      <w:sz w:val="18"/>
                      <w:szCs w:val="18"/>
                    </w:rPr>
                    <w:t>1.2</w:t>
                  </w:r>
                </w:p>
              </w:tc>
              <w:tc>
                <w:tcPr>
                  <w:tcW w:w="453" w:type="pct"/>
                  <w:shd w:val="clear" w:color="auto" w:fill="auto"/>
                  <w:vAlign w:val="center"/>
                </w:tcPr>
                <w:p w14:paraId="18C426CA">
                  <w:pPr>
                    <w:pStyle w:val="31"/>
                    <w:rPr>
                      <w:rFonts w:eastAsiaTheme="minorEastAsia"/>
                      <w:sz w:val="18"/>
                      <w:szCs w:val="18"/>
                    </w:rPr>
                  </w:pPr>
                  <w:r>
                    <w:rPr>
                      <w:rFonts w:hint="eastAsia" w:eastAsiaTheme="minorEastAsia"/>
                      <w:sz w:val="18"/>
                      <w:szCs w:val="18"/>
                    </w:rPr>
                    <w:t>63.6</w:t>
                  </w:r>
                </w:p>
              </w:tc>
              <w:tc>
                <w:tcPr>
                  <w:tcW w:w="453" w:type="pct"/>
                  <w:vAlign w:val="center"/>
                </w:tcPr>
                <w:p w14:paraId="3810D9E4">
                  <w:pPr>
                    <w:pStyle w:val="31"/>
                    <w:rPr>
                      <w:rFonts w:eastAsiaTheme="minorEastAsia"/>
                      <w:sz w:val="18"/>
                      <w:szCs w:val="18"/>
                    </w:rPr>
                  </w:pPr>
                  <w:r>
                    <w:rPr>
                      <w:rFonts w:hint="eastAsia" w:eastAsiaTheme="minorEastAsia"/>
                      <w:sz w:val="18"/>
                      <w:szCs w:val="18"/>
                    </w:rPr>
                    <w:t>55.6</w:t>
                  </w:r>
                </w:p>
              </w:tc>
              <w:tc>
                <w:tcPr>
                  <w:tcW w:w="453" w:type="pct"/>
                  <w:vAlign w:val="center"/>
                </w:tcPr>
                <w:p w14:paraId="7983E23E">
                  <w:pPr>
                    <w:pStyle w:val="31"/>
                    <w:rPr>
                      <w:rFonts w:eastAsiaTheme="minorEastAsia"/>
                      <w:sz w:val="18"/>
                      <w:szCs w:val="18"/>
                    </w:rPr>
                  </w:pPr>
                  <w:r>
                    <w:rPr>
                      <w:rFonts w:eastAsia="等线"/>
                      <w:sz w:val="18"/>
                      <w:szCs w:val="18"/>
                    </w:rPr>
                    <w:t>64.2</w:t>
                  </w:r>
                </w:p>
              </w:tc>
              <w:tc>
                <w:tcPr>
                  <w:tcW w:w="453" w:type="pct"/>
                  <w:vMerge w:val="continue"/>
                  <w:shd w:val="clear" w:color="auto" w:fill="auto"/>
                </w:tcPr>
                <w:p w14:paraId="538B67F2">
                  <w:pPr>
                    <w:pStyle w:val="31"/>
                    <w:rPr>
                      <w:rFonts w:eastAsiaTheme="minorEastAsia"/>
                      <w:sz w:val="18"/>
                      <w:szCs w:val="18"/>
                    </w:rPr>
                  </w:pPr>
                </w:p>
              </w:tc>
              <w:tc>
                <w:tcPr>
                  <w:tcW w:w="456" w:type="pct"/>
                  <w:vMerge w:val="continue"/>
                  <w:shd w:val="clear" w:color="auto" w:fill="auto"/>
                  <w:vAlign w:val="center"/>
                </w:tcPr>
                <w:p w14:paraId="261F9FD5">
                  <w:pPr>
                    <w:pStyle w:val="31"/>
                    <w:rPr>
                      <w:rFonts w:eastAsiaTheme="minorEastAsia"/>
                      <w:sz w:val="18"/>
                      <w:szCs w:val="18"/>
                    </w:rPr>
                  </w:pPr>
                </w:p>
              </w:tc>
              <w:tc>
                <w:tcPr>
                  <w:tcW w:w="413" w:type="pct"/>
                  <w:shd w:val="clear" w:color="auto" w:fill="auto"/>
                  <w:vAlign w:val="center"/>
                </w:tcPr>
                <w:p w14:paraId="26437DF4">
                  <w:pPr>
                    <w:pStyle w:val="31"/>
                    <w:rPr>
                      <w:rFonts w:eastAsiaTheme="minorEastAsia"/>
                      <w:sz w:val="18"/>
                      <w:szCs w:val="18"/>
                    </w:rPr>
                  </w:pPr>
                  <w:r>
                    <w:rPr>
                      <w:rFonts w:eastAsiaTheme="minorEastAsia"/>
                      <w:sz w:val="18"/>
                      <w:szCs w:val="18"/>
                    </w:rPr>
                    <w:t>是</w:t>
                  </w:r>
                </w:p>
              </w:tc>
            </w:tr>
            <w:tr w14:paraId="06CD0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shd w:val="clear" w:color="auto" w:fill="auto"/>
                  <w:vAlign w:val="center"/>
                </w:tcPr>
                <w:p w14:paraId="03C3BA41">
                  <w:pPr>
                    <w:pStyle w:val="31"/>
                    <w:jc w:val="both"/>
                    <w:rPr>
                      <w:rFonts w:eastAsiaTheme="minorEastAsia"/>
                      <w:sz w:val="18"/>
                      <w:szCs w:val="18"/>
                    </w:rPr>
                  </w:pPr>
                  <w:r>
                    <w:rPr>
                      <w:rFonts w:hint="eastAsia" w:eastAsiaTheme="minorEastAsia"/>
                      <w:sz w:val="18"/>
                      <w:szCs w:val="18"/>
                    </w:rPr>
                    <w:t>注：背景数据采用现有工程厂界噪声监测数据。</w:t>
                  </w:r>
                </w:p>
              </w:tc>
            </w:tr>
          </w:tbl>
          <w:p w14:paraId="1B1FEDBE">
            <w:pPr>
              <w:spacing w:line="360" w:lineRule="auto"/>
              <w:jc w:val="center"/>
              <w:rPr>
                <w:sz w:val="24"/>
                <w:szCs w:val="24"/>
              </w:rPr>
            </w:pPr>
            <w:r>
              <w:drawing>
                <wp:inline distT="0" distB="0" distL="0" distR="0">
                  <wp:extent cx="4784090" cy="4476750"/>
                  <wp:effectExtent l="0" t="0" r="0" b="0"/>
                  <wp:docPr id="1299353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53547" name="图片 1"/>
                          <pic:cNvPicPr>
                            <a:picLocks noChangeAspect="1"/>
                          </pic:cNvPicPr>
                        </pic:nvPicPr>
                        <pic:blipFill>
                          <a:blip r:embed="rId48"/>
                          <a:stretch>
                            <a:fillRect/>
                          </a:stretch>
                        </pic:blipFill>
                        <pic:spPr>
                          <a:xfrm>
                            <a:off x="0" y="0"/>
                            <a:ext cx="4807978" cy="4498549"/>
                          </a:xfrm>
                          <a:prstGeom prst="rect">
                            <a:avLst/>
                          </a:prstGeom>
                        </pic:spPr>
                      </pic:pic>
                    </a:graphicData>
                  </a:graphic>
                </wp:inline>
              </w:drawing>
            </w:r>
          </w:p>
          <w:p w14:paraId="41FD4515">
            <w:pPr>
              <w:pStyle w:val="51"/>
              <w:numPr>
                <w:ilvl w:val="0"/>
                <w:numId w:val="7"/>
              </w:numPr>
              <w:spacing w:line="360" w:lineRule="auto"/>
              <w:ind w:firstLineChars="0"/>
              <w:jc w:val="center"/>
              <w:rPr>
                <w:rFonts w:eastAsia="黑体" w:cs="Times New Roman"/>
                <w:szCs w:val="21"/>
              </w:rPr>
            </w:pPr>
            <w:r>
              <w:rPr>
                <w:rFonts w:hint="eastAsia" w:eastAsia="黑体" w:cs="Times New Roman"/>
                <w:szCs w:val="21"/>
              </w:rPr>
              <w:t>项目等声值线图</w:t>
            </w:r>
          </w:p>
          <w:p w14:paraId="4A41C7A8">
            <w:pPr>
              <w:spacing w:line="360" w:lineRule="auto"/>
              <w:ind w:firstLine="480" w:firstLineChars="200"/>
              <w:rPr>
                <w:sz w:val="24"/>
                <w:szCs w:val="24"/>
              </w:rPr>
            </w:pPr>
            <w:r>
              <w:rPr>
                <w:rFonts w:hint="eastAsia"/>
                <w:sz w:val="24"/>
                <w:szCs w:val="24"/>
              </w:rPr>
              <w:t>根据噪声预测结果，项目运营期在采取本环评提出的噪声控制措施后，厂界各预测点噪声均满足《工业企业厂界环境噪声排放标准》（GB12348-2008）3类标准，实现达标排放。</w:t>
            </w:r>
          </w:p>
          <w:p w14:paraId="58956547">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）监测要求</w:t>
            </w:r>
          </w:p>
          <w:p w14:paraId="765B282F">
            <w:pPr>
              <w:spacing w:line="360" w:lineRule="auto"/>
              <w:ind w:firstLine="480" w:firstLineChars="200"/>
              <w:rPr>
                <w:sz w:val="24"/>
                <w:szCs w:val="24"/>
              </w:rPr>
            </w:pPr>
            <w:r>
              <w:rPr>
                <w:rFonts w:hint="eastAsia"/>
                <w:sz w:val="24"/>
                <w:szCs w:val="24"/>
              </w:rPr>
              <w:t>本次环评根据《排污单位自行监测技术指南 橡胶和塑料制品》（HJ1207-2021）和《排污许可证申请与核发技术规范 工业噪声》（HJ1301-2023）提出项目生产运行阶段的污染源监测计划，详见下表：</w:t>
            </w:r>
          </w:p>
          <w:p w14:paraId="0C7364FE">
            <w:pPr>
              <w:pStyle w:val="51"/>
              <w:numPr>
                <w:ilvl w:val="0"/>
                <w:numId w:val="6"/>
              </w:numPr>
              <w:spacing w:line="360" w:lineRule="auto"/>
              <w:ind w:firstLineChars="0"/>
              <w:jc w:val="center"/>
              <w:rPr>
                <w:rFonts w:eastAsia="黑体" w:cs="Times New Roman"/>
                <w:szCs w:val="21"/>
              </w:rPr>
            </w:pPr>
            <w:r>
              <w:rPr>
                <w:rFonts w:hint="eastAsia" w:eastAsia="黑体" w:cs="Times New Roman"/>
                <w:kern w:val="24"/>
                <w:szCs w:val="21"/>
              </w:rPr>
              <w:t>噪声监测方案</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921"/>
              <w:gridCol w:w="1425"/>
              <w:gridCol w:w="3992"/>
            </w:tblGrid>
            <w:tr w14:paraId="265C7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14:paraId="7E103178">
                  <w:pPr>
                    <w:jc w:val="center"/>
                    <w:rPr>
                      <w:szCs w:val="21"/>
                    </w:rPr>
                  </w:pPr>
                  <w:r>
                    <w:rPr>
                      <w:szCs w:val="21"/>
                    </w:rPr>
                    <w:t>监测点位</w:t>
                  </w:r>
                </w:p>
              </w:tc>
              <w:tc>
                <w:tcPr>
                  <w:tcW w:w="1050" w:type="pct"/>
                  <w:shd w:val="clear" w:color="auto" w:fill="auto"/>
                  <w:vAlign w:val="center"/>
                </w:tcPr>
                <w:p w14:paraId="4E46C353">
                  <w:pPr>
                    <w:jc w:val="center"/>
                    <w:rPr>
                      <w:szCs w:val="21"/>
                    </w:rPr>
                  </w:pPr>
                  <w:r>
                    <w:rPr>
                      <w:szCs w:val="21"/>
                    </w:rPr>
                    <w:t>监测指标</w:t>
                  </w:r>
                </w:p>
              </w:tc>
              <w:tc>
                <w:tcPr>
                  <w:tcW w:w="779" w:type="pct"/>
                  <w:shd w:val="clear" w:color="auto" w:fill="auto"/>
                  <w:vAlign w:val="center"/>
                </w:tcPr>
                <w:p w14:paraId="0BC03560">
                  <w:pPr>
                    <w:jc w:val="center"/>
                    <w:rPr>
                      <w:szCs w:val="21"/>
                    </w:rPr>
                  </w:pPr>
                  <w:r>
                    <w:rPr>
                      <w:szCs w:val="21"/>
                    </w:rPr>
                    <w:t>监测频次</w:t>
                  </w:r>
                </w:p>
              </w:tc>
              <w:tc>
                <w:tcPr>
                  <w:tcW w:w="2182" w:type="pct"/>
                </w:tcPr>
                <w:p w14:paraId="67CC5EC4">
                  <w:pPr>
                    <w:jc w:val="center"/>
                    <w:rPr>
                      <w:szCs w:val="21"/>
                    </w:rPr>
                  </w:pPr>
                  <w:r>
                    <w:rPr>
                      <w:szCs w:val="21"/>
                    </w:rPr>
                    <w:t>执行排放标准</w:t>
                  </w:r>
                </w:p>
              </w:tc>
            </w:tr>
            <w:tr w14:paraId="088EB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89" w:type="pct"/>
                  <w:shd w:val="clear" w:color="auto" w:fill="auto"/>
                  <w:vAlign w:val="center"/>
                </w:tcPr>
                <w:p w14:paraId="452387B7">
                  <w:pPr>
                    <w:jc w:val="center"/>
                    <w:rPr>
                      <w:szCs w:val="21"/>
                    </w:rPr>
                  </w:pPr>
                  <w:r>
                    <w:rPr>
                      <w:rFonts w:hint="eastAsia"/>
                      <w:szCs w:val="21"/>
                    </w:rPr>
                    <w:t>厂界</w:t>
                  </w:r>
                </w:p>
              </w:tc>
              <w:tc>
                <w:tcPr>
                  <w:tcW w:w="1050" w:type="pct"/>
                  <w:shd w:val="clear" w:color="auto" w:fill="auto"/>
                  <w:vAlign w:val="center"/>
                </w:tcPr>
                <w:p w14:paraId="7F1A446E">
                  <w:pPr>
                    <w:jc w:val="center"/>
                    <w:rPr>
                      <w:szCs w:val="21"/>
                    </w:rPr>
                  </w:pPr>
                  <w:r>
                    <w:rPr>
                      <w:rFonts w:hint="eastAsia"/>
                      <w:szCs w:val="21"/>
                    </w:rPr>
                    <w:t>Leq</w:t>
                  </w:r>
                </w:p>
              </w:tc>
              <w:tc>
                <w:tcPr>
                  <w:tcW w:w="779" w:type="pct"/>
                  <w:shd w:val="clear" w:color="auto" w:fill="auto"/>
                  <w:vAlign w:val="center"/>
                </w:tcPr>
                <w:p w14:paraId="2DC01EB5">
                  <w:pPr>
                    <w:jc w:val="center"/>
                    <w:rPr>
                      <w:szCs w:val="21"/>
                    </w:rPr>
                  </w:pPr>
                  <w:r>
                    <w:rPr>
                      <w:rFonts w:hint="eastAsia"/>
                      <w:szCs w:val="21"/>
                    </w:rPr>
                    <w:t>1季度/</w:t>
                  </w:r>
                  <w:r>
                    <w:rPr>
                      <w:szCs w:val="21"/>
                    </w:rPr>
                    <w:t>次</w:t>
                  </w:r>
                </w:p>
              </w:tc>
              <w:tc>
                <w:tcPr>
                  <w:tcW w:w="2182" w:type="pct"/>
                  <w:vAlign w:val="center"/>
                </w:tcPr>
                <w:p w14:paraId="3E66CB36">
                  <w:pPr>
                    <w:jc w:val="center"/>
                    <w:rPr>
                      <w:szCs w:val="21"/>
                    </w:rPr>
                  </w:pPr>
                  <w:r>
                    <w:rPr>
                      <w:rFonts w:hint="eastAsia"/>
                      <w:szCs w:val="21"/>
                    </w:rPr>
                    <w:t>《工业企业厂界环境噪声排放标准》（GB12348-2008）</w:t>
                  </w:r>
                  <w:r>
                    <w:rPr>
                      <w:szCs w:val="21"/>
                    </w:rPr>
                    <w:t>3</w:t>
                  </w:r>
                  <w:r>
                    <w:rPr>
                      <w:rFonts w:hint="eastAsia"/>
                      <w:szCs w:val="21"/>
                    </w:rPr>
                    <w:t>类标准</w:t>
                  </w:r>
                </w:p>
              </w:tc>
            </w:tr>
          </w:tbl>
          <w:p w14:paraId="6744D0F5">
            <w:pPr>
              <w:spacing w:line="360" w:lineRule="auto"/>
              <w:ind w:firstLine="482" w:firstLineChars="200"/>
              <w:rPr>
                <w:b/>
                <w:sz w:val="24"/>
                <w:szCs w:val="24"/>
              </w:rPr>
            </w:pPr>
            <w:r>
              <w:rPr>
                <w:b/>
                <w:sz w:val="24"/>
                <w:szCs w:val="24"/>
              </w:rPr>
              <w:t>4</w:t>
            </w:r>
            <w:r>
              <w:rPr>
                <w:rFonts w:hint="eastAsia"/>
                <w:b/>
                <w:sz w:val="24"/>
                <w:szCs w:val="24"/>
              </w:rPr>
              <w:t>、固体废物</w:t>
            </w:r>
          </w:p>
          <w:p w14:paraId="5611226A">
            <w:pPr>
              <w:spacing w:line="360" w:lineRule="auto"/>
              <w:ind w:firstLine="482" w:firstLineChars="200"/>
              <w:rPr>
                <w:b/>
                <w:sz w:val="24"/>
                <w:szCs w:val="24"/>
              </w:rPr>
            </w:pPr>
            <w:r>
              <w:rPr>
                <w:rFonts w:hint="eastAsia"/>
                <w:b/>
                <w:sz w:val="24"/>
                <w:szCs w:val="24"/>
              </w:rPr>
              <w:t>（</w:t>
            </w:r>
            <w:r>
              <w:rPr>
                <w:b/>
                <w:sz w:val="24"/>
                <w:szCs w:val="24"/>
              </w:rPr>
              <w:t>1</w:t>
            </w:r>
            <w:r>
              <w:rPr>
                <w:rFonts w:hint="eastAsia"/>
                <w:b/>
                <w:sz w:val="24"/>
                <w:szCs w:val="24"/>
              </w:rPr>
              <w:t>）一般废物</w:t>
            </w:r>
          </w:p>
          <w:p w14:paraId="6A622D6C">
            <w:pPr>
              <w:spacing w:line="360" w:lineRule="auto"/>
              <w:ind w:firstLine="482" w:firstLineChars="200"/>
              <w:rPr>
                <w:b/>
                <w:sz w:val="24"/>
                <w:szCs w:val="24"/>
              </w:rPr>
            </w:pPr>
            <w:r>
              <w:rPr>
                <w:rFonts w:hint="eastAsia"/>
                <w:b/>
                <w:sz w:val="24"/>
                <w:szCs w:val="24"/>
              </w:rPr>
              <w:t>①产生情况</w:t>
            </w:r>
          </w:p>
          <w:p w14:paraId="53757E2C">
            <w:pPr>
              <w:spacing w:line="360" w:lineRule="auto"/>
              <w:ind w:firstLine="482" w:firstLineChars="200"/>
              <w:rPr>
                <w:sz w:val="24"/>
                <w:szCs w:val="24"/>
              </w:rPr>
            </w:pPr>
            <w:r>
              <w:rPr>
                <w:rFonts w:hint="eastAsia"/>
                <w:b/>
                <w:sz w:val="24"/>
                <w:szCs w:val="24"/>
              </w:rPr>
              <w:t>废旧模具</w:t>
            </w:r>
            <w:r>
              <w:rPr>
                <w:rFonts w:hint="eastAsia"/>
                <w:sz w:val="24"/>
                <w:szCs w:val="24"/>
              </w:rPr>
              <w:t>：主要为注塑成型过程出现损坏的废旧模具，产生量约0.5t</w:t>
            </w:r>
            <w:r>
              <w:rPr>
                <w:sz w:val="24"/>
                <w:szCs w:val="24"/>
              </w:rPr>
              <w:t>/a</w:t>
            </w:r>
            <w:r>
              <w:rPr>
                <w:rFonts w:hint="eastAsia"/>
                <w:sz w:val="24"/>
                <w:szCs w:val="24"/>
              </w:rPr>
              <w:t>。</w:t>
            </w:r>
          </w:p>
          <w:p w14:paraId="25239870">
            <w:pPr>
              <w:spacing w:line="360" w:lineRule="auto"/>
              <w:ind w:firstLine="482" w:firstLineChars="200"/>
              <w:rPr>
                <w:rFonts w:cs="Times New Roman"/>
                <w:sz w:val="24"/>
                <w:szCs w:val="24"/>
              </w:rPr>
            </w:pPr>
            <w:r>
              <w:rPr>
                <w:rFonts w:hint="eastAsia"/>
                <w:b/>
                <w:sz w:val="24"/>
                <w:szCs w:val="24"/>
              </w:rPr>
              <w:t>废边角料、残次品</w:t>
            </w:r>
            <w:r>
              <w:rPr>
                <w:rFonts w:hint="eastAsia"/>
                <w:sz w:val="24"/>
                <w:szCs w:val="24"/>
              </w:rPr>
              <w:t>：主要为裁边过程产生废塑料边角料和检验不合格的废残次品，</w:t>
            </w:r>
            <w:r>
              <w:rPr>
                <w:rFonts w:hint="eastAsia" w:cs="Times New Roman"/>
                <w:sz w:val="24"/>
                <w:szCs w:val="24"/>
              </w:rPr>
              <w:t>根据《排放源统计调查产排污核算方法和系数手册》中“292 塑料制品行业系数手册”，产生系数按2.5kg/t-产品计，则废边角料、残次品产生量约4.125t/a。</w:t>
            </w:r>
          </w:p>
          <w:p w14:paraId="1AB8B1CB">
            <w:pPr>
              <w:spacing w:line="360" w:lineRule="auto"/>
              <w:ind w:firstLine="482" w:firstLineChars="200"/>
              <w:rPr>
                <w:sz w:val="24"/>
                <w:szCs w:val="24"/>
              </w:rPr>
            </w:pPr>
            <w:r>
              <w:rPr>
                <w:rFonts w:hint="eastAsia"/>
                <w:b/>
                <w:sz w:val="24"/>
                <w:szCs w:val="24"/>
              </w:rPr>
              <w:t>废旧铝箔</w:t>
            </w:r>
            <w:r>
              <w:rPr>
                <w:rFonts w:hint="eastAsia"/>
                <w:sz w:val="24"/>
                <w:szCs w:val="24"/>
              </w:rPr>
              <w:t>：主要为烫金工序产生的废弃铝箔，产生量约0.08t</w:t>
            </w:r>
            <w:r>
              <w:rPr>
                <w:sz w:val="24"/>
                <w:szCs w:val="24"/>
              </w:rPr>
              <w:t>/a</w:t>
            </w:r>
            <w:r>
              <w:rPr>
                <w:rFonts w:hint="eastAsia"/>
                <w:sz w:val="24"/>
                <w:szCs w:val="24"/>
              </w:rPr>
              <w:t>。</w:t>
            </w:r>
          </w:p>
          <w:p w14:paraId="3A897A02">
            <w:pPr>
              <w:spacing w:line="360" w:lineRule="auto"/>
              <w:ind w:firstLine="482" w:firstLineChars="200"/>
              <w:rPr>
                <w:sz w:val="24"/>
                <w:szCs w:val="24"/>
              </w:rPr>
            </w:pPr>
            <w:r>
              <w:rPr>
                <w:rFonts w:hint="eastAsia"/>
                <w:b/>
                <w:sz w:val="24"/>
                <w:szCs w:val="24"/>
              </w:rPr>
              <w:t>废包装材料</w:t>
            </w:r>
            <w:r>
              <w:rPr>
                <w:rFonts w:hint="eastAsia"/>
                <w:sz w:val="24"/>
                <w:szCs w:val="24"/>
              </w:rPr>
              <w:t>：主要为包装纸盒等包装材料，产生量约12t</w:t>
            </w:r>
            <w:r>
              <w:rPr>
                <w:sz w:val="24"/>
                <w:szCs w:val="24"/>
              </w:rPr>
              <w:t>/a</w:t>
            </w:r>
            <w:r>
              <w:rPr>
                <w:rFonts w:hint="eastAsia"/>
                <w:sz w:val="24"/>
                <w:szCs w:val="24"/>
              </w:rPr>
              <w:t>。</w:t>
            </w:r>
          </w:p>
          <w:p w14:paraId="744B6420">
            <w:pPr>
              <w:spacing w:line="360" w:lineRule="auto"/>
              <w:ind w:firstLine="482" w:firstLineChars="200"/>
              <w:rPr>
                <w:sz w:val="24"/>
                <w:szCs w:val="24"/>
              </w:rPr>
            </w:pPr>
            <w:r>
              <w:rPr>
                <w:rFonts w:hint="eastAsia"/>
                <w:b/>
                <w:sz w:val="24"/>
                <w:szCs w:val="24"/>
              </w:rPr>
              <w:t>生活垃圾</w:t>
            </w:r>
            <w:r>
              <w:rPr>
                <w:rFonts w:hint="eastAsia"/>
                <w:sz w:val="24"/>
                <w:szCs w:val="24"/>
              </w:rPr>
              <w:t>：本次扩建新增劳动定员26人，生活</w:t>
            </w:r>
            <w:r>
              <w:rPr>
                <w:rFonts w:cs="Times New Roman"/>
                <w:sz w:val="24"/>
                <w:szCs w:val="24"/>
              </w:rPr>
              <w:t>垃圾产生量按0.5kg/人·d计</w:t>
            </w:r>
            <w:r>
              <w:rPr>
                <w:rFonts w:hint="eastAsia"/>
                <w:sz w:val="24"/>
                <w:szCs w:val="24"/>
              </w:rPr>
              <w:t>，生活垃圾产生量约3.25t/a。</w:t>
            </w:r>
          </w:p>
          <w:p w14:paraId="0B4D1890">
            <w:pPr>
              <w:spacing w:line="360" w:lineRule="auto"/>
              <w:ind w:firstLine="482" w:firstLineChars="200"/>
              <w:rPr>
                <w:sz w:val="24"/>
                <w:szCs w:val="24"/>
              </w:rPr>
            </w:pPr>
            <w:r>
              <w:rPr>
                <w:rFonts w:hint="eastAsia"/>
                <w:b/>
                <w:sz w:val="24"/>
                <w:szCs w:val="24"/>
              </w:rPr>
              <w:t>餐厨垃圾（含隔油池浮油）</w:t>
            </w:r>
            <w:r>
              <w:rPr>
                <w:rFonts w:hint="eastAsia"/>
                <w:sz w:val="24"/>
                <w:szCs w:val="24"/>
              </w:rPr>
              <w:t>：主要为食堂厨房产生的餐厨垃圾，以及隔油池打捞的浮油（动植物油），产生量按0</w:t>
            </w:r>
            <w:r>
              <w:rPr>
                <w:sz w:val="24"/>
                <w:szCs w:val="24"/>
              </w:rPr>
              <w:t>.1</w:t>
            </w:r>
            <w:r>
              <w:rPr>
                <w:rFonts w:hint="eastAsia"/>
                <w:sz w:val="24"/>
                <w:szCs w:val="24"/>
              </w:rPr>
              <w:t>kg</w:t>
            </w:r>
            <w:r>
              <w:rPr>
                <w:sz w:val="24"/>
                <w:szCs w:val="24"/>
              </w:rPr>
              <w:t>/</w:t>
            </w:r>
            <w:r>
              <w:rPr>
                <w:rFonts w:cs="Times New Roman"/>
                <w:sz w:val="24"/>
                <w:szCs w:val="24"/>
              </w:rPr>
              <w:t>人·d计</w:t>
            </w:r>
            <w:r>
              <w:rPr>
                <w:rFonts w:hint="eastAsia" w:cs="Times New Roman"/>
                <w:sz w:val="24"/>
                <w:szCs w:val="24"/>
              </w:rPr>
              <w:t>，则餐厨垃圾（含隔油池浮油）产生量约0.65t</w:t>
            </w:r>
            <w:r>
              <w:rPr>
                <w:rFonts w:cs="Times New Roman"/>
                <w:sz w:val="24"/>
                <w:szCs w:val="24"/>
              </w:rPr>
              <w:t>/a</w:t>
            </w:r>
            <w:r>
              <w:rPr>
                <w:rFonts w:hint="eastAsia" w:cs="Times New Roman"/>
                <w:sz w:val="24"/>
                <w:szCs w:val="24"/>
              </w:rPr>
              <w:t>。</w:t>
            </w:r>
          </w:p>
          <w:p w14:paraId="27B40662">
            <w:pPr>
              <w:spacing w:line="360" w:lineRule="auto"/>
              <w:ind w:firstLine="482" w:firstLineChars="200"/>
              <w:rPr>
                <w:sz w:val="24"/>
                <w:szCs w:val="24"/>
              </w:rPr>
            </w:pPr>
            <w:r>
              <w:rPr>
                <w:rFonts w:hint="eastAsia"/>
                <w:b/>
                <w:sz w:val="24"/>
                <w:szCs w:val="24"/>
              </w:rPr>
              <w:t>污泥</w:t>
            </w:r>
            <w:r>
              <w:rPr>
                <w:rFonts w:hint="eastAsia"/>
                <w:sz w:val="24"/>
                <w:szCs w:val="24"/>
              </w:rPr>
              <w:t>：主要为预处理池定期清掏出的污泥，产生量约0.06t</w:t>
            </w:r>
            <w:r>
              <w:rPr>
                <w:sz w:val="24"/>
                <w:szCs w:val="24"/>
              </w:rPr>
              <w:t>/a。</w:t>
            </w:r>
          </w:p>
          <w:p w14:paraId="4065AEAD">
            <w:pPr>
              <w:spacing w:line="360" w:lineRule="auto"/>
              <w:ind w:firstLine="482" w:firstLineChars="200"/>
              <w:rPr>
                <w:b/>
                <w:sz w:val="24"/>
                <w:szCs w:val="24"/>
              </w:rPr>
            </w:pPr>
            <w:r>
              <w:rPr>
                <w:rFonts w:hint="eastAsia"/>
                <w:b/>
                <w:sz w:val="24"/>
                <w:szCs w:val="24"/>
              </w:rPr>
              <w:t>②治理措施</w:t>
            </w:r>
          </w:p>
          <w:p w14:paraId="441FB55F">
            <w:pPr>
              <w:spacing w:line="360" w:lineRule="auto"/>
              <w:ind w:firstLine="482" w:firstLineChars="200"/>
              <w:rPr>
                <w:sz w:val="24"/>
                <w:szCs w:val="24"/>
              </w:rPr>
            </w:pPr>
            <w:r>
              <w:rPr>
                <w:rFonts w:hint="eastAsia"/>
                <w:b/>
                <w:sz w:val="24"/>
                <w:szCs w:val="24"/>
              </w:rPr>
              <w:t>本项目依托厂区已建的1间固废暂存间（面积约90m</w:t>
            </w:r>
            <w:r>
              <w:rPr>
                <w:rFonts w:hint="eastAsia"/>
                <w:b/>
                <w:sz w:val="24"/>
                <w:szCs w:val="24"/>
                <w:vertAlign w:val="superscript"/>
              </w:rPr>
              <w:t>2</w:t>
            </w:r>
            <w:r>
              <w:rPr>
                <w:rFonts w:hint="eastAsia"/>
                <w:b/>
                <w:sz w:val="24"/>
                <w:szCs w:val="24"/>
              </w:rPr>
              <w:t>），设于生产车间西南侧。</w:t>
            </w:r>
            <w:r>
              <w:rPr>
                <w:rFonts w:hint="eastAsia"/>
                <w:sz w:val="24"/>
                <w:szCs w:val="24"/>
              </w:rPr>
              <w:t>根据现场调查，现有固废暂存间已落实防渗漏、防雨淋、防扬尘的要求，运营期生产过程产生的废旧模具、废边角料、残次品、废旧铝箔、废包装材料等经分类收集后暂存于固废暂存间，其中：废旧模具定期交由模具厂商回收处置，其余固体废物定期外售废旧资源回收站。</w:t>
            </w:r>
          </w:p>
          <w:p w14:paraId="31CA4F48">
            <w:pPr>
              <w:spacing w:line="360" w:lineRule="auto"/>
              <w:ind w:firstLine="480" w:firstLineChars="200"/>
              <w:rPr>
                <w:sz w:val="24"/>
                <w:szCs w:val="24"/>
              </w:rPr>
            </w:pPr>
            <w:r>
              <w:rPr>
                <w:rFonts w:hint="eastAsia"/>
                <w:sz w:val="24"/>
                <w:szCs w:val="24"/>
              </w:rPr>
              <w:t>生活垃圾严格实施分类收集、投放，交由环卫部门清运处理，实现日产日清；餐厨垃圾（含隔油池浮油）</w:t>
            </w:r>
            <w:r>
              <w:rPr>
                <w:rFonts w:hint="eastAsia" w:cs="Times New Roman"/>
                <w:sz w:val="24"/>
                <w:szCs w:val="24"/>
              </w:rPr>
              <w:t>使用符合标准、有醒目标识的餐厨垃圾专用收集容器分类收集，交由取得经营许可的餐厨垃圾处置单位清运处理；预处理池</w:t>
            </w:r>
            <w:r>
              <w:rPr>
                <w:rFonts w:hint="eastAsia"/>
                <w:sz w:val="24"/>
                <w:szCs w:val="24"/>
              </w:rPr>
              <w:t>污泥委托环卫部门定期清掏处理。</w:t>
            </w:r>
          </w:p>
          <w:p w14:paraId="39503A13">
            <w:pPr>
              <w:spacing w:line="360" w:lineRule="auto"/>
              <w:ind w:firstLine="480" w:firstLineChars="200"/>
              <w:rPr>
                <w:sz w:val="24"/>
                <w:szCs w:val="24"/>
              </w:rPr>
            </w:pPr>
            <w:r>
              <w:rPr>
                <w:rFonts w:hint="eastAsia"/>
                <w:sz w:val="24"/>
                <w:szCs w:val="24"/>
              </w:rPr>
              <w:t>综上</w:t>
            </w:r>
            <w:r>
              <w:rPr>
                <w:sz w:val="24"/>
                <w:szCs w:val="24"/>
              </w:rPr>
              <w:t>所述</w:t>
            </w:r>
            <w:r>
              <w:rPr>
                <w:rFonts w:hint="eastAsia"/>
                <w:sz w:val="24"/>
                <w:szCs w:val="24"/>
              </w:rPr>
              <w:t>，项目一般固体废物污染源源强核算结果见下表。</w:t>
            </w:r>
          </w:p>
          <w:p w14:paraId="1473686C">
            <w:pPr>
              <w:pStyle w:val="51"/>
              <w:numPr>
                <w:ilvl w:val="0"/>
                <w:numId w:val="6"/>
              </w:numPr>
              <w:spacing w:line="360" w:lineRule="auto"/>
              <w:ind w:firstLineChars="0"/>
              <w:jc w:val="center"/>
              <w:rPr>
                <w:rFonts w:eastAsia="黑体" w:cs="Times New Roman"/>
                <w:szCs w:val="21"/>
              </w:rPr>
            </w:pPr>
            <w:r>
              <w:rPr>
                <w:rFonts w:hint="eastAsia" w:eastAsia="黑体"/>
                <w:szCs w:val="21"/>
              </w:rPr>
              <w:t>一般固体废物污染源源强核算结果表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645"/>
              <w:gridCol w:w="898"/>
              <w:gridCol w:w="1290"/>
              <w:gridCol w:w="1553"/>
              <w:gridCol w:w="2572"/>
            </w:tblGrid>
            <w:tr w14:paraId="013D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0" w:type="pct"/>
                  <w:vMerge w:val="restart"/>
                  <w:vAlign w:val="center"/>
                </w:tcPr>
                <w:p w14:paraId="4338744B">
                  <w:pPr>
                    <w:jc w:val="center"/>
                    <w:rPr>
                      <w:szCs w:val="21"/>
                    </w:rPr>
                  </w:pPr>
                  <w:r>
                    <w:rPr>
                      <w:rFonts w:hint="eastAsia"/>
                      <w:szCs w:val="21"/>
                    </w:rPr>
                    <w:t>产生源</w:t>
                  </w:r>
                </w:p>
              </w:tc>
              <w:tc>
                <w:tcPr>
                  <w:tcW w:w="899" w:type="pct"/>
                  <w:vMerge w:val="restart"/>
                  <w:vAlign w:val="center"/>
                </w:tcPr>
                <w:p w14:paraId="67D23850">
                  <w:pPr>
                    <w:jc w:val="center"/>
                    <w:rPr>
                      <w:szCs w:val="21"/>
                    </w:rPr>
                  </w:pPr>
                  <w:r>
                    <w:rPr>
                      <w:szCs w:val="21"/>
                    </w:rPr>
                    <w:t>固体废物名称</w:t>
                  </w:r>
                </w:p>
              </w:tc>
              <w:tc>
                <w:tcPr>
                  <w:tcW w:w="491" w:type="pct"/>
                  <w:vMerge w:val="restart"/>
                  <w:vAlign w:val="center"/>
                </w:tcPr>
                <w:p w14:paraId="06C73174">
                  <w:pPr>
                    <w:jc w:val="center"/>
                    <w:rPr>
                      <w:szCs w:val="21"/>
                    </w:rPr>
                  </w:pPr>
                  <w:r>
                    <w:rPr>
                      <w:rFonts w:hint="eastAsia"/>
                      <w:szCs w:val="21"/>
                    </w:rPr>
                    <w:t>产生量（t）</w:t>
                  </w:r>
                </w:p>
              </w:tc>
              <w:tc>
                <w:tcPr>
                  <w:tcW w:w="1554" w:type="pct"/>
                  <w:gridSpan w:val="2"/>
                  <w:vAlign w:val="center"/>
                </w:tcPr>
                <w:p w14:paraId="22C0E132">
                  <w:pPr>
                    <w:jc w:val="center"/>
                    <w:rPr>
                      <w:szCs w:val="21"/>
                    </w:rPr>
                  </w:pPr>
                  <w:r>
                    <w:rPr>
                      <w:rFonts w:hint="eastAsia"/>
                      <w:szCs w:val="21"/>
                    </w:rPr>
                    <w:t>处置措施</w:t>
                  </w:r>
                </w:p>
              </w:tc>
              <w:tc>
                <w:tcPr>
                  <w:tcW w:w="1406" w:type="pct"/>
                  <w:vMerge w:val="restart"/>
                  <w:vAlign w:val="center"/>
                </w:tcPr>
                <w:p w14:paraId="5C8BFB87">
                  <w:pPr>
                    <w:jc w:val="center"/>
                    <w:rPr>
                      <w:szCs w:val="21"/>
                    </w:rPr>
                  </w:pPr>
                  <w:r>
                    <w:rPr>
                      <w:rFonts w:hint="eastAsia"/>
                      <w:szCs w:val="21"/>
                    </w:rPr>
                    <w:t>最终去向</w:t>
                  </w:r>
                </w:p>
              </w:tc>
            </w:tr>
            <w:tr w14:paraId="1568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50" w:type="pct"/>
                  <w:vMerge w:val="continue"/>
                  <w:vAlign w:val="center"/>
                </w:tcPr>
                <w:p w14:paraId="268D24D6">
                  <w:pPr>
                    <w:jc w:val="center"/>
                    <w:rPr>
                      <w:szCs w:val="21"/>
                    </w:rPr>
                  </w:pPr>
                </w:p>
              </w:tc>
              <w:tc>
                <w:tcPr>
                  <w:tcW w:w="899" w:type="pct"/>
                  <w:vMerge w:val="continue"/>
                  <w:vAlign w:val="center"/>
                </w:tcPr>
                <w:p w14:paraId="0FCAE7AF">
                  <w:pPr>
                    <w:jc w:val="center"/>
                    <w:rPr>
                      <w:szCs w:val="21"/>
                    </w:rPr>
                  </w:pPr>
                </w:p>
              </w:tc>
              <w:tc>
                <w:tcPr>
                  <w:tcW w:w="491" w:type="pct"/>
                  <w:vMerge w:val="continue"/>
                  <w:vAlign w:val="center"/>
                </w:tcPr>
                <w:p w14:paraId="7626DD8E">
                  <w:pPr>
                    <w:jc w:val="center"/>
                    <w:rPr>
                      <w:szCs w:val="21"/>
                    </w:rPr>
                  </w:pPr>
                </w:p>
              </w:tc>
              <w:tc>
                <w:tcPr>
                  <w:tcW w:w="705" w:type="pct"/>
                  <w:vAlign w:val="center"/>
                </w:tcPr>
                <w:p w14:paraId="4C0E82E3">
                  <w:pPr>
                    <w:jc w:val="center"/>
                    <w:rPr>
                      <w:szCs w:val="21"/>
                    </w:rPr>
                  </w:pPr>
                  <w:r>
                    <w:rPr>
                      <w:rFonts w:hint="eastAsia"/>
                      <w:szCs w:val="21"/>
                    </w:rPr>
                    <w:t>工艺</w:t>
                  </w:r>
                </w:p>
              </w:tc>
              <w:tc>
                <w:tcPr>
                  <w:tcW w:w="849" w:type="pct"/>
                  <w:vAlign w:val="center"/>
                </w:tcPr>
                <w:p w14:paraId="63C02F15">
                  <w:pPr>
                    <w:jc w:val="center"/>
                    <w:rPr>
                      <w:szCs w:val="21"/>
                    </w:rPr>
                  </w:pPr>
                  <w:r>
                    <w:rPr>
                      <w:rFonts w:hint="eastAsia"/>
                      <w:szCs w:val="21"/>
                    </w:rPr>
                    <w:t>处置量（t）</w:t>
                  </w:r>
                </w:p>
              </w:tc>
              <w:tc>
                <w:tcPr>
                  <w:tcW w:w="1406" w:type="pct"/>
                  <w:vMerge w:val="continue"/>
                  <w:vAlign w:val="center"/>
                </w:tcPr>
                <w:p w14:paraId="5EDB12B1">
                  <w:pPr>
                    <w:jc w:val="center"/>
                    <w:rPr>
                      <w:szCs w:val="21"/>
                    </w:rPr>
                  </w:pPr>
                </w:p>
              </w:tc>
            </w:tr>
            <w:tr w14:paraId="30D9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76D3E2C3">
                  <w:pPr>
                    <w:jc w:val="center"/>
                    <w:rPr>
                      <w:szCs w:val="21"/>
                    </w:rPr>
                  </w:pPr>
                  <w:r>
                    <w:rPr>
                      <w:rFonts w:hint="eastAsia"/>
                      <w:szCs w:val="21"/>
                    </w:rPr>
                    <w:t>注塑成型</w:t>
                  </w:r>
                </w:p>
              </w:tc>
              <w:tc>
                <w:tcPr>
                  <w:tcW w:w="899" w:type="pct"/>
                  <w:vAlign w:val="center"/>
                </w:tcPr>
                <w:p w14:paraId="39AF488E">
                  <w:pPr>
                    <w:jc w:val="center"/>
                    <w:rPr>
                      <w:szCs w:val="21"/>
                    </w:rPr>
                  </w:pPr>
                  <w:r>
                    <w:rPr>
                      <w:rFonts w:hint="eastAsia"/>
                      <w:szCs w:val="21"/>
                    </w:rPr>
                    <w:t>废旧模具</w:t>
                  </w:r>
                </w:p>
              </w:tc>
              <w:tc>
                <w:tcPr>
                  <w:tcW w:w="491" w:type="pct"/>
                  <w:vAlign w:val="center"/>
                </w:tcPr>
                <w:p w14:paraId="147F30DA">
                  <w:pPr>
                    <w:jc w:val="center"/>
                    <w:rPr>
                      <w:szCs w:val="21"/>
                    </w:rPr>
                  </w:pPr>
                  <w:r>
                    <w:rPr>
                      <w:rFonts w:hint="eastAsia"/>
                      <w:szCs w:val="21"/>
                    </w:rPr>
                    <w:t>0.5</w:t>
                  </w:r>
                </w:p>
              </w:tc>
              <w:tc>
                <w:tcPr>
                  <w:tcW w:w="705" w:type="pct"/>
                  <w:vAlign w:val="center"/>
                </w:tcPr>
                <w:p w14:paraId="6E81D6B0">
                  <w:pPr>
                    <w:jc w:val="center"/>
                    <w:rPr>
                      <w:szCs w:val="21"/>
                    </w:rPr>
                  </w:pPr>
                  <w:r>
                    <w:rPr>
                      <w:rFonts w:hint="eastAsia"/>
                      <w:szCs w:val="21"/>
                    </w:rPr>
                    <w:t>委托处置</w:t>
                  </w:r>
                </w:p>
              </w:tc>
              <w:tc>
                <w:tcPr>
                  <w:tcW w:w="849" w:type="pct"/>
                  <w:vAlign w:val="center"/>
                </w:tcPr>
                <w:p w14:paraId="06160052">
                  <w:pPr>
                    <w:jc w:val="center"/>
                    <w:rPr>
                      <w:szCs w:val="21"/>
                    </w:rPr>
                  </w:pPr>
                  <w:r>
                    <w:rPr>
                      <w:rFonts w:hint="eastAsia"/>
                      <w:szCs w:val="21"/>
                    </w:rPr>
                    <w:t>0.5</w:t>
                  </w:r>
                </w:p>
              </w:tc>
              <w:tc>
                <w:tcPr>
                  <w:tcW w:w="1406" w:type="pct"/>
                  <w:vAlign w:val="center"/>
                </w:tcPr>
                <w:p w14:paraId="1517104D">
                  <w:pPr>
                    <w:jc w:val="center"/>
                    <w:rPr>
                      <w:szCs w:val="21"/>
                    </w:rPr>
                  </w:pPr>
                  <w:r>
                    <w:rPr>
                      <w:rFonts w:hint="eastAsia"/>
                      <w:szCs w:val="21"/>
                    </w:rPr>
                    <w:t>交由模具厂商回收处置</w:t>
                  </w:r>
                </w:p>
              </w:tc>
            </w:tr>
            <w:tr w14:paraId="0C01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1175AB7F">
                  <w:pPr>
                    <w:jc w:val="center"/>
                    <w:rPr>
                      <w:szCs w:val="21"/>
                    </w:rPr>
                  </w:pPr>
                  <w:r>
                    <w:rPr>
                      <w:rFonts w:hint="eastAsia"/>
                      <w:szCs w:val="21"/>
                    </w:rPr>
                    <w:t>裁边、检验</w:t>
                  </w:r>
                </w:p>
              </w:tc>
              <w:tc>
                <w:tcPr>
                  <w:tcW w:w="899" w:type="pct"/>
                  <w:vAlign w:val="center"/>
                </w:tcPr>
                <w:p w14:paraId="6A40E16E">
                  <w:pPr>
                    <w:jc w:val="center"/>
                    <w:rPr>
                      <w:szCs w:val="21"/>
                    </w:rPr>
                  </w:pPr>
                  <w:r>
                    <w:rPr>
                      <w:rFonts w:hint="eastAsia"/>
                      <w:szCs w:val="21"/>
                    </w:rPr>
                    <w:t>废边角料、残次品</w:t>
                  </w:r>
                </w:p>
              </w:tc>
              <w:tc>
                <w:tcPr>
                  <w:tcW w:w="491" w:type="pct"/>
                  <w:vAlign w:val="center"/>
                </w:tcPr>
                <w:p w14:paraId="56151EF0">
                  <w:pPr>
                    <w:jc w:val="center"/>
                    <w:rPr>
                      <w:szCs w:val="21"/>
                    </w:rPr>
                  </w:pPr>
                  <w:r>
                    <w:rPr>
                      <w:rFonts w:hint="eastAsia"/>
                      <w:szCs w:val="21"/>
                    </w:rPr>
                    <w:t>4.125</w:t>
                  </w:r>
                </w:p>
              </w:tc>
              <w:tc>
                <w:tcPr>
                  <w:tcW w:w="705" w:type="pct"/>
                  <w:vAlign w:val="center"/>
                </w:tcPr>
                <w:p w14:paraId="0350BF33">
                  <w:pPr>
                    <w:jc w:val="center"/>
                    <w:rPr>
                      <w:szCs w:val="21"/>
                    </w:rPr>
                  </w:pPr>
                  <w:r>
                    <w:rPr>
                      <w:rFonts w:hint="eastAsia"/>
                      <w:szCs w:val="21"/>
                    </w:rPr>
                    <w:t>委托利用</w:t>
                  </w:r>
                </w:p>
              </w:tc>
              <w:tc>
                <w:tcPr>
                  <w:tcW w:w="849" w:type="pct"/>
                  <w:vAlign w:val="center"/>
                </w:tcPr>
                <w:p w14:paraId="4BC3AB1E">
                  <w:pPr>
                    <w:jc w:val="center"/>
                    <w:rPr>
                      <w:szCs w:val="21"/>
                    </w:rPr>
                  </w:pPr>
                  <w:r>
                    <w:rPr>
                      <w:rFonts w:hint="eastAsia"/>
                      <w:szCs w:val="21"/>
                    </w:rPr>
                    <w:t>4.125</w:t>
                  </w:r>
                </w:p>
              </w:tc>
              <w:tc>
                <w:tcPr>
                  <w:tcW w:w="1406" w:type="pct"/>
                  <w:vAlign w:val="center"/>
                </w:tcPr>
                <w:p w14:paraId="2C888275">
                  <w:pPr>
                    <w:jc w:val="center"/>
                    <w:rPr>
                      <w:szCs w:val="21"/>
                    </w:rPr>
                  </w:pPr>
                  <w:r>
                    <w:rPr>
                      <w:rFonts w:hint="eastAsia"/>
                      <w:szCs w:val="21"/>
                    </w:rPr>
                    <w:t>外售废旧资源回收站</w:t>
                  </w:r>
                </w:p>
              </w:tc>
            </w:tr>
            <w:tr w14:paraId="3B97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312BB7EE">
                  <w:pPr>
                    <w:jc w:val="center"/>
                    <w:rPr>
                      <w:szCs w:val="21"/>
                    </w:rPr>
                  </w:pPr>
                  <w:r>
                    <w:rPr>
                      <w:rFonts w:hint="eastAsia"/>
                      <w:szCs w:val="21"/>
                    </w:rPr>
                    <w:t>烫金</w:t>
                  </w:r>
                </w:p>
              </w:tc>
              <w:tc>
                <w:tcPr>
                  <w:tcW w:w="899" w:type="pct"/>
                  <w:vAlign w:val="center"/>
                </w:tcPr>
                <w:p w14:paraId="753C03B8">
                  <w:pPr>
                    <w:jc w:val="center"/>
                    <w:rPr>
                      <w:szCs w:val="21"/>
                    </w:rPr>
                  </w:pPr>
                  <w:r>
                    <w:rPr>
                      <w:rFonts w:hint="eastAsia"/>
                      <w:szCs w:val="21"/>
                    </w:rPr>
                    <w:t>废旧铝箔</w:t>
                  </w:r>
                </w:p>
              </w:tc>
              <w:tc>
                <w:tcPr>
                  <w:tcW w:w="491" w:type="pct"/>
                  <w:vAlign w:val="center"/>
                </w:tcPr>
                <w:p w14:paraId="1A679704">
                  <w:pPr>
                    <w:jc w:val="center"/>
                    <w:rPr>
                      <w:szCs w:val="21"/>
                    </w:rPr>
                  </w:pPr>
                  <w:r>
                    <w:rPr>
                      <w:rFonts w:hint="eastAsia"/>
                      <w:szCs w:val="21"/>
                    </w:rPr>
                    <w:t>0.08</w:t>
                  </w:r>
                </w:p>
              </w:tc>
              <w:tc>
                <w:tcPr>
                  <w:tcW w:w="705" w:type="pct"/>
                  <w:vAlign w:val="center"/>
                </w:tcPr>
                <w:p w14:paraId="131940F5">
                  <w:pPr>
                    <w:jc w:val="center"/>
                    <w:rPr>
                      <w:szCs w:val="21"/>
                    </w:rPr>
                  </w:pPr>
                  <w:r>
                    <w:rPr>
                      <w:rFonts w:hint="eastAsia"/>
                      <w:szCs w:val="21"/>
                    </w:rPr>
                    <w:t>委托利用</w:t>
                  </w:r>
                </w:p>
              </w:tc>
              <w:tc>
                <w:tcPr>
                  <w:tcW w:w="849" w:type="pct"/>
                  <w:vAlign w:val="center"/>
                </w:tcPr>
                <w:p w14:paraId="4ADDBBF0">
                  <w:pPr>
                    <w:jc w:val="center"/>
                    <w:rPr>
                      <w:szCs w:val="21"/>
                    </w:rPr>
                  </w:pPr>
                  <w:r>
                    <w:rPr>
                      <w:rFonts w:hint="eastAsia"/>
                      <w:szCs w:val="21"/>
                    </w:rPr>
                    <w:t>0.08</w:t>
                  </w:r>
                </w:p>
              </w:tc>
              <w:tc>
                <w:tcPr>
                  <w:tcW w:w="1406" w:type="pct"/>
                </w:tcPr>
                <w:p w14:paraId="377FC439">
                  <w:pPr>
                    <w:jc w:val="center"/>
                    <w:rPr>
                      <w:szCs w:val="21"/>
                    </w:rPr>
                  </w:pPr>
                  <w:r>
                    <w:rPr>
                      <w:rFonts w:hint="eastAsia"/>
                      <w:szCs w:val="21"/>
                    </w:rPr>
                    <w:t>外售废旧资源回收站</w:t>
                  </w:r>
                </w:p>
              </w:tc>
            </w:tr>
            <w:tr w14:paraId="6BB6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4187A73F">
                  <w:pPr>
                    <w:jc w:val="center"/>
                    <w:rPr>
                      <w:szCs w:val="21"/>
                    </w:rPr>
                  </w:pPr>
                  <w:r>
                    <w:rPr>
                      <w:rFonts w:hint="eastAsia"/>
                      <w:szCs w:val="21"/>
                    </w:rPr>
                    <w:t>包装</w:t>
                  </w:r>
                </w:p>
              </w:tc>
              <w:tc>
                <w:tcPr>
                  <w:tcW w:w="899" w:type="pct"/>
                  <w:vAlign w:val="center"/>
                </w:tcPr>
                <w:p w14:paraId="0C27FF18">
                  <w:pPr>
                    <w:jc w:val="center"/>
                    <w:rPr>
                      <w:szCs w:val="21"/>
                    </w:rPr>
                  </w:pPr>
                  <w:r>
                    <w:rPr>
                      <w:rFonts w:hint="eastAsia"/>
                      <w:szCs w:val="21"/>
                    </w:rPr>
                    <w:t>废包装材料</w:t>
                  </w:r>
                </w:p>
              </w:tc>
              <w:tc>
                <w:tcPr>
                  <w:tcW w:w="491" w:type="pct"/>
                  <w:vAlign w:val="center"/>
                </w:tcPr>
                <w:p w14:paraId="75720213">
                  <w:pPr>
                    <w:jc w:val="center"/>
                    <w:rPr>
                      <w:szCs w:val="21"/>
                    </w:rPr>
                  </w:pPr>
                  <w:r>
                    <w:rPr>
                      <w:rFonts w:hint="eastAsia"/>
                      <w:szCs w:val="21"/>
                    </w:rPr>
                    <w:t>12</w:t>
                  </w:r>
                </w:p>
              </w:tc>
              <w:tc>
                <w:tcPr>
                  <w:tcW w:w="705" w:type="pct"/>
                  <w:vAlign w:val="center"/>
                </w:tcPr>
                <w:p w14:paraId="31C6823F">
                  <w:pPr>
                    <w:jc w:val="center"/>
                    <w:rPr>
                      <w:szCs w:val="21"/>
                    </w:rPr>
                  </w:pPr>
                  <w:r>
                    <w:rPr>
                      <w:rFonts w:hint="eastAsia"/>
                      <w:szCs w:val="21"/>
                    </w:rPr>
                    <w:t>委托利用</w:t>
                  </w:r>
                </w:p>
              </w:tc>
              <w:tc>
                <w:tcPr>
                  <w:tcW w:w="849" w:type="pct"/>
                  <w:vAlign w:val="center"/>
                </w:tcPr>
                <w:p w14:paraId="277F81BB">
                  <w:pPr>
                    <w:jc w:val="center"/>
                    <w:rPr>
                      <w:szCs w:val="21"/>
                    </w:rPr>
                  </w:pPr>
                  <w:r>
                    <w:rPr>
                      <w:rFonts w:hint="eastAsia"/>
                      <w:szCs w:val="21"/>
                    </w:rPr>
                    <w:t>12</w:t>
                  </w:r>
                </w:p>
              </w:tc>
              <w:tc>
                <w:tcPr>
                  <w:tcW w:w="1406" w:type="pct"/>
                </w:tcPr>
                <w:p w14:paraId="61A0AA6A">
                  <w:pPr>
                    <w:jc w:val="center"/>
                    <w:rPr>
                      <w:szCs w:val="21"/>
                    </w:rPr>
                  </w:pPr>
                  <w:r>
                    <w:rPr>
                      <w:rFonts w:hint="eastAsia"/>
                      <w:szCs w:val="21"/>
                    </w:rPr>
                    <w:t>外售废旧资源回收站</w:t>
                  </w:r>
                </w:p>
              </w:tc>
            </w:tr>
            <w:tr w14:paraId="3D56A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54BD9B1F">
                  <w:pPr>
                    <w:jc w:val="center"/>
                    <w:rPr>
                      <w:szCs w:val="21"/>
                    </w:rPr>
                  </w:pPr>
                  <w:r>
                    <w:rPr>
                      <w:rFonts w:hint="eastAsia"/>
                      <w:szCs w:val="21"/>
                    </w:rPr>
                    <w:t>生产人员</w:t>
                  </w:r>
                </w:p>
              </w:tc>
              <w:tc>
                <w:tcPr>
                  <w:tcW w:w="899" w:type="pct"/>
                  <w:vAlign w:val="center"/>
                </w:tcPr>
                <w:p w14:paraId="08F4D9CB">
                  <w:pPr>
                    <w:jc w:val="center"/>
                    <w:rPr>
                      <w:szCs w:val="21"/>
                    </w:rPr>
                  </w:pPr>
                  <w:r>
                    <w:rPr>
                      <w:rFonts w:hint="eastAsia"/>
                      <w:szCs w:val="21"/>
                    </w:rPr>
                    <w:t>生活垃圾</w:t>
                  </w:r>
                </w:p>
              </w:tc>
              <w:tc>
                <w:tcPr>
                  <w:tcW w:w="491" w:type="pct"/>
                  <w:vAlign w:val="center"/>
                </w:tcPr>
                <w:p w14:paraId="3453F8F1">
                  <w:pPr>
                    <w:jc w:val="center"/>
                    <w:rPr>
                      <w:szCs w:val="21"/>
                    </w:rPr>
                  </w:pPr>
                  <w:r>
                    <w:rPr>
                      <w:rFonts w:hint="eastAsia"/>
                      <w:szCs w:val="21"/>
                    </w:rPr>
                    <w:t>3.25</w:t>
                  </w:r>
                </w:p>
              </w:tc>
              <w:tc>
                <w:tcPr>
                  <w:tcW w:w="705" w:type="pct"/>
                  <w:vAlign w:val="center"/>
                </w:tcPr>
                <w:p w14:paraId="1482183C">
                  <w:pPr>
                    <w:jc w:val="center"/>
                    <w:rPr>
                      <w:szCs w:val="21"/>
                    </w:rPr>
                  </w:pPr>
                  <w:r>
                    <w:rPr>
                      <w:rFonts w:hint="eastAsia"/>
                      <w:szCs w:val="21"/>
                    </w:rPr>
                    <w:t>委托处置</w:t>
                  </w:r>
                </w:p>
              </w:tc>
              <w:tc>
                <w:tcPr>
                  <w:tcW w:w="849" w:type="pct"/>
                  <w:vAlign w:val="center"/>
                </w:tcPr>
                <w:p w14:paraId="5DE871BD">
                  <w:pPr>
                    <w:jc w:val="center"/>
                    <w:rPr>
                      <w:szCs w:val="21"/>
                    </w:rPr>
                  </w:pPr>
                  <w:r>
                    <w:rPr>
                      <w:rFonts w:hint="eastAsia"/>
                      <w:szCs w:val="21"/>
                    </w:rPr>
                    <w:t>3.25</w:t>
                  </w:r>
                </w:p>
              </w:tc>
              <w:tc>
                <w:tcPr>
                  <w:tcW w:w="1406" w:type="pct"/>
                  <w:vAlign w:val="center"/>
                </w:tcPr>
                <w:p w14:paraId="3960457D">
                  <w:pPr>
                    <w:jc w:val="center"/>
                    <w:rPr>
                      <w:szCs w:val="21"/>
                    </w:rPr>
                  </w:pPr>
                  <w:r>
                    <w:rPr>
                      <w:rFonts w:hint="eastAsia"/>
                      <w:szCs w:val="21"/>
                    </w:rPr>
                    <w:t>交由环卫部门清运处理</w:t>
                  </w:r>
                </w:p>
              </w:tc>
            </w:tr>
            <w:tr w14:paraId="6BA5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3F5760E1">
                  <w:pPr>
                    <w:jc w:val="center"/>
                    <w:rPr>
                      <w:szCs w:val="21"/>
                    </w:rPr>
                  </w:pPr>
                  <w:r>
                    <w:rPr>
                      <w:rFonts w:hint="eastAsia"/>
                      <w:szCs w:val="21"/>
                    </w:rPr>
                    <w:t>食堂、隔油池</w:t>
                  </w:r>
                </w:p>
              </w:tc>
              <w:tc>
                <w:tcPr>
                  <w:tcW w:w="899" w:type="pct"/>
                  <w:vAlign w:val="center"/>
                </w:tcPr>
                <w:p w14:paraId="221E2A96">
                  <w:pPr>
                    <w:jc w:val="center"/>
                    <w:rPr>
                      <w:szCs w:val="21"/>
                    </w:rPr>
                  </w:pPr>
                  <w:r>
                    <w:rPr>
                      <w:rFonts w:hint="eastAsia"/>
                      <w:szCs w:val="21"/>
                    </w:rPr>
                    <w:t>餐厨垃圾</w:t>
                  </w:r>
                </w:p>
                <w:p w14:paraId="162C7B8C">
                  <w:pPr>
                    <w:jc w:val="center"/>
                    <w:rPr>
                      <w:szCs w:val="21"/>
                    </w:rPr>
                  </w:pPr>
                  <w:r>
                    <w:rPr>
                      <w:rFonts w:hint="eastAsia"/>
                      <w:szCs w:val="21"/>
                    </w:rPr>
                    <w:t>（含隔油池浮油）</w:t>
                  </w:r>
                </w:p>
              </w:tc>
              <w:tc>
                <w:tcPr>
                  <w:tcW w:w="491" w:type="pct"/>
                  <w:vAlign w:val="center"/>
                </w:tcPr>
                <w:p w14:paraId="438C5B3D">
                  <w:pPr>
                    <w:jc w:val="center"/>
                    <w:rPr>
                      <w:szCs w:val="21"/>
                    </w:rPr>
                  </w:pPr>
                  <w:r>
                    <w:rPr>
                      <w:rFonts w:hint="eastAsia"/>
                      <w:szCs w:val="21"/>
                    </w:rPr>
                    <w:t>0.65</w:t>
                  </w:r>
                </w:p>
              </w:tc>
              <w:tc>
                <w:tcPr>
                  <w:tcW w:w="705" w:type="pct"/>
                  <w:vAlign w:val="center"/>
                </w:tcPr>
                <w:p w14:paraId="7A950188">
                  <w:pPr>
                    <w:jc w:val="center"/>
                    <w:rPr>
                      <w:szCs w:val="21"/>
                    </w:rPr>
                  </w:pPr>
                  <w:r>
                    <w:rPr>
                      <w:rFonts w:hint="eastAsia"/>
                      <w:szCs w:val="21"/>
                    </w:rPr>
                    <w:t>委托处置</w:t>
                  </w:r>
                </w:p>
              </w:tc>
              <w:tc>
                <w:tcPr>
                  <w:tcW w:w="849" w:type="pct"/>
                  <w:vAlign w:val="center"/>
                </w:tcPr>
                <w:p w14:paraId="4168BE75">
                  <w:pPr>
                    <w:jc w:val="center"/>
                    <w:rPr>
                      <w:szCs w:val="21"/>
                    </w:rPr>
                  </w:pPr>
                  <w:r>
                    <w:rPr>
                      <w:rFonts w:hint="eastAsia"/>
                      <w:szCs w:val="21"/>
                    </w:rPr>
                    <w:t>0.65</w:t>
                  </w:r>
                </w:p>
              </w:tc>
              <w:tc>
                <w:tcPr>
                  <w:tcW w:w="1406" w:type="pct"/>
                  <w:vAlign w:val="center"/>
                </w:tcPr>
                <w:p w14:paraId="6A5F78AD">
                  <w:pPr>
                    <w:jc w:val="center"/>
                    <w:rPr>
                      <w:szCs w:val="21"/>
                    </w:rPr>
                  </w:pPr>
                  <w:r>
                    <w:rPr>
                      <w:rFonts w:hint="eastAsia"/>
                      <w:szCs w:val="21"/>
                    </w:rPr>
                    <w:t>交由餐厨垃圾处置单位清运处理</w:t>
                  </w:r>
                </w:p>
              </w:tc>
            </w:tr>
            <w:tr w14:paraId="3876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44649E22">
                  <w:pPr>
                    <w:jc w:val="center"/>
                    <w:rPr>
                      <w:szCs w:val="21"/>
                    </w:rPr>
                  </w:pPr>
                  <w:r>
                    <w:rPr>
                      <w:rFonts w:hint="eastAsia"/>
                      <w:szCs w:val="21"/>
                    </w:rPr>
                    <w:t>预处理池</w:t>
                  </w:r>
                </w:p>
              </w:tc>
              <w:tc>
                <w:tcPr>
                  <w:tcW w:w="899" w:type="pct"/>
                  <w:vAlign w:val="center"/>
                </w:tcPr>
                <w:p w14:paraId="63135198">
                  <w:pPr>
                    <w:jc w:val="center"/>
                    <w:rPr>
                      <w:szCs w:val="21"/>
                    </w:rPr>
                  </w:pPr>
                  <w:r>
                    <w:rPr>
                      <w:rFonts w:hint="eastAsia"/>
                      <w:szCs w:val="21"/>
                    </w:rPr>
                    <w:t>污泥</w:t>
                  </w:r>
                </w:p>
              </w:tc>
              <w:tc>
                <w:tcPr>
                  <w:tcW w:w="491" w:type="pct"/>
                  <w:vAlign w:val="center"/>
                </w:tcPr>
                <w:p w14:paraId="772E2CDA">
                  <w:pPr>
                    <w:jc w:val="center"/>
                    <w:rPr>
                      <w:szCs w:val="21"/>
                    </w:rPr>
                  </w:pPr>
                  <w:r>
                    <w:rPr>
                      <w:rFonts w:hint="eastAsia"/>
                      <w:szCs w:val="21"/>
                    </w:rPr>
                    <w:t>0.06</w:t>
                  </w:r>
                </w:p>
              </w:tc>
              <w:tc>
                <w:tcPr>
                  <w:tcW w:w="705" w:type="pct"/>
                  <w:vAlign w:val="center"/>
                </w:tcPr>
                <w:p w14:paraId="417B91F8">
                  <w:pPr>
                    <w:jc w:val="center"/>
                    <w:rPr>
                      <w:szCs w:val="21"/>
                    </w:rPr>
                  </w:pPr>
                  <w:r>
                    <w:rPr>
                      <w:rFonts w:hint="eastAsia"/>
                      <w:szCs w:val="21"/>
                    </w:rPr>
                    <w:t>委托处置</w:t>
                  </w:r>
                </w:p>
              </w:tc>
              <w:tc>
                <w:tcPr>
                  <w:tcW w:w="849" w:type="pct"/>
                  <w:vAlign w:val="center"/>
                </w:tcPr>
                <w:p w14:paraId="3C9BAACA">
                  <w:pPr>
                    <w:jc w:val="center"/>
                    <w:rPr>
                      <w:szCs w:val="21"/>
                    </w:rPr>
                  </w:pPr>
                  <w:r>
                    <w:rPr>
                      <w:rFonts w:hint="eastAsia"/>
                      <w:szCs w:val="21"/>
                    </w:rPr>
                    <w:t>0.06</w:t>
                  </w:r>
                </w:p>
              </w:tc>
              <w:tc>
                <w:tcPr>
                  <w:tcW w:w="1406" w:type="pct"/>
                  <w:vAlign w:val="center"/>
                </w:tcPr>
                <w:p w14:paraId="3AF3DD1A">
                  <w:pPr>
                    <w:jc w:val="center"/>
                    <w:rPr>
                      <w:szCs w:val="21"/>
                    </w:rPr>
                  </w:pPr>
                  <w:r>
                    <w:rPr>
                      <w:rFonts w:hint="eastAsia"/>
                      <w:szCs w:val="21"/>
                    </w:rPr>
                    <w:t>委托环卫部门清掏处理</w:t>
                  </w:r>
                </w:p>
              </w:tc>
            </w:tr>
          </w:tbl>
          <w:p w14:paraId="30253E8D">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）危险废物</w:t>
            </w:r>
          </w:p>
          <w:p w14:paraId="1FDD8410">
            <w:pPr>
              <w:spacing w:line="360" w:lineRule="auto"/>
              <w:ind w:firstLine="482" w:firstLineChars="200"/>
              <w:rPr>
                <w:b/>
                <w:sz w:val="24"/>
                <w:szCs w:val="24"/>
              </w:rPr>
            </w:pPr>
            <w:r>
              <w:rPr>
                <w:rFonts w:hint="eastAsia"/>
                <w:b/>
                <w:sz w:val="24"/>
                <w:szCs w:val="24"/>
              </w:rPr>
              <w:t>①产生情况</w:t>
            </w:r>
          </w:p>
          <w:p w14:paraId="52E2AD71">
            <w:pPr>
              <w:spacing w:line="360" w:lineRule="auto"/>
              <w:ind w:firstLine="482" w:firstLineChars="200"/>
              <w:rPr>
                <w:sz w:val="24"/>
                <w:szCs w:val="24"/>
              </w:rPr>
            </w:pPr>
            <w:r>
              <w:rPr>
                <w:rFonts w:hint="eastAsia"/>
                <w:b/>
                <w:sz w:val="24"/>
                <w:szCs w:val="24"/>
              </w:rPr>
              <w:t>废网版</w:t>
            </w:r>
            <w:r>
              <w:rPr>
                <w:rFonts w:hint="eastAsia"/>
                <w:bCs/>
                <w:sz w:val="24"/>
                <w:szCs w:val="24"/>
              </w:rPr>
              <w:t>：主要为丝印/热转印过程废弃的印刷网版，</w:t>
            </w:r>
            <w:r>
              <w:rPr>
                <w:rFonts w:hint="eastAsia"/>
                <w:sz w:val="24"/>
                <w:szCs w:val="24"/>
              </w:rPr>
              <w:t>产生量约0.</w:t>
            </w:r>
            <w:r>
              <w:rPr>
                <w:sz w:val="24"/>
                <w:szCs w:val="24"/>
              </w:rPr>
              <w:t>5</w:t>
            </w:r>
            <w:r>
              <w:rPr>
                <w:rFonts w:hint="eastAsia"/>
                <w:sz w:val="24"/>
                <w:szCs w:val="24"/>
              </w:rPr>
              <w:t>t/a，其属于《国家危险废物名录（20</w:t>
            </w:r>
            <w:r>
              <w:rPr>
                <w:sz w:val="24"/>
                <w:szCs w:val="24"/>
              </w:rPr>
              <w:t>21年</w:t>
            </w:r>
            <w:r>
              <w:rPr>
                <w:rFonts w:hint="eastAsia"/>
                <w:sz w:val="24"/>
                <w:szCs w:val="24"/>
              </w:rPr>
              <w:t>版）》中“HW12 染料、涂料废物/非特定行业/</w:t>
            </w:r>
            <w:r>
              <w:t xml:space="preserve"> 900-253-1</w:t>
            </w:r>
            <w:r>
              <w:rPr>
                <w:rFonts w:hint="eastAsia"/>
              </w:rPr>
              <w:t>2</w:t>
            </w:r>
            <w:r>
              <w:rPr>
                <w:rFonts w:hint="eastAsia"/>
                <w:sz w:val="24"/>
                <w:szCs w:val="24"/>
              </w:rPr>
              <w:t>使用油墨和有机溶剂进行丝网印刷过程中产生的废物”。</w:t>
            </w:r>
          </w:p>
          <w:p w14:paraId="7E739B0B">
            <w:pPr>
              <w:spacing w:line="360" w:lineRule="auto"/>
              <w:ind w:firstLine="482" w:firstLineChars="200"/>
              <w:rPr>
                <w:sz w:val="24"/>
                <w:szCs w:val="24"/>
              </w:rPr>
            </w:pPr>
            <w:r>
              <w:rPr>
                <w:rFonts w:hint="eastAsia"/>
                <w:b/>
                <w:sz w:val="24"/>
                <w:szCs w:val="24"/>
              </w:rPr>
              <w:t>废油墨桶</w:t>
            </w:r>
            <w:r>
              <w:rPr>
                <w:rFonts w:hint="eastAsia"/>
                <w:sz w:val="24"/>
                <w:szCs w:val="24"/>
              </w:rPr>
              <w:t>：主要为UV油墨使用后废弃的包装桶，产生量约0.</w:t>
            </w:r>
            <w:r>
              <w:rPr>
                <w:sz w:val="24"/>
                <w:szCs w:val="24"/>
              </w:rPr>
              <w:t>05</w:t>
            </w:r>
            <w:r>
              <w:rPr>
                <w:rFonts w:hint="eastAsia"/>
                <w:sz w:val="24"/>
                <w:szCs w:val="24"/>
              </w:rPr>
              <w:t>t/a，其属于《国家危险废物名录（20</w:t>
            </w:r>
            <w:r>
              <w:rPr>
                <w:sz w:val="24"/>
                <w:szCs w:val="24"/>
              </w:rPr>
              <w:t>21年</w:t>
            </w:r>
            <w:r>
              <w:rPr>
                <w:rFonts w:hint="eastAsia"/>
                <w:sz w:val="24"/>
                <w:szCs w:val="24"/>
              </w:rPr>
              <w:t>版）》中“HW</w:t>
            </w:r>
            <w:r>
              <w:rPr>
                <w:sz w:val="24"/>
                <w:szCs w:val="24"/>
              </w:rPr>
              <w:t xml:space="preserve">49 </w:t>
            </w:r>
            <w:r>
              <w:rPr>
                <w:rFonts w:hint="eastAsia"/>
                <w:sz w:val="24"/>
                <w:szCs w:val="24"/>
              </w:rPr>
              <w:t>其他废物/非特定行业/</w:t>
            </w:r>
            <w:r>
              <w:t xml:space="preserve"> </w:t>
            </w:r>
            <w:r>
              <w:rPr>
                <w:sz w:val="24"/>
                <w:szCs w:val="24"/>
              </w:rPr>
              <w:t>900-041-49</w:t>
            </w:r>
            <w:r>
              <w:rPr>
                <w:rFonts w:hint="eastAsia"/>
                <w:sz w:val="24"/>
                <w:szCs w:val="24"/>
              </w:rPr>
              <w:t>含有或沾染毒性、感染性危险废物的废弃包装物、容器、过滤吸附介质”。</w:t>
            </w:r>
          </w:p>
          <w:p w14:paraId="10200F51">
            <w:pPr>
              <w:spacing w:line="360" w:lineRule="auto"/>
              <w:ind w:firstLine="482" w:firstLineChars="200"/>
              <w:rPr>
                <w:sz w:val="24"/>
                <w:szCs w:val="24"/>
              </w:rPr>
            </w:pPr>
            <w:r>
              <w:rPr>
                <w:rFonts w:hint="eastAsia"/>
                <w:b/>
                <w:sz w:val="24"/>
                <w:szCs w:val="24"/>
              </w:rPr>
              <w:t>废机油及包装桶</w:t>
            </w:r>
            <w:r>
              <w:rPr>
                <w:rFonts w:hint="eastAsia"/>
                <w:sz w:val="24"/>
                <w:szCs w:val="24"/>
              </w:rPr>
              <w:t>：主要为设备保养过程中产生的废机油，以及沾染有机油的包装桶，产生量约</w:t>
            </w:r>
            <w:r>
              <w:rPr>
                <w:sz w:val="24"/>
                <w:szCs w:val="24"/>
              </w:rPr>
              <w:t>0.</w:t>
            </w:r>
            <w:r>
              <w:rPr>
                <w:rFonts w:hint="eastAsia"/>
                <w:sz w:val="24"/>
                <w:szCs w:val="24"/>
              </w:rPr>
              <w:t>1t/a，其属于《国家危险废物名录（2021年版）》中“</w:t>
            </w:r>
            <w:r>
              <w:rPr>
                <w:rFonts w:hint="eastAsia"/>
                <w:iCs/>
                <w:sz w:val="24"/>
                <w:szCs w:val="24"/>
              </w:rPr>
              <w:t>HW</w:t>
            </w:r>
            <w:r>
              <w:rPr>
                <w:iCs/>
                <w:sz w:val="24"/>
                <w:szCs w:val="24"/>
              </w:rPr>
              <w:t xml:space="preserve">08 </w:t>
            </w:r>
            <w:r>
              <w:rPr>
                <w:rFonts w:hint="eastAsia"/>
                <w:iCs/>
                <w:sz w:val="24"/>
                <w:szCs w:val="24"/>
              </w:rPr>
              <w:t>废矿物油与含矿物油废物</w:t>
            </w:r>
            <w:r>
              <w:rPr>
                <w:iCs/>
                <w:sz w:val="24"/>
                <w:szCs w:val="24"/>
              </w:rPr>
              <w:t>/</w:t>
            </w:r>
            <w:r>
              <w:rPr>
                <w:rFonts w:hint="eastAsia"/>
                <w:iCs/>
                <w:sz w:val="24"/>
                <w:szCs w:val="24"/>
              </w:rPr>
              <w:t>非特定行业/</w:t>
            </w:r>
            <w:r>
              <w:rPr>
                <w:iCs/>
                <w:sz w:val="24"/>
                <w:szCs w:val="24"/>
              </w:rPr>
              <w:t xml:space="preserve">900-249-08 </w:t>
            </w:r>
            <w:r>
              <w:rPr>
                <w:rFonts w:hint="eastAsia"/>
                <w:iCs/>
                <w:sz w:val="24"/>
                <w:szCs w:val="24"/>
              </w:rPr>
              <w:t>其他生产、销售、使用过程中产生的废矿物油及沾染矿物油的废弃包装物</w:t>
            </w:r>
            <w:r>
              <w:rPr>
                <w:rFonts w:hint="eastAsia"/>
                <w:sz w:val="24"/>
                <w:szCs w:val="24"/>
              </w:rPr>
              <w:t>”。</w:t>
            </w:r>
          </w:p>
          <w:p w14:paraId="2671C906">
            <w:pPr>
              <w:spacing w:line="360" w:lineRule="auto"/>
              <w:ind w:firstLine="482" w:firstLineChars="200"/>
              <w:rPr>
                <w:sz w:val="24"/>
                <w:szCs w:val="24"/>
              </w:rPr>
            </w:pPr>
            <w:r>
              <w:rPr>
                <w:rFonts w:hint="eastAsia"/>
                <w:b/>
                <w:sz w:val="24"/>
                <w:szCs w:val="24"/>
              </w:rPr>
              <w:t>废活性炭</w:t>
            </w:r>
            <w:r>
              <w:rPr>
                <w:rFonts w:hint="eastAsia"/>
                <w:sz w:val="24"/>
                <w:szCs w:val="24"/>
              </w:rPr>
              <w:t>：主要为活性炭吸附装置更换的吸附有VOCs的废弃活性炭，项目活性炭装填量为4.608t，每三个月更换一次，需吸附的废气量约3.612t/a，则废活性炭产生量共计约</w:t>
            </w:r>
            <w:r>
              <w:rPr>
                <w:sz w:val="24"/>
                <w:szCs w:val="24"/>
              </w:rPr>
              <w:t>22.044</w:t>
            </w:r>
            <w:r>
              <w:rPr>
                <w:rFonts w:hint="eastAsia"/>
                <w:sz w:val="24"/>
                <w:szCs w:val="24"/>
              </w:rPr>
              <w:t>t</w:t>
            </w:r>
            <w:r>
              <w:rPr>
                <w:sz w:val="24"/>
                <w:szCs w:val="24"/>
              </w:rPr>
              <w:t>/a</w:t>
            </w:r>
            <w:r>
              <w:rPr>
                <w:rFonts w:hint="eastAsia"/>
                <w:sz w:val="24"/>
                <w:szCs w:val="24"/>
              </w:rPr>
              <w:t>，其属于《国家危险废物名录（20</w:t>
            </w:r>
            <w:r>
              <w:rPr>
                <w:sz w:val="24"/>
                <w:szCs w:val="24"/>
              </w:rPr>
              <w:t>21年</w:t>
            </w:r>
            <w:r>
              <w:rPr>
                <w:rFonts w:hint="eastAsia"/>
                <w:sz w:val="24"/>
                <w:szCs w:val="24"/>
              </w:rPr>
              <w:t>版）》中“HW</w:t>
            </w:r>
            <w:r>
              <w:rPr>
                <w:sz w:val="24"/>
                <w:szCs w:val="24"/>
              </w:rPr>
              <w:t xml:space="preserve">49 </w:t>
            </w:r>
            <w:r>
              <w:rPr>
                <w:rFonts w:hint="eastAsia"/>
                <w:sz w:val="24"/>
                <w:szCs w:val="24"/>
              </w:rPr>
              <w:t>其他废物/非特定行业/</w:t>
            </w:r>
            <w:r>
              <w:rPr>
                <w:sz w:val="24"/>
                <w:szCs w:val="24"/>
              </w:rPr>
              <w:t xml:space="preserve">900-039-49 </w:t>
            </w:r>
            <w:r>
              <w:rPr>
                <w:rFonts w:hint="eastAsia"/>
                <w:sz w:val="24"/>
                <w:szCs w:val="24"/>
              </w:rPr>
              <w:t>烟气、VOCs治理过程（不包括餐饮行业油烟治理过程）产生的废活性炭”。</w:t>
            </w:r>
          </w:p>
          <w:p w14:paraId="7639C384">
            <w:pPr>
              <w:spacing w:line="360" w:lineRule="auto"/>
              <w:ind w:firstLine="482" w:firstLineChars="200"/>
              <w:rPr>
                <w:sz w:val="24"/>
                <w:szCs w:val="24"/>
              </w:rPr>
            </w:pPr>
            <w:r>
              <w:rPr>
                <w:rFonts w:hint="eastAsia"/>
                <w:b/>
                <w:sz w:val="24"/>
                <w:szCs w:val="24"/>
              </w:rPr>
              <w:t>废弃劳保用品</w:t>
            </w:r>
            <w:r>
              <w:rPr>
                <w:rFonts w:hint="eastAsia"/>
                <w:sz w:val="24"/>
                <w:szCs w:val="24"/>
              </w:rPr>
              <w:t>：主要为丝印/热转印、设备保养过程中，工作人员使用的沾染有油墨、机油的废弃口罩、手套等劳保用品，产生量约0.</w:t>
            </w:r>
            <w:r>
              <w:rPr>
                <w:sz w:val="24"/>
                <w:szCs w:val="24"/>
              </w:rPr>
              <w:t>01</w:t>
            </w:r>
            <w:r>
              <w:rPr>
                <w:rFonts w:hint="eastAsia"/>
                <w:sz w:val="24"/>
                <w:szCs w:val="24"/>
              </w:rPr>
              <w:t>t/a，其属于《国家危险废物名录（20</w:t>
            </w:r>
            <w:r>
              <w:rPr>
                <w:sz w:val="24"/>
                <w:szCs w:val="24"/>
              </w:rPr>
              <w:t>21年</w:t>
            </w:r>
            <w:r>
              <w:rPr>
                <w:rFonts w:hint="eastAsia"/>
                <w:sz w:val="24"/>
                <w:szCs w:val="24"/>
              </w:rPr>
              <w:t>版）》中“HW</w:t>
            </w:r>
            <w:r>
              <w:rPr>
                <w:sz w:val="24"/>
                <w:szCs w:val="24"/>
              </w:rPr>
              <w:t xml:space="preserve">49 </w:t>
            </w:r>
            <w:r>
              <w:rPr>
                <w:rFonts w:hint="eastAsia"/>
                <w:sz w:val="24"/>
                <w:szCs w:val="24"/>
              </w:rPr>
              <w:t>其他废物/非特定行业/</w:t>
            </w:r>
            <w:r>
              <w:t xml:space="preserve"> </w:t>
            </w:r>
            <w:r>
              <w:rPr>
                <w:sz w:val="24"/>
                <w:szCs w:val="24"/>
              </w:rPr>
              <w:t>900-041-49</w:t>
            </w:r>
            <w:r>
              <w:rPr>
                <w:rFonts w:hint="eastAsia"/>
                <w:sz w:val="24"/>
                <w:szCs w:val="24"/>
              </w:rPr>
              <w:t>含有或沾染毒性、感染性危险废物的废弃包装物、容器、过滤吸附介质”。</w:t>
            </w:r>
          </w:p>
          <w:p w14:paraId="210EA514">
            <w:pPr>
              <w:spacing w:line="360" w:lineRule="auto"/>
              <w:ind w:firstLine="482" w:firstLineChars="200"/>
              <w:rPr>
                <w:b/>
                <w:sz w:val="24"/>
                <w:szCs w:val="24"/>
              </w:rPr>
            </w:pPr>
            <w:r>
              <w:rPr>
                <w:rFonts w:hint="eastAsia"/>
                <w:b/>
                <w:sz w:val="24"/>
                <w:szCs w:val="24"/>
              </w:rPr>
              <w:t>②治理措施</w:t>
            </w:r>
          </w:p>
          <w:p w14:paraId="39B433A4">
            <w:pPr>
              <w:spacing w:line="360" w:lineRule="auto"/>
              <w:ind w:firstLine="482" w:firstLineChars="200"/>
              <w:rPr>
                <w:sz w:val="24"/>
                <w:szCs w:val="24"/>
              </w:rPr>
            </w:pPr>
            <w:r>
              <w:rPr>
                <w:rFonts w:cs="Times New Roman"/>
                <w:b/>
                <w:sz w:val="24"/>
                <w:szCs w:val="24"/>
              </w:rPr>
              <w:t>项目</w:t>
            </w:r>
            <w:r>
              <w:rPr>
                <w:rFonts w:hint="eastAsia"/>
                <w:b/>
                <w:bCs/>
                <w:sz w:val="24"/>
                <w:szCs w:val="24"/>
              </w:rPr>
              <w:t>依托现有工程已建的1间危废暂存间（总面积约50m</w:t>
            </w:r>
            <w:r>
              <w:rPr>
                <w:rFonts w:hint="eastAsia"/>
                <w:b/>
                <w:bCs/>
                <w:sz w:val="24"/>
                <w:szCs w:val="24"/>
                <w:vertAlign w:val="superscript"/>
              </w:rPr>
              <w:t>2</w:t>
            </w:r>
            <w:r>
              <w:rPr>
                <w:rFonts w:hint="eastAsia"/>
                <w:b/>
                <w:bCs/>
                <w:sz w:val="24"/>
                <w:szCs w:val="24"/>
              </w:rPr>
              <w:t>）</w:t>
            </w:r>
            <w:r>
              <w:rPr>
                <w:rFonts w:hint="eastAsia"/>
                <w:sz w:val="24"/>
                <w:szCs w:val="24"/>
              </w:rPr>
              <w:t>，位于生产车间西南侧。根据现场调查，</w:t>
            </w:r>
            <w:r>
              <w:rPr>
                <w:rFonts w:hint="eastAsia"/>
                <w:b/>
                <w:bCs/>
                <w:sz w:val="24"/>
                <w:szCs w:val="24"/>
              </w:rPr>
              <w:t>现有危废暂存间建设符合《危险废物贮存污染控制标准》（GB18597-2023）、《危险废物收集、贮存、运输技术规范》（HJ2025-2012）中相关要求，地面及10cm高墙裙采用防渗混凝土+2mmHDPE防渗膜进行防渗、防腐处理，采取了防风、防晒、防雨、防漏、防渗、防腐等环境污染防治措施，指定了专人负责管理；已按照《危险废物识别标志设置技术规范》（HJ1276-2022）设立了标识标牌。</w:t>
            </w:r>
            <w:r>
              <w:rPr>
                <w:rFonts w:hint="eastAsia"/>
                <w:sz w:val="24"/>
                <w:szCs w:val="24"/>
              </w:rPr>
              <w:t>建设单位已与四川省兴茂石化有限责任公司签订了《危险废物委托处置合同》，建立了危险废物管理台账，落实了危险废物转移联单制度。</w:t>
            </w:r>
          </w:p>
          <w:p w14:paraId="6EC70161">
            <w:pPr>
              <w:spacing w:line="360" w:lineRule="auto"/>
              <w:ind w:firstLine="480" w:firstLineChars="200"/>
              <w:rPr>
                <w:rFonts w:cs="Times New Roman"/>
                <w:sz w:val="24"/>
                <w:szCs w:val="24"/>
              </w:rPr>
            </w:pPr>
            <w:r>
              <w:rPr>
                <w:rFonts w:hint="eastAsia" w:cs="Times New Roman"/>
                <w:sz w:val="24"/>
                <w:szCs w:val="24"/>
              </w:rPr>
              <w:t>项目危废暂存间基本情况、危险废物处置措施见下表。</w:t>
            </w:r>
          </w:p>
          <w:p w14:paraId="79A214DF">
            <w:pPr>
              <w:pStyle w:val="51"/>
              <w:numPr>
                <w:ilvl w:val="0"/>
                <w:numId w:val="6"/>
              </w:numPr>
              <w:spacing w:line="360" w:lineRule="auto"/>
              <w:ind w:firstLineChars="0"/>
              <w:jc w:val="center"/>
              <w:rPr>
                <w:rFonts w:eastAsia="黑体" w:cs="Times New Roman"/>
                <w:szCs w:val="21"/>
              </w:rPr>
            </w:pPr>
            <w:r>
              <w:rPr>
                <w:rFonts w:hint="eastAsia" w:eastAsia="黑体"/>
                <w:szCs w:val="21"/>
              </w:rPr>
              <w:t>危险废物贮存场所基本信息表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070"/>
              <w:gridCol w:w="1090"/>
              <w:gridCol w:w="1200"/>
              <w:gridCol w:w="858"/>
              <w:gridCol w:w="856"/>
              <w:gridCol w:w="1143"/>
              <w:gridCol w:w="988"/>
              <w:gridCol w:w="985"/>
            </w:tblGrid>
            <w:tr w14:paraId="7440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Align w:val="center"/>
                </w:tcPr>
                <w:p w14:paraId="2F407113">
                  <w:pPr>
                    <w:jc w:val="center"/>
                    <w:rPr>
                      <w:szCs w:val="21"/>
                    </w:rPr>
                  </w:pPr>
                  <w:r>
                    <w:rPr>
                      <w:szCs w:val="21"/>
                    </w:rPr>
                    <w:t>贮存场所名称</w:t>
                  </w:r>
                </w:p>
              </w:tc>
              <w:tc>
                <w:tcPr>
                  <w:tcW w:w="585" w:type="pct"/>
                  <w:vAlign w:val="center"/>
                </w:tcPr>
                <w:p w14:paraId="563EA032">
                  <w:pPr>
                    <w:jc w:val="center"/>
                    <w:rPr>
                      <w:szCs w:val="21"/>
                    </w:rPr>
                  </w:pPr>
                  <w:r>
                    <w:rPr>
                      <w:szCs w:val="21"/>
                    </w:rPr>
                    <w:t>危险废物名称</w:t>
                  </w:r>
                </w:p>
              </w:tc>
              <w:tc>
                <w:tcPr>
                  <w:tcW w:w="596" w:type="pct"/>
                  <w:vAlign w:val="center"/>
                </w:tcPr>
                <w:p w14:paraId="3B948424">
                  <w:pPr>
                    <w:jc w:val="center"/>
                    <w:rPr>
                      <w:szCs w:val="21"/>
                    </w:rPr>
                  </w:pPr>
                  <w:r>
                    <w:rPr>
                      <w:szCs w:val="21"/>
                    </w:rPr>
                    <w:t>危险废物类别</w:t>
                  </w:r>
                </w:p>
              </w:tc>
              <w:tc>
                <w:tcPr>
                  <w:tcW w:w="656" w:type="pct"/>
                  <w:vAlign w:val="center"/>
                </w:tcPr>
                <w:p w14:paraId="4B9E3B15">
                  <w:pPr>
                    <w:jc w:val="center"/>
                    <w:rPr>
                      <w:szCs w:val="21"/>
                    </w:rPr>
                  </w:pPr>
                  <w:r>
                    <w:rPr>
                      <w:szCs w:val="21"/>
                    </w:rPr>
                    <w:t>危险废物</w:t>
                  </w:r>
                </w:p>
                <w:p w14:paraId="104D84F3">
                  <w:pPr>
                    <w:jc w:val="center"/>
                    <w:rPr>
                      <w:szCs w:val="21"/>
                    </w:rPr>
                  </w:pPr>
                  <w:r>
                    <w:rPr>
                      <w:szCs w:val="21"/>
                    </w:rPr>
                    <w:t>代码</w:t>
                  </w:r>
                </w:p>
              </w:tc>
              <w:tc>
                <w:tcPr>
                  <w:tcW w:w="469" w:type="pct"/>
                  <w:vAlign w:val="center"/>
                </w:tcPr>
                <w:p w14:paraId="08F21C79">
                  <w:pPr>
                    <w:jc w:val="center"/>
                    <w:rPr>
                      <w:szCs w:val="21"/>
                    </w:rPr>
                  </w:pPr>
                  <w:r>
                    <w:rPr>
                      <w:szCs w:val="21"/>
                    </w:rPr>
                    <w:t>位置</w:t>
                  </w:r>
                </w:p>
              </w:tc>
              <w:tc>
                <w:tcPr>
                  <w:tcW w:w="468" w:type="pct"/>
                  <w:vAlign w:val="center"/>
                </w:tcPr>
                <w:p w14:paraId="4B3AF84B">
                  <w:pPr>
                    <w:jc w:val="center"/>
                    <w:rPr>
                      <w:szCs w:val="21"/>
                    </w:rPr>
                  </w:pPr>
                  <w:r>
                    <w:rPr>
                      <w:szCs w:val="21"/>
                    </w:rPr>
                    <w:t>占地</w:t>
                  </w:r>
                </w:p>
                <w:p w14:paraId="305420C6">
                  <w:pPr>
                    <w:jc w:val="center"/>
                    <w:rPr>
                      <w:szCs w:val="21"/>
                    </w:rPr>
                  </w:pPr>
                  <w:r>
                    <w:rPr>
                      <w:szCs w:val="21"/>
                    </w:rPr>
                    <w:t>面积</w:t>
                  </w:r>
                </w:p>
              </w:tc>
              <w:tc>
                <w:tcPr>
                  <w:tcW w:w="625" w:type="pct"/>
                  <w:vAlign w:val="center"/>
                </w:tcPr>
                <w:p w14:paraId="267A295E">
                  <w:pPr>
                    <w:jc w:val="center"/>
                    <w:rPr>
                      <w:szCs w:val="21"/>
                    </w:rPr>
                  </w:pPr>
                  <w:r>
                    <w:rPr>
                      <w:szCs w:val="21"/>
                    </w:rPr>
                    <w:t>贮存方式</w:t>
                  </w:r>
                </w:p>
              </w:tc>
              <w:tc>
                <w:tcPr>
                  <w:tcW w:w="540" w:type="pct"/>
                  <w:vAlign w:val="center"/>
                </w:tcPr>
                <w:p w14:paraId="3791C208">
                  <w:pPr>
                    <w:jc w:val="center"/>
                    <w:rPr>
                      <w:szCs w:val="21"/>
                    </w:rPr>
                  </w:pPr>
                  <w:r>
                    <w:rPr>
                      <w:szCs w:val="21"/>
                    </w:rPr>
                    <w:t>贮存</w:t>
                  </w:r>
                </w:p>
                <w:p w14:paraId="6DCD804D">
                  <w:pPr>
                    <w:jc w:val="center"/>
                    <w:rPr>
                      <w:szCs w:val="21"/>
                    </w:rPr>
                  </w:pPr>
                  <w:r>
                    <w:rPr>
                      <w:szCs w:val="21"/>
                    </w:rPr>
                    <w:t>能力</w:t>
                  </w:r>
                </w:p>
              </w:tc>
              <w:tc>
                <w:tcPr>
                  <w:tcW w:w="538" w:type="pct"/>
                  <w:vAlign w:val="center"/>
                </w:tcPr>
                <w:p w14:paraId="7FBFEA2D">
                  <w:pPr>
                    <w:jc w:val="center"/>
                    <w:rPr>
                      <w:szCs w:val="21"/>
                    </w:rPr>
                  </w:pPr>
                  <w:r>
                    <w:rPr>
                      <w:szCs w:val="21"/>
                    </w:rPr>
                    <w:t>贮存</w:t>
                  </w:r>
                </w:p>
                <w:p w14:paraId="0087C93F">
                  <w:pPr>
                    <w:jc w:val="center"/>
                    <w:rPr>
                      <w:szCs w:val="21"/>
                    </w:rPr>
                  </w:pPr>
                  <w:r>
                    <w:rPr>
                      <w:szCs w:val="21"/>
                    </w:rPr>
                    <w:t>周期</w:t>
                  </w:r>
                </w:p>
              </w:tc>
            </w:tr>
            <w:tr w14:paraId="212D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23" w:type="pct"/>
                  <w:vMerge w:val="restart"/>
                  <w:vAlign w:val="center"/>
                </w:tcPr>
                <w:p w14:paraId="5BB0AFC5">
                  <w:pPr>
                    <w:jc w:val="center"/>
                    <w:rPr>
                      <w:szCs w:val="21"/>
                    </w:rPr>
                  </w:pPr>
                  <w:r>
                    <w:rPr>
                      <w:szCs w:val="21"/>
                    </w:rPr>
                    <w:t>危废暂存间</w:t>
                  </w:r>
                </w:p>
              </w:tc>
              <w:tc>
                <w:tcPr>
                  <w:tcW w:w="585" w:type="pct"/>
                  <w:vAlign w:val="center"/>
                </w:tcPr>
                <w:p w14:paraId="2453F34E">
                  <w:pPr>
                    <w:jc w:val="center"/>
                    <w:rPr>
                      <w:szCs w:val="21"/>
                    </w:rPr>
                  </w:pPr>
                  <w:r>
                    <w:rPr>
                      <w:rFonts w:hint="eastAsia"/>
                      <w:szCs w:val="21"/>
                    </w:rPr>
                    <w:t>废网版</w:t>
                  </w:r>
                </w:p>
              </w:tc>
              <w:tc>
                <w:tcPr>
                  <w:tcW w:w="596" w:type="pct"/>
                  <w:vAlign w:val="center"/>
                </w:tcPr>
                <w:p w14:paraId="43A9CFE7">
                  <w:pPr>
                    <w:jc w:val="center"/>
                    <w:rPr>
                      <w:rFonts w:cstheme="minorHAnsi"/>
                      <w:szCs w:val="21"/>
                    </w:rPr>
                  </w:pPr>
                  <w:r>
                    <w:rPr>
                      <w:rFonts w:cstheme="minorHAnsi"/>
                      <w:szCs w:val="21"/>
                    </w:rPr>
                    <w:t>HW</w:t>
                  </w:r>
                  <w:r>
                    <w:rPr>
                      <w:rFonts w:hint="eastAsia" w:cstheme="minorHAnsi"/>
                      <w:szCs w:val="21"/>
                    </w:rPr>
                    <w:t>12</w:t>
                  </w:r>
                </w:p>
              </w:tc>
              <w:tc>
                <w:tcPr>
                  <w:tcW w:w="656" w:type="pct"/>
                  <w:vAlign w:val="center"/>
                </w:tcPr>
                <w:p w14:paraId="64999F37">
                  <w:pPr>
                    <w:jc w:val="center"/>
                    <w:rPr>
                      <w:szCs w:val="21"/>
                    </w:rPr>
                  </w:pPr>
                  <w:r>
                    <w:rPr>
                      <w:szCs w:val="21"/>
                    </w:rPr>
                    <w:t>900-253-12</w:t>
                  </w:r>
                </w:p>
              </w:tc>
              <w:tc>
                <w:tcPr>
                  <w:tcW w:w="469" w:type="pct"/>
                  <w:vMerge w:val="restart"/>
                  <w:vAlign w:val="center"/>
                </w:tcPr>
                <w:p w14:paraId="747DFA10">
                  <w:pPr>
                    <w:jc w:val="center"/>
                    <w:rPr>
                      <w:szCs w:val="21"/>
                    </w:rPr>
                  </w:pPr>
                  <w:r>
                    <w:rPr>
                      <w:rFonts w:hint="eastAsia"/>
                      <w:szCs w:val="21"/>
                    </w:rPr>
                    <w:t>生产车间西南侧</w:t>
                  </w:r>
                </w:p>
              </w:tc>
              <w:tc>
                <w:tcPr>
                  <w:tcW w:w="468" w:type="pct"/>
                  <w:vMerge w:val="restart"/>
                  <w:vAlign w:val="center"/>
                </w:tcPr>
                <w:p w14:paraId="1FEF2609">
                  <w:pPr>
                    <w:jc w:val="center"/>
                    <w:rPr>
                      <w:szCs w:val="21"/>
                    </w:rPr>
                  </w:pPr>
                  <w:r>
                    <w:rPr>
                      <w:rFonts w:hint="eastAsia"/>
                      <w:szCs w:val="21"/>
                    </w:rPr>
                    <w:t>5</w:t>
                  </w:r>
                  <w:r>
                    <w:rPr>
                      <w:szCs w:val="21"/>
                    </w:rPr>
                    <w:t>0</w:t>
                  </w:r>
                  <w:r>
                    <w:rPr>
                      <w:rFonts w:hint="eastAsia"/>
                      <w:szCs w:val="21"/>
                    </w:rPr>
                    <w:t>m</w:t>
                  </w:r>
                  <w:r>
                    <w:rPr>
                      <w:szCs w:val="21"/>
                      <w:vertAlign w:val="superscript"/>
                    </w:rPr>
                    <w:t>2</w:t>
                  </w:r>
                </w:p>
              </w:tc>
              <w:tc>
                <w:tcPr>
                  <w:tcW w:w="625" w:type="pct"/>
                  <w:vAlign w:val="center"/>
                </w:tcPr>
                <w:p w14:paraId="3492E23D">
                  <w:pPr>
                    <w:jc w:val="center"/>
                    <w:rPr>
                      <w:szCs w:val="21"/>
                    </w:rPr>
                  </w:pPr>
                  <w:r>
                    <w:rPr>
                      <w:szCs w:val="21"/>
                    </w:rPr>
                    <w:t>专用</w:t>
                  </w:r>
                  <w:r>
                    <w:rPr>
                      <w:rFonts w:hint="eastAsia"/>
                      <w:szCs w:val="21"/>
                    </w:rPr>
                    <w:t>容器</w:t>
                  </w:r>
                </w:p>
              </w:tc>
              <w:tc>
                <w:tcPr>
                  <w:tcW w:w="540" w:type="pct"/>
                  <w:vMerge w:val="restart"/>
                  <w:vAlign w:val="center"/>
                </w:tcPr>
                <w:p w14:paraId="01FE1621">
                  <w:pPr>
                    <w:jc w:val="center"/>
                    <w:rPr>
                      <w:szCs w:val="21"/>
                    </w:rPr>
                  </w:pPr>
                  <w:r>
                    <w:rPr>
                      <w:rFonts w:hint="eastAsia"/>
                      <w:szCs w:val="21"/>
                    </w:rPr>
                    <w:t>25t</w:t>
                  </w:r>
                </w:p>
              </w:tc>
              <w:tc>
                <w:tcPr>
                  <w:tcW w:w="538" w:type="pct"/>
                  <w:vMerge w:val="restart"/>
                  <w:vAlign w:val="center"/>
                </w:tcPr>
                <w:p w14:paraId="0BA3ACE9">
                  <w:pPr>
                    <w:jc w:val="center"/>
                    <w:rPr>
                      <w:szCs w:val="21"/>
                    </w:rPr>
                  </w:pPr>
                  <w:r>
                    <w:rPr>
                      <w:rFonts w:hint="eastAsia"/>
                      <w:szCs w:val="21"/>
                    </w:rPr>
                    <w:t>3个月</w:t>
                  </w:r>
                </w:p>
              </w:tc>
            </w:tr>
            <w:tr w14:paraId="2A78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23" w:type="pct"/>
                  <w:vMerge w:val="continue"/>
                  <w:vAlign w:val="center"/>
                </w:tcPr>
                <w:p w14:paraId="586FF586">
                  <w:pPr>
                    <w:jc w:val="center"/>
                    <w:rPr>
                      <w:szCs w:val="21"/>
                    </w:rPr>
                  </w:pPr>
                </w:p>
              </w:tc>
              <w:tc>
                <w:tcPr>
                  <w:tcW w:w="585" w:type="pct"/>
                  <w:vAlign w:val="center"/>
                </w:tcPr>
                <w:p w14:paraId="5A2AFACB">
                  <w:pPr>
                    <w:jc w:val="center"/>
                    <w:rPr>
                      <w:szCs w:val="21"/>
                    </w:rPr>
                  </w:pPr>
                  <w:r>
                    <w:rPr>
                      <w:rFonts w:hint="eastAsia"/>
                      <w:szCs w:val="21"/>
                    </w:rPr>
                    <w:t>废油墨桶</w:t>
                  </w:r>
                </w:p>
              </w:tc>
              <w:tc>
                <w:tcPr>
                  <w:tcW w:w="596" w:type="pct"/>
                  <w:vAlign w:val="center"/>
                </w:tcPr>
                <w:p w14:paraId="3DE42F7D">
                  <w:pPr>
                    <w:jc w:val="center"/>
                    <w:rPr>
                      <w:rFonts w:cstheme="minorHAnsi"/>
                      <w:szCs w:val="21"/>
                    </w:rPr>
                  </w:pPr>
                  <w:r>
                    <w:rPr>
                      <w:rFonts w:hint="eastAsia" w:cstheme="minorHAnsi"/>
                      <w:szCs w:val="21"/>
                    </w:rPr>
                    <w:t>HW</w:t>
                  </w:r>
                  <w:r>
                    <w:rPr>
                      <w:rFonts w:cstheme="minorHAnsi"/>
                      <w:szCs w:val="21"/>
                    </w:rPr>
                    <w:t>49</w:t>
                  </w:r>
                </w:p>
              </w:tc>
              <w:tc>
                <w:tcPr>
                  <w:tcW w:w="656" w:type="pct"/>
                  <w:vAlign w:val="center"/>
                </w:tcPr>
                <w:p w14:paraId="75FE9DE8">
                  <w:pPr>
                    <w:jc w:val="center"/>
                    <w:rPr>
                      <w:szCs w:val="21"/>
                    </w:rPr>
                  </w:pPr>
                  <w:r>
                    <w:rPr>
                      <w:szCs w:val="21"/>
                    </w:rPr>
                    <w:t>900-041-49</w:t>
                  </w:r>
                </w:p>
              </w:tc>
              <w:tc>
                <w:tcPr>
                  <w:tcW w:w="469" w:type="pct"/>
                  <w:vMerge w:val="continue"/>
                  <w:vAlign w:val="center"/>
                </w:tcPr>
                <w:p w14:paraId="43FCC2C5">
                  <w:pPr>
                    <w:jc w:val="center"/>
                    <w:rPr>
                      <w:szCs w:val="21"/>
                    </w:rPr>
                  </w:pPr>
                </w:p>
              </w:tc>
              <w:tc>
                <w:tcPr>
                  <w:tcW w:w="468" w:type="pct"/>
                  <w:vMerge w:val="continue"/>
                  <w:vAlign w:val="center"/>
                </w:tcPr>
                <w:p w14:paraId="52C8D236">
                  <w:pPr>
                    <w:jc w:val="center"/>
                    <w:rPr>
                      <w:szCs w:val="21"/>
                    </w:rPr>
                  </w:pPr>
                </w:p>
              </w:tc>
              <w:tc>
                <w:tcPr>
                  <w:tcW w:w="625" w:type="pct"/>
                  <w:vAlign w:val="center"/>
                </w:tcPr>
                <w:p w14:paraId="7D3548DD">
                  <w:pPr>
                    <w:jc w:val="center"/>
                    <w:rPr>
                      <w:szCs w:val="21"/>
                    </w:rPr>
                  </w:pPr>
                  <w:r>
                    <w:rPr>
                      <w:rFonts w:hint="eastAsia"/>
                      <w:szCs w:val="21"/>
                    </w:rPr>
                    <w:t>直接贮存</w:t>
                  </w:r>
                </w:p>
              </w:tc>
              <w:tc>
                <w:tcPr>
                  <w:tcW w:w="540" w:type="pct"/>
                  <w:vMerge w:val="continue"/>
                  <w:vAlign w:val="center"/>
                </w:tcPr>
                <w:p w14:paraId="00395208">
                  <w:pPr>
                    <w:jc w:val="center"/>
                    <w:rPr>
                      <w:szCs w:val="21"/>
                    </w:rPr>
                  </w:pPr>
                </w:p>
              </w:tc>
              <w:tc>
                <w:tcPr>
                  <w:tcW w:w="538" w:type="pct"/>
                  <w:vMerge w:val="continue"/>
                  <w:vAlign w:val="center"/>
                </w:tcPr>
                <w:p w14:paraId="320CA73E">
                  <w:pPr>
                    <w:jc w:val="center"/>
                    <w:rPr>
                      <w:szCs w:val="21"/>
                    </w:rPr>
                  </w:pPr>
                </w:p>
              </w:tc>
            </w:tr>
            <w:tr w14:paraId="4AE6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23" w:type="pct"/>
                  <w:vMerge w:val="continue"/>
                  <w:vAlign w:val="center"/>
                </w:tcPr>
                <w:p w14:paraId="7592FB8B">
                  <w:pPr>
                    <w:jc w:val="center"/>
                    <w:rPr>
                      <w:szCs w:val="21"/>
                    </w:rPr>
                  </w:pPr>
                </w:p>
              </w:tc>
              <w:tc>
                <w:tcPr>
                  <w:tcW w:w="585" w:type="pct"/>
                  <w:vAlign w:val="center"/>
                </w:tcPr>
                <w:p w14:paraId="22C8EBF3">
                  <w:pPr>
                    <w:jc w:val="center"/>
                    <w:rPr>
                      <w:szCs w:val="21"/>
                    </w:rPr>
                  </w:pPr>
                  <w:r>
                    <w:rPr>
                      <w:rFonts w:hint="eastAsia"/>
                      <w:szCs w:val="21"/>
                    </w:rPr>
                    <w:t>废机油及包装桶</w:t>
                  </w:r>
                </w:p>
              </w:tc>
              <w:tc>
                <w:tcPr>
                  <w:tcW w:w="596" w:type="pct"/>
                  <w:vAlign w:val="center"/>
                </w:tcPr>
                <w:p w14:paraId="111084D9">
                  <w:pPr>
                    <w:jc w:val="center"/>
                    <w:rPr>
                      <w:rFonts w:cstheme="minorHAnsi"/>
                      <w:szCs w:val="21"/>
                    </w:rPr>
                  </w:pPr>
                  <w:r>
                    <w:rPr>
                      <w:rFonts w:hint="eastAsia" w:cstheme="minorHAnsi"/>
                      <w:szCs w:val="21"/>
                    </w:rPr>
                    <w:t>HW08</w:t>
                  </w:r>
                </w:p>
              </w:tc>
              <w:tc>
                <w:tcPr>
                  <w:tcW w:w="656" w:type="pct"/>
                  <w:vAlign w:val="center"/>
                </w:tcPr>
                <w:p w14:paraId="41C53BD1">
                  <w:pPr>
                    <w:jc w:val="center"/>
                    <w:rPr>
                      <w:szCs w:val="21"/>
                    </w:rPr>
                  </w:pPr>
                  <w:r>
                    <w:rPr>
                      <w:szCs w:val="21"/>
                    </w:rPr>
                    <w:t>900-249-08</w:t>
                  </w:r>
                </w:p>
              </w:tc>
              <w:tc>
                <w:tcPr>
                  <w:tcW w:w="469" w:type="pct"/>
                  <w:vMerge w:val="continue"/>
                  <w:vAlign w:val="center"/>
                </w:tcPr>
                <w:p w14:paraId="4694A99A">
                  <w:pPr>
                    <w:jc w:val="center"/>
                    <w:rPr>
                      <w:szCs w:val="21"/>
                    </w:rPr>
                  </w:pPr>
                </w:p>
              </w:tc>
              <w:tc>
                <w:tcPr>
                  <w:tcW w:w="468" w:type="pct"/>
                  <w:vMerge w:val="continue"/>
                  <w:vAlign w:val="center"/>
                </w:tcPr>
                <w:p w14:paraId="503B4945">
                  <w:pPr>
                    <w:jc w:val="center"/>
                    <w:rPr>
                      <w:szCs w:val="21"/>
                    </w:rPr>
                  </w:pPr>
                </w:p>
              </w:tc>
              <w:tc>
                <w:tcPr>
                  <w:tcW w:w="625" w:type="pct"/>
                  <w:vAlign w:val="center"/>
                </w:tcPr>
                <w:p w14:paraId="0D76AB1F">
                  <w:pPr>
                    <w:jc w:val="center"/>
                    <w:rPr>
                      <w:szCs w:val="21"/>
                    </w:rPr>
                  </w:pPr>
                  <w:r>
                    <w:rPr>
                      <w:szCs w:val="21"/>
                    </w:rPr>
                    <w:t>专用</w:t>
                  </w:r>
                  <w:r>
                    <w:rPr>
                      <w:rFonts w:hint="eastAsia"/>
                      <w:szCs w:val="21"/>
                    </w:rPr>
                    <w:t>容器</w:t>
                  </w:r>
                </w:p>
              </w:tc>
              <w:tc>
                <w:tcPr>
                  <w:tcW w:w="540" w:type="pct"/>
                  <w:vMerge w:val="continue"/>
                  <w:vAlign w:val="center"/>
                </w:tcPr>
                <w:p w14:paraId="1C8F6994">
                  <w:pPr>
                    <w:jc w:val="center"/>
                    <w:rPr>
                      <w:szCs w:val="21"/>
                    </w:rPr>
                  </w:pPr>
                </w:p>
              </w:tc>
              <w:tc>
                <w:tcPr>
                  <w:tcW w:w="538" w:type="pct"/>
                  <w:vMerge w:val="continue"/>
                  <w:vAlign w:val="center"/>
                </w:tcPr>
                <w:p w14:paraId="44D217C6">
                  <w:pPr>
                    <w:jc w:val="center"/>
                    <w:rPr>
                      <w:szCs w:val="21"/>
                    </w:rPr>
                  </w:pPr>
                </w:p>
              </w:tc>
            </w:tr>
            <w:tr w14:paraId="3611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523" w:type="pct"/>
                  <w:vMerge w:val="continue"/>
                  <w:vAlign w:val="center"/>
                </w:tcPr>
                <w:p w14:paraId="641B5E38">
                  <w:pPr>
                    <w:jc w:val="center"/>
                    <w:rPr>
                      <w:szCs w:val="21"/>
                    </w:rPr>
                  </w:pPr>
                </w:p>
              </w:tc>
              <w:tc>
                <w:tcPr>
                  <w:tcW w:w="585" w:type="pct"/>
                  <w:vAlign w:val="center"/>
                </w:tcPr>
                <w:p w14:paraId="08FA71E6">
                  <w:pPr>
                    <w:jc w:val="center"/>
                    <w:rPr>
                      <w:szCs w:val="21"/>
                    </w:rPr>
                  </w:pPr>
                  <w:r>
                    <w:rPr>
                      <w:rFonts w:hint="eastAsia"/>
                      <w:szCs w:val="21"/>
                    </w:rPr>
                    <w:t>废活性炭</w:t>
                  </w:r>
                </w:p>
              </w:tc>
              <w:tc>
                <w:tcPr>
                  <w:tcW w:w="596" w:type="pct"/>
                  <w:vAlign w:val="center"/>
                </w:tcPr>
                <w:p w14:paraId="0AF03915">
                  <w:pPr>
                    <w:jc w:val="center"/>
                    <w:rPr>
                      <w:rFonts w:cstheme="minorHAnsi"/>
                      <w:szCs w:val="21"/>
                    </w:rPr>
                  </w:pPr>
                  <w:r>
                    <w:rPr>
                      <w:rFonts w:hint="eastAsia" w:cstheme="minorHAnsi"/>
                      <w:szCs w:val="21"/>
                    </w:rPr>
                    <w:t>HW49</w:t>
                  </w:r>
                </w:p>
              </w:tc>
              <w:tc>
                <w:tcPr>
                  <w:tcW w:w="656" w:type="pct"/>
                  <w:vAlign w:val="center"/>
                </w:tcPr>
                <w:p w14:paraId="3CCA9AC5">
                  <w:pPr>
                    <w:jc w:val="center"/>
                    <w:rPr>
                      <w:szCs w:val="21"/>
                    </w:rPr>
                  </w:pPr>
                  <w:r>
                    <w:rPr>
                      <w:szCs w:val="21"/>
                    </w:rPr>
                    <w:t>900-039-49</w:t>
                  </w:r>
                </w:p>
              </w:tc>
              <w:tc>
                <w:tcPr>
                  <w:tcW w:w="469" w:type="pct"/>
                  <w:vMerge w:val="continue"/>
                  <w:vAlign w:val="center"/>
                </w:tcPr>
                <w:p w14:paraId="43A03DA0">
                  <w:pPr>
                    <w:jc w:val="center"/>
                    <w:rPr>
                      <w:szCs w:val="21"/>
                    </w:rPr>
                  </w:pPr>
                </w:p>
              </w:tc>
              <w:tc>
                <w:tcPr>
                  <w:tcW w:w="468" w:type="pct"/>
                  <w:vMerge w:val="continue"/>
                  <w:vAlign w:val="center"/>
                </w:tcPr>
                <w:p w14:paraId="7568F698">
                  <w:pPr>
                    <w:jc w:val="center"/>
                    <w:rPr>
                      <w:szCs w:val="21"/>
                    </w:rPr>
                  </w:pPr>
                </w:p>
              </w:tc>
              <w:tc>
                <w:tcPr>
                  <w:tcW w:w="625" w:type="pct"/>
                  <w:vAlign w:val="center"/>
                </w:tcPr>
                <w:p w14:paraId="56C90C65">
                  <w:pPr>
                    <w:jc w:val="center"/>
                    <w:rPr>
                      <w:szCs w:val="21"/>
                    </w:rPr>
                  </w:pPr>
                  <w:r>
                    <w:rPr>
                      <w:szCs w:val="21"/>
                    </w:rPr>
                    <w:t>专用</w:t>
                  </w:r>
                  <w:r>
                    <w:rPr>
                      <w:rFonts w:hint="eastAsia"/>
                      <w:szCs w:val="21"/>
                    </w:rPr>
                    <w:t>包装</w:t>
                  </w:r>
                </w:p>
              </w:tc>
              <w:tc>
                <w:tcPr>
                  <w:tcW w:w="540" w:type="pct"/>
                  <w:vMerge w:val="continue"/>
                  <w:vAlign w:val="center"/>
                </w:tcPr>
                <w:p w14:paraId="79ED5D2C">
                  <w:pPr>
                    <w:jc w:val="center"/>
                    <w:rPr>
                      <w:szCs w:val="21"/>
                    </w:rPr>
                  </w:pPr>
                </w:p>
              </w:tc>
              <w:tc>
                <w:tcPr>
                  <w:tcW w:w="538" w:type="pct"/>
                  <w:vMerge w:val="continue"/>
                  <w:vAlign w:val="center"/>
                </w:tcPr>
                <w:p w14:paraId="221C6310">
                  <w:pPr>
                    <w:jc w:val="center"/>
                    <w:rPr>
                      <w:szCs w:val="21"/>
                    </w:rPr>
                  </w:pPr>
                </w:p>
              </w:tc>
            </w:tr>
            <w:tr w14:paraId="38B8F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17F603F9">
                  <w:pPr>
                    <w:jc w:val="center"/>
                    <w:rPr>
                      <w:szCs w:val="21"/>
                    </w:rPr>
                  </w:pPr>
                </w:p>
              </w:tc>
              <w:tc>
                <w:tcPr>
                  <w:tcW w:w="585" w:type="pct"/>
                  <w:vAlign w:val="center"/>
                </w:tcPr>
                <w:p w14:paraId="54031A42">
                  <w:pPr>
                    <w:jc w:val="center"/>
                    <w:rPr>
                      <w:szCs w:val="21"/>
                    </w:rPr>
                  </w:pPr>
                  <w:r>
                    <w:rPr>
                      <w:rFonts w:hint="eastAsia"/>
                      <w:szCs w:val="21"/>
                    </w:rPr>
                    <w:t>废弃劳保用品</w:t>
                  </w:r>
                </w:p>
              </w:tc>
              <w:tc>
                <w:tcPr>
                  <w:tcW w:w="596" w:type="pct"/>
                  <w:vAlign w:val="center"/>
                </w:tcPr>
                <w:p w14:paraId="161335AA">
                  <w:pPr>
                    <w:jc w:val="center"/>
                    <w:rPr>
                      <w:szCs w:val="21"/>
                    </w:rPr>
                  </w:pPr>
                  <w:r>
                    <w:rPr>
                      <w:szCs w:val="21"/>
                    </w:rPr>
                    <w:t>HW49</w:t>
                  </w:r>
                </w:p>
              </w:tc>
              <w:tc>
                <w:tcPr>
                  <w:tcW w:w="656" w:type="pct"/>
                  <w:vAlign w:val="center"/>
                </w:tcPr>
                <w:p w14:paraId="79FE6C82">
                  <w:pPr>
                    <w:jc w:val="center"/>
                    <w:rPr>
                      <w:szCs w:val="21"/>
                    </w:rPr>
                  </w:pPr>
                  <w:r>
                    <w:rPr>
                      <w:szCs w:val="21"/>
                    </w:rPr>
                    <w:t>900-041-49</w:t>
                  </w:r>
                </w:p>
              </w:tc>
              <w:tc>
                <w:tcPr>
                  <w:tcW w:w="469" w:type="pct"/>
                  <w:vMerge w:val="continue"/>
                  <w:vAlign w:val="center"/>
                </w:tcPr>
                <w:p w14:paraId="3095A872">
                  <w:pPr>
                    <w:jc w:val="center"/>
                    <w:rPr>
                      <w:szCs w:val="21"/>
                    </w:rPr>
                  </w:pPr>
                </w:p>
              </w:tc>
              <w:tc>
                <w:tcPr>
                  <w:tcW w:w="468" w:type="pct"/>
                  <w:vMerge w:val="continue"/>
                  <w:vAlign w:val="center"/>
                </w:tcPr>
                <w:p w14:paraId="786BE292">
                  <w:pPr>
                    <w:jc w:val="center"/>
                    <w:rPr>
                      <w:szCs w:val="21"/>
                    </w:rPr>
                  </w:pPr>
                </w:p>
              </w:tc>
              <w:tc>
                <w:tcPr>
                  <w:tcW w:w="625" w:type="pct"/>
                  <w:vAlign w:val="center"/>
                </w:tcPr>
                <w:p w14:paraId="5DDFEDFA">
                  <w:pPr>
                    <w:jc w:val="center"/>
                    <w:rPr>
                      <w:szCs w:val="21"/>
                    </w:rPr>
                  </w:pPr>
                  <w:r>
                    <w:rPr>
                      <w:szCs w:val="21"/>
                    </w:rPr>
                    <w:t>专用</w:t>
                  </w:r>
                  <w:r>
                    <w:rPr>
                      <w:rFonts w:hint="eastAsia"/>
                      <w:szCs w:val="21"/>
                    </w:rPr>
                    <w:t>包装</w:t>
                  </w:r>
                </w:p>
              </w:tc>
              <w:tc>
                <w:tcPr>
                  <w:tcW w:w="540" w:type="pct"/>
                  <w:vMerge w:val="continue"/>
                  <w:vAlign w:val="center"/>
                </w:tcPr>
                <w:p w14:paraId="72B9823C">
                  <w:pPr>
                    <w:jc w:val="center"/>
                    <w:rPr>
                      <w:szCs w:val="21"/>
                    </w:rPr>
                  </w:pPr>
                </w:p>
              </w:tc>
              <w:tc>
                <w:tcPr>
                  <w:tcW w:w="538" w:type="pct"/>
                  <w:vMerge w:val="continue"/>
                  <w:vAlign w:val="center"/>
                </w:tcPr>
                <w:p w14:paraId="51C61FA6">
                  <w:pPr>
                    <w:jc w:val="center"/>
                    <w:rPr>
                      <w:szCs w:val="21"/>
                    </w:rPr>
                  </w:pPr>
                </w:p>
              </w:tc>
            </w:tr>
            <w:tr w14:paraId="278C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42EA3968">
                  <w:pPr>
                    <w:jc w:val="center"/>
                    <w:rPr>
                      <w:szCs w:val="21"/>
                    </w:rPr>
                  </w:pPr>
                </w:p>
              </w:tc>
              <w:tc>
                <w:tcPr>
                  <w:tcW w:w="585" w:type="pct"/>
                  <w:vAlign w:val="center"/>
                </w:tcPr>
                <w:p w14:paraId="2EA916FC">
                  <w:pPr>
                    <w:jc w:val="center"/>
                    <w:rPr>
                      <w:szCs w:val="21"/>
                    </w:rPr>
                  </w:pPr>
                  <w:r>
                    <w:rPr>
                      <w:rFonts w:hint="eastAsia"/>
                      <w:szCs w:val="21"/>
                    </w:rPr>
                    <w:t>漆渣*</w:t>
                  </w:r>
                </w:p>
              </w:tc>
              <w:tc>
                <w:tcPr>
                  <w:tcW w:w="596" w:type="pct"/>
                  <w:vAlign w:val="center"/>
                </w:tcPr>
                <w:p w14:paraId="27E390F9">
                  <w:pPr>
                    <w:jc w:val="center"/>
                    <w:rPr>
                      <w:szCs w:val="21"/>
                    </w:rPr>
                  </w:pPr>
                  <w:r>
                    <w:rPr>
                      <w:rFonts w:cs="Times New Roman"/>
                      <w:szCs w:val="21"/>
                    </w:rPr>
                    <w:t>HW</w:t>
                  </w:r>
                  <w:r>
                    <w:rPr>
                      <w:rFonts w:hint="eastAsia" w:cs="Times New Roman"/>
                      <w:szCs w:val="21"/>
                    </w:rPr>
                    <w:t>12</w:t>
                  </w:r>
                </w:p>
              </w:tc>
              <w:tc>
                <w:tcPr>
                  <w:tcW w:w="656" w:type="pct"/>
                  <w:vAlign w:val="center"/>
                </w:tcPr>
                <w:p w14:paraId="603D689D">
                  <w:pPr>
                    <w:jc w:val="center"/>
                    <w:rPr>
                      <w:szCs w:val="21"/>
                    </w:rPr>
                  </w:pPr>
                  <w:r>
                    <w:rPr>
                      <w:rFonts w:cs="Times New Roman"/>
                      <w:kern w:val="0"/>
                      <w:szCs w:val="21"/>
                      <w:lang w:bidi="ar"/>
                    </w:rPr>
                    <w:t>264-013-12</w:t>
                  </w:r>
                </w:p>
              </w:tc>
              <w:tc>
                <w:tcPr>
                  <w:tcW w:w="469" w:type="pct"/>
                  <w:vMerge w:val="continue"/>
                  <w:vAlign w:val="center"/>
                </w:tcPr>
                <w:p w14:paraId="2EE325CE">
                  <w:pPr>
                    <w:jc w:val="center"/>
                    <w:rPr>
                      <w:szCs w:val="21"/>
                    </w:rPr>
                  </w:pPr>
                </w:p>
              </w:tc>
              <w:tc>
                <w:tcPr>
                  <w:tcW w:w="468" w:type="pct"/>
                  <w:vMerge w:val="continue"/>
                  <w:vAlign w:val="center"/>
                </w:tcPr>
                <w:p w14:paraId="5B2E1059">
                  <w:pPr>
                    <w:jc w:val="center"/>
                    <w:rPr>
                      <w:szCs w:val="21"/>
                    </w:rPr>
                  </w:pPr>
                </w:p>
              </w:tc>
              <w:tc>
                <w:tcPr>
                  <w:tcW w:w="625" w:type="pct"/>
                  <w:vAlign w:val="center"/>
                </w:tcPr>
                <w:p w14:paraId="11360F3C">
                  <w:pPr>
                    <w:jc w:val="center"/>
                    <w:rPr>
                      <w:szCs w:val="21"/>
                    </w:rPr>
                  </w:pPr>
                  <w:r>
                    <w:rPr>
                      <w:szCs w:val="21"/>
                    </w:rPr>
                    <w:t>专用</w:t>
                  </w:r>
                  <w:r>
                    <w:rPr>
                      <w:rFonts w:hint="eastAsia"/>
                      <w:szCs w:val="21"/>
                    </w:rPr>
                    <w:t>包装</w:t>
                  </w:r>
                </w:p>
              </w:tc>
              <w:tc>
                <w:tcPr>
                  <w:tcW w:w="540" w:type="pct"/>
                  <w:vMerge w:val="continue"/>
                  <w:vAlign w:val="center"/>
                </w:tcPr>
                <w:p w14:paraId="61F32FA9">
                  <w:pPr>
                    <w:jc w:val="center"/>
                    <w:rPr>
                      <w:szCs w:val="21"/>
                    </w:rPr>
                  </w:pPr>
                </w:p>
              </w:tc>
              <w:tc>
                <w:tcPr>
                  <w:tcW w:w="538" w:type="pct"/>
                  <w:vMerge w:val="continue"/>
                  <w:vAlign w:val="center"/>
                </w:tcPr>
                <w:p w14:paraId="49784F72">
                  <w:pPr>
                    <w:jc w:val="center"/>
                    <w:rPr>
                      <w:szCs w:val="21"/>
                    </w:rPr>
                  </w:pPr>
                </w:p>
              </w:tc>
            </w:tr>
            <w:tr w14:paraId="0A16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15E19AB7">
                  <w:pPr>
                    <w:jc w:val="center"/>
                    <w:rPr>
                      <w:szCs w:val="21"/>
                    </w:rPr>
                  </w:pPr>
                </w:p>
              </w:tc>
              <w:tc>
                <w:tcPr>
                  <w:tcW w:w="585" w:type="pct"/>
                  <w:vAlign w:val="center"/>
                </w:tcPr>
                <w:p w14:paraId="0AF90C91">
                  <w:pPr>
                    <w:jc w:val="center"/>
                    <w:rPr>
                      <w:szCs w:val="21"/>
                    </w:rPr>
                  </w:pPr>
                  <w:r>
                    <w:rPr>
                      <w:rFonts w:hint="eastAsia"/>
                      <w:szCs w:val="21"/>
                    </w:rPr>
                    <w:t>废过滤棉*</w:t>
                  </w:r>
                </w:p>
              </w:tc>
              <w:tc>
                <w:tcPr>
                  <w:tcW w:w="596" w:type="pct"/>
                  <w:vAlign w:val="center"/>
                </w:tcPr>
                <w:p w14:paraId="0F63BEFE">
                  <w:pPr>
                    <w:jc w:val="center"/>
                    <w:rPr>
                      <w:szCs w:val="21"/>
                    </w:rPr>
                  </w:pPr>
                  <w:r>
                    <w:rPr>
                      <w:rFonts w:hint="eastAsia" w:cstheme="minorHAnsi"/>
                      <w:szCs w:val="21"/>
                    </w:rPr>
                    <w:t>HW</w:t>
                  </w:r>
                  <w:r>
                    <w:rPr>
                      <w:rFonts w:cstheme="minorHAnsi"/>
                      <w:szCs w:val="21"/>
                    </w:rPr>
                    <w:t>49</w:t>
                  </w:r>
                </w:p>
              </w:tc>
              <w:tc>
                <w:tcPr>
                  <w:tcW w:w="656" w:type="pct"/>
                  <w:vAlign w:val="center"/>
                </w:tcPr>
                <w:p w14:paraId="00A2BF1D">
                  <w:pPr>
                    <w:jc w:val="center"/>
                    <w:rPr>
                      <w:szCs w:val="21"/>
                    </w:rPr>
                  </w:pPr>
                  <w:r>
                    <w:rPr>
                      <w:szCs w:val="21"/>
                    </w:rPr>
                    <w:t>900-041-49</w:t>
                  </w:r>
                </w:p>
              </w:tc>
              <w:tc>
                <w:tcPr>
                  <w:tcW w:w="469" w:type="pct"/>
                  <w:vMerge w:val="continue"/>
                  <w:vAlign w:val="center"/>
                </w:tcPr>
                <w:p w14:paraId="7E8A6EC8">
                  <w:pPr>
                    <w:jc w:val="center"/>
                    <w:rPr>
                      <w:szCs w:val="21"/>
                    </w:rPr>
                  </w:pPr>
                </w:p>
              </w:tc>
              <w:tc>
                <w:tcPr>
                  <w:tcW w:w="468" w:type="pct"/>
                  <w:vMerge w:val="continue"/>
                  <w:vAlign w:val="center"/>
                </w:tcPr>
                <w:p w14:paraId="1FC8F827">
                  <w:pPr>
                    <w:jc w:val="center"/>
                    <w:rPr>
                      <w:szCs w:val="21"/>
                    </w:rPr>
                  </w:pPr>
                </w:p>
              </w:tc>
              <w:tc>
                <w:tcPr>
                  <w:tcW w:w="625" w:type="pct"/>
                  <w:vAlign w:val="center"/>
                </w:tcPr>
                <w:p w14:paraId="7BE4BB2B">
                  <w:pPr>
                    <w:jc w:val="center"/>
                    <w:rPr>
                      <w:szCs w:val="21"/>
                    </w:rPr>
                  </w:pPr>
                  <w:r>
                    <w:rPr>
                      <w:szCs w:val="21"/>
                    </w:rPr>
                    <w:t>专用</w:t>
                  </w:r>
                  <w:r>
                    <w:rPr>
                      <w:rFonts w:hint="eastAsia"/>
                      <w:szCs w:val="21"/>
                    </w:rPr>
                    <w:t>包装</w:t>
                  </w:r>
                </w:p>
              </w:tc>
              <w:tc>
                <w:tcPr>
                  <w:tcW w:w="540" w:type="pct"/>
                  <w:vMerge w:val="continue"/>
                  <w:vAlign w:val="center"/>
                </w:tcPr>
                <w:p w14:paraId="10ED5A02">
                  <w:pPr>
                    <w:jc w:val="center"/>
                    <w:rPr>
                      <w:szCs w:val="21"/>
                    </w:rPr>
                  </w:pPr>
                </w:p>
              </w:tc>
              <w:tc>
                <w:tcPr>
                  <w:tcW w:w="538" w:type="pct"/>
                  <w:vMerge w:val="continue"/>
                  <w:vAlign w:val="center"/>
                </w:tcPr>
                <w:p w14:paraId="7CA2BC17">
                  <w:pPr>
                    <w:jc w:val="center"/>
                    <w:rPr>
                      <w:szCs w:val="21"/>
                    </w:rPr>
                  </w:pPr>
                </w:p>
              </w:tc>
            </w:tr>
            <w:tr w14:paraId="0789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65585779">
                  <w:pPr>
                    <w:jc w:val="center"/>
                    <w:rPr>
                      <w:szCs w:val="21"/>
                    </w:rPr>
                  </w:pPr>
                </w:p>
              </w:tc>
              <w:tc>
                <w:tcPr>
                  <w:tcW w:w="585" w:type="pct"/>
                  <w:vAlign w:val="center"/>
                </w:tcPr>
                <w:p w14:paraId="0920A915">
                  <w:pPr>
                    <w:jc w:val="center"/>
                    <w:rPr>
                      <w:szCs w:val="21"/>
                    </w:rPr>
                  </w:pPr>
                  <w:r>
                    <w:rPr>
                      <w:rFonts w:hint="eastAsia"/>
                      <w:szCs w:val="21"/>
                    </w:rPr>
                    <w:t>废UV灯管*</w:t>
                  </w:r>
                </w:p>
              </w:tc>
              <w:tc>
                <w:tcPr>
                  <w:tcW w:w="596" w:type="pct"/>
                  <w:vAlign w:val="center"/>
                </w:tcPr>
                <w:p w14:paraId="4503423A">
                  <w:pPr>
                    <w:jc w:val="center"/>
                    <w:rPr>
                      <w:szCs w:val="21"/>
                    </w:rPr>
                  </w:pPr>
                  <w:r>
                    <w:rPr>
                      <w:rFonts w:hint="eastAsia" w:cs="Times New Roman"/>
                      <w:szCs w:val="21"/>
                    </w:rPr>
                    <w:t>HW29</w:t>
                  </w:r>
                </w:p>
              </w:tc>
              <w:tc>
                <w:tcPr>
                  <w:tcW w:w="656" w:type="pct"/>
                  <w:vAlign w:val="center"/>
                </w:tcPr>
                <w:p w14:paraId="29107C5F">
                  <w:pPr>
                    <w:jc w:val="center"/>
                    <w:rPr>
                      <w:szCs w:val="21"/>
                    </w:rPr>
                  </w:pPr>
                  <w:r>
                    <w:rPr>
                      <w:rFonts w:hint="eastAsia" w:cs="Times New Roman"/>
                      <w:szCs w:val="21"/>
                    </w:rPr>
                    <w:t>900-023-29</w:t>
                  </w:r>
                </w:p>
              </w:tc>
              <w:tc>
                <w:tcPr>
                  <w:tcW w:w="469" w:type="pct"/>
                  <w:vMerge w:val="continue"/>
                  <w:vAlign w:val="center"/>
                </w:tcPr>
                <w:p w14:paraId="787FFF0E">
                  <w:pPr>
                    <w:jc w:val="center"/>
                    <w:rPr>
                      <w:szCs w:val="21"/>
                    </w:rPr>
                  </w:pPr>
                </w:p>
              </w:tc>
              <w:tc>
                <w:tcPr>
                  <w:tcW w:w="468" w:type="pct"/>
                  <w:vMerge w:val="continue"/>
                  <w:vAlign w:val="center"/>
                </w:tcPr>
                <w:p w14:paraId="6168C547">
                  <w:pPr>
                    <w:jc w:val="center"/>
                    <w:rPr>
                      <w:szCs w:val="21"/>
                    </w:rPr>
                  </w:pPr>
                </w:p>
              </w:tc>
              <w:tc>
                <w:tcPr>
                  <w:tcW w:w="625" w:type="pct"/>
                  <w:vAlign w:val="center"/>
                </w:tcPr>
                <w:p w14:paraId="0B65251D">
                  <w:pPr>
                    <w:jc w:val="center"/>
                    <w:rPr>
                      <w:szCs w:val="21"/>
                    </w:rPr>
                  </w:pPr>
                  <w:r>
                    <w:rPr>
                      <w:szCs w:val="21"/>
                    </w:rPr>
                    <w:t>专用</w:t>
                  </w:r>
                  <w:r>
                    <w:rPr>
                      <w:rFonts w:hint="eastAsia"/>
                      <w:szCs w:val="21"/>
                    </w:rPr>
                    <w:t>包装</w:t>
                  </w:r>
                </w:p>
              </w:tc>
              <w:tc>
                <w:tcPr>
                  <w:tcW w:w="540" w:type="pct"/>
                  <w:vMerge w:val="continue"/>
                  <w:vAlign w:val="center"/>
                </w:tcPr>
                <w:p w14:paraId="424D87BA">
                  <w:pPr>
                    <w:jc w:val="center"/>
                    <w:rPr>
                      <w:szCs w:val="21"/>
                    </w:rPr>
                  </w:pPr>
                </w:p>
              </w:tc>
              <w:tc>
                <w:tcPr>
                  <w:tcW w:w="538" w:type="pct"/>
                  <w:vMerge w:val="continue"/>
                  <w:vAlign w:val="center"/>
                </w:tcPr>
                <w:p w14:paraId="335CBB45">
                  <w:pPr>
                    <w:jc w:val="center"/>
                    <w:rPr>
                      <w:szCs w:val="21"/>
                    </w:rPr>
                  </w:pPr>
                </w:p>
              </w:tc>
            </w:tr>
            <w:tr w14:paraId="685B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495A3A4F">
                  <w:pPr>
                    <w:jc w:val="center"/>
                    <w:rPr>
                      <w:szCs w:val="21"/>
                    </w:rPr>
                  </w:pPr>
                </w:p>
              </w:tc>
              <w:tc>
                <w:tcPr>
                  <w:tcW w:w="585" w:type="pct"/>
                  <w:vAlign w:val="center"/>
                </w:tcPr>
                <w:p w14:paraId="257BBBF2">
                  <w:pPr>
                    <w:jc w:val="center"/>
                    <w:rPr>
                      <w:szCs w:val="21"/>
                    </w:rPr>
                  </w:pPr>
                  <w:r>
                    <w:rPr>
                      <w:rFonts w:hint="eastAsia"/>
                      <w:szCs w:val="21"/>
                    </w:rPr>
                    <w:t>水帘更换废水*</w:t>
                  </w:r>
                </w:p>
              </w:tc>
              <w:tc>
                <w:tcPr>
                  <w:tcW w:w="596" w:type="pct"/>
                  <w:vAlign w:val="center"/>
                </w:tcPr>
                <w:p w14:paraId="16E60530">
                  <w:pPr>
                    <w:jc w:val="center"/>
                    <w:rPr>
                      <w:szCs w:val="21"/>
                    </w:rPr>
                  </w:pPr>
                  <w:r>
                    <w:rPr>
                      <w:rFonts w:hint="eastAsia" w:cs="Times New Roman"/>
                      <w:szCs w:val="21"/>
                    </w:rPr>
                    <w:t>HW12</w:t>
                  </w:r>
                </w:p>
              </w:tc>
              <w:tc>
                <w:tcPr>
                  <w:tcW w:w="656" w:type="pct"/>
                  <w:vAlign w:val="center"/>
                </w:tcPr>
                <w:p w14:paraId="1161C6DA">
                  <w:pPr>
                    <w:jc w:val="center"/>
                    <w:rPr>
                      <w:szCs w:val="21"/>
                    </w:rPr>
                  </w:pPr>
                  <w:r>
                    <w:rPr>
                      <w:rFonts w:hint="eastAsia" w:cs="Times New Roman"/>
                      <w:szCs w:val="21"/>
                    </w:rPr>
                    <w:t>900-299-12</w:t>
                  </w:r>
                </w:p>
              </w:tc>
              <w:tc>
                <w:tcPr>
                  <w:tcW w:w="469" w:type="pct"/>
                  <w:vMerge w:val="continue"/>
                  <w:vAlign w:val="center"/>
                </w:tcPr>
                <w:p w14:paraId="6F164673">
                  <w:pPr>
                    <w:jc w:val="center"/>
                    <w:rPr>
                      <w:szCs w:val="21"/>
                    </w:rPr>
                  </w:pPr>
                </w:p>
              </w:tc>
              <w:tc>
                <w:tcPr>
                  <w:tcW w:w="468" w:type="pct"/>
                  <w:vMerge w:val="continue"/>
                  <w:vAlign w:val="center"/>
                </w:tcPr>
                <w:p w14:paraId="44999EE4">
                  <w:pPr>
                    <w:jc w:val="center"/>
                    <w:rPr>
                      <w:szCs w:val="21"/>
                    </w:rPr>
                  </w:pPr>
                </w:p>
              </w:tc>
              <w:tc>
                <w:tcPr>
                  <w:tcW w:w="625" w:type="pct"/>
                  <w:vAlign w:val="center"/>
                </w:tcPr>
                <w:p w14:paraId="54716712">
                  <w:pPr>
                    <w:jc w:val="center"/>
                    <w:rPr>
                      <w:szCs w:val="21"/>
                    </w:rPr>
                  </w:pPr>
                  <w:r>
                    <w:rPr>
                      <w:szCs w:val="21"/>
                    </w:rPr>
                    <w:t>专用</w:t>
                  </w:r>
                  <w:r>
                    <w:rPr>
                      <w:rFonts w:hint="eastAsia"/>
                      <w:szCs w:val="21"/>
                    </w:rPr>
                    <w:t>容器</w:t>
                  </w:r>
                </w:p>
              </w:tc>
              <w:tc>
                <w:tcPr>
                  <w:tcW w:w="540" w:type="pct"/>
                  <w:vMerge w:val="continue"/>
                  <w:vAlign w:val="center"/>
                </w:tcPr>
                <w:p w14:paraId="1D8BFA01">
                  <w:pPr>
                    <w:jc w:val="center"/>
                    <w:rPr>
                      <w:szCs w:val="21"/>
                    </w:rPr>
                  </w:pPr>
                </w:p>
              </w:tc>
              <w:tc>
                <w:tcPr>
                  <w:tcW w:w="538" w:type="pct"/>
                  <w:vMerge w:val="continue"/>
                  <w:vAlign w:val="center"/>
                </w:tcPr>
                <w:p w14:paraId="1E02B163">
                  <w:pPr>
                    <w:jc w:val="center"/>
                    <w:rPr>
                      <w:szCs w:val="21"/>
                    </w:rPr>
                  </w:pPr>
                </w:p>
              </w:tc>
            </w:tr>
            <w:tr w14:paraId="09F3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3" w:type="pct"/>
                  <w:vMerge w:val="continue"/>
                  <w:vAlign w:val="center"/>
                </w:tcPr>
                <w:p w14:paraId="35BF4BAF">
                  <w:pPr>
                    <w:jc w:val="center"/>
                    <w:rPr>
                      <w:szCs w:val="21"/>
                    </w:rPr>
                  </w:pPr>
                </w:p>
              </w:tc>
              <w:tc>
                <w:tcPr>
                  <w:tcW w:w="585" w:type="pct"/>
                  <w:vAlign w:val="center"/>
                </w:tcPr>
                <w:p w14:paraId="06C73A84">
                  <w:pPr>
                    <w:jc w:val="center"/>
                    <w:rPr>
                      <w:szCs w:val="21"/>
                    </w:rPr>
                  </w:pPr>
                  <w:r>
                    <w:rPr>
                      <w:rFonts w:hint="eastAsia"/>
                      <w:szCs w:val="21"/>
                    </w:rPr>
                    <w:t>废稀释剂清洗液*</w:t>
                  </w:r>
                </w:p>
              </w:tc>
              <w:tc>
                <w:tcPr>
                  <w:tcW w:w="596" w:type="pct"/>
                  <w:vAlign w:val="center"/>
                </w:tcPr>
                <w:p w14:paraId="241C8770">
                  <w:pPr>
                    <w:jc w:val="center"/>
                    <w:rPr>
                      <w:szCs w:val="21"/>
                    </w:rPr>
                  </w:pPr>
                  <w:r>
                    <w:rPr>
                      <w:rFonts w:hint="eastAsia" w:cs="Times New Roman"/>
                      <w:szCs w:val="21"/>
                    </w:rPr>
                    <w:t>HW12</w:t>
                  </w:r>
                </w:p>
              </w:tc>
              <w:tc>
                <w:tcPr>
                  <w:tcW w:w="656" w:type="pct"/>
                  <w:vAlign w:val="center"/>
                </w:tcPr>
                <w:p w14:paraId="758490FA">
                  <w:pPr>
                    <w:jc w:val="center"/>
                    <w:rPr>
                      <w:szCs w:val="21"/>
                    </w:rPr>
                  </w:pPr>
                  <w:r>
                    <w:rPr>
                      <w:rFonts w:hint="eastAsia" w:cs="Times New Roman"/>
                      <w:szCs w:val="21"/>
                    </w:rPr>
                    <w:t>900-299-12</w:t>
                  </w:r>
                </w:p>
              </w:tc>
              <w:tc>
                <w:tcPr>
                  <w:tcW w:w="469" w:type="pct"/>
                  <w:vMerge w:val="continue"/>
                  <w:vAlign w:val="center"/>
                </w:tcPr>
                <w:p w14:paraId="79BAB6FC">
                  <w:pPr>
                    <w:jc w:val="center"/>
                    <w:rPr>
                      <w:szCs w:val="21"/>
                    </w:rPr>
                  </w:pPr>
                </w:p>
              </w:tc>
              <w:tc>
                <w:tcPr>
                  <w:tcW w:w="468" w:type="pct"/>
                  <w:vMerge w:val="continue"/>
                  <w:vAlign w:val="center"/>
                </w:tcPr>
                <w:p w14:paraId="0B0ADE9B">
                  <w:pPr>
                    <w:jc w:val="center"/>
                    <w:rPr>
                      <w:szCs w:val="21"/>
                    </w:rPr>
                  </w:pPr>
                </w:p>
              </w:tc>
              <w:tc>
                <w:tcPr>
                  <w:tcW w:w="625" w:type="pct"/>
                  <w:vAlign w:val="center"/>
                </w:tcPr>
                <w:p w14:paraId="3B0A99EE">
                  <w:pPr>
                    <w:jc w:val="center"/>
                    <w:rPr>
                      <w:szCs w:val="21"/>
                    </w:rPr>
                  </w:pPr>
                  <w:r>
                    <w:rPr>
                      <w:szCs w:val="21"/>
                    </w:rPr>
                    <w:t>专用</w:t>
                  </w:r>
                  <w:r>
                    <w:rPr>
                      <w:rFonts w:hint="eastAsia"/>
                      <w:szCs w:val="21"/>
                    </w:rPr>
                    <w:t>容器</w:t>
                  </w:r>
                </w:p>
              </w:tc>
              <w:tc>
                <w:tcPr>
                  <w:tcW w:w="540" w:type="pct"/>
                  <w:vMerge w:val="continue"/>
                  <w:vAlign w:val="center"/>
                </w:tcPr>
                <w:p w14:paraId="20C00D17">
                  <w:pPr>
                    <w:jc w:val="center"/>
                    <w:rPr>
                      <w:szCs w:val="21"/>
                    </w:rPr>
                  </w:pPr>
                </w:p>
              </w:tc>
              <w:tc>
                <w:tcPr>
                  <w:tcW w:w="538" w:type="pct"/>
                  <w:vMerge w:val="continue"/>
                  <w:vAlign w:val="center"/>
                </w:tcPr>
                <w:p w14:paraId="02C2E5BB">
                  <w:pPr>
                    <w:jc w:val="center"/>
                    <w:rPr>
                      <w:szCs w:val="21"/>
                    </w:rPr>
                  </w:pPr>
                </w:p>
              </w:tc>
            </w:tr>
            <w:tr w14:paraId="3D908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vAlign w:val="center"/>
                </w:tcPr>
                <w:p w14:paraId="6A3CE7AB">
                  <w:pPr>
                    <w:rPr>
                      <w:szCs w:val="21"/>
                    </w:rPr>
                  </w:pPr>
                  <w:r>
                    <w:rPr>
                      <w:rFonts w:hint="eastAsia"/>
                      <w:szCs w:val="21"/>
                    </w:rPr>
                    <w:t>注：*为仅现有工程产生的危险废物。</w:t>
                  </w:r>
                </w:p>
              </w:tc>
            </w:tr>
          </w:tbl>
          <w:p w14:paraId="74DDE30A">
            <w:pPr>
              <w:spacing w:line="360" w:lineRule="auto"/>
              <w:jc w:val="center"/>
              <w:rPr>
                <w:rFonts w:eastAsia="黑体" w:cs="Times New Roman"/>
                <w:szCs w:val="21"/>
              </w:rPr>
            </w:pPr>
          </w:p>
          <w:p w14:paraId="244F0BC3">
            <w:pPr>
              <w:spacing w:line="360" w:lineRule="auto"/>
              <w:jc w:val="center"/>
              <w:rPr>
                <w:rFonts w:eastAsia="黑体" w:cs="Times New Roman"/>
                <w:szCs w:val="21"/>
              </w:rPr>
            </w:pPr>
          </w:p>
          <w:p w14:paraId="6F0A432A">
            <w:pPr>
              <w:spacing w:line="360" w:lineRule="auto"/>
              <w:jc w:val="center"/>
              <w:rPr>
                <w:rFonts w:eastAsia="黑体" w:cs="Times New Roman"/>
                <w:szCs w:val="21"/>
              </w:rPr>
            </w:pPr>
          </w:p>
          <w:p w14:paraId="6CC74C94">
            <w:pPr>
              <w:pStyle w:val="51"/>
              <w:numPr>
                <w:ilvl w:val="0"/>
                <w:numId w:val="6"/>
              </w:numPr>
              <w:spacing w:line="360" w:lineRule="auto"/>
              <w:ind w:firstLineChars="0"/>
              <w:jc w:val="center"/>
              <w:rPr>
                <w:rFonts w:eastAsia="黑体" w:cs="Times New Roman"/>
                <w:szCs w:val="21"/>
              </w:rPr>
            </w:pPr>
            <w:r>
              <w:rPr>
                <w:rFonts w:hint="eastAsia" w:eastAsia="黑体"/>
                <w:szCs w:val="21"/>
              </w:rPr>
              <w:t>危险废物治理措施一览表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692"/>
              <w:gridCol w:w="818"/>
              <w:gridCol w:w="1056"/>
              <w:gridCol w:w="897"/>
              <w:gridCol w:w="1023"/>
              <w:gridCol w:w="615"/>
              <w:gridCol w:w="687"/>
              <w:gridCol w:w="620"/>
              <w:gridCol w:w="616"/>
              <w:gridCol w:w="620"/>
              <w:gridCol w:w="1064"/>
            </w:tblGrid>
            <w:tr w14:paraId="2DC1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50" w:type="pct"/>
                  <w:vAlign w:val="center"/>
                </w:tcPr>
                <w:p w14:paraId="1F77557C">
                  <w:pPr>
                    <w:jc w:val="center"/>
                    <w:rPr>
                      <w:rFonts w:cstheme="minorHAnsi"/>
                      <w:sz w:val="18"/>
                      <w:szCs w:val="18"/>
                    </w:rPr>
                  </w:pPr>
                  <w:r>
                    <w:rPr>
                      <w:rFonts w:cstheme="minorHAnsi"/>
                      <w:sz w:val="18"/>
                      <w:szCs w:val="18"/>
                    </w:rPr>
                    <w:t>序号</w:t>
                  </w:r>
                </w:p>
              </w:tc>
              <w:tc>
                <w:tcPr>
                  <w:tcW w:w="388" w:type="pct"/>
                  <w:shd w:val="clear" w:color="auto" w:fill="auto"/>
                  <w:vAlign w:val="center"/>
                </w:tcPr>
                <w:p w14:paraId="40173C2E">
                  <w:pPr>
                    <w:jc w:val="center"/>
                    <w:rPr>
                      <w:rFonts w:cstheme="minorHAnsi"/>
                      <w:sz w:val="18"/>
                      <w:szCs w:val="18"/>
                    </w:rPr>
                  </w:pPr>
                  <w:r>
                    <w:rPr>
                      <w:rFonts w:cstheme="minorHAnsi"/>
                      <w:sz w:val="18"/>
                      <w:szCs w:val="18"/>
                    </w:rPr>
                    <w:t>危险废物名称</w:t>
                  </w:r>
                </w:p>
              </w:tc>
              <w:tc>
                <w:tcPr>
                  <w:tcW w:w="457" w:type="pct"/>
                  <w:shd w:val="clear" w:color="auto" w:fill="auto"/>
                  <w:vAlign w:val="center"/>
                </w:tcPr>
                <w:p w14:paraId="566C8B26">
                  <w:pPr>
                    <w:jc w:val="center"/>
                    <w:rPr>
                      <w:rFonts w:cstheme="minorHAnsi"/>
                      <w:sz w:val="18"/>
                      <w:szCs w:val="18"/>
                    </w:rPr>
                  </w:pPr>
                  <w:r>
                    <w:rPr>
                      <w:rFonts w:cstheme="minorHAnsi"/>
                      <w:sz w:val="18"/>
                      <w:szCs w:val="18"/>
                    </w:rPr>
                    <w:t>危险废物类别</w:t>
                  </w:r>
                </w:p>
              </w:tc>
              <w:tc>
                <w:tcPr>
                  <w:tcW w:w="472" w:type="pct"/>
                  <w:shd w:val="clear" w:color="auto" w:fill="auto"/>
                  <w:vAlign w:val="center"/>
                </w:tcPr>
                <w:p w14:paraId="1D2313DD">
                  <w:pPr>
                    <w:jc w:val="center"/>
                    <w:rPr>
                      <w:rFonts w:cstheme="minorHAnsi"/>
                      <w:sz w:val="18"/>
                      <w:szCs w:val="18"/>
                    </w:rPr>
                  </w:pPr>
                  <w:r>
                    <w:rPr>
                      <w:rFonts w:cstheme="minorHAnsi"/>
                      <w:sz w:val="18"/>
                      <w:szCs w:val="18"/>
                    </w:rPr>
                    <w:t>危险废物代码</w:t>
                  </w:r>
                </w:p>
              </w:tc>
              <w:tc>
                <w:tcPr>
                  <w:tcW w:w="500" w:type="pct"/>
                  <w:shd w:val="clear" w:color="auto" w:fill="auto"/>
                  <w:vAlign w:val="center"/>
                </w:tcPr>
                <w:p w14:paraId="65BDBDB4">
                  <w:pPr>
                    <w:jc w:val="center"/>
                    <w:rPr>
                      <w:rFonts w:cstheme="minorHAnsi"/>
                      <w:sz w:val="18"/>
                      <w:szCs w:val="18"/>
                    </w:rPr>
                  </w:pPr>
                  <w:r>
                    <w:rPr>
                      <w:rFonts w:cstheme="minorHAnsi"/>
                      <w:sz w:val="18"/>
                      <w:szCs w:val="18"/>
                    </w:rPr>
                    <w:t>产生量</w:t>
                  </w:r>
                </w:p>
                <w:p w14:paraId="3B2399FA">
                  <w:pPr>
                    <w:jc w:val="center"/>
                    <w:rPr>
                      <w:rFonts w:cstheme="minorHAnsi"/>
                      <w:sz w:val="18"/>
                      <w:szCs w:val="18"/>
                    </w:rPr>
                  </w:pPr>
                  <w:r>
                    <w:rPr>
                      <w:rFonts w:hint="eastAsia" w:cstheme="minorHAnsi"/>
                      <w:sz w:val="18"/>
                      <w:szCs w:val="18"/>
                    </w:rPr>
                    <w:t>（t</w:t>
                  </w:r>
                  <w:r>
                    <w:rPr>
                      <w:rFonts w:cstheme="minorHAnsi"/>
                      <w:sz w:val="18"/>
                      <w:szCs w:val="18"/>
                    </w:rPr>
                    <w:t>/a</w:t>
                  </w:r>
                  <w:r>
                    <w:rPr>
                      <w:rFonts w:hint="eastAsia" w:cstheme="minorHAnsi"/>
                      <w:sz w:val="18"/>
                      <w:szCs w:val="18"/>
                    </w:rPr>
                    <w:t>）</w:t>
                  </w:r>
                </w:p>
              </w:tc>
              <w:tc>
                <w:tcPr>
                  <w:tcW w:w="569" w:type="pct"/>
                  <w:vAlign w:val="center"/>
                </w:tcPr>
                <w:p w14:paraId="5FD6E1C3">
                  <w:pPr>
                    <w:jc w:val="center"/>
                    <w:rPr>
                      <w:rFonts w:cstheme="minorHAnsi"/>
                      <w:sz w:val="18"/>
                      <w:szCs w:val="18"/>
                    </w:rPr>
                  </w:pPr>
                  <w:r>
                    <w:rPr>
                      <w:rFonts w:cstheme="minorHAnsi"/>
                      <w:sz w:val="18"/>
                      <w:szCs w:val="18"/>
                    </w:rPr>
                    <w:t>产生工序及装置</w:t>
                  </w:r>
                </w:p>
              </w:tc>
              <w:tc>
                <w:tcPr>
                  <w:tcW w:w="346" w:type="pct"/>
                  <w:vAlign w:val="center"/>
                </w:tcPr>
                <w:p w14:paraId="519FDCCA">
                  <w:pPr>
                    <w:jc w:val="center"/>
                    <w:rPr>
                      <w:rFonts w:cstheme="minorHAnsi"/>
                      <w:sz w:val="18"/>
                      <w:szCs w:val="18"/>
                    </w:rPr>
                  </w:pPr>
                  <w:r>
                    <w:rPr>
                      <w:rFonts w:cstheme="minorHAnsi"/>
                      <w:sz w:val="18"/>
                      <w:szCs w:val="18"/>
                    </w:rPr>
                    <w:t>形态</w:t>
                  </w:r>
                </w:p>
              </w:tc>
              <w:tc>
                <w:tcPr>
                  <w:tcW w:w="385" w:type="pct"/>
                  <w:vAlign w:val="center"/>
                </w:tcPr>
                <w:p w14:paraId="7CE6213F">
                  <w:pPr>
                    <w:jc w:val="center"/>
                    <w:rPr>
                      <w:rFonts w:cstheme="minorHAnsi"/>
                      <w:sz w:val="18"/>
                      <w:szCs w:val="18"/>
                    </w:rPr>
                  </w:pPr>
                  <w:r>
                    <w:rPr>
                      <w:rFonts w:cstheme="minorHAnsi"/>
                      <w:sz w:val="18"/>
                      <w:szCs w:val="18"/>
                    </w:rPr>
                    <w:t>主要成分</w:t>
                  </w:r>
                </w:p>
              </w:tc>
              <w:tc>
                <w:tcPr>
                  <w:tcW w:w="348" w:type="pct"/>
                  <w:vAlign w:val="center"/>
                </w:tcPr>
                <w:p w14:paraId="2396755C">
                  <w:pPr>
                    <w:jc w:val="center"/>
                    <w:rPr>
                      <w:rFonts w:cstheme="minorHAnsi"/>
                      <w:sz w:val="18"/>
                      <w:szCs w:val="18"/>
                    </w:rPr>
                  </w:pPr>
                  <w:r>
                    <w:rPr>
                      <w:rFonts w:cstheme="minorHAnsi"/>
                      <w:sz w:val="18"/>
                      <w:szCs w:val="18"/>
                    </w:rPr>
                    <w:t>有害成分</w:t>
                  </w:r>
                </w:p>
              </w:tc>
              <w:tc>
                <w:tcPr>
                  <w:tcW w:w="346" w:type="pct"/>
                  <w:vAlign w:val="center"/>
                </w:tcPr>
                <w:p w14:paraId="5E210D7B">
                  <w:pPr>
                    <w:jc w:val="center"/>
                    <w:rPr>
                      <w:rFonts w:cstheme="minorHAnsi"/>
                      <w:sz w:val="18"/>
                      <w:szCs w:val="18"/>
                    </w:rPr>
                  </w:pPr>
                  <w:r>
                    <w:rPr>
                      <w:rFonts w:cstheme="minorHAnsi"/>
                      <w:sz w:val="18"/>
                      <w:szCs w:val="18"/>
                    </w:rPr>
                    <w:t>产废周期</w:t>
                  </w:r>
                </w:p>
              </w:tc>
              <w:tc>
                <w:tcPr>
                  <w:tcW w:w="348" w:type="pct"/>
                  <w:vAlign w:val="center"/>
                </w:tcPr>
                <w:p w14:paraId="350F1754">
                  <w:pPr>
                    <w:jc w:val="center"/>
                    <w:rPr>
                      <w:rFonts w:cstheme="minorHAnsi"/>
                      <w:sz w:val="18"/>
                      <w:szCs w:val="18"/>
                    </w:rPr>
                  </w:pPr>
                  <w:r>
                    <w:rPr>
                      <w:rFonts w:cstheme="minorHAnsi"/>
                      <w:sz w:val="18"/>
                      <w:szCs w:val="18"/>
                    </w:rPr>
                    <w:t>危险特性</w:t>
                  </w:r>
                </w:p>
              </w:tc>
              <w:tc>
                <w:tcPr>
                  <w:tcW w:w="591" w:type="pct"/>
                  <w:shd w:val="clear" w:color="auto" w:fill="auto"/>
                  <w:vAlign w:val="center"/>
                </w:tcPr>
                <w:p w14:paraId="1EFEBDB8">
                  <w:pPr>
                    <w:jc w:val="center"/>
                    <w:rPr>
                      <w:rFonts w:cstheme="minorHAnsi"/>
                      <w:sz w:val="18"/>
                      <w:szCs w:val="18"/>
                    </w:rPr>
                  </w:pPr>
                  <w:r>
                    <w:rPr>
                      <w:rFonts w:cstheme="minorHAnsi"/>
                      <w:sz w:val="18"/>
                      <w:szCs w:val="18"/>
                    </w:rPr>
                    <w:t>污染物防治措施</w:t>
                  </w:r>
                </w:p>
              </w:tc>
            </w:tr>
            <w:tr w14:paraId="2FDE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61DA1E38">
                  <w:pPr>
                    <w:jc w:val="center"/>
                    <w:rPr>
                      <w:rFonts w:cs="Times New Roman"/>
                      <w:sz w:val="18"/>
                      <w:szCs w:val="18"/>
                    </w:rPr>
                  </w:pPr>
                  <w:r>
                    <w:rPr>
                      <w:rFonts w:hint="eastAsia" w:cs="Times New Roman"/>
                      <w:sz w:val="18"/>
                      <w:szCs w:val="18"/>
                    </w:rPr>
                    <w:t>1</w:t>
                  </w:r>
                </w:p>
              </w:tc>
              <w:tc>
                <w:tcPr>
                  <w:tcW w:w="388" w:type="pct"/>
                  <w:shd w:val="clear" w:color="auto" w:fill="auto"/>
                  <w:vAlign w:val="center"/>
                </w:tcPr>
                <w:p w14:paraId="07C6477A">
                  <w:pPr>
                    <w:jc w:val="center"/>
                    <w:rPr>
                      <w:sz w:val="18"/>
                      <w:szCs w:val="18"/>
                    </w:rPr>
                  </w:pPr>
                  <w:r>
                    <w:rPr>
                      <w:rFonts w:hint="eastAsia"/>
                      <w:sz w:val="18"/>
                      <w:szCs w:val="18"/>
                    </w:rPr>
                    <w:t>废网版</w:t>
                  </w:r>
                </w:p>
              </w:tc>
              <w:tc>
                <w:tcPr>
                  <w:tcW w:w="457" w:type="pct"/>
                  <w:shd w:val="clear" w:color="auto" w:fill="auto"/>
                  <w:vAlign w:val="center"/>
                </w:tcPr>
                <w:p w14:paraId="5CB0D3D5">
                  <w:pPr>
                    <w:jc w:val="center"/>
                    <w:rPr>
                      <w:rFonts w:cstheme="minorHAnsi"/>
                      <w:sz w:val="18"/>
                      <w:szCs w:val="18"/>
                    </w:rPr>
                  </w:pPr>
                  <w:r>
                    <w:rPr>
                      <w:rFonts w:cstheme="minorHAnsi"/>
                      <w:sz w:val="18"/>
                      <w:szCs w:val="18"/>
                    </w:rPr>
                    <w:t>HW</w:t>
                  </w:r>
                  <w:r>
                    <w:rPr>
                      <w:rFonts w:hint="eastAsia" w:cstheme="minorHAnsi"/>
                      <w:sz w:val="18"/>
                      <w:szCs w:val="18"/>
                    </w:rPr>
                    <w:t>12</w:t>
                  </w:r>
                </w:p>
              </w:tc>
              <w:tc>
                <w:tcPr>
                  <w:tcW w:w="472" w:type="pct"/>
                  <w:shd w:val="clear" w:color="auto" w:fill="auto"/>
                  <w:vAlign w:val="center"/>
                </w:tcPr>
                <w:p w14:paraId="06BB7B48">
                  <w:pPr>
                    <w:jc w:val="center"/>
                    <w:rPr>
                      <w:sz w:val="18"/>
                      <w:szCs w:val="18"/>
                    </w:rPr>
                  </w:pPr>
                  <w:r>
                    <w:rPr>
                      <w:sz w:val="18"/>
                      <w:szCs w:val="18"/>
                    </w:rPr>
                    <w:t>900-253-12</w:t>
                  </w:r>
                </w:p>
              </w:tc>
              <w:tc>
                <w:tcPr>
                  <w:tcW w:w="500" w:type="pct"/>
                  <w:shd w:val="clear" w:color="auto" w:fill="auto"/>
                  <w:vAlign w:val="center"/>
                </w:tcPr>
                <w:p w14:paraId="61753805">
                  <w:pPr>
                    <w:jc w:val="center"/>
                    <w:rPr>
                      <w:rFonts w:cstheme="minorHAnsi"/>
                      <w:sz w:val="18"/>
                      <w:szCs w:val="18"/>
                    </w:rPr>
                  </w:pPr>
                  <w:r>
                    <w:rPr>
                      <w:rFonts w:cstheme="minorHAnsi"/>
                      <w:sz w:val="18"/>
                      <w:szCs w:val="18"/>
                    </w:rPr>
                    <w:t>0.</w:t>
                  </w:r>
                  <w:r>
                    <w:rPr>
                      <w:rFonts w:hint="eastAsia" w:cstheme="minorHAnsi"/>
                      <w:sz w:val="18"/>
                      <w:szCs w:val="18"/>
                    </w:rPr>
                    <w:t>5</w:t>
                  </w:r>
                </w:p>
              </w:tc>
              <w:tc>
                <w:tcPr>
                  <w:tcW w:w="569" w:type="pct"/>
                  <w:vAlign w:val="center"/>
                </w:tcPr>
                <w:p w14:paraId="68F300DD">
                  <w:pPr>
                    <w:jc w:val="center"/>
                    <w:rPr>
                      <w:sz w:val="18"/>
                      <w:szCs w:val="18"/>
                    </w:rPr>
                  </w:pPr>
                  <w:r>
                    <w:rPr>
                      <w:rFonts w:hint="eastAsia"/>
                      <w:sz w:val="18"/>
                      <w:szCs w:val="18"/>
                    </w:rPr>
                    <w:t>丝印/热转印</w:t>
                  </w:r>
                </w:p>
              </w:tc>
              <w:tc>
                <w:tcPr>
                  <w:tcW w:w="346" w:type="pct"/>
                  <w:vAlign w:val="center"/>
                </w:tcPr>
                <w:p w14:paraId="4D751173">
                  <w:pPr>
                    <w:jc w:val="center"/>
                    <w:rPr>
                      <w:sz w:val="18"/>
                      <w:szCs w:val="18"/>
                    </w:rPr>
                  </w:pPr>
                  <w:r>
                    <w:rPr>
                      <w:rFonts w:hint="eastAsia" w:cstheme="minorHAnsi"/>
                      <w:sz w:val="18"/>
                      <w:szCs w:val="18"/>
                    </w:rPr>
                    <w:t>固体</w:t>
                  </w:r>
                </w:p>
              </w:tc>
              <w:tc>
                <w:tcPr>
                  <w:tcW w:w="385" w:type="pct"/>
                  <w:vAlign w:val="center"/>
                </w:tcPr>
                <w:p w14:paraId="1F2B4996">
                  <w:pPr>
                    <w:jc w:val="center"/>
                    <w:rPr>
                      <w:rFonts w:cstheme="minorHAnsi"/>
                      <w:sz w:val="18"/>
                      <w:szCs w:val="18"/>
                    </w:rPr>
                  </w:pPr>
                  <w:r>
                    <w:rPr>
                      <w:rFonts w:hint="eastAsia" w:cstheme="minorHAnsi"/>
                      <w:sz w:val="18"/>
                      <w:szCs w:val="18"/>
                    </w:rPr>
                    <w:t>油墨</w:t>
                  </w:r>
                </w:p>
              </w:tc>
              <w:tc>
                <w:tcPr>
                  <w:tcW w:w="348" w:type="pct"/>
                  <w:vAlign w:val="center"/>
                </w:tcPr>
                <w:p w14:paraId="5AB2CD0B">
                  <w:pPr>
                    <w:jc w:val="center"/>
                    <w:rPr>
                      <w:rFonts w:cstheme="minorHAnsi"/>
                      <w:sz w:val="18"/>
                      <w:szCs w:val="18"/>
                    </w:rPr>
                  </w:pPr>
                  <w:r>
                    <w:rPr>
                      <w:rFonts w:hint="eastAsia" w:cstheme="minorHAnsi"/>
                      <w:sz w:val="18"/>
                      <w:szCs w:val="18"/>
                    </w:rPr>
                    <w:t>油墨</w:t>
                  </w:r>
                </w:p>
              </w:tc>
              <w:tc>
                <w:tcPr>
                  <w:tcW w:w="346" w:type="pct"/>
                  <w:vAlign w:val="center"/>
                </w:tcPr>
                <w:p w14:paraId="1870F8C3">
                  <w:pPr>
                    <w:jc w:val="center"/>
                    <w:rPr>
                      <w:rFonts w:cstheme="minorHAnsi"/>
                      <w:sz w:val="18"/>
                      <w:szCs w:val="18"/>
                    </w:rPr>
                  </w:pPr>
                  <w:r>
                    <w:rPr>
                      <w:rFonts w:hint="eastAsia" w:cstheme="minorHAnsi"/>
                      <w:sz w:val="18"/>
                      <w:szCs w:val="18"/>
                    </w:rPr>
                    <w:t>每天</w:t>
                  </w:r>
                </w:p>
              </w:tc>
              <w:tc>
                <w:tcPr>
                  <w:tcW w:w="348" w:type="pct"/>
                  <w:vAlign w:val="center"/>
                </w:tcPr>
                <w:p w14:paraId="41041B8B">
                  <w:pPr>
                    <w:jc w:val="center"/>
                    <w:rPr>
                      <w:rFonts w:cstheme="minorHAnsi"/>
                      <w:sz w:val="18"/>
                      <w:szCs w:val="18"/>
                    </w:rPr>
                  </w:pPr>
                  <w:r>
                    <w:rPr>
                      <w:rFonts w:cstheme="minorHAnsi"/>
                      <w:sz w:val="18"/>
                      <w:szCs w:val="18"/>
                    </w:rPr>
                    <w:t>T</w:t>
                  </w:r>
                  <w:r>
                    <w:rPr>
                      <w:rFonts w:hint="eastAsia" w:cstheme="minorHAnsi"/>
                      <w:sz w:val="18"/>
                      <w:szCs w:val="18"/>
                    </w:rPr>
                    <w:t>,</w:t>
                  </w:r>
                  <w:r>
                    <w:rPr>
                      <w:rFonts w:cstheme="minorHAnsi"/>
                      <w:sz w:val="18"/>
                      <w:szCs w:val="18"/>
                    </w:rPr>
                    <w:t>I</w:t>
                  </w:r>
                </w:p>
              </w:tc>
              <w:tc>
                <w:tcPr>
                  <w:tcW w:w="591" w:type="pct"/>
                  <w:vMerge w:val="restart"/>
                  <w:shd w:val="clear" w:color="auto" w:fill="auto"/>
                  <w:vAlign w:val="center"/>
                </w:tcPr>
                <w:p w14:paraId="55A18101">
                  <w:pPr>
                    <w:jc w:val="center"/>
                    <w:rPr>
                      <w:rFonts w:cstheme="minorHAnsi"/>
                      <w:sz w:val="18"/>
                      <w:szCs w:val="18"/>
                    </w:rPr>
                  </w:pPr>
                  <w:r>
                    <w:rPr>
                      <w:rFonts w:cstheme="minorHAnsi"/>
                      <w:sz w:val="18"/>
                      <w:szCs w:val="18"/>
                    </w:rPr>
                    <w:t>分类收集后暂存于危废暂存间</w:t>
                  </w:r>
                  <w:r>
                    <w:rPr>
                      <w:rFonts w:hint="eastAsia" w:cstheme="minorHAnsi"/>
                      <w:sz w:val="18"/>
                      <w:szCs w:val="18"/>
                    </w:rPr>
                    <w:t>，</w:t>
                  </w:r>
                  <w:r>
                    <w:rPr>
                      <w:rFonts w:cstheme="minorHAnsi"/>
                      <w:sz w:val="18"/>
                      <w:szCs w:val="18"/>
                    </w:rPr>
                    <w:t>定期交由</w:t>
                  </w:r>
                  <w:r>
                    <w:rPr>
                      <w:rFonts w:hint="eastAsia" w:cstheme="minorHAnsi"/>
                      <w:sz w:val="18"/>
                      <w:szCs w:val="18"/>
                    </w:rPr>
                    <w:t>有资质单位清运处置</w:t>
                  </w:r>
                </w:p>
              </w:tc>
            </w:tr>
            <w:tr w14:paraId="1E86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17CCB80B">
                  <w:pPr>
                    <w:jc w:val="center"/>
                    <w:rPr>
                      <w:rFonts w:cs="Times New Roman"/>
                      <w:sz w:val="18"/>
                      <w:szCs w:val="18"/>
                    </w:rPr>
                  </w:pPr>
                  <w:r>
                    <w:rPr>
                      <w:rFonts w:hint="eastAsia" w:cs="Times New Roman"/>
                      <w:sz w:val="18"/>
                      <w:szCs w:val="18"/>
                    </w:rPr>
                    <w:t>2</w:t>
                  </w:r>
                </w:p>
              </w:tc>
              <w:tc>
                <w:tcPr>
                  <w:tcW w:w="388" w:type="pct"/>
                  <w:shd w:val="clear" w:color="auto" w:fill="auto"/>
                  <w:vAlign w:val="center"/>
                </w:tcPr>
                <w:p w14:paraId="23BD3838">
                  <w:pPr>
                    <w:jc w:val="center"/>
                    <w:rPr>
                      <w:sz w:val="18"/>
                      <w:szCs w:val="18"/>
                    </w:rPr>
                  </w:pPr>
                  <w:r>
                    <w:rPr>
                      <w:rFonts w:hint="eastAsia"/>
                      <w:sz w:val="18"/>
                      <w:szCs w:val="18"/>
                    </w:rPr>
                    <w:t>废油墨桶</w:t>
                  </w:r>
                </w:p>
              </w:tc>
              <w:tc>
                <w:tcPr>
                  <w:tcW w:w="457" w:type="pct"/>
                  <w:shd w:val="clear" w:color="auto" w:fill="auto"/>
                  <w:vAlign w:val="center"/>
                </w:tcPr>
                <w:p w14:paraId="2D2274FE">
                  <w:pPr>
                    <w:jc w:val="center"/>
                    <w:rPr>
                      <w:rFonts w:cstheme="minorHAnsi"/>
                      <w:sz w:val="18"/>
                      <w:szCs w:val="18"/>
                    </w:rPr>
                  </w:pPr>
                  <w:r>
                    <w:rPr>
                      <w:rFonts w:hint="eastAsia" w:cstheme="minorHAnsi"/>
                      <w:sz w:val="18"/>
                      <w:szCs w:val="18"/>
                    </w:rPr>
                    <w:t>HW</w:t>
                  </w:r>
                  <w:r>
                    <w:rPr>
                      <w:rFonts w:cstheme="minorHAnsi"/>
                      <w:sz w:val="18"/>
                      <w:szCs w:val="18"/>
                    </w:rPr>
                    <w:t>49</w:t>
                  </w:r>
                </w:p>
              </w:tc>
              <w:tc>
                <w:tcPr>
                  <w:tcW w:w="472" w:type="pct"/>
                  <w:shd w:val="clear" w:color="auto" w:fill="auto"/>
                  <w:vAlign w:val="center"/>
                </w:tcPr>
                <w:p w14:paraId="1DEEF40A">
                  <w:pPr>
                    <w:jc w:val="center"/>
                    <w:rPr>
                      <w:sz w:val="18"/>
                      <w:szCs w:val="18"/>
                    </w:rPr>
                  </w:pPr>
                  <w:r>
                    <w:rPr>
                      <w:sz w:val="18"/>
                      <w:szCs w:val="18"/>
                    </w:rPr>
                    <w:t>900-041-49</w:t>
                  </w:r>
                </w:p>
              </w:tc>
              <w:tc>
                <w:tcPr>
                  <w:tcW w:w="500" w:type="pct"/>
                  <w:shd w:val="clear" w:color="auto" w:fill="auto"/>
                  <w:vAlign w:val="center"/>
                </w:tcPr>
                <w:p w14:paraId="7314ED36">
                  <w:pPr>
                    <w:jc w:val="center"/>
                    <w:rPr>
                      <w:rFonts w:cstheme="minorHAnsi"/>
                      <w:sz w:val="18"/>
                      <w:szCs w:val="18"/>
                    </w:rPr>
                  </w:pPr>
                  <w:r>
                    <w:rPr>
                      <w:rFonts w:hint="eastAsia" w:cstheme="minorHAnsi"/>
                      <w:sz w:val="18"/>
                      <w:szCs w:val="18"/>
                    </w:rPr>
                    <w:t>0.05</w:t>
                  </w:r>
                </w:p>
              </w:tc>
              <w:tc>
                <w:tcPr>
                  <w:tcW w:w="569" w:type="pct"/>
                  <w:vAlign w:val="center"/>
                </w:tcPr>
                <w:p w14:paraId="04DD18B2">
                  <w:pPr>
                    <w:jc w:val="center"/>
                    <w:rPr>
                      <w:sz w:val="18"/>
                      <w:szCs w:val="18"/>
                    </w:rPr>
                  </w:pPr>
                  <w:r>
                    <w:rPr>
                      <w:rFonts w:hint="eastAsia"/>
                      <w:sz w:val="18"/>
                      <w:szCs w:val="18"/>
                    </w:rPr>
                    <w:t>UV油墨</w:t>
                  </w:r>
                </w:p>
              </w:tc>
              <w:tc>
                <w:tcPr>
                  <w:tcW w:w="346" w:type="pct"/>
                  <w:vAlign w:val="center"/>
                </w:tcPr>
                <w:p w14:paraId="310923AE">
                  <w:pPr>
                    <w:jc w:val="center"/>
                    <w:rPr>
                      <w:rFonts w:cstheme="minorHAnsi"/>
                      <w:sz w:val="18"/>
                      <w:szCs w:val="18"/>
                    </w:rPr>
                  </w:pPr>
                  <w:r>
                    <w:rPr>
                      <w:rFonts w:hint="eastAsia" w:cstheme="minorHAnsi"/>
                      <w:sz w:val="18"/>
                      <w:szCs w:val="18"/>
                    </w:rPr>
                    <w:t>固体</w:t>
                  </w:r>
                </w:p>
              </w:tc>
              <w:tc>
                <w:tcPr>
                  <w:tcW w:w="385" w:type="pct"/>
                  <w:vAlign w:val="center"/>
                </w:tcPr>
                <w:p w14:paraId="46AA9AD5">
                  <w:pPr>
                    <w:jc w:val="center"/>
                    <w:rPr>
                      <w:rFonts w:cstheme="minorHAnsi"/>
                      <w:sz w:val="18"/>
                      <w:szCs w:val="18"/>
                    </w:rPr>
                  </w:pPr>
                  <w:r>
                    <w:rPr>
                      <w:rFonts w:hint="eastAsia" w:cstheme="minorHAnsi"/>
                      <w:sz w:val="18"/>
                      <w:szCs w:val="18"/>
                    </w:rPr>
                    <w:t>油墨</w:t>
                  </w:r>
                </w:p>
              </w:tc>
              <w:tc>
                <w:tcPr>
                  <w:tcW w:w="348" w:type="pct"/>
                  <w:vAlign w:val="center"/>
                </w:tcPr>
                <w:p w14:paraId="1A02C84E">
                  <w:pPr>
                    <w:jc w:val="center"/>
                    <w:rPr>
                      <w:rFonts w:cstheme="minorHAnsi"/>
                      <w:sz w:val="18"/>
                      <w:szCs w:val="18"/>
                    </w:rPr>
                  </w:pPr>
                  <w:r>
                    <w:rPr>
                      <w:rFonts w:hint="eastAsia" w:cstheme="minorHAnsi"/>
                      <w:sz w:val="18"/>
                      <w:szCs w:val="18"/>
                    </w:rPr>
                    <w:t>油墨</w:t>
                  </w:r>
                </w:p>
              </w:tc>
              <w:tc>
                <w:tcPr>
                  <w:tcW w:w="346" w:type="pct"/>
                  <w:vAlign w:val="center"/>
                </w:tcPr>
                <w:p w14:paraId="77CB1387">
                  <w:pPr>
                    <w:jc w:val="center"/>
                    <w:rPr>
                      <w:rFonts w:cstheme="minorHAnsi"/>
                      <w:sz w:val="18"/>
                      <w:szCs w:val="18"/>
                    </w:rPr>
                  </w:pPr>
                  <w:r>
                    <w:rPr>
                      <w:rFonts w:hint="eastAsia" w:cstheme="minorHAnsi"/>
                      <w:sz w:val="18"/>
                      <w:szCs w:val="18"/>
                    </w:rPr>
                    <w:t>每天</w:t>
                  </w:r>
                </w:p>
              </w:tc>
              <w:tc>
                <w:tcPr>
                  <w:tcW w:w="348" w:type="pct"/>
                  <w:vAlign w:val="center"/>
                </w:tcPr>
                <w:p w14:paraId="44B90EEA">
                  <w:pPr>
                    <w:jc w:val="center"/>
                    <w:rPr>
                      <w:rFonts w:cstheme="minorHAnsi"/>
                      <w:sz w:val="18"/>
                      <w:szCs w:val="18"/>
                    </w:rPr>
                  </w:pPr>
                  <w:r>
                    <w:rPr>
                      <w:rFonts w:cstheme="minorHAnsi"/>
                      <w:sz w:val="18"/>
                      <w:szCs w:val="18"/>
                    </w:rPr>
                    <w:t>T</w:t>
                  </w:r>
                </w:p>
              </w:tc>
              <w:tc>
                <w:tcPr>
                  <w:tcW w:w="591" w:type="pct"/>
                  <w:vMerge w:val="continue"/>
                  <w:shd w:val="clear" w:color="auto" w:fill="auto"/>
                  <w:vAlign w:val="center"/>
                </w:tcPr>
                <w:p w14:paraId="0A7DFE01">
                  <w:pPr>
                    <w:jc w:val="center"/>
                    <w:rPr>
                      <w:rFonts w:cstheme="minorHAnsi"/>
                      <w:sz w:val="18"/>
                      <w:szCs w:val="18"/>
                    </w:rPr>
                  </w:pPr>
                </w:p>
              </w:tc>
            </w:tr>
            <w:tr w14:paraId="78AB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19D6B469">
                  <w:pPr>
                    <w:jc w:val="center"/>
                    <w:rPr>
                      <w:rFonts w:cs="Times New Roman"/>
                      <w:sz w:val="18"/>
                      <w:szCs w:val="18"/>
                    </w:rPr>
                  </w:pPr>
                  <w:r>
                    <w:rPr>
                      <w:rFonts w:hint="eastAsia" w:cs="Times New Roman"/>
                      <w:sz w:val="18"/>
                      <w:szCs w:val="18"/>
                    </w:rPr>
                    <w:t>3</w:t>
                  </w:r>
                </w:p>
              </w:tc>
              <w:tc>
                <w:tcPr>
                  <w:tcW w:w="388" w:type="pct"/>
                  <w:shd w:val="clear" w:color="auto" w:fill="auto"/>
                  <w:vAlign w:val="center"/>
                </w:tcPr>
                <w:p w14:paraId="5CD3E022">
                  <w:pPr>
                    <w:jc w:val="center"/>
                    <w:rPr>
                      <w:sz w:val="18"/>
                      <w:szCs w:val="18"/>
                    </w:rPr>
                  </w:pPr>
                  <w:r>
                    <w:rPr>
                      <w:rFonts w:hint="eastAsia"/>
                      <w:sz w:val="18"/>
                      <w:szCs w:val="18"/>
                    </w:rPr>
                    <w:t>废机油及包装桶</w:t>
                  </w:r>
                </w:p>
              </w:tc>
              <w:tc>
                <w:tcPr>
                  <w:tcW w:w="457" w:type="pct"/>
                  <w:shd w:val="clear" w:color="auto" w:fill="auto"/>
                  <w:vAlign w:val="center"/>
                </w:tcPr>
                <w:p w14:paraId="474A56D6">
                  <w:pPr>
                    <w:jc w:val="center"/>
                    <w:rPr>
                      <w:rFonts w:cstheme="minorHAnsi"/>
                      <w:sz w:val="18"/>
                      <w:szCs w:val="18"/>
                    </w:rPr>
                  </w:pPr>
                  <w:r>
                    <w:rPr>
                      <w:rFonts w:hint="eastAsia" w:cstheme="minorHAnsi"/>
                      <w:sz w:val="18"/>
                      <w:szCs w:val="18"/>
                    </w:rPr>
                    <w:t>HW08</w:t>
                  </w:r>
                </w:p>
              </w:tc>
              <w:tc>
                <w:tcPr>
                  <w:tcW w:w="472" w:type="pct"/>
                  <w:shd w:val="clear" w:color="auto" w:fill="auto"/>
                  <w:vAlign w:val="center"/>
                </w:tcPr>
                <w:p w14:paraId="09F22B75">
                  <w:pPr>
                    <w:jc w:val="center"/>
                    <w:rPr>
                      <w:sz w:val="18"/>
                      <w:szCs w:val="18"/>
                    </w:rPr>
                  </w:pPr>
                  <w:r>
                    <w:rPr>
                      <w:sz w:val="18"/>
                      <w:szCs w:val="18"/>
                    </w:rPr>
                    <w:t>900-249-08</w:t>
                  </w:r>
                </w:p>
              </w:tc>
              <w:tc>
                <w:tcPr>
                  <w:tcW w:w="500" w:type="pct"/>
                  <w:shd w:val="clear" w:color="auto" w:fill="auto"/>
                  <w:vAlign w:val="center"/>
                </w:tcPr>
                <w:p w14:paraId="2A79E792">
                  <w:pPr>
                    <w:jc w:val="center"/>
                    <w:rPr>
                      <w:rFonts w:cstheme="minorHAnsi"/>
                      <w:sz w:val="18"/>
                      <w:szCs w:val="18"/>
                    </w:rPr>
                  </w:pPr>
                  <w:r>
                    <w:rPr>
                      <w:rFonts w:hint="eastAsia" w:cstheme="minorHAnsi"/>
                      <w:sz w:val="18"/>
                      <w:szCs w:val="18"/>
                    </w:rPr>
                    <w:t>0.1</w:t>
                  </w:r>
                </w:p>
              </w:tc>
              <w:tc>
                <w:tcPr>
                  <w:tcW w:w="569" w:type="pct"/>
                  <w:vAlign w:val="center"/>
                </w:tcPr>
                <w:p w14:paraId="21B58B22">
                  <w:pPr>
                    <w:jc w:val="center"/>
                    <w:rPr>
                      <w:sz w:val="18"/>
                      <w:szCs w:val="18"/>
                    </w:rPr>
                  </w:pPr>
                  <w:r>
                    <w:rPr>
                      <w:sz w:val="18"/>
                      <w:szCs w:val="18"/>
                    </w:rPr>
                    <w:t>设备保养</w:t>
                  </w:r>
                </w:p>
              </w:tc>
              <w:tc>
                <w:tcPr>
                  <w:tcW w:w="346" w:type="pct"/>
                  <w:vAlign w:val="center"/>
                </w:tcPr>
                <w:p w14:paraId="4CA74894">
                  <w:pPr>
                    <w:jc w:val="center"/>
                    <w:rPr>
                      <w:rFonts w:cstheme="minorHAnsi"/>
                      <w:sz w:val="18"/>
                      <w:szCs w:val="18"/>
                    </w:rPr>
                  </w:pPr>
                  <w:r>
                    <w:rPr>
                      <w:rFonts w:hint="eastAsia" w:cstheme="minorHAnsi"/>
                      <w:sz w:val="18"/>
                      <w:szCs w:val="18"/>
                    </w:rPr>
                    <w:t>液体、固体</w:t>
                  </w:r>
                </w:p>
              </w:tc>
              <w:tc>
                <w:tcPr>
                  <w:tcW w:w="385" w:type="pct"/>
                  <w:vAlign w:val="center"/>
                </w:tcPr>
                <w:p w14:paraId="48983C91">
                  <w:pPr>
                    <w:jc w:val="center"/>
                    <w:rPr>
                      <w:rFonts w:cstheme="minorHAnsi"/>
                      <w:sz w:val="18"/>
                      <w:szCs w:val="18"/>
                    </w:rPr>
                  </w:pPr>
                  <w:r>
                    <w:rPr>
                      <w:rFonts w:hint="eastAsia" w:cstheme="minorHAnsi"/>
                      <w:sz w:val="18"/>
                      <w:szCs w:val="18"/>
                    </w:rPr>
                    <w:t>矿物油</w:t>
                  </w:r>
                </w:p>
              </w:tc>
              <w:tc>
                <w:tcPr>
                  <w:tcW w:w="348" w:type="pct"/>
                  <w:vAlign w:val="center"/>
                </w:tcPr>
                <w:p w14:paraId="1358689C">
                  <w:pPr>
                    <w:jc w:val="center"/>
                    <w:rPr>
                      <w:rFonts w:cstheme="minorHAnsi"/>
                      <w:sz w:val="18"/>
                      <w:szCs w:val="18"/>
                    </w:rPr>
                  </w:pPr>
                  <w:r>
                    <w:rPr>
                      <w:rFonts w:hint="eastAsia" w:cstheme="minorHAnsi"/>
                      <w:sz w:val="18"/>
                      <w:szCs w:val="18"/>
                    </w:rPr>
                    <w:t>矿物油</w:t>
                  </w:r>
                </w:p>
              </w:tc>
              <w:tc>
                <w:tcPr>
                  <w:tcW w:w="346" w:type="pct"/>
                  <w:vAlign w:val="center"/>
                </w:tcPr>
                <w:p w14:paraId="41B1EBA8">
                  <w:pPr>
                    <w:jc w:val="center"/>
                    <w:rPr>
                      <w:rFonts w:cstheme="minorHAnsi"/>
                      <w:sz w:val="18"/>
                      <w:szCs w:val="18"/>
                    </w:rPr>
                  </w:pPr>
                  <w:r>
                    <w:rPr>
                      <w:rFonts w:hint="eastAsia" w:cstheme="minorHAnsi"/>
                      <w:sz w:val="18"/>
                      <w:szCs w:val="18"/>
                    </w:rPr>
                    <w:t>每月</w:t>
                  </w:r>
                </w:p>
              </w:tc>
              <w:tc>
                <w:tcPr>
                  <w:tcW w:w="348" w:type="pct"/>
                  <w:vAlign w:val="center"/>
                </w:tcPr>
                <w:p w14:paraId="61AA74B4">
                  <w:pPr>
                    <w:jc w:val="center"/>
                    <w:rPr>
                      <w:rFonts w:cstheme="minorHAnsi"/>
                      <w:sz w:val="18"/>
                      <w:szCs w:val="18"/>
                    </w:rPr>
                  </w:pPr>
                  <w:r>
                    <w:rPr>
                      <w:rFonts w:cstheme="minorHAnsi"/>
                      <w:sz w:val="18"/>
                      <w:szCs w:val="18"/>
                    </w:rPr>
                    <w:t>T</w:t>
                  </w:r>
                  <w:r>
                    <w:rPr>
                      <w:rFonts w:hint="eastAsia" w:cstheme="minorHAnsi"/>
                      <w:sz w:val="18"/>
                      <w:szCs w:val="18"/>
                    </w:rPr>
                    <w:t>,</w:t>
                  </w:r>
                  <w:r>
                    <w:rPr>
                      <w:rFonts w:cstheme="minorHAnsi"/>
                      <w:sz w:val="18"/>
                      <w:szCs w:val="18"/>
                    </w:rPr>
                    <w:t>I</w:t>
                  </w:r>
                </w:p>
              </w:tc>
              <w:tc>
                <w:tcPr>
                  <w:tcW w:w="591" w:type="pct"/>
                  <w:vMerge w:val="continue"/>
                  <w:shd w:val="clear" w:color="auto" w:fill="auto"/>
                  <w:vAlign w:val="center"/>
                </w:tcPr>
                <w:p w14:paraId="634C1413">
                  <w:pPr>
                    <w:jc w:val="center"/>
                    <w:rPr>
                      <w:rFonts w:cstheme="minorHAnsi"/>
                      <w:sz w:val="18"/>
                      <w:szCs w:val="18"/>
                    </w:rPr>
                  </w:pPr>
                </w:p>
              </w:tc>
            </w:tr>
            <w:tr w14:paraId="3E06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55EA791A">
                  <w:pPr>
                    <w:jc w:val="center"/>
                    <w:rPr>
                      <w:rFonts w:cs="Times New Roman"/>
                      <w:sz w:val="18"/>
                      <w:szCs w:val="18"/>
                    </w:rPr>
                  </w:pPr>
                  <w:r>
                    <w:rPr>
                      <w:rFonts w:cs="Times New Roman"/>
                      <w:sz w:val="18"/>
                      <w:szCs w:val="18"/>
                    </w:rPr>
                    <w:t>4</w:t>
                  </w:r>
                </w:p>
              </w:tc>
              <w:tc>
                <w:tcPr>
                  <w:tcW w:w="388" w:type="pct"/>
                  <w:shd w:val="clear" w:color="auto" w:fill="auto"/>
                  <w:vAlign w:val="center"/>
                </w:tcPr>
                <w:p w14:paraId="1F34C5F8">
                  <w:pPr>
                    <w:jc w:val="center"/>
                    <w:rPr>
                      <w:sz w:val="18"/>
                      <w:szCs w:val="18"/>
                    </w:rPr>
                  </w:pPr>
                  <w:r>
                    <w:rPr>
                      <w:rFonts w:hint="eastAsia"/>
                      <w:sz w:val="18"/>
                      <w:szCs w:val="18"/>
                    </w:rPr>
                    <w:t>废活性炭</w:t>
                  </w:r>
                </w:p>
              </w:tc>
              <w:tc>
                <w:tcPr>
                  <w:tcW w:w="457" w:type="pct"/>
                  <w:shd w:val="clear" w:color="auto" w:fill="auto"/>
                  <w:vAlign w:val="center"/>
                </w:tcPr>
                <w:p w14:paraId="469B87AC">
                  <w:pPr>
                    <w:jc w:val="center"/>
                    <w:rPr>
                      <w:sz w:val="18"/>
                      <w:szCs w:val="18"/>
                    </w:rPr>
                  </w:pPr>
                  <w:r>
                    <w:rPr>
                      <w:rFonts w:hint="eastAsia" w:cstheme="minorHAnsi"/>
                      <w:sz w:val="18"/>
                      <w:szCs w:val="18"/>
                    </w:rPr>
                    <w:t>HW49</w:t>
                  </w:r>
                </w:p>
              </w:tc>
              <w:tc>
                <w:tcPr>
                  <w:tcW w:w="472" w:type="pct"/>
                  <w:shd w:val="clear" w:color="auto" w:fill="auto"/>
                  <w:vAlign w:val="center"/>
                </w:tcPr>
                <w:p w14:paraId="57B09D63">
                  <w:pPr>
                    <w:jc w:val="center"/>
                    <w:rPr>
                      <w:sz w:val="18"/>
                      <w:szCs w:val="18"/>
                    </w:rPr>
                  </w:pPr>
                  <w:r>
                    <w:rPr>
                      <w:sz w:val="18"/>
                      <w:szCs w:val="18"/>
                    </w:rPr>
                    <w:t>900-039-49</w:t>
                  </w:r>
                </w:p>
              </w:tc>
              <w:tc>
                <w:tcPr>
                  <w:tcW w:w="500" w:type="pct"/>
                  <w:shd w:val="clear" w:color="auto" w:fill="auto"/>
                  <w:vAlign w:val="center"/>
                </w:tcPr>
                <w:p w14:paraId="2D92B8E1">
                  <w:pPr>
                    <w:jc w:val="center"/>
                    <w:rPr>
                      <w:rFonts w:cstheme="minorHAnsi"/>
                      <w:sz w:val="18"/>
                      <w:szCs w:val="18"/>
                    </w:rPr>
                  </w:pPr>
                  <w:r>
                    <w:rPr>
                      <w:rFonts w:hint="eastAsia" w:cstheme="minorHAnsi"/>
                      <w:sz w:val="18"/>
                      <w:szCs w:val="18"/>
                    </w:rPr>
                    <w:t>22.044</w:t>
                  </w:r>
                </w:p>
              </w:tc>
              <w:tc>
                <w:tcPr>
                  <w:tcW w:w="569" w:type="pct"/>
                  <w:vAlign w:val="center"/>
                </w:tcPr>
                <w:p w14:paraId="70CB6860">
                  <w:pPr>
                    <w:jc w:val="center"/>
                    <w:rPr>
                      <w:sz w:val="18"/>
                      <w:szCs w:val="18"/>
                    </w:rPr>
                  </w:pPr>
                  <w:r>
                    <w:rPr>
                      <w:rFonts w:hint="eastAsia"/>
                      <w:sz w:val="18"/>
                      <w:szCs w:val="18"/>
                    </w:rPr>
                    <w:t>废气处理</w:t>
                  </w:r>
                </w:p>
              </w:tc>
              <w:tc>
                <w:tcPr>
                  <w:tcW w:w="346" w:type="pct"/>
                  <w:vAlign w:val="center"/>
                </w:tcPr>
                <w:p w14:paraId="46702682">
                  <w:pPr>
                    <w:jc w:val="center"/>
                    <w:rPr>
                      <w:rFonts w:cstheme="minorHAnsi"/>
                      <w:sz w:val="18"/>
                      <w:szCs w:val="18"/>
                    </w:rPr>
                  </w:pPr>
                  <w:r>
                    <w:rPr>
                      <w:rFonts w:hint="eastAsia" w:cstheme="minorHAnsi"/>
                      <w:sz w:val="18"/>
                      <w:szCs w:val="18"/>
                    </w:rPr>
                    <w:t>液体</w:t>
                  </w:r>
                </w:p>
              </w:tc>
              <w:tc>
                <w:tcPr>
                  <w:tcW w:w="385" w:type="pct"/>
                  <w:vAlign w:val="center"/>
                </w:tcPr>
                <w:p w14:paraId="578217FA">
                  <w:pPr>
                    <w:jc w:val="center"/>
                    <w:rPr>
                      <w:rFonts w:cstheme="minorHAnsi"/>
                      <w:sz w:val="18"/>
                      <w:szCs w:val="18"/>
                    </w:rPr>
                  </w:pPr>
                  <w:r>
                    <w:rPr>
                      <w:rFonts w:hint="eastAsia" w:cstheme="minorHAnsi"/>
                      <w:sz w:val="18"/>
                      <w:szCs w:val="18"/>
                    </w:rPr>
                    <w:t>有机废气</w:t>
                  </w:r>
                </w:p>
              </w:tc>
              <w:tc>
                <w:tcPr>
                  <w:tcW w:w="348" w:type="pct"/>
                  <w:vAlign w:val="center"/>
                </w:tcPr>
                <w:p w14:paraId="34DEA7FD">
                  <w:pPr>
                    <w:jc w:val="center"/>
                    <w:rPr>
                      <w:rFonts w:cstheme="minorHAnsi"/>
                      <w:sz w:val="18"/>
                      <w:szCs w:val="18"/>
                    </w:rPr>
                  </w:pPr>
                  <w:r>
                    <w:rPr>
                      <w:rFonts w:hint="eastAsia" w:cstheme="minorHAnsi"/>
                      <w:sz w:val="18"/>
                      <w:szCs w:val="18"/>
                    </w:rPr>
                    <w:t>有机废气</w:t>
                  </w:r>
                </w:p>
              </w:tc>
              <w:tc>
                <w:tcPr>
                  <w:tcW w:w="346" w:type="pct"/>
                  <w:vAlign w:val="center"/>
                </w:tcPr>
                <w:p w14:paraId="5CDF6A67">
                  <w:pPr>
                    <w:jc w:val="center"/>
                    <w:rPr>
                      <w:rFonts w:cstheme="minorHAnsi"/>
                      <w:sz w:val="18"/>
                      <w:szCs w:val="18"/>
                    </w:rPr>
                  </w:pPr>
                  <w:r>
                    <w:rPr>
                      <w:rFonts w:hint="eastAsia" w:cstheme="minorHAnsi"/>
                      <w:sz w:val="18"/>
                      <w:szCs w:val="18"/>
                    </w:rPr>
                    <w:t>每三个月</w:t>
                  </w:r>
                </w:p>
              </w:tc>
              <w:tc>
                <w:tcPr>
                  <w:tcW w:w="348" w:type="pct"/>
                  <w:vAlign w:val="center"/>
                </w:tcPr>
                <w:p w14:paraId="0201D4ED">
                  <w:pPr>
                    <w:jc w:val="center"/>
                    <w:rPr>
                      <w:rFonts w:cstheme="minorHAnsi"/>
                      <w:sz w:val="18"/>
                      <w:szCs w:val="18"/>
                    </w:rPr>
                  </w:pPr>
                  <w:r>
                    <w:rPr>
                      <w:rFonts w:cstheme="minorHAnsi"/>
                      <w:sz w:val="18"/>
                      <w:szCs w:val="18"/>
                    </w:rPr>
                    <w:t>T</w:t>
                  </w:r>
                </w:p>
              </w:tc>
              <w:tc>
                <w:tcPr>
                  <w:tcW w:w="591" w:type="pct"/>
                  <w:vMerge w:val="continue"/>
                  <w:shd w:val="clear" w:color="auto" w:fill="auto"/>
                  <w:vAlign w:val="center"/>
                </w:tcPr>
                <w:p w14:paraId="1B5243F8">
                  <w:pPr>
                    <w:jc w:val="center"/>
                    <w:rPr>
                      <w:rFonts w:cstheme="minorHAnsi"/>
                      <w:sz w:val="18"/>
                      <w:szCs w:val="18"/>
                    </w:rPr>
                  </w:pPr>
                </w:p>
              </w:tc>
            </w:tr>
            <w:tr w14:paraId="443D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 w:type="pct"/>
                  <w:vAlign w:val="center"/>
                </w:tcPr>
                <w:p w14:paraId="66A72B6B">
                  <w:pPr>
                    <w:jc w:val="center"/>
                    <w:rPr>
                      <w:rFonts w:cs="Times New Roman"/>
                      <w:sz w:val="18"/>
                      <w:szCs w:val="18"/>
                    </w:rPr>
                  </w:pPr>
                  <w:r>
                    <w:rPr>
                      <w:rFonts w:hint="eastAsia" w:cs="Times New Roman"/>
                      <w:sz w:val="18"/>
                      <w:szCs w:val="18"/>
                    </w:rPr>
                    <w:t>5</w:t>
                  </w:r>
                </w:p>
              </w:tc>
              <w:tc>
                <w:tcPr>
                  <w:tcW w:w="388" w:type="pct"/>
                  <w:shd w:val="clear" w:color="auto" w:fill="auto"/>
                  <w:vAlign w:val="center"/>
                </w:tcPr>
                <w:p w14:paraId="36399857">
                  <w:pPr>
                    <w:jc w:val="center"/>
                    <w:rPr>
                      <w:sz w:val="18"/>
                      <w:szCs w:val="18"/>
                    </w:rPr>
                  </w:pPr>
                  <w:r>
                    <w:rPr>
                      <w:rFonts w:hint="eastAsia"/>
                      <w:sz w:val="18"/>
                      <w:szCs w:val="18"/>
                    </w:rPr>
                    <w:t>废弃劳保用品</w:t>
                  </w:r>
                </w:p>
              </w:tc>
              <w:tc>
                <w:tcPr>
                  <w:tcW w:w="457" w:type="pct"/>
                  <w:shd w:val="clear" w:color="auto" w:fill="auto"/>
                  <w:vAlign w:val="center"/>
                </w:tcPr>
                <w:p w14:paraId="5A960DBB">
                  <w:pPr>
                    <w:jc w:val="center"/>
                    <w:rPr>
                      <w:sz w:val="18"/>
                      <w:szCs w:val="18"/>
                    </w:rPr>
                  </w:pPr>
                  <w:r>
                    <w:rPr>
                      <w:sz w:val="18"/>
                      <w:szCs w:val="18"/>
                    </w:rPr>
                    <w:t>HW49</w:t>
                  </w:r>
                </w:p>
              </w:tc>
              <w:tc>
                <w:tcPr>
                  <w:tcW w:w="472" w:type="pct"/>
                  <w:shd w:val="clear" w:color="auto" w:fill="auto"/>
                  <w:vAlign w:val="center"/>
                </w:tcPr>
                <w:p w14:paraId="4999ADC1">
                  <w:pPr>
                    <w:jc w:val="center"/>
                    <w:rPr>
                      <w:sz w:val="18"/>
                      <w:szCs w:val="18"/>
                    </w:rPr>
                  </w:pPr>
                  <w:r>
                    <w:rPr>
                      <w:sz w:val="18"/>
                      <w:szCs w:val="18"/>
                    </w:rPr>
                    <w:t>900-041-49</w:t>
                  </w:r>
                </w:p>
              </w:tc>
              <w:tc>
                <w:tcPr>
                  <w:tcW w:w="500" w:type="pct"/>
                  <w:shd w:val="clear" w:color="auto" w:fill="auto"/>
                  <w:vAlign w:val="center"/>
                </w:tcPr>
                <w:p w14:paraId="27AB9164">
                  <w:pPr>
                    <w:jc w:val="center"/>
                    <w:rPr>
                      <w:rFonts w:cstheme="minorHAnsi"/>
                      <w:sz w:val="18"/>
                      <w:szCs w:val="18"/>
                    </w:rPr>
                  </w:pPr>
                  <w:r>
                    <w:rPr>
                      <w:rFonts w:hint="eastAsia" w:cstheme="minorHAnsi"/>
                      <w:sz w:val="18"/>
                      <w:szCs w:val="18"/>
                    </w:rPr>
                    <w:t>0.01</w:t>
                  </w:r>
                </w:p>
              </w:tc>
              <w:tc>
                <w:tcPr>
                  <w:tcW w:w="569" w:type="pct"/>
                  <w:vAlign w:val="center"/>
                </w:tcPr>
                <w:p w14:paraId="7BF57FB8">
                  <w:pPr>
                    <w:jc w:val="center"/>
                    <w:rPr>
                      <w:sz w:val="18"/>
                      <w:szCs w:val="18"/>
                    </w:rPr>
                  </w:pPr>
                  <w:r>
                    <w:rPr>
                      <w:rFonts w:hint="eastAsia"/>
                      <w:sz w:val="18"/>
                      <w:szCs w:val="18"/>
                    </w:rPr>
                    <w:t>丝印/热转印、设备保养</w:t>
                  </w:r>
                </w:p>
              </w:tc>
              <w:tc>
                <w:tcPr>
                  <w:tcW w:w="346" w:type="pct"/>
                  <w:vAlign w:val="center"/>
                </w:tcPr>
                <w:p w14:paraId="1431A03F">
                  <w:pPr>
                    <w:jc w:val="center"/>
                    <w:rPr>
                      <w:rFonts w:cstheme="minorHAnsi"/>
                      <w:sz w:val="18"/>
                      <w:szCs w:val="18"/>
                    </w:rPr>
                  </w:pPr>
                  <w:r>
                    <w:rPr>
                      <w:rFonts w:hint="eastAsia" w:cstheme="minorHAnsi"/>
                      <w:sz w:val="18"/>
                      <w:szCs w:val="18"/>
                    </w:rPr>
                    <w:t>固体</w:t>
                  </w:r>
                </w:p>
              </w:tc>
              <w:tc>
                <w:tcPr>
                  <w:tcW w:w="385" w:type="pct"/>
                  <w:vAlign w:val="center"/>
                </w:tcPr>
                <w:p w14:paraId="4EDD41AA">
                  <w:pPr>
                    <w:jc w:val="center"/>
                    <w:rPr>
                      <w:rFonts w:cstheme="minorHAnsi"/>
                      <w:sz w:val="18"/>
                      <w:szCs w:val="18"/>
                    </w:rPr>
                  </w:pPr>
                  <w:r>
                    <w:rPr>
                      <w:rFonts w:hint="eastAsia" w:cstheme="minorHAnsi"/>
                      <w:sz w:val="18"/>
                      <w:szCs w:val="18"/>
                    </w:rPr>
                    <w:t>油墨、矿物油</w:t>
                  </w:r>
                </w:p>
              </w:tc>
              <w:tc>
                <w:tcPr>
                  <w:tcW w:w="348" w:type="pct"/>
                  <w:vAlign w:val="center"/>
                </w:tcPr>
                <w:p w14:paraId="192CFA1E">
                  <w:pPr>
                    <w:jc w:val="center"/>
                    <w:rPr>
                      <w:rFonts w:cstheme="minorHAnsi"/>
                      <w:sz w:val="18"/>
                      <w:szCs w:val="18"/>
                    </w:rPr>
                  </w:pPr>
                  <w:r>
                    <w:rPr>
                      <w:rFonts w:hint="eastAsia" w:cstheme="minorHAnsi"/>
                      <w:sz w:val="18"/>
                      <w:szCs w:val="18"/>
                    </w:rPr>
                    <w:t>油墨、矿物油</w:t>
                  </w:r>
                </w:p>
              </w:tc>
              <w:tc>
                <w:tcPr>
                  <w:tcW w:w="346" w:type="pct"/>
                  <w:vAlign w:val="center"/>
                </w:tcPr>
                <w:p w14:paraId="6D83FED4">
                  <w:pPr>
                    <w:jc w:val="center"/>
                    <w:rPr>
                      <w:rFonts w:cstheme="minorHAnsi"/>
                      <w:sz w:val="18"/>
                      <w:szCs w:val="18"/>
                    </w:rPr>
                  </w:pPr>
                  <w:r>
                    <w:rPr>
                      <w:rFonts w:hint="eastAsia" w:cstheme="minorHAnsi"/>
                      <w:sz w:val="18"/>
                      <w:szCs w:val="18"/>
                    </w:rPr>
                    <w:t>每月</w:t>
                  </w:r>
                </w:p>
              </w:tc>
              <w:tc>
                <w:tcPr>
                  <w:tcW w:w="348" w:type="pct"/>
                  <w:vAlign w:val="center"/>
                </w:tcPr>
                <w:p w14:paraId="7BD3F21D">
                  <w:pPr>
                    <w:jc w:val="center"/>
                    <w:rPr>
                      <w:rFonts w:cstheme="minorHAnsi"/>
                      <w:sz w:val="18"/>
                      <w:szCs w:val="18"/>
                    </w:rPr>
                  </w:pPr>
                  <w:r>
                    <w:rPr>
                      <w:rFonts w:hint="eastAsia" w:cstheme="minorHAnsi"/>
                      <w:sz w:val="18"/>
                      <w:szCs w:val="18"/>
                    </w:rPr>
                    <w:t>T</w:t>
                  </w:r>
                </w:p>
              </w:tc>
              <w:tc>
                <w:tcPr>
                  <w:tcW w:w="591" w:type="pct"/>
                  <w:vMerge w:val="continue"/>
                  <w:shd w:val="clear" w:color="auto" w:fill="auto"/>
                  <w:vAlign w:val="center"/>
                </w:tcPr>
                <w:p w14:paraId="0CFC4058">
                  <w:pPr>
                    <w:jc w:val="center"/>
                    <w:rPr>
                      <w:rFonts w:cstheme="minorHAnsi"/>
                      <w:sz w:val="18"/>
                      <w:szCs w:val="18"/>
                    </w:rPr>
                  </w:pPr>
                </w:p>
              </w:tc>
            </w:tr>
          </w:tbl>
          <w:p w14:paraId="0FDC450D">
            <w:pPr>
              <w:spacing w:line="360" w:lineRule="auto"/>
              <w:ind w:firstLine="361" w:firstLineChars="150"/>
              <w:rPr>
                <w:b/>
                <w:sz w:val="24"/>
                <w:szCs w:val="24"/>
              </w:rPr>
            </w:pPr>
            <w:r>
              <w:rPr>
                <w:rFonts w:hint="eastAsia"/>
                <w:b/>
                <w:sz w:val="24"/>
                <w:szCs w:val="24"/>
              </w:rPr>
              <w:t>（</w:t>
            </w:r>
            <w:r>
              <w:rPr>
                <w:b/>
                <w:sz w:val="24"/>
                <w:szCs w:val="24"/>
              </w:rPr>
              <w:t>3</w:t>
            </w:r>
            <w:r>
              <w:rPr>
                <w:rFonts w:hint="eastAsia"/>
                <w:b/>
                <w:sz w:val="24"/>
                <w:szCs w:val="24"/>
              </w:rPr>
              <w:t>）环境管理要求</w:t>
            </w:r>
          </w:p>
          <w:p w14:paraId="1051CC7B">
            <w:pPr>
              <w:spacing w:line="360" w:lineRule="auto"/>
              <w:ind w:firstLine="482" w:firstLineChars="200"/>
              <w:rPr>
                <w:b/>
                <w:sz w:val="24"/>
                <w:szCs w:val="24"/>
              </w:rPr>
            </w:pPr>
            <w:r>
              <w:rPr>
                <w:rFonts w:hint="eastAsia"/>
                <w:b/>
                <w:sz w:val="24"/>
                <w:szCs w:val="24"/>
              </w:rPr>
              <w:t>①贮存要求</w:t>
            </w:r>
          </w:p>
          <w:p w14:paraId="2D1E4C79">
            <w:pPr>
              <w:spacing w:line="360" w:lineRule="auto"/>
              <w:ind w:firstLine="480" w:firstLineChars="200"/>
              <w:rPr>
                <w:rFonts w:cs="Times New Roman"/>
                <w:bCs/>
                <w:sz w:val="24"/>
                <w:szCs w:val="24"/>
              </w:rPr>
            </w:pPr>
            <w:r>
              <w:rPr>
                <w:rFonts w:cs="Times New Roman"/>
                <w:bCs/>
                <w:sz w:val="24"/>
                <w:szCs w:val="24"/>
              </w:rPr>
              <w:t>危废暂存间应按照《危险废物识别标志设置技术规范》（HJ 1276-2022）和《环境保护图形标志——固体废物贮存（处置）场》（GB15562.2-1995）及其修改单设置警示标识，由专人负责管理。危险废物贮存必须严格按照《危险废物贮存污染控制标准》（GB18597-2023）的要求执行：</w:t>
            </w:r>
          </w:p>
          <w:p w14:paraId="7E6883DD">
            <w:pPr>
              <w:spacing w:line="360" w:lineRule="auto"/>
              <w:ind w:firstLine="482" w:firstLineChars="200"/>
              <w:rPr>
                <w:b/>
                <w:sz w:val="24"/>
                <w:szCs w:val="24"/>
              </w:rPr>
            </w:pPr>
            <w:r>
              <w:rPr>
                <w:rFonts w:hint="eastAsia"/>
                <w:b/>
                <w:sz w:val="24"/>
                <w:szCs w:val="24"/>
              </w:rPr>
              <w:t>1）贮存设施污染控制要求</w:t>
            </w:r>
          </w:p>
          <w:p w14:paraId="0A97A12F">
            <w:pPr>
              <w:spacing w:line="360" w:lineRule="auto"/>
              <w:ind w:firstLine="480" w:firstLineChars="200"/>
              <w:rPr>
                <w:bCs/>
                <w:sz w:val="24"/>
                <w:szCs w:val="24"/>
              </w:rPr>
            </w:pPr>
            <w:r>
              <w:rPr>
                <w:rFonts w:hint="eastAsia"/>
                <w:bCs/>
                <w:sz w:val="24"/>
                <w:szCs w:val="24"/>
              </w:rPr>
              <w:t>a</w:t>
            </w:r>
            <w:r>
              <w:rPr>
                <w:bCs/>
                <w:sz w:val="24"/>
                <w:szCs w:val="24"/>
              </w:rPr>
              <w:t>.</w:t>
            </w:r>
            <w:r>
              <w:rPr>
                <w:rFonts w:hint="eastAsia"/>
                <w:bCs/>
                <w:sz w:val="24"/>
                <w:szCs w:val="24"/>
              </w:rPr>
              <w:t>贮存设施应根据危险废物的形态、物理化学性质、包装形式和污染物迁移途径，采取必要的防风、防晒、防雨、防漏、防渗、防腐以及其他环境污染防治措施，不应露天堆放危险废物。</w:t>
            </w:r>
          </w:p>
          <w:p w14:paraId="760F5120">
            <w:pPr>
              <w:spacing w:line="360" w:lineRule="auto"/>
              <w:ind w:firstLine="480" w:firstLineChars="200"/>
              <w:rPr>
                <w:bCs/>
                <w:sz w:val="24"/>
                <w:szCs w:val="24"/>
              </w:rPr>
            </w:pPr>
            <w:r>
              <w:rPr>
                <w:rFonts w:hint="eastAsia"/>
                <w:bCs/>
                <w:sz w:val="24"/>
                <w:szCs w:val="24"/>
              </w:rPr>
              <w:t>b</w:t>
            </w:r>
            <w:r>
              <w:rPr>
                <w:bCs/>
                <w:sz w:val="24"/>
                <w:szCs w:val="24"/>
              </w:rPr>
              <w:t>.</w:t>
            </w:r>
            <w:r>
              <w:rPr>
                <w:rFonts w:hint="eastAsia"/>
                <w:bCs/>
                <w:sz w:val="24"/>
                <w:szCs w:val="24"/>
              </w:rPr>
              <w:t>贮存设施应根据危险废物的类别、数量、形态、物理化学性质和污染防治等要求设置必要的贮存分区，避免不相容的危险废物接触、混合。</w:t>
            </w:r>
          </w:p>
          <w:p w14:paraId="44A83CA6">
            <w:pPr>
              <w:spacing w:line="360" w:lineRule="auto"/>
              <w:ind w:firstLine="480" w:firstLineChars="200"/>
              <w:rPr>
                <w:bCs/>
                <w:sz w:val="24"/>
                <w:szCs w:val="24"/>
              </w:rPr>
            </w:pPr>
            <w:r>
              <w:rPr>
                <w:rFonts w:hint="eastAsia"/>
                <w:bCs/>
                <w:sz w:val="24"/>
                <w:szCs w:val="24"/>
              </w:rPr>
              <w:t>c</w:t>
            </w:r>
            <w:r>
              <w:rPr>
                <w:bCs/>
                <w:sz w:val="24"/>
                <w:szCs w:val="24"/>
              </w:rPr>
              <w:t>.</w:t>
            </w:r>
            <w:r>
              <w:rPr>
                <w:rFonts w:hint="eastAsia"/>
                <w:bCs/>
                <w:sz w:val="24"/>
                <w:szCs w:val="24"/>
              </w:rPr>
              <w:t>贮存设施或贮存分区内地面、墙面裙脚、堵截泄漏的围堰、接触危险废物的隔板和墙体等应采用坚固的材料建造，表面无裂缝。</w:t>
            </w:r>
          </w:p>
          <w:p w14:paraId="052B883F">
            <w:pPr>
              <w:spacing w:line="360" w:lineRule="auto"/>
              <w:ind w:firstLine="480" w:firstLineChars="200"/>
              <w:rPr>
                <w:bCs/>
                <w:sz w:val="24"/>
                <w:szCs w:val="24"/>
              </w:rPr>
            </w:pPr>
            <w:r>
              <w:rPr>
                <w:rFonts w:hint="eastAsia"/>
                <w:bCs/>
                <w:sz w:val="24"/>
                <w:szCs w:val="24"/>
              </w:rPr>
              <w:t>f</w:t>
            </w:r>
            <w:r>
              <w:rPr>
                <w:bCs/>
                <w:sz w:val="24"/>
                <w:szCs w:val="24"/>
              </w:rPr>
              <w:t>.</w:t>
            </w:r>
            <w:r>
              <w:rPr>
                <w:rFonts w:hint="eastAsia"/>
                <w:bCs/>
                <w:sz w:val="24"/>
                <w:szCs w:val="24"/>
              </w:rPr>
              <w:t>贮存设施地面与裙脚应采取表面防渗措施；表面防渗材料应与所接触的物料或污染物相容，可采用抗渗混凝土、高密度聚乙烯膜、钠基膨润土防水毯或其他防渗性能等效的材料。</w:t>
            </w:r>
          </w:p>
          <w:p w14:paraId="7216877D">
            <w:pPr>
              <w:spacing w:line="360" w:lineRule="auto"/>
              <w:ind w:firstLine="480" w:firstLineChars="200"/>
              <w:rPr>
                <w:bCs/>
                <w:sz w:val="24"/>
                <w:szCs w:val="24"/>
              </w:rPr>
            </w:pPr>
            <w:r>
              <w:rPr>
                <w:rFonts w:hint="eastAsia"/>
                <w:bCs/>
                <w:sz w:val="24"/>
                <w:szCs w:val="24"/>
              </w:rPr>
              <w:t>e</w:t>
            </w:r>
            <w:r>
              <w:rPr>
                <w:bCs/>
                <w:sz w:val="24"/>
                <w:szCs w:val="24"/>
              </w:rPr>
              <w:t>.</w:t>
            </w:r>
            <w:r>
              <w:rPr>
                <w:rFonts w:hint="eastAsia"/>
                <w:bCs/>
                <w:sz w:val="24"/>
                <w:szCs w:val="24"/>
              </w:rPr>
              <w:t>同一贮存设施宜采用相同的防渗、防腐工艺（包括防渗、防腐结构或材料），防渗、防腐材料应覆盖所有可能与废物及其渗滤液、渗漏液等接触的构筑物表面；采用不同防渗、防腐工艺应分别建设贮存分区。</w:t>
            </w:r>
          </w:p>
          <w:p w14:paraId="6558C5DC">
            <w:pPr>
              <w:spacing w:line="360" w:lineRule="auto"/>
              <w:ind w:firstLine="480" w:firstLineChars="200"/>
              <w:rPr>
                <w:bCs/>
                <w:sz w:val="24"/>
                <w:szCs w:val="24"/>
              </w:rPr>
            </w:pPr>
            <w:r>
              <w:rPr>
                <w:rFonts w:hint="eastAsia"/>
                <w:bCs/>
                <w:sz w:val="24"/>
                <w:szCs w:val="24"/>
              </w:rPr>
              <w:t>f</w:t>
            </w:r>
            <w:r>
              <w:rPr>
                <w:bCs/>
                <w:sz w:val="24"/>
                <w:szCs w:val="24"/>
              </w:rPr>
              <w:t>.</w:t>
            </w:r>
            <w:r>
              <w:rPr>
                <w:rFonts w:hint="eastAsia"/>
                <w:bCs/>
                <w:sz w:val="24"/>
                <w:szCs w:val="24"/>
              </w:rPr>
              <w:t>贮存设施应采取技术和管理措施防止无关人员进入。</w:t>
            </w:r>
          </w:p>
          <w:p w14:paraId="19AB8814">
            <w:pPr>
              <w:spacing w:line="360" w:lineRule="auto"/>
              <w:ind w:firstLine="482" w:firstLineChars="200"/>
              <w:rPr>
                <w:b/>
                <w:sz w:val="24"/>
                <w:szCs w:val="24"/>
              </w:rPr>
            </w:pPr>
            <w:r>
              <w:rPr>
                <w:rFonts w:hint="eastAsia"/>
                <w:b/>
                <w:sz w:val="24"/>
                <w:szCs w:val="24"/>
              </w:rPr>
              <w:t>2）容器和包装物污染控制要求</w:t>
            </w:r>
          </w:p>
          <w:p w14:paraId="6490241B">
            <w:pPr>
              <w:spacing w:line="360" w:lineRule="auto"/>
              <w:ind w:firstLine="480" w:firstLineChars="200"/>
              <w:rPr>
                <w:bCs/>
                <w:sz w:val="24"/>
                <w:szCs w:val="24"/>
              </w:rPr>
            </w:pPr>
            <w:r>
              <w:rPr>
                <w:rFonts w:hint="eastAsia"/>
                <w:bCs/>
                <w:sz w:val="24"/>
                <w:szCs w:val="24"/>
              </w:rPr>
              <w:t>a</w:t>
            </w:r>
            <w:r>
              <w:rPr>
                <w:bCs/>
                <w:sz w:val="24"/>
                <w:szCs w:val="24"/>
              </w:rPr>
              <w:t>.</w:t>
            </w:r>
            <w:r>
              <w:rPr>
                <w:rFonts w:hint="eastAsia"/>
                <w:bCs/>
                <w:sz w:val="24"/>
                <w:szCs w:val="24"/>
              </w:rPr>
              <w:t>容器和包装物材质、内衬应与盛装的危险废物相容。</w:t>
            </w:r>
          </w:p>
          <w:p w14:paraId="08C60C89">
            <w:pPr>
              <w:spacing w:line="360" w:lineRule="auto"/>
              <w:ind w:firstLine="480" w:firstLineChars="200"/>
              <w:rPr>
                <w:bCs/>
                <w:sz w:val="24"/>
                <w:szCs w:val="24"/>
              </w:rPr>
            </w:pPr>
            <w:r>
              <w:rPr>
                <w:rFonts w:hint="eastAsia"/>
                <w:bCs/>
                <w:sz w:val="24"/>
                <w:szCs w:val="24"/>
              </w:rPr>
              <w:t>b</w:t>
            </w:r>
            <w:r>
              <w:rPr>
                <w:bCs/>
                <w:sz w:val="24"/>
                <w:szCs w:val="24"/>
              </w:rPr>
              <w:t>.</w:t>
            </w:r>
            <w:r>
              <w:rPr>
                <w:rFonts w:hint="eastAsia"/>
                <w:bCs/>
                <w:sz w:val="24"/>
                <w:szCs w:val="24"/>
              </w:rPr>
              <w:t>针对不同类别、形态、物理化学性质的危险废物，其容器和包装物应满足相应的防渗、防漏、防腐和强度等要求。</w:t>
            </w:r>
          </w:p>
          <w:p w14:paraId="30DB8663">
            <w:pPr>
              <w:spacing w:line="360" w:lineRule="auto"/>
              <w:ind w:firstLine="480" w:firstLineChars="200"/>
              <w:rPr>
                <w:bCs/>
                <w:sz w:val="24"/>
                <w:szCs w:val="24"/>
              </w:rPr>
            </w:pPr>
            <w:r>
              <w:rPr>
                <w:rFonts w:hint="eastAsia"/>
                <w:bCs/>
                <w:sz w:val="24"/>
                <w:szCs w:val="24"/>
              </w:rPr>
              <w:t>c</w:t>
            </w:r>
            <w:r>
              <w:rPr>
                <w:bCs/>
                <w:sz w:val="24"/>
                <w:szCs w:val="24"/>
              </w:rPr>
              <w:t>.</w:t>
            </w:r>
            <w:r>
              <w:rPr>
                <w:rFonts w:hint="eastAsia"/>
                <w:bCs/>
                <w:sz w:val="24"/>
                <w:szCs w:val="24"/>
              </w:rPr>
              <w:t>硬质容器和包装物及其支护结构堆叠码放时不应有明显变形，无破损泄漏。</w:t>
            </w:r>
          </w:p>
          <w:p w14:paraId="70BF5AA7">
            <w:pPr>
              <w:spacing w:line="360" w:lineRule="auto"/>
              <w:ind w:firstLine="480" w:firstLineChars="200"/>
              <w:rPr>
                <w:bCs/>
                <w:sz w:val="24"/>
                <w:szCs w:val="24"/>
              </w:rPr>
            </w:pPr>
            <w:r>
              <w:rPr>
                <w:rFonts w:hint="eastAsia"/>
                <w:bCs/>
                <w:sz w:val="24"/>
                <w:szCs w:val="24"/>
              </w:rPr>
              <w:t>d</w:t>
            </w:r>
            <w:r>
              <w:rPr>
                <w:bCs/>
                <w:sz w:val="24"/>
                <w:szCs w:val="24"/>
              </w:rPr>
              <w:t>.</w:t>
            </w:r>
            <w:r>
              <w:rPr>
                <w:rFonts w:hint="eastAsia"/>
                <w:bCs/>
                <w:sz w:val="24"/>
                <w:szCs w:val="24"/>
              </w:rPr>
              <w:t>柔性容器和包装物堆叠码放时应封口严密，无破损泄漏。</w:t>
            </w:r>
          </w:p>
          <w:p w14:paraId="7805BEF0">
            <w:pPr>
              <w:spacing w:line="360" w:lineRule="auto"/>
              <w:ind w:firstLine="480" w:firstLineChars="200"/>
              <w:rPr>
                <w:bCs/>
                <w:sz w:val="24"/>
                <w:szCs w:val="24"/>
              </w:rPr>
            </w:pPr>
            <w:r>
              <w:rPr>
                <w:rFonts w:hint="eastAsia"/>
                <w:bCs/>
                <w:sz w:val="24"/>
                <w:szCs w:val="24"/>
              </w:rPr>
              <w:t>e</w:t>
            </w:r>
            <w:r>
              <w:rPr>
                <w:bCs/>
                <w:sz w:val="24"/>
                <w:szCs w:val="24"/>
              </w:rPr>
              <w:t>.</w:t>
            </w:r>
            <w:r>
              <w:rPr>
                <w:rFonts w:hint="eastAsia"/>
                <w:bCs/>
                <w:sz w:val="24"/>
                <w:szCs w:val="24"/>
              </w:rPr>
              <w:t>使用容器盛装液态、半固态危险废物时，容器内部应留有适当的空间，以适应因温度变化等可能引发的收缩和膨胀，防止其导致容器渗漏或永久变形。</w:t>
            </w:r>
          </w:p>
          <w:p w14:paraId="0F7AEA36">
            <w:pPr>
              <w:spacing w:line="360" w:lineRule="auto"/>
              <w:ind w:firstLine="480" w:firstLineChars="200"/>
              <w:rPr>
                <w:bCs/>
                <w:sz w:val="24"/>
                <w:szCs w:val="24"/>
              </w:rPr>
            </w:pPr>
            <w:r>
              <w:rPr>
                <w:rFonts w:hint="eastAsia"/>
                <w:bCs/>
                <w:sz w:val="24"/>
                <w:szCs w:val="24"/>
              </w:rPr>
              <w:t>f</w:t>
            </w:r>
            <w:r>
              <w:rPr>
                <w:bCs/>
                <w:sz w:val="24"/>
                <w:szCs w:val="24"/>
              </w:rPr>
              <w:t>.</w:t>
            </w:r>
            <w:r>
              <w:rPr>
                <w:rFonts w:hint="eastAsia"/>
                <w:bCs/>
                <w:sz w:val="24"/>
                <w:szCs w:val="24"/>
              </w:rPr>
              <w:t>容器和包装物外表面应保持清洁。</w:t>
            </w:r>
          </w:p>
          <w:p w14:paraId="7977D82E">
            <w:pPr>
              <w:spacing w:line="360" w:lineRule="auto"/>
              <w:ind w:firstLine="482" w:firstLineChars="200"/>
              <w:rPr>
                <w:b/>
                <w:sz w:val="24"/>
                <w:szCs w:val="24"/>
              </w:rPr>
            </w:pPr>
            <w:r>
              <w:rPr>
                <w:rFonts w:hint="eastAsia"/>
                <w:b/>
                <w:sz w:val="24"/>
                <w:szCs w:val="24"/>
              </w:rPr>
              <w:t>3）贮存设施运行环境管理要求</w:t>
            </w:r>
          </w:p>
          <w:p w14:paraId="05AD5041">
            <w:pPr>
              <w:spacing w:line="360" w:lineRule="auto"/>
              <w:ind w:firstLine="480" w:firstLineChars="200"/>
              <w:rPr>
                <w:bCs/>
                <w:sz w:val="24"/>
                <w:szCs w:val="24"/>
              </w:rPr>
            </w:pPr>
            <w:r>
              <w:rPr>
                <w:rFonts w:hint="eastAsia"/>
                <w:bCs/>
                <w:sz w:val="24"/>
                <w:szCs w:val="24"/>
              </w:rPr>
              <w:t>a</w:t>
            </w:r>
            <w:r>
              <w:rPr>
                <w:bCs/>
                <w:sz w:val="24"/>
                <w:szCs w:val="24"/>
              </w:rPr>
              <w:t>.</w:t>
            </w:r>
            <w:r>
              <w:rPr>
                <w:rFonts w:hint="eastAsia"/>
                <w:bCs/>
                <w:sz w:val="24"/>
                <w:szCs w:val="24"/>
              </w:rPr>
              <w:t>危险废物存入贮存设施前应对危险废物类别和特性与危险废物标签等危险废物识别标志的一致性进行核验，不一致的或类别、特性不明的不应存入。</w:t>
            </w:r>
          </w:p>
          <w:p w14:paraId="64EC84AF">
            <w:pPr>
              <w:spacing w:line="360" w:lineRule="auto"/>
              <w:ind w:firstLine="480" w:firstLineChars="200"/>
              <w:rPr>
                <w:bCs/>
                <w:sz w:val="24"/>
                <w:szCs w:val="24"/>
              </w:rPr>
            </w:pPr>
            <w:r>
              <w:rPr>
                <w:rFonts w:hint="eastAsia"/>
                <w:bCs/>
                <w:sz w:val="24"/>
                <w:szCs w:val="24"/>
              </w:rPr>
              <w:t>b</w:t>
            </w:r>
            <w:r>
              <w:rPr>
                <w:bCs/>
                <w:sz w:val="24"/>
                <w:szCs w:val="24"/>
              </w:rPr>
              <w:t>.</w:t>
            </w:r>
            <w:r>
              <w:rPr>
                <w:rFonts w:hint="eastAsia"/>
                <w:bCs/>
                <w:sz w:val="24"/>
                <w:szCs w:val="24"/>
              </w:rPr>
              <w:t>应定期检查危险废物的贮存状况，及时清理贮存设施地面，更换破损泄漏的危险废物贮存容器和包装物，保证堆存危险废物的防雨、防风、防扬尘等设施功能完好。</w:t>
            </w:r>
          </w:p>
          <w:p w14:paraId="60AB1AD1">
            <w:pPr>
              <w:spacing w:line="360" w:lineRule="auto"/>
              <w:ind w:firstLine="480" w:firstLineChars="200"/>
              <w:rPr>
                <w:bCs/>
                <w:sz w:val="24"/>
                <w:szCs w:val="24"/>
              </w:rPr>
            </w:pPr>
            <w:r>
              <w:rPr>
                <w:rFonts w:hint="eastAsia"/>
                <w:bCs/>
                <w:sz w:val="24"/>
                <w:szCs w:val="24"/>
              </w:rPr>
              <w:t>c</w:t>
            </w:r>
            <w:r>
              <w:rPr>
                <w:bCs/>
                <w:sz w:val="24"/>
                <w:szCs w:val="24"/>
              </w:rPr>
              <w:t>.</w:t>
            </w:r>
            <w:r>
              <w:rPr>
                <w:rFonts w:hint="eastAsia"/>
                <w:bCs/>
                <w:sz w:val="24"/>
                <w:szCs w:val="24"/>
              </w:rPr>
              <w:t>作业设备及车辆等结束作业离开贮存设施时，应对其残留的危险废物进行清理，清理的废物或清洗废水应收集处理。</w:t>
            </w:r>
          </w:p>
          <w:p w14:paraId="1F30BDB0">
            <w:pPr>
              <w:spacing w:line="360" w:lineRule="auto"/>
              <w:ind w:firstLine="480" w:firstLineChars="200"/>
              <w:rPr>
                <w:bCs/>
                <w:sz w:val="24"/>
                <w:szCs w:val="24"/>
              </w:rPr>
            </w:pPr>
            <w:r>
              <w:rPr>
                <w:rFonts w:hint="eastAsia"/>
                <w:bCs/>
                <w:sz w:val="24"/>
                <w:szCs w:val="24"/>
              </w:rPr>
              <w:t>d</w:t>
            </w:r>
            <w:r>
              <w:rPr>
                <w:bCs/>
                <w:sz w:val="24"/>
                <w:szCs w:val="24"/>
              </w:rPr>
              <w:t>.</w:t>
            </w:r>
            <w:r>
              <w:rPr>
                <w:rFonts w:hint="eastAsia"/>
                <w:bCs/>
                <w:sz w:val="24"/>
                <w:szCs w:val="24"/>
              </w:rPr>
              <w:t>贮存设施运行期间，应按国家有关标准和规定建立危险废物管理台账并保存。</w:t>
            </w:r>
          </w:p>
          <w:p w14:paraId="2BE9C2C9">
            <w:pPr>
              <w:spacing w:line="360" w:lineRule="auto"/>
              <w:ind w:firstLine="480" w:firstLineChars="200"/>
              <w:rPr>
                <w:bCs/>
                <w:sz w:val="24"/>
                <w:szCs w:val="24"/>
              </w:rPr>
            </w:pPr>
            <w:r>
              <w:rPr>
                <w:rFonts w:hint="eastAsia"/>
                <w:bCs/>
                <w:sz w:val="24"/>
                <w:szCs w:val="24"/>
              </w:rPr>
              <w:t>e</w:t>
            </w:r>
            <w:r>
              <w:rPr>
                <w:bCs/>
                <w:sz w:val="24"/>
                <w:szCs w:val="24"/>
              </w:rPr>
              <w:t>.</w:t>
            </w:r>
            <w:r>
              <w:rPr>
                <w:rFonts w:hint="eastAsia"/>
                <w:bCs/>
                <w:sz w:val="24"/>
                <w:szCs w:val="24"/>
              </w:rPr>
              <w:t>贮存设施所有者或运营者应建立贮存设施环境管理制度、管理人员岗位职责制度、设施运行操作制度、人员岗位培训制度等。</w:t>
            </w:r>
          </w:p>
          <w:p w14:paraId="41E25530">
            <w:pPr>
              <w:spacing w:line="360" w:lineRule="auto"/>
              <w:ind w:firstLine="480" w:firstLineChars="200"/>
              <w:rPr>
                <w:bCs/>
                <w:sz w:val="24"/>
                <w:szCs w:val="24"/>
              </w:rPr>
            </w:pPr>
            <w:r>
              <w:rPr>
                <w:rFonts w:hint="eastAsia"/>
                <w:bCs/>
                <w:sz w:val="24"/>
                <w:szCs w:val="24"/>
              </w:rPr>
              <w:t>f</w:t>
            </w:r>
            <w:r>
              <w:rPr>
                <w:bCs/>
                <w:sz w:val="24"/>
                <w:szCs w:val="24"/>
              </w:rPr>
              <w:t>.</w:t>
            </w:r>
            <w:r>
              <w:rPr>
                <w:rFonts w:hint="eastAsia"/>
                <w:bCs/>
                <w:sz w:val="24"/>
                <w:szCs w:val="24"/>
              </w:rPr>
              <w:t>贮存设施所有者或运营者应依据国家土壤和地下水污染防治的有关规定，结合贮存设施特点建立土壤和地下水污染隐患排查制度，并定期开展隐患排查；发现隐患应及时采取措施消除隐患，并建立档案。</w:t>
            </w:r>
          </w:p>
          <w:p w14:paraId="22EAE6CF">
            <w:pPr>
              <w:spacing w:line="360" w:lineRule="auto"/>
              <w:ind w:firstLine="480" w:firstLineChars="200"/>
              <w:rPr>
                <w:bCs/>
                <w:sz w:val="24"/>
                <w:szCs w:val="24"/>
              </w:rPr>
            </w:pPr>
            <w:r>
              <w:rPr>
                <w:rFonts w:hint="eastAsia"/>
                <w:bCs/>
                <w:sz w:val="24"/>
                <w:szCs w:val="24"/>
              </w:rPr>
              <w:t>g</w:t>
            </w:r>
            <w:r>
              <w:rPr>
                <w:bCs/>
                <w:sz w:val="24"/>
                <w:szCs w:val="24"/>
              </w:rPr>
              <w:t>.</w:t>
            </w:r>
            <w:r>
              <w:rPr>
                <w:rFonts w:hint="eastAsia"/>
                <w:bCs/>
                <w:sz w:val="24"/>
                <w:szCs w:val="24"/>
              </w:rPr>
              <w:t>贮存设施所有者或运营者应建立贮存设施全部档案，包括设计、施工、验收、运行、监测和环境应急等，应按国家有关档案管理的法律法规进行整理和归档。</w:t>
            </w:r>
          </w:p>
          <w:p w14:paraId="28A55AE8">
            <w:pPr>
              <w:spacing w:line="360" w:lineRule="auto"/>
              <w:ind w:firstLine="482" w:firstLineChars="200"/>
              <w:rPr>
                <w:b/>
                <w:sz w:val="24"/>
                <w:szCs w:val="24"/>
              </w:rPr>
            </w:pPr>
            <w:r>
              <w:rPr>
                <w:rFonts w:hint="eastAsia"/>
                <w:b/>
                <w:sz w:val="24"/>
                <w:szCs w:val="24"/>
              </w:rPr>
              <w:t>4）环境应急要求</w:t>
            </w:r>
          </w:p>
          <w:p w14:paraId="6A9D4999">
            <w:pPr>
              <w:spacing w:line="360" w:lineRule="auto"/>
              <w:ind w:firstLine="480" w:firstLineChars="200"/>
              <w:rPr>
                <w:bCs/>
                <w:sz w:val="24"/>
                <w:szCs w:val="24"/>
              </w:rPr>
            </w:pPr>
            <w:r>
              <w:rPr>
                <w:rFonts w:hint="eastAsia"/>
                <w:bCs/>
                <w:sz w:val="24"/>
                <w:szCs w:val="24"/>
              </w:rPr>
              <w:t>a</w:t>
            </w:r>
            <w:r>
              <w:rPr>
                <w:bCs/>
                <w:sz w:val="24"/>
                <w:szCs w:val="24"/>
              </w:rPr>
              <w:t>.</w:t>
            </w:r>
            <w:r>
              <w:rPr>
                <w:rFonts w:hint="eastAsia"/>
                <w:bCs/>
                <w:sz w:val="24"/>
                <w:szCs w:val="24"/>
              </w:rPr>
              <w:t>贮存设施所有者或运营者应按照国家有关规定编制突发环境事件应急预案，定期开展必要的培训和环境应急演练，并做好培训、演练记录。</w:t>
            </w:r>
          </w:p>
          <w:p w14:paraId="2F1D7230">
            <w:pPr>
              <w:spacing w:line="360" w:lineRule="auto"/>
              <w:ind w:firstLine="480" w:firstLineChars="200"/>
              <w:rPr>
                <w:bCs/>
                <w:sz w:val="24"/>
                <w:szCs w:val="24"/>
              </w:rPr>
            </w:pPr>
            <w:r>
              <w:rPr>
                <w:rFonts w:hint="eastAsia"/>
                <w:bCs/>
                <w:sz w:val="24"/>
                <w:szCs w:val="24"/>
              </w:rPr>
              <w:t>b</w:t>
            </w:r>
            <w:r>
              <w:rPr>
                <w:bCs/>
                <w:sz w:val="24"/>
                <w:szCs w:val="24"/>
              </w:rPr>
              <w:t>.</w:t>
            </w:r>
            <w:r>
              <w:rPr>
                <w:rFonts w:hint="eastAsia"/>
                <w:bCs/>
                <w:sz w:val="24"/>
                <w:szCs w:val="24"/>
              </w:rPr>
              <w:t>贮存设施所有者或运营者应配备满足其突发环境事件应急要求的应急人员、装备和物资，并应设置应急照明系统。</w:t>
            </w:r>
          </w:p>
          <w:p w14:paraId="17B25BBB">
            <w:pPr>
              <w:spacing w:line="360" w:lineRule="auto"/>
              <w:ind w:firstLine="480" w:firstLineChars="200"/>
              <w:rPr>
                <w:bCs/>
                <w:sz w:val="24"/>
                <w:szCs w:val="24"/>
              </w:rPr>
            </w:pPr>
            <w:r>
              <w:rPr>
                <w:rFonts w:hint="eastAsia"/>
                <w:bCs/>
                <w:sz w:val="24"/>
                <w:szCs w:val="24"/>
              </w:rPr>
              <w:t>c</w:t>
            </w:r>
            <w:r>
              <w:rPr>
                <w:bCs/>
                <w:sz w:val="24"/>
                <w:szCs w:val="24"/>
              </w:rPr>
              <w:t>.</w:t>
            </w:r>
            <w:r>
              <w:rPr>
                <w:rFonts w:hint="eastAsia"/>
                <w:bCs/>
                <w:sz w:val="24"/>
                <w:szCs w:val="24"/>
              </w:rPr>
              <w:t>相关部门发布自然灾害或恶劣天气预警后，贮存设施所有者或运营者应启动相应防控措施，若有必要可将危险废物转移至其他具有防护条件的地点贮存。</w:t>
            </w:r>
          </w:p>
          <w:p w14:paraId="3075C291">
            <w:pPr>
              <w:spacing w:line="360" w:lineRule="auto"/>
              <w:ind w:firstLine="482" w:firstLineChars="200"/>
              <w:rPr>
                <w:b/>
                <w:sz w:val="24"/>
                <w:szCs w:val="24"/>
              </w:rPr>
            </w:pPr>
            <w:r>
              <w:rPr>
                <w:rFonts w:hint="eastAsia"/>
                <w:b/>
                <w:sz w:val="24"/>
                <w:szCs w:val="24"/>
              </w:rPr>
              <w:t>②转运要求</w:t>
            </w:r>
          </w:p>
          <w:p w14:paraId="30B5FFE8">
            <w:pPr>
              <w:spacing w:line="360" w:lineRule="auto"/>
              <w:ind w:firstLine="480" w:firstLineChars="200"/>
              <w:rPr>
                <w:bCs/>
                <w:sz w:val="24"/>
                <w:szCs w:val="24"/>
              </w:rPr>
            </w:pPr>
            <w:r>
              <w:rPr>
                <w:rFonts w:hint="eastAsia"/>
                <w:bCs/>
                <w:sz w:val="24"/>
                <w:szCs w:val="24"/>
              </w:rPr>
              <w:t>危险废物转运必须严格落实《危险废物转移管理办法》的规定，按要求填写危险废物转移联单，并严格落实以下要求：</w:t>
            </w:r>
          </w:p>
          <w:p w14:paraId="512728D8">
            <w:pPr>
              <w:spacing w:line="360" w:lineRule="auto"/>
              <w:ind w:firstLine="480" w:firstLineChars="200"/>
              <w:rPr>
                <w:bCs/>
                <w:sz w:val="24"/>
                <w:szCs w:val="24"/>
              </w:rPr>
            </w:pPr>
            <w:r>
              <w:rPr>
                <w:rFonts w:hint="eastAsia"/>
                <w:bCs/>
                <w:sz w:val="24"/>
                <w:szCs w:val="24"/>
              </w:rPr>
              <w:t>a.危险废物运输应由持有危险废物经营许可证的单位按照其许可证的经营范围组织实施，并取得交通运输部门颁发的危险货物运输资质。</w:t>
            </w:r>
          </w:p>
          <w:p w14:paraId="6656BDD5">
            <w:pPr>
              <w:spacing w:line="360" w:lineRule="auto"/>
              <w:ind w:firstLine="480" w:firstLineChars="200"/>
              <w:rPr>
                <w:bCs/>
                <w:sz w:val="24"/>
                <w:szCs w:val="24"/>
              </w:rPr>
            </w:pPr>
            <w:r>
              <w:rPr>
                <w:rFonts w:hint="eastAsia"/>
                <w:bCs/>
                <w:sz w:val="24"/>
                <w:szCs w:val="24"/>
              </w:rPr>
              <w:t>b</w:t>
            </w:r>
            <w:r>
              <w:rPr>
                <w:bCs/>
                <w:sz w:val="24"/>
                <w:szCs w:val="24"/>
              </w:rPr>
              <w:t>.</w:t>
            </w:r>
            <w:r>
              <w:rPr>
                <w:rFonts w:hint="eastAsia"/>
                <w:bCs/>
                <w:sz w:val="24"/>
                <w:szCs w:val="24"/>
              </w:rPr>
              <w:t>危险废物运输单位必须采取防扬散、防流失、防渗漏或其他防止污染环境的措施，并遵守国家有关危险货物运输管理的规定。</w:t>
            </w:r>
          </w:p>
          <w:p w14:paraId="28BD8CA4">
            <w:pPr>
              <w:spacing w:line="360" w:lineRule="auto"/>
              <w:ind w:firstLine="480" w:firstLineChars="200"/>
              <w:rPr>
                <w:bCs/>
                <w:sz w:val="24"/>
                <w:szCs w:val="24"/>
              </w:rPr>
            </w:pPr>
            <w:r>
              <w:rPr>
                <w:rFonts w:hint="eastAsia"/>
                <w:bCs/>
                <w:sz w:val="24"/>
                <w:szCs w:val="24"/>
              </w:rPr>
              <w:t>c</w:t>
            </w:r>
            <w:r>
              <w:rPr>
                <w:bCs/>
                <w:sz w:val="24"/>
                <w:szCs w:val="24"/>
              </w:rPr>
              <w:t>.</w:t>
            </w:r>
            <w:r>
              <w:rPr>
                <w:rFonts w:hint="eastAsia"/>
                <w:bCs/>
                <w:sz w:val="24"/>
                <w:szCs w:val="24"/>
              </w:rPr>
              <w:t>运输危险废物的车辆必须是危险货物运输车辆，并按《道路运输危险货物车辆标志》（GB13392-2005）设置车辆标志，不得将危险废物与旅客在同一运输工具载运。</w:t>
            </w:r>
          </w:p>
          <w:p w14:paraId="0AC93783">
            <w:pPr>
              <w:spacing w:line="360" w:lineRule="auto"/>
              <w:ind w:firstLine="480" w:firstLineChars="200"/>
              <w:rPr>
                <w:bCs/>
                <w:sz w:val="24"/>
                <w:szCs w:val="24"/>
              </w:rPr>
            </w:pPr>
            <w:r>
              <w:rPr>
                <w:rFonts w:hint="eastAsia"/>
                <w:bCs/>
                <w:sz w:val="24"/>
                <w:szCs w:val="24"/>
              </w:rPr>
              <w:t>d</w:t>
            </w:r>
            <w:r>
              <w:rPr>
                <w:bCs/>
                <w:sz w:val="24"/>
                <w:szCs w:val="24"/>
              </w:rPr>
              <w:t>.</w:t>
            </w:r>
            <w:r>
              <w:rPr>
                <w:rFonts w:hint="eastAsia"/>
                <w:bCs/>
                <w:sz w:val="24"/>
                <w:szCs w:val="24"/>
              </w:rPr>
              <w:t>危险废物公路运输应按照《道路危险货物运输管理规定》（交通运输部令2013年第2号）、《危险货物道路运输规则》（JT/T617-2018）以及《汽车运输、装卸危险货物作业规程》（JT 618-2004）的有关要求执行。</w:t>
            </w:r>
          </w:p>
          <w:p w14:paraId="64635E73">
            <w:pPr>
              <w:spacing w:line="360" w:lineRule="auto"/>
              <w:ind w:firstLine="480" w:firstLineChars="200"/>
              <w:rPr>
                <w:bCs/>
                <w:sz w:val="24"/>
                <w:szCs w:val="24"/>
              </w:rPr>
            </w:pPr>
            <w:r>
              <w:rPr>
                <w:rFonts w:hint="eastAsia"/>
                <w:bCs/>
                <w:sz w:val="24"/>
                <w:szCs w:val="24"/>
              </w:rPr>
              <w:t>e</w:t>
            </w:r>
            <w:r>
              <w:rPr>
                <w:bCs/>
                <w:sz w:val="24"/>
                <w:szCs w:val="24"/>
              </w:rPr>
              <w:t>.</w:t>
            </w:r>
            <w:r>
              <w:rPr>
                <w:rFonts w:hint="eastAsia"/>
                <w:bCs/>
                <w:sz w:val="24"/>
                <w:szCs w:val="24"/>
              </w:rPr>
              <w:t>危险废物装卸人员应熟悉废物的危险特性，并配备适当的个人防护装备；卸载区应配备必要的消防设备和设施，并设置明显的指示标志；装卸区应设置隔离设施，液态废物卸载区应设置收集槽和缓冲罐。</w:t>
            </w:r>
          </w:p>
          <w:p w14:paraId="532B5504">
            <w:pPr>
              <w:spacing w:line="360" w:lineRule="auto"/>
              <w:ind w:firstLine="480" w:firstLineChars="200"/>
              <w:rPr>
                <w:sz w:val="24"/>
                <w:szCs w:val="24"/>
              </w:rPr>
            </w:pPr>
            <w:r>
              <w:rPr>
                <w:rFonts w:hint="eastAsia"/>
                <w:sz w:val="24"/>
                <w:szCs w:val="24"/>
              </w:rPr>
              <w:t>综上所述，本项目严格落实本环评中提出的各类废物处置措施，落实危险废物储存和转运要求，可防止因处置不当出现的环境二次污染。</w:t>
            </w:r>
          </w:p>
          <w:p w14:paraId="4069623B">
            <w:pPr>
              <w:spacing w:line="360" w:lineRule="auto"/>
              <w:ind w:firstLine="482" w:firstLineChars="200"/>
              <w:rPr>
                <w:b/>
                <w:sz w:val="24"/>
                <w:szCs w:val="24"/>
              </w:rPr>
            </w:pPr>
            <w:r>
              <w:rPr>
                <w:b/>
                <w:sz w:val="24"/>
                <w:szCs w:val="24"/>
              </w:rPr>
              <w:t>5</w:t>
            </w:r>
            <w:r>
              <w:rPr>
                <w:rFonts w:hint="eastAsia"/>
                <w:b/>
                <w:sz w:val="24"/>
                <w:szCs w:val="24"/>
              </w:rPr>
              <w:t>、地下水、土壤</w:t>
            </w:r>
          </w:p>
          <w:p w14:paraId="054CE2C8">
            <w:pPr>
              <w:spacing w:line="360" w:lineRule="auto"/>
              <w:ind w:firstLine="480" w:firstLineChars="200"/>
              <w:rPr>
                <w:bCs/>
                <w:sz w:val="24"/>
                <w:szCs w:val="24"/>
              </w:rPr>
            </w:pPr>
            <w:r>
              <w:rPr>
                <w:rFonts w:hint="eastAsia"/>
                <w:bCs/>
                <w:sz w:val="24"/>
                <w:szCs w:val="24"/>
              </w:rPr>
              <w:t>本项目依托现有工程已建预处理池、隔油池、固废暂存间、危废暂存间，现有设施已按照环评要求采取防渗措施，并通过竣工环境保护验收，本次环评不再赘述，仅就项目新增部分内容提出污染防治措施。</w:t>
            </w:r>
          </w:p>
          <w:p w14:paraId="25EA3ADE">
            <w:pPr>
              <w:spacing w:line="360" w:lineRule="auto"/>
              <w:ind w:firstLine="482" w:firstLineChars="200"/>
              <w:rPr>
                <w:b/>
                <w:sz w:val="24"/>
                <w:szCs w:val="24"/>
              </w:rPr>
            </w:pPr>
            <w:r>
              <w:rPr>
                <w:rFonts w:hint="eastAsia"/>
                <w:b/>
                <w:sz w:val="24"/>
                <w:szCs w:val="24"/>
              </w:rPr>
              <w:t>（</w:t>
            </w:r>
            <w:r>
              <w:rPr>
                <w:b/>
                <w:sz w:val="24"/>
                <w:szCs w:val="24"/>
              </w:rPr>
              <w:t>1</w:t>
            </w:r>
            <w:r>
              <w:rPr>
                <w:rFonts w:hint="eastAsia"/>
                <w:b/>
                <w:sz w:val="24"/>
                <w:szCs w:val="24"/>
              </w:rPr>
              <w:t>）防渗分区</w:t>
            </w:r>
          </w:p>
          <w:p w14:paraId="25E10A6D">
            <w:pPr>
              <w:spacing w:line="360" w:lineRule="auto"/>
              <w:ind w:firstLine="480" w:firstLineChars="200"/>
              <w:rPr>
                <w:rFonts w:cs="Times New Roman"/>
                <w:sz w:val="24"/>
                <w:szCs w:val="24"/>
              </w:rPr>
            </w:pPr>
            <w:r>
              <w:rPr>
                <w:rFonts w:hint="eastAsia"/>
                <w:sz w:val="24"/>
                <w:szCs w:val="24"/>
              </w:rPr>
              <w:t>根据《环境影响评价技术导则 地下水环境》（HJ610-2016）防渗分区原则，将本次新增设施划分为重点</w:t>
            </w:r>
            <w:r>
              <w:rPr>
                <w:rFonts w:cs="Times New Roman"/>
                <w:sz w:val="24"/>
                <w:szCs w:val="24"/>
              </w:rPr>
              <w:t>防渗区</w:t>
            </w:r>
            <w:r>
              <w:rPr>
                <w:rFonts w:hint="eastAsia" w:cs="Times New Roman"/>
                <w:sz w:val="24"/>
                <w:szCs w:val="24"/>
              </w:rPr>
              <w:t>和</w:t>
            </w:r>
            <w:r>
              <w:rPr>
                <w:rFonts w:cs="Times New Roman"/>
                <w:sz w:val="24"/>
                <w:szCs w:val="24"/>
              </w:rPr>
              <w:t>一般防渗区，划分区域如下：</w:t>
            </w:r>
          </w:p>
          <w:p w14:paraId="60ED58B8">
            <w:pPr>
              <w:pStyle w:val="51"/>
              <w:numPr>
                <w:ilvl w:val="0"/>
                <w:numId w:val="6"/>
              </w:numPr>
              <w:spacing w:line="360" w:lineRule="auto"/>
              <w:ind w:firstLineChars="0"/>
              <w:jc w:val="center"/>
              <w:rPr>
                <w:rFonts w:eastAsia="黑体" w:cs="Times New Roman"/>
                <w:szCs w:val="21"/>
              </w:rPr>
            </w:pPr>
            <w:r>
              <w:rPr>
                <w:rFonts w:hint="eastAsia" w:eastAsia="黑体"/>
                <w:szCs w:val="21"/>
              </w:rPr>
              <w:t>地下水防渗分区表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3642"/>
              <w:gridCol w:w="4069"/>
            </w:tblGrid>
            <w:tr w14:paraId="557A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785" w:type="pct"/>
                  <w:vAlign w:val="center"/>
                </w:tcPr>
                <w:p w14:paraId="1EF8C790">
                  <w:pPr>
                    <w:jc w:val="center"/>
                    <w:rPr>
                      <w:szCs w:val="21"/>
                    </w:rPr>
                  </w:pPr>
                  <w:r>
                    <w:rPr>
                      <w:rFonts w:hint="eastAsia"/>
                      <w:szCs w:val="21"/>
                    </w:rPr>
                    <w:t>防渗</w:t>
                  </w:r>
                  <w:r>
                    <w:rPr>
                      <w:szCs w:val="21"/>
                    </w:rPr>
                    <w:t>分区</w:t>
                  </w:r>
                </w:p>
              </w:tc>
              <w:tc>
                <w:tcPr>
                  <w:tcW w:w="1991" w:type="pct"/>
                  <w:vAlign w:val="center"/>
                </w:tcPr>
                <w:p w14:paraId="490CAF09">
                  <w:pPr>
                    <w:jc w:val="center"/>
                    <w:rPr>
                      <w:szCs w:val="21"/>
                    </w:rPr>
                  </w:pPr>
                  <w:r>
                    <w:rPr>
                      <w:szCs w:val="21"/>
                    </w:rPr>
                    <w:t>工程区域</w:t>
                  </w:r>
                </w:p>
              </w:tc>
              <w:tc>
                <w:tcPr>
                  <w:tcW w:w="2224" w:type="pct"/>
                  <w:vAlign w:val="center"/>
                </w:tcPr>
                <w:p w14:paraId="06A3D04D">
                  <w:pPr>
                    <w:jc w:val="center"/>
                    <w:rPr>
                      <w:szCs w:val="21"/>
                    </w:rPr>
                  </w:pPr>
                  <w:r>
                    <w:rPr>
                      <w:szCs w:val="21"/>
                    </w:rPr>
                    <w:t>防渗要求</w:t>
                  </w:r>
                </w:p>
              </w:tc>
            </w:tr>
            <w:tr w14:paraId="59D5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5" w:type="pct"/>
                  <w:vAlign w:val="center"/>
                </w:tcPr>
                <w:p w14:paraId="65FA05FD">
                  <w:pPr>
                    <w:jc w:val="center"/>
                    <w:rPr>
                      <w:szCs w:val="21"/>
                    </w:rPr>
                  </w:pPr>
                  <w:r>
                    <w:rPr>
                      <w:szCs w:val="21"/>
                    </w:rPr>
                    <w:t>重点防渗区</w:t>
                  </w:r>
                </w:p>
              </w:tc>
              <w:tc>
                <w:tcPr>
                  <w:tcW w:w="1991" w:type="pct"/>
                  <w:vAlign w:val="center"/>
                </w:tcPr>
                <w:p w14:paraId="43C495B9">
                  <w:pPr>
                    <w:jc w:val="center"/>
                    <w:rPr>
                      <w:szCs w:val="21"/>
                    </w:rPr>
                  </w:pPr>
                  <w:r>
                    <w:rPr>
                      <w:rFonts w:hint="eastAsia"/>
                      <w:szCs w:val="21"/>
                    </w:rPr>
                    <w:t>印刷间、辅料库房</w:t>
                  </w:r>
                </w:p>
              </w:tc>
              <w:tc>
                <w:tcPr>
                  <w:tcW w:w="2224" w:type="pct"/>
                  <w:vAlign w:val="center"/>
                </w:tcPr>
                <w:p w14:paraId="025A35FD">
                  <w:pPr>
                    <w:rPr>
                      <w:rFonts w:cs="Times New Roman"/>
                      <w:szCs w:val="21"/>
                    </w:rPr>
                  </w:pPr>
                  <w:r>
                    <w:rPr>
                      <w:rFonts w:cs="Times New Roman"/>
                      <w:szCs w:val="21"/>
                    </w:rPr>
                    <w:t>等效黏土防渗层Mb≥6.0m，防渗系数K≤10</w:t>
                  </w:r>
                  <w:r>
                    <w:rPr>
                      <w:rFonts w:cs="Times New Roman"/>
                      <w:szCs w:val="21"/>
                      <w:vertAlign w:val="superscript"/>
                    </w:rPr>
                    <w:t>-7</w:t>
                  </w:r>
                  <w:r>
                    <w:rPr>
                      <w:rFonts w:cs="Times New Roman"/>
                      <w:szCs w:val="21"/>
                    </w:rPr>
                    <w:t>cm/s</w:t>
                  </w:r>
                </w:p>
              </w:tc>
            </w:tr>
            <w:tr w14:paraId="154B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85" w:type="pct"/>
                  <w:vAlign w:val="center"/>
                </w:tcPr>
                <w:p w14:paraId="7F482788">
                  <w:pPr>
                    <w:jc w:val="center"/>
                    <w:rPr>
                      <w:szCs w:val="21"/>
                    </w:rPr>
                  </w:pPr>
                  <w:r>
                    <w:rPr>
                      <w:rFonts w:hint="eastAsia"/>
                      <w:szCs w:val="21"/>
                    </w:rPr>
                    <w:t>一般防渗区</w:t>
                  </w:r>
                </w:p>
              </w:tc>
              <w:tc>
                <w:tcPr>
                  <w:tcW w:w="1991" w:type="pct"/>
                  <w:vAlign w:val="center"/>
                </w:tcPr>
                <w:p w14:paraId="0E219B4C">
                  <w:pPr>
                    <w:jc w:val="center"/>
                    <w:rPr>
                      <w:rFonts w:cstheme="minorHAnsi"/>
                      <w:szCs w:val="21"/>
                    </w:rPr>
                  </w:pPr>
                  <w:r>
                    <w:rPr>
                      <w:rFonts w:hint="eastAsia" w:cstheme="minorHAnsi"/>
                      <w:szCs w:val="21"/>
                    </w:rPr>
                    <w:t>生产车间（不含</w:t>
                  </w:r>
                  <w:r>
                    <w:rPr>
                      <w:rFonts w:hint="eastAsia"/>
                      <w:szCs w:val="21"/>
                    </w:rPr>
                    <w:t>印刷间、辅料库房</w:t>
                  </w:r>
                  <w:r>
                    <w:rPr>
                      <w:rFonts w:hint="eastAsia" w:cstheme="minorHAnsi"/>
                      <w:szCs w:val="21"/>
                    </w:rPr>
                    <w:t>）、循环水塔、成品库房</w:t>
                  </w:r>
                </w:p>
              </w:tc>
              <w:tc>
                <w:tcPr>
                  <w:tcW w:w="2224" w:type="pct"/>
                  <w:vAlign w:val="center"/>
                </w:tcPr>
                <w:p w14:paraId="3A4F7512">
                  <w:pPr>
                    <w:rPr>
                      <w:rFonts w:cs="Times New Roman"/>
                      <w:szCs w:val="21"/>
                    </w:rPr>
                  </w:pPr>
                  <w:r>
                    <w:rPr>
                      <w:rFonts w:cs="Times New Roman"/>
                      <w:szCs w:val="21"/>
                    </w:rPr>
                    <w:t>等效黏土防渗层Mb≥1.5m，防渗系数K≤10</w:t>
                  </w:r>
                  <w:r>
                    <w:rPr>
                      <w:rFonts w:cs="Times New Roman"/>
                      <w:szCs w:val="21"/>
                      <w:vertAlign w:val="superscript"/>
                    </w:rPr>
                    <w:t>-7</w:t>
                  </w:r>
                  <w:r>
                    <w:rPr>
                      <w:rFonts w:cs="Times New Roman"/>
                      <w:szCs w:val="21"/>
                    </w:rPr>
                    <w:t>cm/s</w:t>
                  </w:r>
                </w:p>
              </w:tc>
            </w:tr>
          </w:tbl>
          <w:p w14:paraId="1A29FF4A">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）防控措施</w:t>
            </w:r>
          </w:p>
          <w:p w14:paraId="58336FD4">
            <w:pPr>
              <w:spacing w:line="360" w:lineRule="auto"/>
              <w:ind w:firstLine="482" w:firstLineChars="200"/>
              <w:rPr>
                <w:b/>
                <w:sz w:val="24"/>
                <w:szCs w:val="24"/>
              </w:rPr>
            </w:pPr>
            <w:r>
              <w:rPr>
                <w:rFonts w:hint="eastAsia"/>
                <w:b/>
                <w:sz w:val="24"/>
                <w:szCs w:val="24"/>
              </w:rPr>
              <w:t>①源头控制</w:t>
            </w:r>
            <w:r>
              <w:rPr>
                <w:b/>
                <w:sz w:val="24"/>
                <w:szCs w:val="24"/>
              </w:rPr>
              <w:t>措施</w:t>
            </w:r>
          </w:p>
          <w:p w14:paraId="4FFFB5C7">
            <w:pPr>
              <w:spacing w:line="360" w:lineRule="auto"/>
              <w:ind w:firstLine="480" w:firstLineChars="200"/>
              <w:rPr>
                <w:sz w:val="24"/>
                <w:szCs w:val="24"/>
              </w:rPr>
            </w:pPr>
            <w:r>
              <w:rPr>
                <w:rFonts w:hint="eastAsia"/>
                <w:sz w:val="24"/>
                <w:szCs w:val="24"/>
              </w:rPr>
              <w:t>本项目新增工艺设备选用符合质量标准材料，并采取防腐、防渗漏措施，定期检查工艺设备运行状态，防止污染物“跑、冒、滴、漏”；所有包装容器均选用符合质量标准材料，并作防腐处理。</w:t>
            </w:r>
          </w:p>
          <w:p w14:paraId="28A9FC80">
            <w:pPr>
              <w:spacing w:line="360" w:lineRule="auto"/>
              <w:ind w:firstLine="482" w:firstLineChars="200"/>
              <w:rPr>
                <w:rFonts w:cs="Times New Roman"/>
                <w:b/>
                <w:sz w:val="24"/>
                <w:szCs w:val="24"/>
              </w:rPr>
            </w:pPr>
            <w:r>
              <w:rPr>
                <w:rFonts w:hint="eastAsia" w:cs="Times New Roman"/>
                <w:b/>
                <w:sz w:val="24"/>
                <w:szCs w:val="24"/>
              </w:rPr>
              <w:t>②分区防渗措施</w:t>
            </w:r>
          </w:p>
          <w:p w14:paraId="037CE81F">
            <w:pPr>
              <w:spacing w:line="360" w:lineRule="auto"/>
              <w:ind w:firstLine="480" w:firstLineChars="200"/>
              <w:rPr>
                <w:rFonts w:cs="Times New Roman"/>
                <w:sz w:val="24"/>
                <w:szCs w:val="24"/>
              </w:rPr>
            </w:pPr>
            <w:r>
              <w:rPr>
                <w:rFonts w:cs="Times New Roman"/>
                <w:sz w:val="24"/>
                <w:szCs w:val="24"/>
              </w:rPr>
              <w:t>根据</w:t>
            </w:r>
            <w:r>
              <w:rPr>
                <w:rFonts w:hint="eastAsia" w:cs="Times New Roman"/>
                <w:sz w:val="24"/>
                <w:szCs w:val="24"/>
              </w:rPr>
              <w:t>建设单位</w:t>
            </w:r>
            <w:r>
              <w:rPr>
                <w:rFonts w:cs="Times New Roman"/>
                <w:sz w:val="24"/>
                <w:szCs w:val="24"/>
              </w:rPr>
              <w:t>提供的资料</w:t>
            </w:r>
            <w:r>
              <w:rPr>
                <w:rFonts w:hint="eastAsia" w:cs="Times New Roman"/>
                <w:sz w:val="24"/>
                <w:szCs w:val="24"/>
              </w:rPr>
              <w:t>，结合《环境影响评价技术导则 地下水环境》（HJ610-2016）相关要求，项目拟采取分区防渗措施见下表。</w:t>
            </w:r>
          </w:p>
          <w:p w14:paraId="49A5A38E">
            <w:pPr>
              <w:pStyle w:val="51"/>
              <w:numPr>
                <w:ilvl w:val="0"/>
                <w:numId w:val="6"/>
              </w:numPr>
              <w:spacing w:line="360" w:lineRule="auto"/>
              <w:ind w:firstLineChars="0"/>
              <w:jc w:val="center"/>
              <w:rPr>
                <w:rFonts w:eastAsia="黑体" w:cs="Times New Roman"/>
                <w:szCs w:val="21"/>
              </w:rPr>
            </w:pPr>
            <w:r>
              <w:rPr>
                <w:rFonts w:hint="eastAsia" w:eastAsia="黑体"/>
                <w:szCs w:val="21"/>
              </w:rPr>
              <w:t>地下水分区防渗措施表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7"/>
              <w:gridCol w:w="2843"/>
              <w:gridCol w:w="4817"/>
            </w:tblGrid>
            <w:tr w14:paraId="0DA5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blHeader/>
                <w:jc w:val="center"/>
              </w:trPr>
              <w:tc>
                <w:tcPr>
                  <w:tcW w:w="813" w:type="pct"/>
                  <w:vAlign w:val="center"/>
                </w:tcPr>
                <w:p w14:paraId="1A2D2DA3">
                  <w:pPr>
                    <w:jc w:val="center"/>
                    <w:rPr>
                      <w:szCs w:val="21"/>
                    </w:rPr>
                  </w:pPr>
                  <w:r>
                    <w:rPr>
                      <w:szCs w:val="21"/>
                    </w:rPr>
                    <w:t>分区</w:t>
                  </w:r>
                </w:p>
              </w:tc>
              <w:tc>
                <w:tcPr>
                  <w:tcW w:w="1554" w:type="pct"/>
                  <w:vAlign w:val="center"/>
                </w:tcPr>
                <w:p w14:paraId="523C84B4">
                  <w:pPr>
                    <w:jc w:val="center"/>
                    <w:rPr>
                      <w:szCs w:val="21"/>
                    </w:rPr>
                  </w:pPr>
                  <w:r>
                    <w:rPr>
                      <w:szCs w:val="21"/>
                    </w:rPr>
                    <w:t>工程区域</w:t>
                  </w:r>
                </w:p>
              </w:tc>
              <w:tc>
                <w:tcPr>
                  <w:tcW w:w="2633" w:type="pct"/>
                  <w:vAlign w:val="center"/>
                </w:tcPr>
                <w:p w14:paraId="2E22F1DE">
                  <w:pPr>
                    <w:jc w:val="center"/>
                    <w:rPr>
                      <w:szCs w:val="21"/>
                    </w:rPr>
                  </w:pPr>
                  <w:r>
                    <w:rPr>
                      <w:rFonts w:hint="eastAsia"/>
                      <w:szCs w:val="21"/>
                    </w:rPr>
                    <w:t>本次环评</w:t>
                  </w:r>
                  <w:r>
                    <w:rPr>
                      <w:szCs w:val="21"/>
                    </w:rPr>
                    <w:t>防渗措施</w:t>
                  </w:r>
                </w:p>
              </w:tc>
            </w:tr>
            <w:tr w14:paraId="4988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13" w:type="pct"/>
                  <w:vAlign w:val="center"/>
                </w:tcPr>
                <w:p w14:paraId="22BD051E">
                  <w:pPr>
                    <w:jc w:val="center"/>
                    <w:rPr>
                      <w:szCs w:val="21"/>
                    </w:rPr>
                  </w:pPr>
                  <w:r>
                    <w:rPr>
                      <w:szCs w:val="21"/>
                    </w:rPr>
                    <w:t>重点防渗区</w:t>
                  </w:r>
                </w:p>
              </w:tc>
              <w:tc>
                <w:tcPr>
                  <w:tcW w:w="1554" w:type="pct"/>
                  <w:vAlign w:val="center"/>
                </w:tcPr>
                <w:p w14:paraId="487A113C">
                  <w:pPr>
                    <w:jc w:val="center"/>
                    <w:rPr>
                      <w:szCs w:val="21"/>
                    </w:rPr>
                  </w:pPr>
                  <w:r>
                    <w:rPr>
                      <w:rFonts w:hint="eastAsia"/>
                      <w:szCs w:val="21"/>
                    </w:rPr>
                    <w:t>印刷间、辅料库房</w:t>
                  </w:r>
                </w:p>
              </w:tc>
              <w:tc>
                <w:tcPr>
                  <w:tcW w:w="2633" w:type="pct"/>
                  <w:vAlign w:val="center"/>
                </w:tcPr>
                <w:p w14:paraId="3D7841FD">
                  <w:pPr>
                    <w:rPr>
                      <w:szCs w:val="21"/>
                    </w:rPr>
                  </w:pPr>
                  <w:r>
                    <w:rPr>
                      <w:rFonts w:cs="Times New Roman"/>
                      <w:szCs w:val="21"/>
                    </w:rPr>
                    <w:t>采用</w:t>
                  </w:r>
                  <w:r>
                    <w:rPr>
                      <w:rFonts w:hint="eastAsia"/>
                      <w:szCs w:val="21"/>
                    </w:rPr>
                    <w:t>原</w:t>
                  </w:r>
                  <w:r>
                    <w:rPr>
                      <w:rFonts w:cs="Times New Roman"/>
                      <w:szCs w:val="21"/>
                    </w:rPr>
                    <w:t>土夯实+30cm抗渗混凝土+2mmHDPE防渗层，确保防渗性能与</w:t>
                  </w:r>
                  <w:r>
                    <w:rPr>
                      <w:rFonts w:hint="eastAsia" w:cs="Times New Roman"/>
                      <w:szCs w:val="21"/>
                    </w:rPr>
                    <w:t>6.0</w:t>
                  </w:r>
                  <w:r>
                    <w:rPr>
                      <w:rFonts w:cs="Times New Roman"/>
                      <w:szCs w:val="21"/>
                    </w:rPr>
                    <w:t>m厚黏土防渗层等效，防渗系数K≤1×10</w:t>
                  </w:r>
                  <w:r>
                    <w:rPr>
                      <w:rFonts w:cs="Times New Roman"/>
                      <w:szCs w:val="21"/>
                      <w:vertAlign w:val="superscript"/>
                    </w:rPr>
                    <w:t>-</w:t>
                  </w:r>
                  <w:r>
                    <w:rPr>
                      <w:rFonts w:hint="eastAsia" w:cs="Times New Roman"/>
                      <w:szCs w:val="21"/>
                      <w:vertAlign w:val="superscript"/>
                    </w:rPr>
                    <w:t>7</w:t>
                  </w:r>
                  <w:r>
                    <w:rPr>
                      <w:rFonts w:cs="Times New Roman"/>
                      <w:szCs w:val="21"/>
                    </w:rPr>
                    <w:t>cm/s</w:t>
                  </w:r>
                </w:p>
              </w:tc>
            </w:tr>
            <w:tr w14:paraId="5CFE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813" w:type="pct"/>
                  <w:vAlign w:val="center"/>
                </w:tcPr>
                <w:p w14:paraId="0DF1EE93">
                  <w:pPr>
                    <w:jc w:val="center"/>
                    <w:rPr>
                      <w:szCs w:val="21"/>
                    </w:rPr>
                  </w:pPr>
                  <w:r>
                    <w:rPr>
                      <w:rFonts w:hint="eastAsia"/>
                      <w:szCs w:val="21"/>
                    </w:rPr>
                    <w:t>一般防渗区</w:t>
                  </w:r>
                </w:p>
              </w:tc>
              <w:tc>
                <w:tcPr>
                  <w:tcW w:w="1554" w:type="pct"/>
                  <w:vAlign w:val="center"/>
                </w:tcPr>
                <w:p w14:paraId="155A3933">
                  <w:pPr>
                    <w:jc w:val="center"/>
                    <w:rPr>
                      <w:rFonts w:cstheme="minorHAnsi"/>
                      <w:szCs w:val="21"/>
                    </w:rPr>
                  </w:pPr>
                  <w:r>
                    <w:rPr>
                      <w:rFonts w:hint="eastAsia" w:cstheme="minorHAnsi"/>
                      <w:szCs w:val="21"/>
                    </w:rPr>
                    <w:t>生产车间（不含</w:t>
                  </w:r>
                  <w:r>
                    <w:rPr>
                      <w:rFonts w:hint="eastAsia"/>
                      <w:szCs w:val="21"/>
                    </w:rPr>
                    <w:t>印刷间、辅料库房</w:t>
                  </w:r>
                  <w:r>
                    <w:rPr>
                      <w:rFonts w:hint="eastAsia" w:cstheme="minorHAnsi"/>
                      <w:szCs w:val="21"/>
                    </w:rPr>
                    <w:t>）、循环水塔、成品库房</w:t>
                  </w:r>
                </w:p>
              </w:tc>
              <w:tc>
                <w:tcPr>
                  <w:tcW w:w="2633" w:type="pct"/>
                  <w:vAlign w:val="center"/>
                </w:tcPr>
                <w:p w14:paraId="7AA9BE80">
                  <w:pPr>
                    <w:rPr>
                      <w:szCs w:val="21"/>
                    </w:rPr>
                  </w:pPr>
                  <w:r>
                    <w:rPr>
                      <w:rFonts w:cs="Times New Roman"/>
                      <w:szCs w:val="21"/>
                    </w:rPr>
                    <w:t>采用原土夯实+30cm抗渗混凝土进行防渗处理，确保防渗性能与1.5m厚黏土防渗层等效，防渗系数K≤1×10</w:t>
                  </w:r>
                  <w:r>
                    <w:rPr>
                      <w:rFonts w:cs="Times New Roman"/>
                      <w:szCs w:val="21"/>
                      <w:vertAlign w:val="superscript"/>
                    </w:rPr>
                    <w:t>-7</w:t>
                  </w:r>
                  <w:r>
                    <w:rPr>
                      <w:rFonts w:cs="Times New Roman"/>
                      <w:szCs w:val="21"/>
                    </w:rPr>
                    <w:t>cm/s</w:t>
                  </w:r>
                </w:p>
              </w:tc>
            </w:tr>
          </w:tbl>
          <w:p w14:paraId="5DB7785C">
            <w:pPr>
              <w:spacing w:line="360" w:lineRule="auto"/>
              <w:ind w:firstLine="480" w:firstLineChars="200"/>
              <w:rPr>
                <w:sz w:val="24"/>
                <w:szCs w:val="24"/>
              </w:rPr>
            </w:pPr>
            <w:r>
              <w:rPr>
                <w:rFonts w:hint="eastAsia"/>
                <w:sz w:val="24"/>
                <w:szCs w:val="24"/>
              </w:rPr>
              <w:t>此外，严格落实本环评提出的废气污染治理措施，保证污染防治设施正常稳定运行，减少污染物排放；厂区内及厂界四周应种植吸附能力强的植物，减轻对周围土壤环境的影响。</w:t>
            </w:r>
          </w:p>
          <w:p w14:paraId="102C3B55">
            <w:pPr>
              <w:spacing w:line="360" w:lineRule="auto"/>
              <w:ind w:firstLine="480" w:firstLineChars="200"/>
              <w:rPr>
                <w:sz w:val="24"/>
                <w:szCs w:val="24"/>
              </w:rPr>
            </w:pPr>
            <w:r>
              <w:rPr>
                <w:rFonts w:hint="eastAsia"/>
                <w:sz w:val="24"/>
                <w:szCs w:val="24"/>
              </w:rPr>
              <w:t>采取上述治理措施后，本项目防控措施基本满足《环境影响评价技术导则 地下水环境》（HJ610-2016）和</w:t>
            </w:r>
            <w:r>
              <w:rPr>
                <w:rFonts w:hint="eastAsia" w:cs="宋体"/>
                <w:sz w:val="24"/>
                <w:szCs w:val="24"/>
              </w:rPr>
              <w:t>《环境影响评价技术导则 土壤环境（试行）》（HJ964-2018）</w:t>
            </w:r>
            <w:r>
              <w:rPr>
                <w:rFonts w:hint="eastAsia"/>
                <w:sz w:val="24"/>
                <w:szCs w:val="24"/>
              </w:rPr>
              <w:t>中要求，不会对地下水、土壤环境造成不利影响。</w:t>
            </w:r>
          </w:p>
          <w:p w14:paraId="0BECD46B">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）监测要求</w:t>
            </w:r>
          </w:p>
          <w:p w14:paraId="179DCA9D">
            <w:pPr>
              <w:spacing w:line="360" w:lineRule="auto"/>
              <w:ind w:firstLine="480" w:firstLineChars="200"/>
              <w:rPr>
                <w:sz w:val="24"/>
                <w:szCs w:val="24"/>
              </w:rPr>
            </w:pPr>
            <w:r>
              <w:rPr>
                <w:rFonts w:hint="eastAsia"/>
                <w:sz w:val="24"/>
                <w:szCs w:val="24"/>
              </w:rPr>
              <w:t>根据《环境影响评价技术导则 地下水环境》（HJ610-2016）和</w:t>
            </w:r>
            <w:r>
              <w:rPr>
                <w:rFonts w:hint="eastAsia" w:cs="宋体"/>
                <w:sz w:val="24"/>
                <w:szCs w:val="24"/>
              </w:rPr>
              <w:t>《环境影响评价技术导则 土壤环境（试行）》（HJ964-2018）中跟踪监测要求，本项目</w:t>
            </w:r>
            <w:r>
              <w:rPr>
                <w:rFonts w:hint="eastAsia"/>
                <w:sz w:val="24"/>
                <w:szCs w:val="24"/>
              </w:rPr>
              <w:t>可不开展地下水、土壤的跟踪监测。</w:t>
            </w:r>
          </w:p>
          <w:p w14:paraId="1B72B64A">
            <w:pPr>
              <w:spacing w:line="360" w:lineRule="auto"/>
              <w:ind w:firstLine="482" w:firstLineChars="200"/>
              <w:rPr>
                <w:b/>
                <w:sz w:val="24"/>
                <w:szCs w:val="24"/>
              </w:rPr>
            </w:pPr>
            <w:r>
              <w:rPr>
                <w:b/>
                <w:sz w:val="24"/>
                <w:szCs w:val="24"/>
              </w:rPr>
              <w:t>6</w:t>
            </w:r>
            <w:r>
              <w:rPr>
                <w:rFonts w:hint="eastAsia"/>
                <w:b/>
                <w:sz w:val="24"/>
                <w:szCs w:val="24"/>
              </w:rPr>
              <w:t>、环境风险</w:t>
            </w:r>
          </w:p>
          <w:p w14:paraId="1AC7F2C7">
            <w:pPr>
              <w:spacing w:line="360" w:lineRule="auto"/>
              <w:ind w:firstLine="482" w:firstLineChars="200"/>
              <w:rPr>
                <w:b/>
                <w:sz w:val="24"/>
                <w:szCs w:val="24"/>
              </w:rPr>
            </w:pPr>
            <w:r>
              <w:rPr>
                <w:rFonts w:hint="eastAsia"/>
                <w:b/>
                <w:sz w:val="24"/>
                <w:szCs w:val="24"/>
              </w:rPr>
              <w:t>（1）风险调查</w:t>
            </w:r>
          </w:p>
          <w:p w14:paraId="03B9711F">
            <w:pPr>
              <w:spacing w:line="360" w:lineRule="auto"/>
              <w:ind w:firstLine="480"/>
              <w:rPr>
                <w:sz w:val="24"/>
                <w:szCs w:val="24"/>
              </w:rPr>
            </w:pPr>
            <w:r>
              <w:rPr>
                <w:rFonts w:hint="eastAsia"/>
                <w:sz w:val="24"/>
                <w:szCs w:val="24"/>
              </w:rPr>
              <w:t>通过对运营期主要原辅材料及其分布情况、生产工艺特点进行分析，本次新增使用的UV油墨、机油，以及现有工程使用的油漆为易燃、有毒危险物质，其危险特性、贮存情况见下表。</w:t>
            </w:r>
          </w:p>
          <w:p w14:paraId="37C7B23E">
            <w:pPr>
              <w:pStyle w:val="51"/>
              <w:numPr>
                <w:ilvl w:val="0"/>
                <w:numId w:val="6"/>
              </w:numPr>
              <w:spacing w:line="360" w:lineRule="auto"/>
              <w:ind w:firstLineChars="0"/>
              <w:jc w:val="center"/>
              <w:rPr>
                <w:rFonts w:eastAsia="黑体" w:cs="Times New Roman"/>
                <w:szCs w:val="21"/>
              </w:rPr>
            </w:pPr>
            <w:bookmarkStart w:id="8" w:name="_Ref176472737"/>
            <w:r>
              <w:rPr>
                <w:rFonts w:hint="eastAsia" w:eastAsia="黑体"/>
                <w:szCs w:val="21"/>
              </w:rPr>
              <w:t>主要危险物质储存及危险特性</w:t>
            </w:r>
            <w:bookmarkEnd w:id="8"/>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368"/>
              <w:gridCol w:w="724"/>
              <w:gridCol w:w="1308"/>
              <w:gridCol w:w="1743"/>
              <w:gridCol w:w="1453"/>
              <w:gridCol w:w="1766"/>
            </w:tblGrid>
            <w:tr w14:paraId="6A10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9" w:type="pct"/>
                  <w:vAlign w:val="center"/>
                </w:tcPr>
                <w:p w14:paraId="1122D60C">
                  <w:pPr>
                    <w:jc w:val="center"/>
                    <w:rPr>
                      <w:szCs w:val="21"/>
                    </w:rPr>
                  </w:pPr>
                  <w:r>
                    <w:rPr>
                      <w:rFonts w:hint="eastAsia"/>
                      <w:szCs w:val="21"/>
                    </w:rPr>
                    <w:t>序号</w:t>
                  </w:r>
                </w:p>
              </w:tc>
              <w:tc>
                <w:tcPr>
                  <w:tcW w:w="748" w:type="pct"/>
                  <w:vAlign w:val="center"/>
                </w:tcPr>
                <w:p w14:paraId="007A3898">
                  <w:pPr>
                    <w:jc w:val="center"/>
                    <w:rPr>
                      <w:szCs w:val="21"/>
                    </w:rPr>
                  </w:pPr>
                  <w:r>
                    <w:rPr>
                      <w:rFonts w:hint="eastAsia"/>
                      <w:szCs w:val="21"/>
                    </w:rPr>
                    <w:t>危险单元</w:t>
                  </w:r>
                </w:p>
              </w:tc>
              <w:tc>
                <w:tcPr>
                  <w:tcW w:w="1111" w:type="pct"/>
                  <w:gridSpan w:val="2"/>
                  <w:vAlign w:val="center"/>
                </w:tcPr>
                <w:p w14:paraId="6BD9D577">
                  <w:pPr>
                    <w:jc w:val="center"/>
                    <w:rPr>
                      <w:szCs w:val="21"/>
                    </w:rPr>
                  </w:pPr>
                  <w:r>
                    <w:rPr>
                      <w:rFonts w:hint="eastAsia"/>
                      <w:szCs w:val="21"/>
                    </w:rPr>
                    <w:t>危险物质</w:t>
                  </w:r>
                </w:p>
              </w:tc>
              <w:tc>
                <w:tcPr>
                  <w:tcW w:w="953" w:type="pct"/>
                  <w:vAlign w:val="center"/>
                </w:tcPr>
                <w:p w14:paraId="1EDF238E">
                  <w:pPr>
                    <w:jc w:val="center"/>
                    <w:rPr>
                      <w:szCs w:val="21"/>
                    </w:rPr>
                  </w:pPr>
                  <w:r>
                    <w:rPr>
                      <w:rFonts w:hint="eastAsia"/>
                      <w:szCs w:val="21"/>
                    </w:rPr>
                    <w:t>存在总量（t）</w:t>
                  </w:r>
                </w:p>
              </w:tc>
              <w:tc>
                <w:tcPr>
                  <w:tcW w:w="794" w:type="pct"/>
                  <w:vAlign w:val="center"/>
                </w:tcPr>
                <w:p w14:paraId="7163BE33">
                  <w:pPr>
                    <w:jc w:val="center"/>
                    <w:rPr>
                      <w:szCs w:val="21"/>
                    </w:rPr>
                  </w:pPr>
                  <w:r>
                    <w:rPr>
                      <w:rFonts w:hint="eastAsia"/>
                      <w:szCs w:val="21"/>
                    </w:rPr>
                    <w:t>储存方式</w:t>
                  </w:r>
                </w:p>
              </w:tc>
              <w:tc>
                <w:tcPr>
                  <w:tcW w:w="965" w:type="pct"/>
                  <w:vAlign w:val="center"/>
                </w:tcPr>
                <w:p w14:paraId="1A848C89">
                  <w:pPr>
                    <w:jc w:val="center"/>
                    <w:rPr>
                      <w:szCs w:val="21"/>
                    </w:rPr>
                  </w:pPr>
                  <w:r>
                    <w:rPr>
                      <w:rFonts w:hint="eastAsia"/>
                      <w:szCs w:val="21"/>
                    </w:rPr>
                    <w:t>危险性</w:t>
                  </w:r>
                </w:p>
              </w:tc>
            </w:tr>
            <w:tr w14:paraId="1F93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429" w:type="pct"/>
                  <w:vAlign w:val="center"/>
                </w:tcPr>
                <w:p w14:paraId="09B6F6C4">
                  <w:pPr>
                    <w:jc w:val="center"/>
                    <w:rPr>
                      <w:szCs w:val="21"/>
                    </w:rPr>
                  </w:pPr>
                  <w:r>
                    <w:rPr>
                      <w:szCs w:val="21"/>
                    </w:rPr>
                    <w:t>1</w:t>
                  </w:r>
                </w:p>
              </w:tc>
              <w:tc>
                <w:tcPr>
                  <w:tcW w:w="748" w:type="pct"/>
                  <w:vMerge w:val="restart"/>
                  <w:vAlign w:val="center"/>
                </w:tcPr>
                <w:p w14:paraId="4B25678A">
                  <w:pPr>
                    <w:jc w:val="center"/>
                    <w:rPr>
                      <w:rFonts w:cstheme="minorHAnsi"/>
                      <w:szCs w:val="21"/>
                    </w:rPr>
                  </w:pPr>
                  <w:r>
                    <w:rPr>
                      <w:rFonts w:hint="eastAsia" w:cstheme="minorHAnsi"/>
                      <w:szCs w:val="21"/>
                    </w:rPr>
                    <w:t>辅料库房</w:t>
                  </w:r>
                </w:p>
              </w:tc>
              <w:tc>
                <w:tcPr>
                  <w:tcW w:w="1111" w:type="pct"/>
                  <w:gridSpan w:val="2"/>
                  <w:vAlign w:val="center"/>
                </w:tcPr>
                <w:p w14:paraId="7501E4A8">
                  <w:pPr>
                    <w:jc w:val="center"/>
                    <w:rPr>
                      <w:szCs w:val="21"/>
                    </w:rPr>
                  </w:pPr>
                  <w:r>
                    <w:rPr>
                      <w:rFonts w:hint="eastAsia"/>
                      <w:szCs w:val="21"/>
                    </w:rPr>
                    <w:t>UV油墨</w:t>
                  </w:r>
                </w:p>
              </w:tc>
              <w:tc>
                <w:tcPr>
                  <w:tcW w:w="953" w:type="pct"/>
                  <w:vAlign w:val="center"/>
                </w:tcPr>
                <w:p w14:paraId="64AE04D4">
                  <w:pPr>
                    <w:jc w:val="center"/>
                    <w:rPr>
                      <w:szCs w:val="21"/>
                    </w:rPr>
                  </w:pPr>
                  <w:r>
                    <w:rPr>
                      <w:rFonts w:hint="eastAsia"/>
                      <w:szCs w:val="21"/>
                    </w:rPr>
                    <w:t>0.1</w:t>
                  </w:r>
                </w:p>
              </w:tc>
              <w:tc>
                <w:tcPr>
                  <w:tcW w:w="794" w:type="pct"/>
                  <w:vAlign w:val="center"/>
                </w:tcPr>
                <w:p w14:paraId="02FC2657">
                  <w:pPr>
                    <w:jc w:val="center"/>
                    <w:rPr>
                      <w:szCs w:val="21"/>
                    </w:rPr>
                  </w:pPr>
                  <w:r>
                    <w:rPr>
                      <w:rFonts w:hint="eastAsia"/>
                      <w:szCs w:val="21"/>
                    </w:rPr>
                    <w:t>专用桶装</w:t>
                  </w:r>
                </w:p>
              </w:tc>
              <w:tc>
                <w:tcPr>
                  <w:tcW w:w="965" w:type="pct"/>
                  <w:vAlign w:val="center"/>
                </w:tcPr>
                <w:p w14:paraId="1E578B9C">
                  <w:pPr>
                    <w:jc w:val="center"/>
                    <w:rPr>
                      <w:szCs w:val="21"/>
                    </w:rPr>
                  </w:pPr>
                  <w:r>
                    <w:rPr>
                      <w:rFonts w:hint="eastAsia"/>
                      <w:szCs w:val="21"/>
                    </w:rPr>
                    <w:t>毒性、</w:t>
                  </w:r>
                  <w:r>
                    <w:rPr>
                      <w:szCs w:val="21"/>
                    </w:rPr>
                    <w:t>易燃</w:t>
                  </w:r>
                  <w:r>
                    <w:rPr>
                      <w:rFonts w:hint="eastAsia"/>
                      <w:szCs w:val="21"/>
                    </w:rPr>
                    <w:t>性</w:t>
                  </w:r>
                </w:p>
              </w:tc>
            </w:tr>
            <w:tr w14:paraId="1FF6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9" w:type="pct"/>
                  <w:vAlign w:val="center"/>
                </w:tcPr>
                <w:p w14:paraId="349D594C">
                  <w:pPr>
                    <w:jc w:val="center"/>
                    <w:rPr>
                      <w:szCs w:val="21"/>
                    </w:rPr>
                  </w:pPr>
                  <w:r>
                    <w:rPr>
                      <w:rFonts w:hint="eastAsia"/>
                      <w:szCs w:val="21"/>
                    </w:rPr>
                    <w:t>2</w:t>
                  </w:r>
                </w:p>
              </w:tc>
              <w:tc>
                <w:tcPr>
                  <w:tcW w:w="748" w:type="pct"/>
                  <w:vMerge w:val="continue"/>
                  <w:vAlign w:val="center"/>
                </w:tcPr>
                <w:p w14:paraId="1377777A">
                  <w:pPr>
                    <w:jc w:val="center"/>
                    <w:rPr>
                      <w:rFonts w:cstheme="minorHAnsi"/>
                      <w:szCs w:val="21"/>
                    </w:rPr>
                  </w:pPr>
                </w:p>
              </w:tc>
              <w:tc>
                <w:tcPr>
                  <w:tcW w:w="1111" w:type="pct"/>
                  <w:gridSpan w:val="2"/>
                  <w:vAlign w:val="center"/>
                </w:tcPr>
                <w:p w14:paraId="692F4601">
                  <w:pPr>
                    <w:jc w:val="center"/>
                    <w:rPr>
                      <w:szCs w:val="21"/>
                    </w:rPr>
                  </w:pPr>
                  <w:r>
                    <w:rPr>
                      <w:rFonts w:hint="eastAsia"/>
                      <w:szCs w:val="21"/>
                    </w:rPr>
                    <w:t>机油</w:t>
                  </w:r>
                </w:p>
              </w:tc>
              <w:tc>
                <w:tcPr>
                  <w:tcW w:w="953" w:type="pct"/>
                  <w:vAlign w:val="center"/>
                </w:tcPr>
                <w:p w14:paraId="559D8787">
                  <w:pPr>
                    <w:jc w:val="center"/>
                    <w:rPr>
                      <w:szCs w:val="21"/>
                    </w:rPr>
                  </w:pPr>
                  <w:r>
                    <w:rPr>
                      <w:rFonts w:hint="eastAsia"/>
                      <w:szCs w:val="21"/>
                    </w:rPr>
                    <w:t>0.21</w:t>
                  </w:r>
                </w:p>
              </w:tc>
              <w:tc>
                <w:tcPr>
                  <w:tcW w:w="794" w:type="pct"/>
                  <w:vAlign w:val="center"/>
                </w:tcPr>
                <w:p w14:paraId="176526DA">
                  <w:pPr>
                    <w:jc w:val="center"/>
                    <w:rPr>
                      <w:szCs w:val="21"/>
                    </w:rPr>
                  </w:pPr>
                  <w:r>
                    <w:rPr>
                      <w:rFonts w:hint="eastAsia"/>
                      <w:szCs w:val="21"/>
                    </w:rPr>
                    <w:t>专用桶装</w:t>
                  </w:r>
                </w:p>
              </w:tc>
              <w:tc>
                <w:tcPr>
                  <w:tcW w:w="965" w:type="pct"/>
                  <w:vAlign w:val="center"/>
                </w:tcPr>
                <w:p w14:paraId="1E9046C0">
                  <w:pPr>
                    <w:jc w:val="center"/>
                    <w:rPr>
                      <w:szCs w:val="21"/>
                    </w:rPr>
                  </w:pPr>
                  <w:r>
                    <w:rPr>
                      <w:rFonts w:hint="eastAsia"/>
                      <w:szCs w:val="21"/>
                    </w:rPr>
                    <w:t>低毒、</w:t>
                  </w:r>
                  <w:r>
                    <w:rPr>
                      <w:szCs w:val="21"/>
                    </w:rPr>
                    <w:t>易燃</w:t>
                  </w:r>
                  <w:r>
                    <w:rPr>
                      <w:rFonts w:hint="eastAsia"/>
                      <w:szCs w:val="21"/>
                    </w:rPr>
                    <w:t>性</w:t>
                  </w:r>
                </w:p>
              </w:tc>
            </w:tr>
            <w:tr w14:paraId="73FB2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9" w:type="pct"/>
                  <w:vAlign w:val="center"/>
                </w:tcPr>
                <w:p w14:paraId="7BD73D99">
                  <w:pPr>
                    <w:jc w:val="center"/>
                    <w:rPr>
                      <w:szCs w:val="21"/>
                    </w:rPr>
                  </w:pPr>
                  <w:r>
                    <w:rPr>
                      <w:rFonts w:hint="eastAsia"/>
                      <w:szCs w:val="21"/>
                    </w:rPr>
                    <w:t>3</w:t>
                  </w:r>
                </w:p>
              </w:tc>
              <w:tc>
                <w:tcPr>
                  <w:tcW w:w="748" w:type="pct"/>
                  <w:vAlign w:val="center"/>
                </w:tcPr>
                <w:p w14:paraId="0B6304BB">
                  <w:pPr>
                    <w:jc w:val="center"/>
                    <w:rPr>
                      <w:rFonts w:cstheme="minorHAnsi"/>
                      <w:szCs w:val="21"/>
                    </w:rPr>
                  </w:pPr>
                  <w:r>
                    <w:rPr>
                      <w:rFonts w:hint="eastAsia" w:cstheme="minorHAnsi"/>
                      <w:szCs w:val="21"/>
                    </w:rPr>
                    <w:t>危废暂存间</w:t>
                  </w:r>
                </w:p>
              </w:tc>
              <w:tc>
                <w:tcPr>
                  <w:tcW w:w="1111" w:type="pct"/>
                  <w:gridSpan w:val="2"/>
                  <w:vAlign w:val="center"/>
                </w:tcPr>
                <w:p w14:paraId="70B92E02">
                  <w:pPr>
                    <w:jc w:val="center"/>
                    <w:rPr>
                      <w:szCs w:val="21"/>
                    </w:rPr>
                  </w:pPr>
                  <w:r>
                    <w:rPr>
                      <w:rFonts w:hint="eastAsia"/>
                      <w:szCs w:val="21"/>
                    </w:rPr>
                    <w:t>废机油</w:t>
                  </w:r>
                </w:p>
              </w:tc>
              <w:tc>
                <w:tcPr>
                  <w:tcW w:w="953" w:type="pct"/>
                  <w:vAlign w:val="center"/>
                </w:tcPr>
                <w:p w14:paraId="0B26E5C9">
                  <w:pPr>
                    <w:jc w:val="center"/>
                    <w:rPr>
                      <w:szCs w:val="21"/>
                    </w:rPr>
                  </w:pPr>
                  <w:r>
                    <w:rPr>
                      <w:rFonts w:hint="eastAsia"/>
                      <w:szCs w:val="21"/>
                    </w:rPr>
                    <w:t>0.15</w:t>
                  </w:r>
                </w:p>
              </w:tc>
              <w:tc>
                <w:tcPr>
                  <w:tcW w:w="794" w:type="pct"/>
                  <w:vAlign w:val="center"/>
                </w:tcPr>
                <w:p w14:paraId="6E4A0897">
                  <w:pPr>
                    <w:jc w:val="center"/>
                    <w:rPr>
                      <w:szCs w:val="21"/>
                    </w:rPr>
                  </w:pPr>
                  <w:r>
                    <w:rPr>
                      <w:rFonts w:hint="eastAsia"/>
                      <w:szCs w:val="21"/>
                    </w:rPr>
                    <w:t>专用桶装</w:t>
                  </w:r>
                </w:p>
              </w:tc>
              <w:tc>
                <w:tcPr>
                  <w:tcW w:w="965" w:type="pct"/>
                  <w:vAlign w:val="center"/>
                </w:tcPr>
                <w:p w14:paraId="29386804">
                  <w:pPr>
                    <w:jc w:val="center"/>
                    <w:rPr>
                      <w:szCs w:val="21"/>
                    </w:rPr>
                  </w:pPr>
                  <w:r>
                    <w:rPr>
                      <w:rFonts w:hint="eastAsia"/>
                      <w:szCs w:val="21"/>
                    </w:rPr>
                    <w:t>低毒、</w:t>
                  </w:r>
                  <w:r>
                    <w:rPr>
                      <w:szCs w:val="21"/>
                    </w:rPr>
                    <w:t>易燃</w:t>
                  </w:r>
                  <w:r>
                    <w:rPr>
                      <w:rFonts w:hint="eastAsia"/>
                      <w:szCs w:val="21"/>
                    </w:rPr>
                    <w:t>性</w:t>
                  </w:r>
                </w:p>
              </w:tc>
            </w:tr>
            <w:tr w14:paraId="4963F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9" w:type="pct"/>
                  <w:vMerge w:val="restart"/>
                  <w:vAlign w:val="center"/>
                </w:tcPr>
                <w:p w14:paraId="589D184E">
                  <w:pPr>
                    <w:jc w:val="center"/>
                    <w:rPr>
                      <w:szCs w:val="21"/>
                    </w:rPr>
                  </w:pPr>
                  <w:r>
                    <w:rPr>
                      <w:rFonts w:hint="eastAsia"/>
                      <w:szCs w:val="21"/>
                    </w:rPr>
                    <w:t>4</w:t>
                  </w:r>
                </w:p>
              </w:tc>
              <w:tc>
                <w:tcPr>
                  <w:tcW w:w="748" w:type="pct"/>
                  <w:vMerge w:val="restart"/>
                  <w:vAlign w:val="center"/>
                </w:tcPr>
                <w:p w14:paraId="1DBA4061">
                  <w:pPr>
                    <w:jc w:val="center"/>
                    <w:rPr>
                      <w:rFonts w:cstheme="minorHAnsi"/>
                      <w:szCs w:val="21"/>
                    </w:rPr>
                  </w:pPr>
                  <w:r>
                    <w:rPr>
                      <w:rFonts w:hint="eastAsia" w:cstheme="minorHAnsi"/>
                      <w:szCs w:val="21"/>
                    </w:rPr>
                    <w:t>油漆存储间</w:t>
                  </w:r>
                </w:p>
              </w:tc>
              <w:tc>
                <w:tcPr>
                  <w:tcW w:w="396" w:type="pct"/>
                  <w:vMerge w:val="restart"/>
                  <w:vAlign w:val="center"/>
                </w:tcPr>
                <w:p w14:paraId="239F5B32">
                  <w:pPr>
                    <w:jc w:val="center"/>
                    <w:rPr>
                      <w:szCs w:val="21"/>
                    </w:rPr>
                  </w:pPr>
                  <w:r>
                    <w:rPr>
                      <w:rFonts w:hint="eastAsia"/>
                      <w:szCs w:val="21"/>
                    </w:rPr>
                    <w:t>油漆</w:t>
                  </w:r>
                </w:p>
              </w:tc>
              <w:tc>
                <w:tcPr>
                  <w:tcW w:w="715" w:type="pct"/>
                  <w:vAlign w:val="center"/>
                </w:tcPr>
                <w:p w14:paraId="0D448D20">
                  <w:pPr>
                    <w:jc w:val="center"/>
                    <w:rPr>
                      <w:szCs w:val="21"/>
                    </w:rPr>
                  </w:pPr>
                  <w:r>
                    <w:rPr>
                      <w:rFonts w:hint="eastAsia"/>
                      <w:szCs w:val="21"/>
                    </w:rPr>
                    <w:t>乙酸乙酯</w:t>
                  </w:r>
                </w:p>
              </w:tc>
              <w:tc>
                <w:tcPr>
                  <w:tcW w:w="953" w:type="pct"/>
                  <w:vAlign w:val="center"/>
                </w:tcPr>
                <w:p w14:paraId="19E6CDD5">
                  <w:pPr>
                    <w:jc w:val="center"/>
                    <w:rPr>
                      <w:szCs w:val="21"/>
                    </w:rPr>
                  </w:pPr>
                  <w:r>
                    <w:rPr>
                      <w:rFonts w:hint="eastAsia"/>
                      <w:szCs w:val="21"/>
                    </w:rPr>
                    <w:t>2.199</w:t>
                  </w:r>
                </w:p>
              </w:tc>
              <w:tc>
                <w:tcPr>
                  <w:tcW w:w="794" w:type="pct"/>
                </w:tcPr>
                <w:p w14:paraId="4673299D">
                  <w:pPr>
                    <w:jc w:val="center"/>
                    <w:rPr>
                      <w:szCs w:val="21"/>
                    </w:rPr>
                  </w:pPr>
                  <w:r>
                    <w:rPr>
                      <w:rFonts w:hint="eastAsia"/>
                      <w:szCs w:val="21"/>
                    </w:rPr>
                    <w:t>专用桶装</w:t>
                  </w:r>
                </w:p>
              </w:tc>
              <w:tc>
                <w:tcPr>
                  <w:tcW w:w="965" w:type="pct"/>
                </w:tcPr>
                <w:p w14:paraId="4B103F94">
                  <w:pPr>
                    <w:jc w:val="center"/>
                    <w:rPr>
                      <w:szCs w:val="21"/>
                    </w:rPr>
                  </w:pPr>
                  <w:r>
                    <w:rPr>
                      <w:rFonts w:hint="eastAsia"/>
                      <w:szCs w:val="21"/>
                    </w:rPr>
                    <w:t>毒性、</w:t>
                  </w:r>
                  <w:r>
                    <w:rPr>
                      <w:szCs w:val="21"/>
                    </w:rPr>
                    <w:t>易燃</w:t>
                  </w:r>
                  <w:r>
                    <w:rPr>
                      <w:rFonts w:hint="eastAsia"/>
                      <w:szCs w:val="21"/>
                    </w:rPr>
                    <w:t>性</w:t>
                  </w:r>
                </w:p>
              </w:tc>
            </w:tr>
            <w:tr w14:paraId="354E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29" w:type="pct"/>
                  <w:vMerge w:val="continue"/>
                  <w:vAlign w:val="center"/>
                </w:tcPr>
                <w:p w14:paraId="56CC1B2A">
                  <w:pPr>
                    <w:jc w:val="center"/>
                    <w:rPr>
                      <w:szCs w:val="21"/>
                    </w:rPr>
                  </w:pPr>
                </w:p>
              </w:tc>
              <w:tc>
                <w:tcPr>
                  <w:tcW w:w="748" w:type="pct"/>
                  <w:vMerge w:val="continue"/>
                  <w:vAlign w:val="center"/>
                </w:tcPr>
                <w:p w14:paraId="6F3AEC27">
                  <w:pPr>
                    <w:jc w:val="center"/>
                    <w:rPr>
                      <w:rFonts w:cstheme="minorHAnsi"/>
                      <w:szCs w:val="21"/>
                    </w:rPr>
                  </w:pPr>
                </w:p>
              </w:tc>
              <w:tc>
                <w:tcPr>
                  <w:tcW w:w="396" w:type="pct"/>
                  <w:vMerge w:val="continue"/>
                  <w:vAlign w:val="center"/>
                </w:tcPr>
                <w:p w14:paraId="42828276">
                  <w:pPr>
                    <w:jc w:val="center"/>
                    <w:rPr>
                      <w:szCs w:val="21"/>
                    </w:rPr>
                  </w:pPr>
                </w:p>
              </w:tc>
              <w:tc>
                <w:tcPr>
                  <w:tcW w:w="715" w:type="pct"/>
                  <w:vAlign w:val="center"/>
                </w:tcPr>
                <w:p w14:paraId="23D3D118">
                  <w:pPr>
                    <w:jc w:val="center"/>
                    <w:rPr>
                      <w:szCs w:val="21"/>
                    </w:rPr>
                  </w:pPr>
                  <w:r>
                    <w:rPr>
                      <w:rFonts w:hint="eastAsia"/>
                      <w:szCs w:val="21"/>
                    </w:rPr>
                    <w:t>乙酸丁酯</w:t>
                  </w:r>
                </w:p>
              </w:tc>
              <w:tc>
                <w:tcPr>
                  <w:tcW w:w="953" w:type="pct"/>
                  <w:vAlign w:val="center"/>
                </w:tcPr>
                <w:p w14:paraId="10095299">
                  <w:pPr>
                    <w:jc w:val="center"/>
                    <w:rPr>
                      <w:szCs w:val="21"/>
                    </w:rPr>
                  </w:pPr>
                  <w:r>
                    <w:rPr>
                      <w:rFonts w:hint="eastAsia"/>
                      <w:szCs w:val="21"/>
                    </w:rPr>
                    <w:t>2.289</w:t>
                  </w:r>
                </w:p>
              </w:tc>
              <w:tc>
                <w:tcPr>
                  <w:tcW w:w="794" w:type="pct"/>
                </w:tcPr>
                <w:p w14:paraId="50B278FE">
                  <w:pPr>
                    <w:jc w:val="center"/>
                    <w:rPr>
                      <w:szCs w:val="21"/>
                    </w:rPr>
                  </w:pPr>
                  <w:r>
                    <w:rPr>
                      <w:rFonts w:hint="eastAsia"/>
                      <w:szCs w:val="21"/>
                    </w:rPr>
                    <w:t>专用桶装</w:t>
                  </w:r>
                </w:p>
              </w:tc>
              <w:tc>
                <w:tcPr>
                  <w:tcW w:w="965" w:type="pct"/>
                </w:tcPr>
                <w:p w14:paraId="69D89810">
                  <w:pPr>
                    <w:jc w:val="center"/>
                    <w:rPr>
                      <w:szCs w:val="21"/>
                    </w:rPr>
                  </w:pPr>
                  <w:r>
                    <w:rPr>
                      <w:rFonts w:hint="eastAsia"/>
                      <w:szCs w:val="21"/>
                    </w:rPr>
                    <w:t>毒性、</w:t>
                  </w:r>
                  <w:r>
                    <w:rPr>
                      <w:szCs w:val="21"/>
                    </w:rPr>
                    <w:t>易燃</w:t>
                  </w:r>
                  <w:r>
                    <w:rPr>
                      <w:rFonts w:hint="eastAsia"/>
                      <w:szCs w:val="21"/>
                    </w:rPr>
                    <w:t>性</w:t>
                  </w:r>
                </w:p>
              </w:tc>
            </w:tr>
            <w:tr w14:paraId="7B37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7"/>
                  <w:vAlign w:val="center"/>
                </w:tcPr>
                <w:p w14:paraId="40C5B17E">
                  <w:pPr>
                    <w:rPr>
                      <w:szCs w:val="21"/>
                    </w:rPr>
                  </w:pPr>
                  <w:r>
                    <w:rPr>
                      <w:rFonts w:hint="eastAsia"/>
                      <w:szCs w:val="21"/>
                    </w:rPr>
                    <w:t>注：油漆为现有工程使用的危险物质。</w:t>
                  </w:r>
                </w:p>
              </w:tc>
            </w:tr>
          </w:tbl>
          <w:p w14:paraId="0652929D">
            <w:pPr>
              <w:spacing w:line="360" w:lineRule="auto"/>
              <w:ind w:firstLine="482" w:firstLineChars="200"/>
              <w:rPr>
                <w:b/>
                <w:sz w:val="24"/>
                <w:szCs w:val="24"/>
              </w:rPr>
            </w:pPr>
            <w:r>
              <w:rPr>
                <w:rFonts w:hint="eastAsia"/>
                <w:b/>
                <w:sz w:val="24"/>
                <w:szCs w:val="24"/>
              </w:rPr>
              <w:t>（</w:t>
            </w:r>
            <w:r>
              <w:rPr>
                <w:b/>
                <w:sz w:val="24"/>
                <w:szCs w:val="24"/>
              </w:rPr>
              <w:t>2</w:t>
            </w:r>
            <w:r>
              <w:rPr>
                <w:rFonts w:hint="eastAsia"/>
                <w:b/>
                <w:sz w:val="24"/>
                <w:szCs w:val="24"/>
              </w:rPr>
              <w:t>）风险潜势初判</w:t>
            </w:r>
          </w:p>
          <w:p w14:paraId="28CF4B68">
            <w:pPr>
              <w:spacing w:line="360" w:lineRule="auto"/>
              <w:ind w:firstLine="480"/>
              <w:rPr>
                <w:sz w:val="24"/>
                <w:szCs w:val="24"/>
              </w:rPr>
            </w:pPr>
            <w:r>
              <w:rPr>
                <w:rFonts w:hint="eastAsia"/>
                <w:sz w:val="24"/>
                <w:szCs w:val="24"/>
              </w:rPr>
              <w:t>建设项目环境风险潜势划分为I、II、III、IV</w:t>
            </w:r>
            <w:r>
              <w:rPr>
                <w:sz w:val="24"/>
                <w:szCs w:val="24"/>
              </w:rPr>
              <w:t>/IV</w:t>
            </w:r>
            <w:r>
              <w:rPr>
                <w:rFonts w:hint="eastAsia"/>
                <w:sz w:val="24"/>
                <w:szCs w:val="24"/>
                <w:vertAlign w:val="superscript"/>
              </w:rPr>
              <w:t>+</w:t>
            </w:r>
            <w:r>
              <w:rPr>
                <w:sz w:val="24"/>
                <w:szCs w:val="24"/>
              </w:rPr>
              <w:t>级</w:t>
            </w:r>
            <w:r>
              <w:rPr>
                <w:rFonts w:hint="eastAsia"/>
                <w:sz w:val="24"/>
                <w:szCs w:val="24"/>
              </w:rPr>
              <w:t>，</w:t>
            </w:r>
            <w:r>
              <w:rPr>
                <w:sz w:val="24"/>
                <w:szCs w:val="24"/>
              </w:rPr>
              <w:t>主要根据建设项目涉及的物质和工艺系统的危险性及其所在地的环境敏感</w:t>
            </w:r>
            <w:r>
              <w:rPr>
                <w:rFonts w:hint="eastAsia"/>
                <w:sz w:val="24"/>
                <w:szCs w:val="24"/>
              </w:rPr>
              <w:t>程度，</w:t>
            </w:r>
            <w:r>
              <w:rPr>
                <w:sz w:val="24"/>
                <w:szCs w:val="24"/>
              </w:rPr>
              <w:t>结合事故情形下环境影响途径</w:t>
            </w:r>
            <w:r>
              <w:rPr>
                <w:rFonts w:hint="eastAsia"/>
                <w:sz w:val="24"/>
                <w:szCs w:val="24"/>
              </w:rPr>
              <w:t>，</w:t>
            </w:r>
            <w:r>
              <w:rPr>
                <w:sz w:val="24"/>
                <w:szCs w:val="24"/>
              </w:rPr>
              <w:t>按照</w:t>
            </w:r>
            <w:r>
              <w:rPr>
                <w:rFonts w:hint="eastAsia"/>
                <w:sz w:val="24"/>
                <w:szCs w:val="24"/>
              </w:rPr>
              <w:t>《建设项目环境风险评价技术导则》（HJ169-2018）表2进行确定，其中：危险物质数量与临界量比值（</w:t>
            </w:r>
            <w:r>
              <w:rPr>
                <w:rFonts w:hint="eastAsia"/>
                <w:i/>
                <w:sz w:val="24"/>
                <w:szCs w:val="24"/>
              </w:rPr>
              <w:t>Q</w:t>
            </w:r>
            <w:r>
              <w:rPr>
                <w:rFonts w:hint="eastAsia"/>
                <w:sz w:val="24"/>
                <w:szCs w:val="24"/>
              </w:rPr>
              <w:t>）为每种</w:t>
            </w:r>
            <w:r>
              <w:rPr>
                <w:sz w:val="24"/>
                <w:szCs w:val="24"/>
              </w:rPr>
              <w:t>危险物质在厂界内的最大存在总量与其在</w:t>
            </w:r>
            <w:r>
              <w:rPr>
                <w:rFonts w:hint="eastAsia"/>
                <w:sz w:val="24"/>
                <w:szCs w:val="24"/>
              </w:rPr>
              <w:t>HJ169-2018附录B中对应临界量的比值，即：</w:t>
            </w:r>
          </w:p>
          <w:p w14:paraId="338C9B5D">
            <w:pPr>
              <w:spacing w:line="360" w:lineRule="auto"/>
              <w:jc w:val="center"/>
              <w:rPr>
                <w:sz w:val="24"/>
                <w:szCs w:val="24"/>
              </w:rPr>
            </w:pPr>
            <w:r>
              <w:rPr>
                <w:position w:val="-30"/>
              </w:rPr>
              <w:object>
                <v:shape id="_x0000_i1041" o:spt="75" type="#_x0000_t75" style="height:36pt;width:100.5pt;" o:ole="t" filled="f" o:preferrelative="t" stroked="f" coordsize="21600,21600">
                  <v:path/>
                  <v:fill on="f" focussize="0,0"/>
                  <v:stroke on="f" joinstyle="miter"/>
                  <v:imagedata r:id="rId50" o:title=""/>
                  <o:lock v:ext="edit" aspectratio="t"/>
                  <w10:wrap type="none"/>
                  <w10:anchorlock/>
                </v:shape>
                <o:OLEObject Type="Embed" ProgID="Equation.DSMT4" ShapeID="_x0000_i1041" DrawAspect="Content" ObjectID="_1468075741" r:id="rId49">
                  <o:LockedField>false</o:LockedField>
                </o:OLEObject>
              </w:object>
            </w:r>
          </w:p>
          <w:p w14:paraId="6A20F836">
            <w:pPr>
              <w:spacing w:line="360" w:lineRule="auto"/>
              <w:ind w:firstLine="480" w:firstLineChars="200"/>
              <w:rPr>
                <w:i/>
                <w:sz w:val="24"/>
              </w:rPr>
            </w:pPr>
            <w:r>
              <w:rPr>
                <w:rFonts w:hint="eastAsia"/>
                <w:sz w:val="24"/>
              </w:rPr>
              <w:t>式中：</w:t>
            </w: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每种危险物质的最大存在总量，t；</w:t>
            </w:r>
          </w:p>
          <w:p w14:paraId="0DDF0C62">
            <w:pPr>
              <w:spacing w:line="360" w:lineRule="auto"/>
              <w:ind w:firstLine="1200" w:firstLineChars="500"/>
              <w:rPr>
                <w:sz w:val="24"/>
              </w:rPr>
            </w:pPr>
            <w:r>
              <w:rPr>
                <w:i/>
                <w:sz w:val="24"/>
              </w:rPr>
              <w:t>Q</w:t>
            </w:r>
            <w:r>
              <w:rPr>
                <w:sz w:val="24"/>
                <w:vertAlign w:val="subscript"/>
              </w:rPr>
              <w:t>1</w:t>
            </w:r>
            <w:r>
              <w:rPr>
                <w:rFonts w:hint="eastAsia"/>
                <w:sz w:val="24"/>
              </w:rPr>
              <w:t>，</w:t>
            </w:r>
            <w:r>
              <w:rPr>
                <w:i/>
                <w:sz w:val="24"/>
              </w:rPr>
              <w:t>Q</w:t>
            </w:r>
            <w:r>
              <w:rPr>
                <w:sz w:val="24"/>
                <w:vertAlign w:val="subscript"/>
              </w:rPr>
              <w:t>2</w:t>
            </w:r>
            <w:r>
              <w:rPr>
                <w:rFonts w:hint="eastAsia"/>
                <w:sz w:val="24"/>
              </w:rPr>
              <w:t>，</w:t>
            </w:r>
            <w:r>
              <w:rPr>
                <w:rFonts w:cstheme="minorHAnsi"/>
                <w:sz w:val="24"/>
              </w:rPr>
              <w:t>···，</w:t>
            </w:r>
            <w:r>
              <w:rPr>
                <w:i/>
                <w:sz w:val="24"/>
              </w:rPr>
              <w:t>Q</w:t>
            </w:r>
            <w:r>
              <w:rPr>
                <w:i/>
                <w:sz w:val="24"/>
                <w:vertAlign w:val="subscript"/>
              </w:rPr>
              <w:t>n</w:t>
            </w:r>
            <w:r>
              <w:rPr>
                <w:sz w:val="24"/>
              </w:rPr>
              <w:t>——</w:t>
            </w:r>
            <w:r>
              <w:rPr>
                <w:rFonts w:hint="eastAsia"/>
                <w:sz w:val="24"/>
              </w:rPr>
              <w:t>每种危险物质的临界量，t。</w:t>
            </w:r>
          </w:p>
          <w:p w14:paraId="40EABA22">
            <w:pPr>
              <w:spacing w:line="360" w:lineRule="auto"/>
              <w:ind w:firstLine="480" w:firstLineChars="200"/>
              <w:rPr>
                <w:rFonts w:cstheme="minorHAnsi"/>
                <w:sz w:val="24"/>
              </w:rPr>
            </w:pPr>
            <w:r>
              <w:rPr>
                <w:rFonts w:cstheme="minorHAnsi"/>
                <w:sz w:val="24"/>
              </w:rPr>
              <w:t>当</w:t>
            </w:r>
            <w:r>
              <w:rPr>
                <w:rFonts w:cstheme="minorHAnsi"/>
                <w:i/>
                <w:sz w:val="24"/>
              </w:rPr>
              <w:t>Q</w:t>
            </w:r>
            <w:r>
              <w:rPr>
                <w:rFonts w:cstheme="minorHAnsi"/>
                <w:sz w:val="24"/>
              </w:rPr>
              <w:t>&lt;1时，该项目环境风险潜势为I；当</w:t>
            </w:r>
            <w:r>
              <w:rPr>
                <w:rFonts w:cstheme="minorHAnsi"/>
                <w:i/>
                <w:sz w:val="24"/>
              </w:rPr>
              <w:t>Q</w:t>
            </w:r>
            <w:r>
              <w:rPr>
                <w:rFonts w:cstheme="minorHAnsi"/>
                <w:sz w:val="24"/>
              </w:rPr>
              <w:t>≥1时</w:t>
            </w:r>
            <w:r>
              <w:rPr>
                <w:rFonts w:hint="eastAsia" w:cstheme="minorHAnsi"/>
                <w:sz w:val="24"/>
              </w:rPr>
              <w:t>，</w:t>
            </w:r>
            <w:r>
              <w:rPr>
                <w:rFonts w:cstheme="minorHAnsi"/>
                <w:sz w:val="24"/>
              </w:rPr>
              <w:t>将</w:t>
            </w:r>
            <w:r>
              <w:rPr>
                <w:rFonts w:cstheme="minorHAnsi"/>
                <w:i/>
                <w:sz w:val="24"/>
              </w:rPr>
              <w:t>Q</w:t>
            </w:r>
            <w:r>
              <w:rPr>
                <w:rFonts w:cstheme="minorHAnsi"/>
                <w:sz w:val="24"/>
              </w:rPr>
              <w:t>值划分为：a.1≤</w:t>
            </w:r>
            <w:r>
              <w:rPr>
                <w:rFonts w:cstheme="minorHAnsi"/>
                <w:i/>
                <w:sz w:val="24"/>
              </w:rPr>
              <w:t>Q</w:t>
            </w:r>
            <w:r>
              <w:rPr>
                <w:rFonts w:cstheme="minorHAnsi"/>
                <w:sz w:val="24"/>
              </w:rPr>
              <w:t>&lt;10</w:t>
            </w:r>
            <w:r>
              <w:rPr>
                <w:rFonts w:hint="eastAsia" w:cstheme="minorHAnsi"/>
                <w:sz w:val="24"/>
              </w:rPr>
              <w:t>；</w:t>
            </w:r>
            <w:r>
              <w:rPr>
                <w:rFonts w:cstheme="minorHAnsi"/>
                <w:sz w:val="24"/>
              </w:rPr>
              <w:t>b. 10≤</w:t>
            </w:r>
            <w:r>
              <w:rPr>
                <w:rFonts w:cstheme="minorHAnsi"/>
                <w:i/>
                <w:sz w:val="24"/>
              </w:rPr>
              <w:t>Q</w:t>
            </w:r>
            <w:r>
              <w:rPr>
                <w:rFonts w:cstheme="minorHAnsi"/>
                <w:sz w:val="24"/>
              </w:rPr>
              <w:t>&lt;100</w:t>
            </w:r>
            <w:r>
              <w:rPr>
                <w:rFonts w:hint="eastAsia" w:cstheme="minorHAnsi"/>
                <w:sz w:val="24"/>
              </w:rPr>
              <w:t>；c</w:t>
            </w:r>
            <w:r>
              <w:rPr>
                <w:rFonts w:cstheme="minorHAnsi"/>
                <w:sz w:val="24"/>
              </w:rPr>
              <w:t>.</w:t>
            </w:r>
            <w:r>
              <w:rPr>
                <w:rFonts w:cstheme="minorHAnsi"/>
                <w:i/>
                <w:sz w:val="24"/>
              </w:rPr>
              <w:t>Q</w:t>
            </w:r>
            <w:r>
              <w:rPr>
                <w:rFonts w:cstheme="minorHAnsi"/>
                <w:sz w:val="24"/>
              </w:rPr>
              <w:t>≥100</w:t>
            </w:r>
            <w:r>
              <w:rPr>
                <w:rFonts w:hint="eastAsia" w:cstheme="minorHAnsi"/>
                <w:sz w:val="24"/>
              </w:rPr>
              <w:t>。</w:t>
            </w:r>
          </w:p>
          <w:p w14:paraId="07F37C7A">
            <w:pPr>
              <w:spacing w:line="360" w:lineRule="auto"/>
              <w:ind w:firstLine="480"/>
              <w:rPr>
                <w:sz w:val="24"/>
                <w:szCs w:val="24"/>
              </w:rPr>
            </w:pPr>
            <w:r>
              <w:rPr>
                <w:sz w:val="24"/>
                <w:szCs w:val="24"/>
              </w:rPr>
              <w:t>根据计算</w:t>
            </w:r>
            <w:r>
              <w:rPr>
                <w:rFonts w:hint="eastAsia"/>
                <w:sz w:val="24"/>
                <w:szCs w:val="24"/>
              </w:rPr>
              <w:t>，</w:t>
            </w:r>
            <w:r>
              <w:rPr>
                <w:sz w:val="24"/>
                <w:szCs w:val="24"/>
              </w:rPr>
              <w:t>项目</w:t>
            </w:r>
            <w:r>
              <w:rPr>
                <w:rFonts w:hint="eastAsia"/>
                <w:sz w:val="24"/>
                <w:szCs w:val="24"/>
              </w:rPr>
              <w:t>危险物质数量与临界量比值见下表。</w:t>
            </w:r>
          </w:p>
          <w:p w14:paraId="381EB09C">
            <w:pPr>
              <w:pStyle w:val="51"/>
              <w:numPr>
                <w:ilvl w:val="0"/>
                <w:numId w:val="6"/>
              </w:numPr>
              <w:spacing w:line="360" w:lineRule="auto"/>
              <w:ind w:firstLineChars="0"/>
              <w:jc w:val="center"/>
              <w:rPr>
                <w:rFonts w:eastAsia="黑体" w:cs="Times New Roman"/>
                <w:szCs w:val="21"/>
              </w:rPr>
            </w:pPr>
            <w:r>
              <w:rPr>
                <w:rFonts w:hint="eastAsia" w:eastAsia="黑体"/>
                <w:szCs w:val="21"/>
              </w:rPr>
              <w:t>项目</w:t>
            </w:r>
            <w:r>
              <w:rPr>
                <w:rFonts w:hint="eastAsia" w:eastAsia="黑体"/>
                <w:i/>
                <w:iCs/>
                <w:szCs w:val="21"/>
              </w:rPr>
              <w:t>Q</w:t>
            </w:r>
            <w:r>
              <w:rPr>
                <w:rFonts w:hint="eastAsia" w:eastAsia="黑体"/>
                <w:szCs w:val="21"/>
              </w:rPr>
              <w:t>值确定表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896"/>
              <w:gridCol w:w="1160"/>
              <w:gridCol w:w="1321"/>
              <w:gridCol w:w="1321"/>
              <w:gridCol w:w="1321"/>
              <w:gridCol w:w="1229"/>
              <w:gridCol w:w="1218"/>
            </w:tblGrid>
            <w:tr w14:paraId="7C62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2" w:type="pct"/>
                  <w:vMerge w:val="restart"/>
                  <w:shd w:val="clear" w:color="auto" w:fill="auto"/>
                  <w:vAlign w:val="center"/>
                </w:tcPr>
                <w:p w14:paraId="13D9E99C">
                  <w:pPr>
                    <w:jc w:val="center"/>
                    <w:rPr>
                      <w:szCs w:val="21"/>
                    </w:rPr>
                  </w:pPr>
                  <w:r>
                    <w:rPr>
                      <w:rFonts w:hint="eastAsia"/>
                      <w:szCs w:val="21"/>
                    </w:rPr>
                    <w:t>序号</w:t>
                  </w:r>
                </w:p>
              </w:tc>
              <w:tc>
                <w:tcPr>
                  <w:tcW w:w="490" w:type="pct"/>
                  <w:vMerge w:val="restart"/>
                  <w:shd w:val="clear" w:color="auto" w:fill="auto"/>
                  <w:vAlign w:val="center"/>
                </w:tcPr>
                <w:p w14:paraId="76EE3D0E">
                  <w:pPr>
                    <w:jc w:val="center"/>
                    <w:rPr>
                      <w:szCs w:val="21"/>
                    </w:rPr>
                  </w:pPr>
                  <w:r>
                    <w:rPr>
                      <w:rFonts w:hint="eastAsia"/>
                      <w:szCs w:val="21"/>
                    </w:rPr>
                    <w:t>危险</w:t>
                  </w:r>
                </w:p>
                <w:p w14:paraId="29E3D3AD">
                  <w:pPr>
                    <w:jc w:val="center"/>
                    <w:rPr>
                      <w:szCs w:val="21"/>
                    </w:rPr>
                  </w:pPr>
                  <w:r>
                    <w:rPr>
                      <w:rFonts w:hint="eastAsia"/>
                      <w:szCs w:val="21"/>
                    </w:rPr>
                    <w:t>单元</w:t>
                  </w:r>
                </w:p>
              </w:tc>
              <w:tc>
                <w:tcPr>
                  <w:tcW w:w="634" w:type="pct"/>
                  <w:vMerge w:val="restart"/>
                  <w:vAlign w:val="center"/>
                </w:tcPr>
                <w:p w14:paraId="243C4AB2">
                  <w:pPr>
                    <w:jc w:val="center"/>
                    <w:rPr>
                      <w:szCs w:val="21"/>
                    </w:rPr>
                  </w:pPr>
                  <w:r>
                    <w:rPr>
                      <w:rFonts w:hint="eastAsia"/>
                      <w:szCs w:val="21"/>
                    </w:rPr>
                    <w:t>危险物质</w:t>
                  </w:r>
                </w:p>
              </w:tc>
              <w:tc>
                <w:tcPr>
                  <w:tcW w:w="2166" w:type="pct"/>
                  <w:gridSpan w:val="3"/>
                  <w:shd w:val="clear" w:color="auto" w:fill="auto"/>
                  <w:vAlign w:val="center"/>
                </w:tcPr>
                <w:p w14:paraId="111EF1C2">
                  <w:pPr>
                    <w:jc w:val="center"/>
                    <w:rPr>
                      <w:szCs w:val="21"/>
                    </w:rPr>
                  </w:pPr>
                  <w:r>
                    <w:rPr>
                      <w:szCs w:val="21"/>
                    </w:rPr>
                    <w:t>最大存在总量</w:t>
                  </w:r>
                  <w:r>
                    <w:rPr>
                      <w:i/>
                      <w:szCs w:val="21"/>
                    </w:rPr>
                    <w:t>q</w:t>
                  </w:r>
                  <w:r>
                    <w:rPr>
                      <w:i/>
                      <w:szCs w:val="21"/>
                      <w:vertAlign w:val="subscript"/>
                    </w:rPr>
                    <w:t>n</w:t>
                  </w:r>
                  <w:r>
                    <w:rPr>
                      <w:szCs w:val="21"/>
                    </w:rPr>
                    <w:t>/t</w:t>
                  </w:r>
                </w:p>
              </w:tc>
              <w:tc>
                <w:tcPr>
                  <w:tcW w:w="672" w:type="pct"/>
                  <w:vMerge w:val="restart"/>
                  <w:shd w:val="clear" w:color="auto" w:fill="auto"/>
                  <w:vAlign w:val="center"/>
                </w:tcPr>
                <w:p w14:paraId="021E7120">
                  <w:pPr>
                    <w:jc w:val="center"/>
                    <w:rPr>
                      <w:szCs w:val="21"/>
                    </w:rPr>
                  </w:pPr>
                  <w:r>
                    <w:rPr>
                      <w:szCs w:val="21"/>
                    </w:rPr>
                    <w:t>临界量</w:t>
                  </w:r>
                  <w:r>
                    <w:rPr>
                      <w:i/>
                      <w:szCs w:val="21"/>
                    </w:rPr>
                    <w:t>Q</w:t>
                  </w:r>
                  <w:r>
                    <w:rPr>
                      <w:i/>
                      <w:szCs w:val="21"/>
                      <w:vertAlign w:val="subscript"/>
                    </w:rPr>
                    <w:t>n</w:t>
                  </w:r>
                  <w:r>
                    <w:rPr>
                      <w:szCs w:val="21"/>
                    </w:rPr>
                    <w:t>/t</w:t>
                  </w:r>
                </w:p>
              </w:tc>
              <w:tc>
                <w:tcPr>
                  <w:tcW w:w="666" w:type="pct"/>
                  <w:vMerge w:val="restart"/>
                  <w:shd w:val="clear" w:color="auto" w:fill="auto"/>
                  <w:vAlign w:val="center"/>
                </w:tcPr>
                <w:p w14:paraId="64E69158">
                  <w:pPr>
                    <w:jc w:val="center"/>
                    <w:rPr>
                      <w:szCs w:val="21"/>
                    </w:rPr>
                  </w:pPr>
                  <w:r>
                    <w:rPr>
                      <w:rFonts w:hint="eastAsia"/>
                      <w:szCs w:val="21"/>
                    </w:rPr>
                    <w:t>比值（</w:t>
                  </w:r>
                  <w:r>
                    <w:rPr>
                      <w:rFonts w:hint="eastAsia"/>
                      <w:i/>
                      <w:szCs w:val="21"/>
                    </w:rPr>
                    <w:t>Q</w:t>
                  </w:r>
                  <w:r>
                    <w:rPr>
                      <w:rFonts w:hint="eastAsia"/>
                      <w:szCs w:val="21"/>
                    </w:rPr>
                    <w:t>）</w:t>
                  </w:r>
                </w:p>
              </w:tc>
            </w:tr>
            <w:tr w14:paraId="49A7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vMerge w:val="continue"/>
                  <w:shd w:val="clear" w:color="auto" w:fill="auto"/>
                  <w:vAlign w:val="center"/>
                </w:tcPr>
                <w:p w14:paraId="5095387B">
                  <w:pPr>
                    <w:jc w:val="center"/>
                    <w:rPr>
                      <w:szCs w:val="21"/>
                    </w:rPr>
                  </w:pPr>
                </w:p>
              </w:tc>
              <w:tc>
                <w:tcPr>
                  <w:tcW w:w="490" w:type="pct"/>
                  <w:vMerge w:val="continue"/>
                  <w:shd w:val="clear" w:color="auto" w:fill="auto"/>
                  <w:vAlign w:val="center"/>
                </w:tcPr>
                <w:p w14:paraId="07A4A639">
                  <w:pPr>
                    <w:jc w:val="center"/>
                    <w:rPr>
                      <w:rFonts w:cstheme="minorHAnsi"/>
                      <w:szCs w:val="21"/>
                    </w:rPr>
                  </w:pPr>
                </w:p>
              </w:tc>
              <w:tc>
                <w:tcPr>
                  <w:tcW w:w="634" w:type="pct"/>
                  <w:vMerge w:val="continue"/>
                  <w:vAlign w:val="center"/>
                </w:tcPr>
                <w:p w14:paraId="52897C86">
                  <w:pPr>
                    <w:jc w:val="center"/>
                    <w:rPr>
                      <w:szCs w:val="21"/>
                    </w:rPr>
                  </w:pPr>
                </w:p>
              </w:tc>
              <w:tc>
                <w:tcPr>
                  <w:tcW w:w="722" w:type="pct"/>
                  <w:shd w:val="clear" w:color="auto" w:fill="auto"/>
                  <w:vAlign w:val="center"/>
                </w:tcPr>
                <w:p w14:paraId="7F7AF3C6">
                  <w:pPr>
                    <w:jc w:val="center"/>
                    <w:rPr>
                      <w:szCs w:val="21"/>
                    </w:rPr>
                  </w:pPr>
                  <w:r>
                    <w:rPr>
                      <w:rFonts w:hint="eastAsia"/>
                      <w:szCs w:val="21"/>
                    </w:rPr>
                    <w:t>现有工程</w:t>
                  </w:r>
                </w:p>
              </w:tc>
              <w:tc>
                <w:tcPr>
                  <w:tcW w:w="722" w:type="pct"/>
                  <w:vAlign w:val="center"/>
                </w:tcPr>
                <w:p w14:paraId="2AE6DDA1">
                  <w:pPr>
                    <w:jc w:val="center"/>
                    <w:rPr>
                      <w:szCs w:val="21"/>
                    </w:rPr>
                  </w:pPr>
                  <w:r>
                    <w:rPr>
                      <w:rFonts w:hint="eastAsia"/>
                      <w:szCs w:val="21"/>
                    </w:rPr>
                    <w:t>本次新增</w:t>
                  </w:r>
                </w:p>
              </w:tc>
              <w:tc>
                <w:tcPr>
                  <w:tcW w:w="722" w:type="pct"/>
                  <w:vAlign w:val="center"/>
                </w:tcPr>
                <w:p w14:paraId="75D13623">
                  <w:pPr>
                    <w:jc w:val="center"/>
                    <w:rPr>
                      <w:szCs w:val="21"/>
                    </w:rPr>
                  </w:pPr>
                  <w:r>
                    <w:rPr>
                      <w:rFonts w:hint="eastAsia"/>
                      <w:szCs w:val="21"/>
                    </w:rPr>
                    <w:t>全厂合计</w:t>
                  </w:r>
                </w:p>
              </w:tc>
              <w:tc>
                <w:tcPr>
                  <w:tcW w:w="672" w:type="pct"/>
                  <w:vMerge w:val="continue"/>
                  <w:shd w:val="clear" w:color="auto" w:fill="auto"/>
                  <w:vAlign w:val="center"/>
                </w:tcPr>
                <w:p w14:paraId="7616D5F2">
                  <w:pPr>
                    <w:jc w:val="center"/>
                    <w:rPr>
                      <w:szCs w:val="21"/>
                    </w:rPr>
                  </w:pPr>
                </w:p>
              </w:tc>
              <w:tc>
                <w:tcPr>
                  <w:tcW w:w="666" w:type="pct"/>
                  <w:vMerge w:val="continue"/>
                  <w:shd w:val="clear" w:color="auto" w:fill="auto"/>
                  <w:vAlign w:val="center"/>
                </w:tcPr>
                <w:p w14:paraId="651AA138">
                  <w:pPr>
                    <w:widowControl/>
                    <w:jc w:val="center"/>
                    <w:rPr>
                      <w:rFonts w:cs="Times New Roman"/>
                      <w:szCs w:val="21"/>
                    </w:rPr>
                  </w:pPr>
                </w:p>
              </w:tc>
            </w:tr>
            <w:tr w14:paraId="5C45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shd w:val="clear" w:color="auto" w:fill="auto"/>
                  <w:vAlign w:val="center"/>
                </w:tcPr>
                <w:p w14:paraId="74EECAA2">
                  <w:pPr>
                    <w:jc w:val="center"/>
                    <w:rPr>
                      <w:szCs w:val="21"/>
                    </w:rPr>
                  </w:pPr>
                  <w:r>
                    <w:rPr>
                      <w:szCs w:val="21"/>
                    </w:rPr>
                    <w:t>1</w:t>
                  </w:r>
                </w:p>
              </w:tc>
              <w:tc>
                <w:tcPr>
                  <w:tcW w:w="490" w:type="pct"/>
                  <w:vMerge w:val="restart"/>
                  <w:shd w:val="clear" w:color="auto" w:fill="auto"/>
                  <w:vAlign w:val="center"/>
                </w:tcPr>
                <w:p w14:paraId="356844C8">
                  <w:pPr>
                    <w:jc w:val="center"/>
                    <w:rPr>
                      <w:rFonts w:cstheme="minorHAnsi"/>
                      <w:szCs w:val="21"/>
                    </w:rPr>
                  </w:pPr>
                  <w:r>
                    <w:rPr>
                      <w:rFonts w:hint="eastAsia" w:cstheme="minorHAnsi"/>
                      <w:szCs w:val="21"/>
                    </w:rPr>
                    <w:t>辅料</w:t>
                  </w:r>
                </w:p>
                <w:p w14:paraId="07E0AEC1">
                  <w:pPr>
                    <w:jc w:val="center"/>
                    <w:rPr>
                      <w:szCs w:val="21"/>
                    </w:rPr>
                  </w:pPr>
                  <w:r>
                    <w:rPr>
                      <w:rFonts w:hint="eastAsia" w:cstheme="minorHAnsi"/>
                      <w:szCs w:val="21"/>
                    </w:rPr>
                    <w:t>库房</w:t>
                  </w:r>
                </w:p>
              </w:tc>
              <w:tc>
                <w:tcPr>
                  <w:tcW w:w="634" w:type="pct"/>
                  <w:vAlign w:val="center"/>
                </w:tcPr>
                <w:p w14:paraId="519CC601">
                  <w:pPr>
                    <w:jc w:val="center"/>
                    <w:rPr>
                      <w:szCs w:val="21"/>
                    </w:rPr>
                  </w:pPr>
                  <w:r>
                    <w:rPr>
                      <w:rFonts w:hint="eastAsia"/>
                      <w:szCs w:val="21"/>
                    </w:rPr>
                    <w:t>UV油墨</w:t>
                  </w:r>
                </w:p>
              </w:tc>
              <w:tc>
                <w:tcPr>
                  <w:tcW w:w="722" w:type="pct"/>
                  <w:shd w:val="clear" w:color="auto" w:fill="auto"/>
                  <w:vAlign w:val="center"/>
                </w:tcPr>
                <w:p w14:paraId="668F355F">
                  <w:pPr>
                    <w:jc w:val="center"/>
                    <w:rPr>
                      <w:szCs w:val="21"/>
                    </w:rPr>
                  </w:pPr>
                  <w:r>
                    <w:rPr>
                      <w:rFonts w:hint="eastAsia"/>
                      <w:szCs w:val="21"/>
                    </w:rPr>
                    <w:t>0</w:t>
                  </w:r>
                </w:p>
              </w:tc>
              <w:tc>
                <w:tcPr>
                  <w:tcW w:w="722" w:type="pct"/>
                  <w:vAlign w:val="center"/>
                </w:tcPr>
                <w:p w14:paraId="59A3BDB3">
                  <w:pPr>
                    <w:jc w:val="center"/>
                    <w:rPr>
                      <w:szCs w:val="21"/>
                    </w:rPr>
                  </w:pPr>
                  <w:r>
                    <w:rPr>
                      <w:rFonts w:hint="eastAsia"/>
                      <w:szCs w:val="21"/>
                    </w:rPr>
                    <w:t>0.1</w:t>
                  </w:r>
                </w:p>
              </w:tc>
              <w:tc>
                <w:tcPr>
                  <w:tcW w:w="722" w:type="pct"/>
                  <w:vAlign w:val="center"/>
                </w:tcPr>
                <w:p w14:paraId="461BDD92">
                  <w:pPr>
                    <w:jc w:val="center"/>
                    <w:rPr>
                      <w:szCs w:val="21"/>
                    </w:rPr>
                  </w:pPr>
                  <w:r>
                    <w:rPr>
                      <w:rFonts w:hint="eastAsia"/>
                      <w:szCs w:val="21"/>
                    </w:rPr>
                    <w:t>0.1</w:t>
                  </w:r>
                </w:p>
              </w:tc>
              <w:tc>
                <w:tcPr>
                  <w:tcW w:w="672" w:type="pct"/>
                  <w:shd w:val="clear" w:color="auto" w:fill="auto"/>
                  <w:vAlign w:val="center"/>
                </w:tcPr>
                <w:p w14:paraId="1EFF733A">
                  <w:pPr>
                    <w:jc w:val="center"/>
                    <w:rPr>
                      <w:szCs w:val="21"/>
                    </w:rPr>
                  </w:pPr>
                  <w:r>
                    <w:rPr>
                      <w:rFonts w:hint="eastAsia"/>
                      <w:szCs w:val="21"/>
                    </w:rPr>
                    <w:t>50</w:t>
                  </w:r>
                </w:p>
              </w:tc>
              <w:tc>
                <w:tcPr>
                  <w:tcW w:w="666" w:type="pct"/>
                  <w:shd w:val="clear" w:color="auto" w:fill="auto"/>
                  <w:vAlign w:val="center"/>
                </w:tcPr>
                <w:p w14:paraId="48F43942">
                  <w:pPr>
                    <w:widowControl/>
                    <w:jc w:val="center"/>
                    <w:rPr>
                      <w:rFonts w:cs="Times New Roman"/>
                      <w:szCs w:val="21"/>
                    </w:rPr>
                  </w:pPr>
                  <w:r>
                    <w:rPr>
                      <w:rFonts w:hint="eastAsia" w:cs="Times New Roman"/>
                      <w:szCs w:val="21"/>
                    </w:rPr>
                    <w:t>0.002</w:t>
                  </w:r>
                </w:p>
              </w:tc>
            </w:tr>
            <w:tr w14:paraId="607F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shd w:val="clear" w:color="auto" w:fill="auto"/>
                  <w:vAlign w:val="center"/>
                </w:tcPr>
                <w:p w14:paraId="6F7ACBC9">
                  <w:pPr>
                    <w:jc w:val="center"/>
                    <w:rPr>
                      <w:szCs w:val="21"/>
                    </w:rPr>
                  </w:pPr>
                  <w:r>
                    <w:rPr>
                      <w:rFonts w:hint="eastAsia"/>
                      <w:szCs w:val="21"/>
                    </w:rPr>
                    <w:t>2</w:t>
                  </w:r>
                </w:p>
              </w:tc>
              <w:tc>
                <w:tcPr>
                  <w:tcW w:w="490" w:type="pct"/>
                  <w:vMerge w:val="continue"/>
                  <w:shd w:val="clear" w:color="auto" w:fill="auto"/>
                  <w:vAlign w:val="center"/>
                </w:tcPr>
                <w:p w14:paraId="54E8CA71">
                  <w:pPr>
                    <w:jc w:val="center"/>
                    <w:rPr>
                      <w:rFonts w:cstheme="minorHAnsi"/>
                      <w:szCs w:val="21"/>
                    </w:rPr>
                  </w:pPr>
                </w:p>
              </w:tc>
              <w:tc>
                <w:tcPr>
                  <w:tcW w:w="634" w:type="pct"/>
                  <w:vAlign w:val="center"/>
                </w:tcPr>
                <w:p w14:paraId="01AB249A">
                  <w:pPr>
                    <w:jc w:val="center"/>
                    <w:rPr>
                      <w:szCs w:val="21"/>
                    </w:rPr>
                  </w:pPr>
                  <w:r>
                    <w:rPr>
                      <w:rFonts w:hint="eastAsia"/>
                      <w:szCs w:val="21"/>
                    </w:rPr>
                    <w:t>机油</w:t>
                  </w:r>
                </w:p>
              </w:tc>
              <w:tc>
                <w:tcPr>
                  <w:tcW w:w="722" w:type="pct"/>
                  <w:shd w:val="clear" w:color="auto" w:fill="auto"/>
                  <w:vAlign w:val="center"/>
                </w:tcPr>
                <w:p w14:paraId="1DA7C95E">
                  <w:pPr>
                    <w:jc w:val="center"/>
                    <w:rPr>
                      <w:szCs w:val="21"/>
                    </w:rPr>
                  </w:pPr>
                  <w:r>
                    <w:rPr>
                      <w:rFonts w:hint="eastAsia"/>
                      <w:szCs w:val="21"/>
                    </w:rPr>
                    <w:t>0.20</w:t>
                  </w:r>
                </w:p>
              </w:tc>
              <w:tc>
                <w:tcPr>
                  <w:tcW w:w="722" w:type="pct"/>
                  <w:vAlign w:val="center"/>
                </w:tcPr>
                <w:p w14:paraId="27906546">
                  <w:pPr>
                    <w:jc w:val="center"/>
                    <w:rPr>
                      <w:szCs w:val="21"/>
                    </w:rPr>
                  </w:pPr>
                  <w:r>
                    <w:rPr>
                      <w:rFonts w:hint="eastAsia"/>
                      <w:szCs w:val="21"/>
                    </w:rPr>
                    <w:t>0.01</w:t>
                  </w:r>
                </w:p>
              </w:tc>
              <w:tc>
                <w:tcPr>
                  <w:tcW w:w="722" w:type="pct"/>
                  <w:vAlign w:val="center"/>
                </w:tcPr>
                <w:p w14:paraId="1DF6317C">
                  <w:pPr>
                    <w:jc w:val="center"/>
                    <w:rPr>
                      <w:szCs w:val="21"/>
                    </w:rPr>
                  </w:pPr>
                  <w:r>
                    <w:rPr>
                      <w:rFonts w:hint="eastAsia"/>
                      <w:szCs w:val="21"/>
                    </w:rPr>
                    <w:t>0.21</w:t>
                  </w:r>
                </w:p>
              </w:tc>
              <w:tc>
                <w:tcPr>
                  <w:tcW w:w="672" w:type="pct"/>
                  <w:shd w:val="clear" w:color="auto" w:fill="auto"/>
                </w:tcPr>
                <w:p w14:paraId="48E4CF13">
                  <w:pPr>
                    <w:jc w:val="center"/>
                    <w:rPr>
                      <w:szCs w:val="21"/>
                    </w:rPr>
                  </w:pPr>
                  <w:r>
                    <w:rPr>
                      <w:szCs w:val="21"/>
                    </w:rPr>
                    <w:t>2500</w:t>
                  </w:r>
                </w:p>
              </w:tc>
              <w:tc>
                <w:tcPr>
                  <w:tcW w:w="666" w:type="pct"/>
                  <w:shd w:val="clear" w:color="auto" w:fill="auto"/>
                  <w:vAlign w:val="center"/>
                </w:tcPr>
                <w:p w14:paraId="0CE8F807">
                  <w:pPr>
                    <w:widowControl/>
                    <w:jc w:val="center"/>
                    <w:rPr>
                      <w:rFonts w:cs="Times New Roman"/>
                      <w:szCs w:val="21"/>
                    </w:rPr>
                  </w:pPr>
                  <w:r>
                    <w:rPr>
                      <w:rFonts w:hint="eastAsia" w:cs="Times New Roman"/>
                      <w:szCs w:val="21"/>
                    </w:rPr>
                    <w:t>8.40E-06</w:t>
                  </w:r>
                </w:p>
              </w:tc>
            </w:tr>
            <w:tr w14:paraId="2A39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shd w:val="clear" w:color="auto" w:fill="auto"/>
                  <w:vAlign w:val="center"/>
                </w:tcPr>
                <w:p w14:paraId="540AEBE6">
                  <w:pPr>
                    <w:jc w:val="center"/>
                    <w:rPr>
                      <w:szCs w:val="21"/>
                    </w:rPr>
                  </w:pPr>
                  <w:r>
                    <w:rPr>
                      <w:rFonts w:hint="eastAsia"/>
                      <w:szCs w:val="21"/>
                    </w:rPr>
                    <w:t>3</w:t>
                  </w:r>
                </w:p>
              </w:tc>
              <w:tc>
                <w:tcPr>
                  <w:tcW w:w="490" w:type="pct"/>
                  <w:shd w:val="clear" w:color="auto" w:fill="auto"/>
                  <w:vAlign w:val="center"/>
                </w:tcPr>
                <w:p w14:paraId="4208ABD3">
                  <w:pPr>
                    <w:jc w:val="center"/>
                    <w:rPr>
                      <w:rFonts w:cstheme="minorHAnsi"/>
                      <w:szCs w:val="21"/>
                    </w:rPr>
                  </w:pPr>
                  <w:r>
                    <w:rPr>
                      <w:rFonts w:hint="eastAsia" w:cstheme="minorHAnsi"/>
                      <w:szCs w:val="21"/>
                    </w:rPr>
                    <w:t>危废暂存间</w:t>
                  </w:r>
                </w:p>
              </w:tc>
              <w:tc>
                <w:tcPr>
                  <w:tcW w:w="634" w:type="pct"/>
                  <w:vAlign w:val="center"/>
                </w:tcPr>
                <w:p w14:paraId="61B48C40">
                  <w:pPr>
                    <w:jc w:val="center"/>
                    <w:rPr>
                      <w:szCs w:val="21"/>
                    </w:rPr>
                  </w:pPr>
                  <w:r>
                    <w:rPr>
                      <w:rFonts w:hint="eastAsia"/>
                      <w:szCs w:val="21"/>
                    </w:rPr>
                    <w:t>废机油</w:t>
                  </w:r>
                </w:p>
              </w:tc>
              <w:tc>
                <w:tcPr>
                  <w:tcW w:w="722" w:type="pct"/>
                  <w:shd w:val="clear" w:color="auto" w:fill="auto"/>
                  <w:vAlign w:val="center"/>
                </w:tcPr>
                <w:p w14:paraId="667561D8">
                  <w:pPr>
                    <w:jc w:val="center"/>
                    <w:rPr>
                      <w:szCs w:val="21"/>
                    </w:rPr>
                  </w:pPr>
                  <w:r>
                    <w:rPr>
                      <w:rFonts w:hint="eastAsia"/>
                      <w:szCs w:val="21"/>
                    </w:rPr>
                    <w:t>0.10</w:t>
                  </w:r>
                </w:p>
              </w:tc>
              <w:tc>
                <w:tcPr>
                  <w:tcW w:w="722" w:type="pct"/>
                  <w:vAlign w:val="center"/>
                </w:tcPr>
                <w:p w14:paraId="6C137746">
                  <w:pPr>
                    <w:jc w:val="center"/>
                    <w:rPr>
                      <w:szCs w:val="21"/>
                    </w:rPr>
                  </w:pPr>
                  <w:r>
                    <w:rPr>
                      <w:rFonts w:hint="eastAsia"/>
                      <w:szCs w:val="21"/>
                    </w:rPr>
                    <w:t>0.05</w:t>
                  </w:r>
                </w:p>
              </w:tc>
              <w:tc>
                <w:tcPr>
                  <w:tcW w:w="722" w:type="pct"/>
                  <w:vAlign w:val="center"/>
                </w:tcPr>
                <w:p w14:paraId="729EBC3A">
                  <w:pPr>
                    <w:jc w:val="center"/>
                    <w:rPr>
                      <w:szCs w:val="21"/>
                    </w:rPr>
                  </w:pPr>
                  <w:r>
                    <w:rPr>
                      <w:rFonts w:hint="eastAsia"/>
                      <w:szCs w:val="21"/>
                    </w:rPr>
                    <w:t>0.15</w:t>
                  </w:r>
                </w:p>
              </w:tc>
              <w:tc>
                <w:tcPr>
                  <w:tcW w:w="672" w:type="pct"/>
                  <w:shd w:val="clear" w:color="auto" w:fill="auto"/>
                  <w:vAlign w:val="center"/>
                </w:tcPr>
                <w:p w14:paraId="40377934">
                  <w:pPr>
                    <w:jc w:val="center"/>
                    <w:rPr>
                      <w:szCs w:val="21"/>
                    </w:rPr>
                  </w:pPr>
                  <w:r>
                    <w:rPr>
                      <w:szCs w:val="21"/>
                    </w:rPr>
                    <w:t>2500</w:t>
                  </w:r>
                </w:p>
              </w:tc>
              <w:tc>
                <w:tcPr>
                  <w:tcW w:w="666" w:type="pct"/>
                  <w:shd w:val="clear" w:color="auto" w:fill="auto"/>
                  <w:vAlign w:val="center"/>
                </w:tcPr>
                <w:p w14:paraId="2B31A2A6">
                  <w:pPr>
                    <w:widowControl/>
                    <w:jc w:val="center"/>
                    <w:rPr>
                      <w:rFonts w:cs="Times New Roman"/>
                      <w:szCs w:val="21"/>
                    </w:rPr>
                  </w:pPr>
                  <w:r>
                    <w:rPr>
                      <w:rFonts w:hint="eastAsia" w:cs="Times New Roman"/>
                      <w:szCs w:val="21"/>
                    </w:rPr>
                    <w:t>6.00E-05</w:t>
                  </w:r>
                </w:p>
              </w:tc>
            </w:tr>
            <w:tr w14:paraId="5CAE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shd w:val="clear" w:color="auto" w:fill="auto"/>
                  <w:vAlign w:val="center"/>
                </w:tcPr>
                <w:p w14:paraId="2225C741">
                  <w:pPr>
                    <w:jc w:val="center"/>
                    <w:rPr>
                      <w:szCs w:val="21"/>
                    </w:rPr>
                  </w:pPr>
                  <w:r>
                    <w:rPr>
                      <w:rFonts w:hint="eastAsia"/>
                      <w:szCs w:val="21"/>
                    </w:rPr>
                    <w:t>4</w:t>
                  </w:r>
                </w:p>
              </w:tc>
              <w:tc>
                <w:tcPr>
                  <w:tcW w:w="490" w:type="pct"/>
                  <w:vMerge w:val="restart"/>
                  <w:shd w:val="clear" w:color="auto" w:fill="auto"/>
                  <w:vAlign w:val="center"/>
                </w:tcPr>
                <w:p w14:paraId="1E59DF62">
                  <w:pPr>
                    <w:jc w:val="center"/>
                    <w:rPr>
                      <w:rFonts w:cstheme="minorHAnsi"/>
                      <w:szCs w:val="21"/>
                    </w:rPr>
                  </w:pPr>
                  <w:r>
                    <w:rPr>
                      <w:rFonts w:hint="eastAsia" w:cstheme="minorHAnsi"/>
                      <w:szCs w:val="21"/>
                    </w:rPr>
                    <w:t>油漆存储间</w:t>
                  </w:r>
                </w:p>
              </w:tc>
              <w:tc>
                <w:tcPr>
                  <w:tcW w:w="634" w:type="pct"/>
                  <w:vAlign w:val="center"/>
                </w:tcPr>
                <w:p w14:paraId="78DB731D">
                  <w:pPr>
                    <w:jc w:val="center"/>
                    <w:rPr>
                      <w:szCs w:val="21"/>
                    </w:rPr>
                  </w:pPr>
                  <w:r>
                    <w:rPr>
                      <w:rFonts w:hint="eastAsia"/>
                      <w:szCs w:val="21"/>
                    </w:rPr>
                    <w:t>乙酸乙酯</w:t>
                  </w:r>
                </w:p>
              </w:tc>
              <w:tc>
                <w:tcPr>
                  <w:tcW w:w="722" w:type="pct"/>
                  <w:shd w:val="clear" w:color="auto" w:fill="auto"/>
                  <w:vAlign w:val="center"/>
                </w:tcPr>
                <w:p w14:paraId="15DC0870">
                  <w:pPr>
                    <w:jc w:val="center"/>
                    <w:rPr>
                      <w:szCs w:val="21"/>
                    </w:rPr>
                  </w:pPr>
                  <w:r>
                    <w:rPr>
                      <w:rFonts w:hint="eastAsia"/>
                      <w:szCs w:val="21"/>
                    </w:rPr>
                    <w:t>2.199</w:t>
                  </w:r>
                </w:p>
              </w:tc>
              <w:tc>
                <w:tcPr>
                  <w:tcW w:w="722" w:type="pct"/>
                  <w:vAlign w:val="center"/>
                </w:tcPr>
                <w:p w14:paraId="353C6F8E">
                  <w:pPr>
                    <w:jc w:val="center"/>
                    <w:rPr>
                      <w:szCs w:val="21"/>
                    </w:rPr>
                  </w:pPr>
                  <w:r>
                    <w:rPr>
                      <w:rFonts w:hint="eastAsia"/>
                      <w:szCs w:val="21"/>
                    </w:rPr>
                    <w:t>0</w:t>
                  </w:r>
                </w:p>
              </w:tc>
              <w:tc>
                <w:tcPr>
                  <w:tcW w:w="722" w:type="pct"/>
                  <w:vAlign w:val="center"/>
                </w:tcPr>
                <w:p w14:paraId="6A905D45">
                  <w:pPr>
                    <w:jc w:val="center"/>
                    <w:rPr>
                      <w:szCs w:val="21"/>
                    </w:rPr>
                  </w:pPr>
                  <w:r>
                    <w:rPr>
                      <w:rFonts w:hint="eastAsia"/>
                      <w:szCs w:val="21"/>
                    </w:rPr>
                    <w:t>2.199</w:t>
                  </w:r>
                </w:p>
              </w:tc>
              <w:tc>
                <w:tcPr>
                  <w:tcW w:w="672" w:type="pct"/>
                  <w:shd w:val="clear" w:color="auto" w:fill="auto"/>
                  <w:vAlign w:val="center"/>
                </w:tcPr>
                <w:p w14:paraId="3F57133B">
                  <w:pPr>
                    <w:jc w:val="center"/>
                    <w:rPr>
                      <w:szCs w:val="21"/>
                    </w:rPr>
                  </w:pPr>
                  <w:r>
                    <w:rPr>
                      <w:rFonts w:hint="eastAsia"/>
                      <w:szCs w:val="21"/>
                    </w:rPr>
                    <w:t>10</w:t>
                  </w:r>
                </w:p>
              </w:tc>
              <w:tc>
                <w:tcPr>
                  <w:tcW w:w="666" w:type="pct"/>
                  <w:shd w:val="clear" w:color="auto" w:fill="auto"/>
                  <w:vAlign w:val="center"/>
                </w:tcPr>
                <w:p w14:paraId="0A899F3F">
                  <w:pPr>
                    <w:widowControl/>
                    <w:jc w:val="center"/>
                    <w:rPr>
                      <w:rFonts w:cs="Times New Roman"/>
                      <w:szCs w:val="21"/>
                    </w:rPr>
                  </w:pPr>
                  <w:r>
                    <w:rPr>
                      <w:rFonts w:hint="eastAsia" w:cs="Times New Roman"/>
                      <w:szCs w:val="21"/>
                    </w:rPr>
                    <w:t>0.2199</w:t>
                  </w:r>
                </w:p>
              </w:tc>
            </w:tr>
            <w:tr w14:paraId="5B4B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372" w:type="pct"/>
                  <w:shd w:val="clear" w:color="auto" w:fill="auto"/>
                  <w:vAlign w:val="center"/>
                </w:tcPr>
                <w:p w14:paraId="20E34002">
                  <w:pPr>
                    <w:jc w:val="center"/>
                    <w:rPr>
                      <w:szCs w:val="21"/>
                    </w:rPr>
                  </w:pPr>
                  <w:r>
                    <w:rPr>
                      <w:rFonts w:hint="eastAsia"/>
                      <w:szCs w:val="21"/>
                    </w:rPr>
                    <w:t>5</w:t>
                  </w:r>
                </w:p>
              </w:tc>
              <w:tc>
                <w:tcPr>
                  <w:tcW w:w="490" w:type="pct"/>
                  <w:vMerge w:val="continue"/>
                  <w:shd w:val="clear" w:color="auto" w:fill="auto"/>
                  <w:vAlign w:val="center"/>
                </w:tcPr>
                <w:p w14:paraId="491B569B">
                  <w:pPr>
                    <w:jc w:val="center"/>
                    <w:rPr>
                      <w:rFonts w:cstheme="minorHAnsi"/>
                      <w:szCs w:val="21"/>
                    </w:rPr>
                  </w:pPr>
                </w:p>
              </w:tc>
              <w:tc>
                <w:tcPr>
                  <w:tcW w:w="634" w:type="pct"/>
                  <w:vAlign w:val="center"/>
                </w:tcPr>
                <w:p w14:paraId="38D655E5">
                  <w:pPr>
                    <w:jc w:val="center"/>
                    <w:rPr>
                      <w:szCs w:val="21"/>
                    </w:rPr>
                  </w:pPr>
                  <w:r>
                    <w:rPr>
                      <w:rFonts w:hint="eastAsia"/>
                      <w:szCs w:val="21"/>
                    </w:rPr>
                    <w:t>乙酸丁酯</w:t>
                  </w:r>
                </w:p>
              </w:tc>
              <w:tc>
                <w:tcPr>
                  <w:tcW w:w="722" w:type="pct"/>
                  <w:shd w:val="clear" w:color="auto" w:fill="auto"/>
                  <w:vAlign w:val="center"/>
                </w:tcPr>
                <w:p w14:paraId="11AA0703">
                  <w:pPr>
                    <w:jc w:val="center"/>
                    <w:rPr>
                      <w:szCs w:val="21"/>
                    </w:rPr>
                  </w:pPr>
                  <w:r>
                    <w:rPr>
                      <w:rFonts w:hint="eastAsia"/>
                      <w:szCs w:val="21"/>
                    </w:rPr>
                    <w:t>2.289</w:t>
                  </w:r>
                </w:p>
              </w:tc>
              <w:tc>
                <w:tcPr>
                  <w:tcW w:w="722" w:type="pct"/>
                  <w:vAlign w:val="center"/>
                </w:tcPr>
                <w:p w14:paraId="42DBC93E">
                  <w:pPr>
                    <w:jc w:val="center"/>
                    <w:rPr>
                      <w:szCs w:val="21"/>
                    </w:rPr>
                  </w:pPr>
                  <w:r>
                    <w:rPr>
                      <w:rFonts w:hint="eastAsia"/>
                      <w:szCs w:val="21"/>
                    </w:rPr>
                    <w:t>0</w:t>
                  </w:r>
                </w:p>
              </w:tc>
              <w:tc>
                <w:tcPr>
                  <w:tcW w:w="722" w:type="pct"/>
                  <w:vAlign w:val="center"/>
                </w:tcPr>
                <w:p w14:paraId="04C4307C">
                  <w:pPr>
                    <w:jc w:val="center"/>
                    <w:rPr>
                      <w:szCs w:val="21"/>
                    </w:rPr>
                  </w:pPr>
                  <w:r>
                    <w:rPr>
                      <w:rFonts w:hint="eastAsia"/>
                      <w:szCs w:val="21"/>
                    </w:rPr>
                    <w:t>2.289</w:t>
                  </w:r>
                </w:p>
              </w:tc>
              <w:tc>
                <w:tcPr>
                  <w:tcW w:w="672" w:type="pct"/>
                  <w:shd w:val="clear" w:color="auto" w:fill="auto"/>
                  <w:vAlign w:val="center"/>
                </w:tcPr>
                <w:p w14:paraId="7584BA2B">
                  <w:pPr>
                    <w:jc w:val="center"/>
                    <w:rPr>
                      <w:szCs w:val="21"/>
                    </w:rPr>
                  </w:pPr>
                  <w:r>
                    <w:rPr>
                      <w:rFonts w:hint="eastAsia"/>
                      <w:szCs w:val="21"/>
                    </w:rPr>
                    <w:t>10</w:t>
                  </w:r>
                </w:p>
              </w:tc>
              <w:tc>
                <w:tcPr>
                  <w:tcW w:w="666" w:type="pct"/>
                  <w:shd w:val="clear" w:color="auto" w:fill="auto"/>
                  <w:vAlign w:val="center"/>
                </w:tcPr>
                <w:p w14:paraId="7FE6FB81">
                  <w:pPr>
                    <w:widowControl/>
                    <w:jc w:val="center"/>
                    <w:rPr>
                      <w:rFonts w:cs="Times New Roman"/>
                      <w:szCs w:val="21"/>
                    </w:rPr>
                  </w:pPr>
                  <w:r>
                    <w:rPr>
                      <w:rFonts w:hint="eastAsia" w:cs="Times New Roman"/>
                      <w:szCs w:val="21"/>
                    </w:rPr>
                    <w:t>0.2289</w:t>
                  </w:r>
                </w:p>
              </w:tc>
            </w:tr>
            <w:tr w14:paraId="1058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4334" w:type="pct"/>
                  <w:gridSpan w:val="7"/>
                </w:tcPr>
                <w:p w14:paraId="53C2791B">
                  <w:pPr>
                    <w:jc w:val="center"/>
                    <w:rPr>
                      <w:szCs w:val="21"/>
                    </w:rPr>
                  </w:pPr>
                  <w:r>
                    <w:rPr>
                      <w:rFonts w:hint="eastAsia"/>
                      <w:szCs w:val="21"/>
                    </w:rPr>
                    <w:t>合计</w:t>
                  </w:r>
                </w:p>
              </w:tc>
              <w:tc>
                <w:tcPr>
                  <w:tcW w:w="666" w:type="pct"/>
                  <w:shd w:val="clear" w:color="auto" w:fill="auto"/>
                  <w:vAlign w:val="center"/>
                </w:tcPr>
                <w:p w14:paraId="66ACDAF2">
                  <w:pPr>
                    <w:widowControl/>
                    <w:jc w:val="center"/>
                    <w:rPr>
                      <w:rFonts w:cs="Times New Roman"/>
                      <w:szCs w:val="21"/>
                    </w:rPr>
                  </w:pPr>
                  <w:r>
                    <w:rPr>
                      <w:rFonts w:hint="eastAsia" w:cs="Times New Roman"/>
                      <w:szCs w:val="21"/>
                    </w:rPr>
                    <w:t>0.4508</w:t>
                  </w:r>
                </w:p>
              </w:tc>
            </w:tr>
          </w:tbl>
          <w:p w14:paraId="16F496DA">
            <w:pPr>
              <w:spacing w:line="360" w:lineRule="auto"/>
              <w:ind w:firstLine="480" w:firstLineChars="200"/>
              <w:rPr>
                <w:sz w:val="24"/>
                <w:szCs w:val="24"/>
              </w:rPr>
            </w:pPr>
            <w:r>
              <w:rPr>
                <w:rFonts w:hint="eastAsia"/>
                <w:sz w:val="24"/>
                <w:szCs w:val="24"/>
              </w:rPr>
              <w:t>由计算可知，项目危险物质数量与临界量比值（</w:t>
            </w:r>
            <w:r>
              <w:rPr>
                <w:rFonts w:hint="eastAsia"/>
                <w:i/>
                <w:sz w:val="24"/>
                <w:szCs w:val="24"/>
              </w:rPr>
              <w:t>Q</w:t>
            </w:r>
            <w:r>
              <w:rPr>
                <w:rFonts w:hint="eastAsia"/>
                <w:sz w:val="24"/>
                <w:szCs w:val="24"/>
              </w:rPr>
              <w:t>）小于1，</w:t>
            </w:r>
            <w:r>
              <w:rPr>
                <w:rFonts w:cstheme="minorHAnsi"/>
                <w:sz w:val="24"/>
              </w:rPr>
              <w:t>环境风险潜势为I</w:t>
            </w:r>
            <w:r>
              <w:rPr>
                <w:rFonts w:hint="eastAsia" w:cstheme="minorHAnsi"/>
                <w:sz w:val="24"/>
              </w:rPr>
              <w:t>。</w:t>
            </w:r>
          </w:p>
          <w:p w14:paraId="404BF326">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）环境风险识别</w:t>
            </w:r>
          </w:p>
          <w:p w14:paraId="2B40E7CB">
            <w:pPr>
              <w:spacing w:line="360" w:lineRule="auto"/>
              <w:ind w:firstLine="480" w:firstLineChars="200"/>
              <w:rPr>
                <w:sz w:val="24"/>
                <w:szCs w:val="24"/>
              </w:rPr>
            </w:pPr>
            <w:r>
              <w:rPr>
                <w:rFonts w:hint="eastAsia"/>
                <w:sz w:val="24"/>
                <w:szCs w:val="24"/>
              </w:rPr>
              <w:t>环境风险识别内容包括物质危险性识别、生产系统危险性识别和危险物质向环境转移的途径识别。</w:t>
            </w:r>
          </w:p>
          <w:p w14:paraId="74090DD1">
            <w:pPr>
              <w:spacing w:line="360" w:lineRule="auto"/>
              <w:ind w:firstLine="480" w:firstLineChars="200"/>
              <w:rPr>
                <w:sz w:val="24"/>
                <w:szCs w:val="24"/>
              </w:rPr>
            </w:pPr>
            <w:r>
              <w:rPr>
                <w:rFonts w:hint="eastAsia"/>
                <w:sz w:val="24"/>
                <w:szCs w:val="24"/>
              </w:rPr>
              <w:t>物质危险性识别：包括主要原辅材料、燃料、中间产品、副产品、最终产品、污染物、火灾和爆炸伴生/次生物等。</w:t>
            </w:r>
          </w:p>
          <w:p w14:paraId="1A63F82D">
            <w:pPr>
              <w:spacing w:line="360" w:lineRule="auto"/>
              <w:ind w:firstLine="480" w:firstLineChars="200"/>
              <w:rPr>
                <w:sz w:val="24"/>
                <w:szCs w:val="24"/>
              </w:rPr>
            </w:pPr>
            <w:r>
              <w:rPr>
                <w:rFonts w:hint="eastAsia"/>
                <w:sz w:val="24"/>
                <w:szCs w:val="24"/>
              </w:rPr>
              <w:t>生产系统危险性识别：包括主要生产装置、储运设施、公用工程和辅助生产设施以及环境保护实施等。</w:t>
            </w:r>
          </w:p>
          <w:p w14:paraId="08348388">
            <w:pPr>
              <w:spacing w:line="360" w:lineRule="auto"/>
              <w:ind w:firstLine="480" w:firstLineChars="200"/>
              <w:rPr>
                <w:sz w:val="24"/>
                <w:szCs w:val="24"/>
              </w:rPr>
            </w:pPr>
            <w:r>
              <w:rPr>
                <w:rFonts w:hint="eastAsia"/>
                <w:sz w:val="24"/>
                <w:szCs w:val="24"/>
              </w:rPr>
              <w:t>危险物质向环境转移的途径识别：包括分析危险物质特性及可能的环境风险类型，识别危险物质影响环境的途径，分析可能影响的环境敏感目标。</w:t>
            </w:r>
          </w:p>
          <w:p w14:paraId="61A6C030">
            <w:pPr>
              <w:spacing w:line="360" w:lineRule="auto"/>
              <w:ind w:firstLine="482" w:firstLineChars="200"/>
              <w:rPr>
                <w:b/>
                <w:sz w:val="24"/>
                <w:szCs w:val="24"/>
              </w:rPr>
            </w:pPr>
            <w:r>
              <w:rPr>
                <w:rFonts w:hint="eastAsia"/>
                <w:b/>
                <w:sz w:val="24"/>
                <w:szCs w:val="24"/>
              </w:rPr>
              <w:t>1）物质危险性识别</w:t>
            </w:r>
          </w:p>
          <w:p w14:paraId="5527CBBA">
            <w:pPr>
              <w:spacing w:line="360" w:lineRule="auto"/>
              <w:ind w:firstLine="480" w:firstLineChars="200"/>
              <w:rPr>
                <w:sz w:val="24"/>
                <w:szCs w:val="24"/>
              </w:rPr>
            </w:pPr>
            <w:r>
              <w:rPr>
                <w:rFonts w:hint="eastAsia"/>
                <w:sz w:val="24"/>
                <w:szCs w:val="24"/>
              </w:rPr>
              <w:t>根据对生产中主要原辅材料进行识别，项目使用的UV油墨、机油，以及现有工程使用的油漆为易燃、有毒危险物质，其主要危险特性及贮存情况见</w:t>
            </w:r>
            <w:r>
              <w:rPr>
                <w:sz w:val="24"/>
                <w:szCs w:val="24"/>
              </w:rPr>
              <w:fldChar w:fldCharType="begin"/>
            </w:r>
            <w:r>
              <w:rPr>
                <w:sz w:val="24"/>
                <w:szCs w:val="24"/>
              </w:rPr>
              <w:instrText xml:space="preserve"> </w:instrText>
            </w:r>
            <w:r>
              <w:rPr>
                <w:rFonts w:hint="eastAsia"/>
                <w:sz w:val="24"/>
                <w:szCs w:val="24"/>
              </w:rPr>
              <w:instrText xml:space="preserve">REF _Ref176472737 \r \h</w:instrText>
            </w:r>
            <w:r>
              <w:rPr>
                <w:sz w:val="24"/>
                <w:szCs w:val="24"/>
              </w:rPr>
              <w:instrText xml:space="preserve"> </w:instrText>
            </w:r>
            <w:r>
              <w:rPr>
                <w:sz w:val="24"/>
                <w:szCs w:val="24"/>
              </w:rPr>
              <w:fldChar w:fldCharType="separate"/>
            </w:r>
            <w:r>
              <w:rPr>
                <w:rFonts w:hint="eastAsia"/>
                <w:sz w:val="24"/>
                <w:szCs w:val="24"/>
              </w:rPr>
              <w:t>表4-26</w:t>
            </w:r>
            <w:r>
              <w:rPr>
                <w:sz w:val="24"/>
                <w:szCs w:val="24"/>
              </w:rPr>
              <w:fldChar w:fldCharType="end"/>
            </w:r>
            <w:r>
              <w:rPr>
                <w:rFonts w:hint="eastAsia"/>
                <w:sz w:val="24"/>
                <w:szCs w:val="24"/>
              </w:rPr>
              <w:t>。</w:t>
            </w:r>
          </w:p>
          <w:p w14:paraId="72BF73B0">
            <w:pPr>
              <w:spacing w:line="360" w:lineRule="auto"/>
              <w:ind w:firstLine="482" w:firstLineChars="200"/>
              <w:rPr>
                <w:b/>
                <w:sz w:val="24"/>
                <w:szCs w:val="24"/>
              </w:rPr>
            </w:pPr>
            <w:r>
              <w:rPr>
                <w:rFonts w:hint="eastAsia"/>
                <w:b/>
                <w:sz w:val="24"/>
                <w:szCs w:val="24"/>
              </w:rPr>
              <w:t>2）生产系统危险性识别</w:t>
            </w:r>
          </w:p>
          <w:p w14:paraId="35C60DF7">
            <w:pPr>
              <w:spacing w:line="360" w:lineRule="auto"/>
              <w:ind w:firstLine="482" w:firstLineChars="200"/>
              <w:rPr>
                <w:b/>
                <w:sz w:val="24"/>
                <w:szCs w:val="24"/>
              </w:rPr>
            </w:pPr>
            <w:r>
              <w:rPr>
                <w:rFonts w:hint="eastAsia"/>
                <w:b/>
                <w:sz w:val="24"/>
                <w:szCs w:val="24"/>
              </w:rPr>
              <w:t>①生产设备风险识别</w:t>
            </w:r>
          </w:p>
          <w:p w14:paraId="0A128D48">
            <w:pPr>
              <w:spacing w:line="360" w:lineRule="auto"/>
              <w:ind w:firstLine="480" w:firstLineChars="200"/>
              <w:rPr>
                <w:sz w:val="24"/>
                <w:szCs w:val="24"/>
              </w:rPr>
            </w:pPr>
            <w:r>
              <w:rPr>
                <w:rFonts w:hint="eastAsia"/>
                <w:sz w:val="24"/>
                <w:szCs w:val="24"/>
              </w:rPr>
              <w:t>运营期主要风险源于机油、UV油墨、油漆泄漏，泄漏触发因素主要为机械设备管理不到位或原料桶破损、人员操作不当存在的滴漏。</w:t>
            </w:r>
          </w:p>
          <w:p w14:paraId="04C2C0C0">
            <w:pPr>
              <w:spacing w:line="360" w:lineRule="auto"/>
              <w:ind w:firstLine="482" w:firstLineChars="200"/>
              <w:rPr>
                <w:b/>
                <w:sz w:val="24"/>
                <w:szCs w:val="24"/>
              </w:rPr>
            </w:pPr>
            <w:r>
              <w:rPr>
                <w:rFonts w:hint="eastAsia"/>
                <w:b/>
                <w:sz w:val="24"/>
                <w:szCs w:val="24"/>
              </w:rPr>
              <w:t>②运输过程风险识别</w:t>
            </w:r>
          </w:p>
          <w:p w14:paraId="3E694511">
            <w:pPr>
              <w:spacing w:line="360" w:lineRule="auto"/>
              <w:ind w:firstLine="480" w:firstLineChars="200"/>
              <w:rPr>
                <w:sz w:val="24"/>
                <w:szCs w:val="24"/>
              </w:rPr>
            </w:pPr>
            <w:r>
              <w:rPr>
                <w:rFonts w:hint="eastAsia"/>
                <w:sz w:val="24"/>
                <w:szCs w:val="24"/>
              </w:rPr>
              <w:t>项目机油、UV油墨、油漆、危险废物需经公路进行运输，危险物质在装卸、运输可能由于碰撞、振动、挤压等，或因操作不当、重装重卸、容器多次回收利用，强度下降，垫圈失落没有拧紧等原因，造成危险物质泄漏，甚至引起火灾或污染环境等事故。同时在运输途中，由于意外各种原因，可能汽车翻车等，造成危险物质抛至水体，造成较大事故。因此，危险废物在运输过程中存在一定环境风险。</w:t>
            </w:r>
          </w:p>
          <w:p w14:paraId="678B634E">
            <w:pPr>
              <w:spacing w:line="360" w:lineRule="auto"/>
              <w:ind w:firstLine="482" w:firstLineChars="200"/>
              <w:rPr>
                <w:b/>
                <w:sz w:val="24"/>
                <w:szCs w:val="24"/>
              </w:rPr>
            </w:pPr>
            <w:r>
              <w:rPr>
                <w:rFonts w:hint="eastAsia"/>
                <w:b/>
                <w:sz w:val="24"/>
                <w:szCs w:val="24"/>
              </w:rPr>
              <w:t>③贮存过程风险识别</w:t>
            </w:r>
          </w:p>
          <w:p w14:paraId="696DA823">
            <w:pPr>
              <w:spacing w:line="360" w:lineRule="auto"/>
              <w:ind w:firstLine="480" w:firstLineChars="200"/>
              <w:rPr>
                <w:sz w:val="24"/>
                <w:szCs w:val="24"/>
              </w:rPr>
            </w:pPr>
            <w:r>
              <w:rPr>
                <w:rFonts w:hint="eastAsia"/>
                <w:sz w:val="24"/>
                <w:szCs w:val="24"/>
              </w:rPr>
              <w:t>项目危险物质贮存量较小，但危险物质具有易燃性、毒性，潜在的事故原因为废机油、UV油墨、油漆容器的破损、裂缝而造成的泄漏。</w:t>
            </w:r>
          </w:p>
          <w:p w14:paraId="2ED829C5">
            <w:pPr>
              <w:spacing w:line="360" w:lineRule="auto"/>
              <w:ind w:firstLine="482" w:firstLineChars="200"/>
              <w:rPr>
                <w:b/>
                <w:sz w:val="24"/>
                <w:szCs w:val="24"/>
              </w:rPr>
            </w:pPr>
            <w:r>
              <w:rPr>
                <w:rFonts w:hint="eastAsia"/>
                <w:b/>
                <w:sz w:val="24"/>
                <w:szCs w:val="24"/>
              </w:rPr>
              <w:t>3）环境风险类型及危险分析</w:t>
            </w:r>
          </w:p>
          <w:p w14:paraId="35C7495A">
            <w:pPr>
              <w:spacing w:line="360" w:lineRule="auto"/>
              <w:ind w:firstLine="482" w:firstLineChars="200"/>
              <w:rPr>
                <w:b/>
                <w:sz w:val="24"/>
                <w:szCs w:val="24"/>
              </w:rPr>
            </w:pPr>
            <w:r>
              <w:rPr>
                <w:rFonts w:hint="eastAsia"/>
                <w:b/>
                <w:sz w:val="24"/>
                <w:szCs w:val="24"/>
              </w:rPr>
              <w:t>①环境风险类型</w:t>
            </w:r>
          </w:p>
          <w:p w14:paraId="3955D2EB">
            <w:pPr>
              <w:spacing w:line="360" w:lineRule="auto"/>
              <w:ind w:firstLine="480" w:firstLineChars="200"/>
              <w:rPr>
                <w:sz w:val="24"/>
                <w:szCs w:val="24"/>
              </w:rPr>
            </w:pPr>
            <w:r>
              <w:rPr>
                <w:rFonts w:hint="eastAsia"/>
                <w:sz w:val="24"/>
                <w:szCs w:val="24"/>
              </w:rPr>
              <w:t>根据项目建设特点，运营期环境风险类型主要包括：a.机油/UV油墨/油漆泄漏；</w:t>
            </w:r>
            <w:r>
              <w:rPr>
                <w:sz w:val="24"/>
                <w:szCs w:val="24"/>
              </w:rPr>
              <w:t>b</w:t>
            </w:r>
            <w:r>
              <w:rPr>
                <w:rFonts w:hint="eastAsia"/>
                <w:sz w:val="24"/>
                <w:szCs w:val="24"/>
              </w:rPr>
              <w:t>.废气处理设施故障引发的污染物排放；</w:t>
            </w:r>
            <w:r>
              <w:rPr>
                <w:sz w:val="24"/>
                <w:szCs w:val="24"/>
              </w:rPr>
              <w:t>c</w:t>
            </w:r>
            <w:r>
              <w:rPr>
                <w:rFonts w:hint="eastAsia"/>
                <w:sz w:val="24"/>
                <w:szCs w:val="24"/>
              </w:rPr>
              <w:t>.一般性火灾事故风险。</w:t>
            </w:r>
          </w:p>
          <w:p w14:paraId="2C895751">
            <w:pPr>
              <w:spacing w:line="360" w:lineRule="auto"/>
              <w:ind w:firstLine="482" w:firstLineChars="200"/>
              <w:rPr>
                <w:b/>
                <w:sz w:val="24"/>
                <w:szCs w:val="24"/>
              </w:rPr>
            </w:pPr>
            <w:r>
              <w:rPr>
                <w:rFonts w:hint="eastAsia"/>
                <w:b/>
                <w:sz w:val="24"/>
                <w:szCs w:val="24"/>
              </w:rPr>
              <w:t>②危险物质向环境转移的途径识别</w:t>
            </w:r>
          </w:p>
          <w:p w14:paraId="2BE77F04">
            <w:pPr>
              <w:spacing w:line="360" w:lineRule="auto"/>
              <w:ind w:firstLine="480" w:firstLineChars="200"/>
              <w:rPr>
                <w:sz w:val="24"/>
                <w:szCs w:val="24"/>
              </w:rPr>
            </w:pPr>
            <w:r>
              <w:rPr>
                <w:rFonts w:hint="eastAsia"/>
                <w:sz w:val="24"/>
                <w:szCs w:val="24"/>
              </w:rPr>
              <w:t>根据物质及生产系统危险性识别结果，结合运营期环境风险类型，分析得出危险物质向环境转移的可能途径如下：</w:t>
            </w:r>
          </w:p>
          <w:p w14:paraId="6B0085F5">
            <w:pPr>
              <w:spacing w:line="360" w:lineRule="auto"/>
              <w:ind w:firstLine="480" w:firstLineChars="200"/>
              <w:rPr>
                <w:sz w:val="24"/>
                <w:szCs w:val="24"/>
              </w:rPr>
            </w:pPr>
            <w:r>
              <w:rPr>
                <w:sz w:val="24"/>
                <w:szCs w:val="24"/>
              </w:rPr>
              <w:t>a</w:t>
            </w:r>
            <w:r>
              <w:rPr>
                <w:rFonts w:hint="eastAsia"/>
                <w:sz w:val="24"/>
                <w:szCs w:val="24"/>
              </w:rPr>
              <w:t>.因生产管理不当，造成机油/UV油墨/油漆泄漏，有害物质通过地表径流或雨水管道进入地表水环境，此外还可能通过垂直渗透进入地下水环境或土壤环境。</w:t>
            </w:r>
          </w:p>
          <w:p w14:paraId="0E1FE91D">
            <w:pPr>
              <w:spacing w:line="360" w:lineRule="auto"/>
              <w:ind w:firstLine="480" w:firstLineChars="200"/>
              <w:rPr>
                <w:sz w:val="24"/>
                <w:szCs w:val="24"/>
              </w:rPr>
            </w:pPr>
            <w:r>
              <w:rPr>
                <w:sz w:val="24"/>
                <w:szCs w:val="24"/>
              </w:rPr>
              <w:t>b</w:t>
            </w:r>
            <w:r>
              <w:rPr>
                <w:rFonts w:hint="eastAsia"/>
                <w:sz w:val="24"/>
                <w:szCs w:val="24"/>
              </w:rPr>
              <w:t>.废气处理设施发生故障导致污染物未经有效处理排放。</w:t>
            </w:r>
          </w:p>
          <w:p w14:paraId="793EC098">
            <w:pPr>
              <w:spacing w:line="360" w:lineRule="auto"/>
              <w:ind w:firstLine="480" w:firstLineChars="200"/>
              <w:rPr>
                <w:sz w:val="24"/>
                <w:szCs w:val="24"/>
              </w:rPr>
            </w:pPr>
            <w:r>
              <w:rPr>
                <w:sz w:val="24"/>
                <w:szCs w:val="24"/>
              </w:rPr>
              <w:t>c</w:t>
            </w:r>
            <w:r>
              <w:rPr>
                <w:rFonts w:hint="eastAsia"/>
                <w:sz w:val="24"/>
                <w:szCs w:val="24"/>
              </w:rPr>
              <w:t>.生产过程中因管理不规范、操作不当等造成一般性火灾事故产生次生污染物进入大气环境，在灭火过程中事故消防废水通过地表径流或雨水管道进入地表水环境。</w:t>
            </w:r>
          </w:p>
          <w:p w14:paraId="776F76DC">
            <w:pPr>
              <w:spacing w:line="360" w:lineRule="auto"/>
              <w:ind w:firstLine="480" w:firstLineChars="200"/>
              <w:rPr>
                <w:sz w:val="24"/>
                <w:szCs w:val="24"/>
              </w:rPr>
            </w:pPr>
            <w:r>
              <w:rPr>
                <w:rFonts w:hint="eastAsia"/>
                <w:sz w:val="24"/>
                <w:szCs w:val="24"/>
              </w:rPr>
              <w:t>综上所述，本项目环境风险类型、风险源分布及影响途径见下表：</w:t>
            </w:r>
          </w:p>
          <w:p w14:paraId="1A28D1B8">
            <w:pPr>
              <w:pStyle w:val="51"/>
              <w:numPr>
                <w:ilvl w:val="0"/>
                <w:numId w:val="6"/>
              </w:numPr>
              <w:spacing w:line="360" w:lineRule="auto"/>
              <w:ind w:firstLineChars="0"/>
              <w:jc w:val="center"/>
              <w:rPr>
                <w:rFonts w:eastAsia="黑体" w:cs="Times New Roman"/>
                <w:szCs w:val="21"/>
              </w:rPr>
            </w:pPr>
            <w:r>
              <w:rPr>
                <w:rFonts w:hint="eastAsia" w:eastAsia="黑体"/>
                <w:szCs w:val="21"/>
              </w:rPr>
              <w:t>环境风险类型、风险源分布及影响途径表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2"/>
              <w:gridCol w:w="4185"/>
            </w:tblGrid>
            <w:tr w14:paraId="732E8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78" w:type="pct"/>
                  <w:vAlign w:val="center"/>
                </w:tcPr>
                <w:p w14:paraId="6630F2A6">
                  <w:pPr>
                    <w:jc w:val="center"/>
                    <w:rPr>
                      <w:rFonts w:cstheme="minorHAnsi"/>
                      <w:szCs w:val="21"/>
                    </w:rPr>
                  </w:pPr>
                  <w:r>
                    <w:rPr>
                      <w:rFonts w:hint="eastAsia" w:cstheme="minorHAnsi"/>
                      <w:szCs w:val="21"/>
                    </w:rPr>
                    <w:t>风险类型</w:t>
                  </w:r>
                </w:p>
              </w:tc>
              <w:tc>
                <w:tcPr>
                  <w:tcW w:w="678" w:type="pct"/>
                  <w:vAlign w:val="center"/>
                </w:tcPr>
                <w:p w14:paraId="7ED9B78C">
                  <w:pPr>
                    <w:jc w:val="center"/>
                    <w:rPr>
                      <w:rFonts w:cstheme="minorHAnsi"/>
                      <w:szCs w:val="21"/>
                    </w:rPr>
                  </w:pPr>
                  <w:r>
                    <w:rPr>
                      <w:rFonts w:cstheme="minorHAnsi"/>
                      <w:szCs w:val="21"/>
                    </w:rPr>
                    <w:t>风险源</w:t>
                  </w:r>
                </w:p>
              </w:tc>
              <w:tc>
                <w:tcPr>
                  <w:tcW w:w="678" w:type="pct"/>
                  <w:vAlign w:val="center"/>
                </w:tcPr>
                <w:p w14:paraId="01636F9F">
                  <w:pPr>
                    <w:jc w:val="center"/>
                    <w:rPr>
                      <w:rFonts w:cstheme="minorHAnsi"/>
                      <w:szCs w:val="21"/>
                    </w:rPr>
                  </w:pPr>
                  <w:r>
                    <w:rPr>
                      <w:rFonts w:cstheme="minorHAnsi"/>
                      <w:szCs w:val="21"/>
                    </w:rPr>
                    <w:t>危险单元</w:t>
                  </w:r>
                </w:p>
              </w:tc>
              <w:tc>
                <w:tcPr>
                  <w:tcW w:w="679" w:type="pct"/>
                  <w:vAlign w:val="center"/>
                </w:tcPr>
                <w:p w14:paraId="5EBDE0AE">
                  <w:pPr>
                    <w:jc w:val="center"/>
                    <w:rPr>
                      <w:rFonts w:cstheme="minorHAnsi"/>
                      <w:szCs w:val="21"/>
                    </w:rPr>
                  </w:pPr>
                  <w:r>
                    <w:rPr>
                      <w:rFonts w:cstheme="minorHAnsi"/>
                      <w:szCs w:val="21"/>
                    </w:rPr>
                    <w:t>危险物质</w:t>
                  </w:r>
                </w:p>
              </w:tc>
              <w:tc>
                <w:tcPr>
                  <w:tcW w:w="2287" w:type="pct"/>
                  <w:vAlign w:val="center"/>
                </w:tcPr>
                <w:p w14:paraId="35615CB6">
                  <w:pPr>
                    <w:jc w:val="center"/>
                    <w:rPr>
                      <w:rFonts w:cstheme="minorHAnsi"/>
                      <w:szCs w:val="21"/>
                    </w:rPr>
                  </w:pPr>
                  <w:r>
                    <w:rPr>
                      <w:rFonts w:cstheme="minorHAnsi"/>
                      <w:szCs w:val="21"/>
                    </w:rPr>
                    <w:t>影响途径</w:t>
                  </w:r>
                </w:p>
              </w:tc>
            </w:tr>
            <w:tr w14:paraId="53BB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8" w:type="pct"/>
                  <w:shd w:val="clear" w:color="auto" w:fill="auto"/>
                  <w:vAlign w:val="center"/>
                </w:tcPr>
                <w:p w14:paraId="5C03E471">
                  <w:pPr>
                    <w:jc w:val="center"/>
                    <w:rPr>
                      <w:rFonts w:cstheme="minorHAnsi"/>
                      <w:szCs w:val="21"/>
                    </w:rPr>
                  </w:pPr>
                  <w:r>
                    <w:rPr>
                      <w:rFonts w:hint="eastAsia" w:cstheme="minorHAnsi"/>
                      <w:szCs w:val="21"/>
                    </w:rPr>
                    <w:t>机油/UV油墨/油漆泄漏</w:t>
                  </w:r>
                </w:p>
              </w:tc>
              <w:tc>
                <w:tcPr>
                  <w:tcW w:w="678" w:type="pct"/>
                  <w:shd w:val="clear" w:color="auto" w:fill="auto"/>
                  <w:vAlign w:val="center"/>
                </w:tcPr>
                <w:p w14:paraId="1C5FA895">
                  <w:pPr>
                    <w:jc w:val="center"/>
                    <w:rPr>
                      <w:rFonts w:cstheme="minorHAnsi"/>
                      <w:szCs w:val="21"/>
                    </w:rPr>
                  </w:pPr>
                  <w:r>
                    <w:rPr>
                      <w:rFonts w:hint="eastAsia" w:cstheme="minorHAnsi"/>
                      <w:szCs w:val="21"/>
                    </w:rPr>
                    <w:t>危废暂存间/辅料库/油漆存储间</w:t>
                  </w:r>
                </w:p>
              </w:tc>
              <w:tc>
                <w:tcPr>
                  <w:tcW w:w="678" w:type="pct"/>
                  <w:shd w:val="clear" w:color="auto" w:fill="auto"/>
                  <w:vAlign w:val="center"/>
                </w:tcPr>
                <w:p w14:paraId="1CD31454">
                  <w:pPr>
                    <w:jc w:val="center"/>
                    <w:rPr>
                      <w:rFonts w:cstheme="minorHAnsi"/>
                      <w:szCs w:val="21"/>
                    </w:rPr>
                  </w:pPr>
                  <w:r>
                    <w:rPr>
                      <w:rFonts w:hint="eastAsia" w:cstheme="minorHAnsi"/>
                      <w:szCs w:val="21"/>
                    </w:rPr>
                    <w:t>危废暂存间/辅料库房/印刷间/油漆存储间</w:t>
                  </w:r>
                </w:p>
              </w:tc>
              <w:tc>
                <w:tcPr>
                  <w:tcW w:w="679" w:type="pct"/>
                  <w:vAlign w:val="center"/>
                </w:tcPr>
                <w:p w14:paraId="68BF96D5">
                  <w:pPr>
                    <w:jc w:val="center"/>
                    <w:rPr>
                      <w:rFonts w:cstheme="minorHAnsi"/>
                      <w:szCs w:val="21"/>
                    </w:rPr>
                  </w:pPr>
                  <w:r>
                    <w:rPr>
                      <w:rFonts w:hint="eastAsia" w:cstheme="minorHAnsi"/>
                      <w:szCs w:val="21"/>
                    </w:rPr>
                    <w:t>机油、UV油墨、油漆</w:t>
                  </w:r>
                </w:p>
              </w:tc>
              <w:tc>
                <w:tcPr>
                  <w:tcW w:w="2287" w:type="pct"/>
                  <w:vAlign w:val="center"/>
                </w:tcPr>
                <w:p w14:paraId="190A4BB0">
                  <w:pPr>
                    <w:rPr>
                      <w:rFonts w:cstheme="minorHAnsi"/>
                      <w:szCs w:val="21"/>
                    </w:rPr>
                  </w:pPr>
                  <w:r>
                    <w:rPr>
                      <w:rFonts w:cstheme="minorHAnsi"/>
                      <w:szCs w:val="21"/>
                    </w:rPr>
                    <w:t>大气环境</w:t>
                  </w:r>
                  <w:r>
                    <w:rPr>
                      <w:rFonts w:hint="eastAsia" w:cstheme="minorHAnsi"/>
                      <w:szCs w:val="21"/>
                    </w:rPr>
                    <w:t>：机油/UV油墨/油漆泄漏有害物质挥发进入大气环境；</w:t>
                  </w:r>
                </w:p>
                <w:p w14:paraId="3B065E67">
                  <w:pPr>
                    <w:rPr>
                      <w:rFonts w:cstheme="minorHAnsi"/>
                      <w:szCs w:val="21"/>
                    </w:rPr>
                  </w:pPr>
                  <w:r>
                    <w:rPr>
                      <w:rFonts w:hint="eastAsia" w:cstheme="minorHAnsi"/>
                      <w:szCs w:val="21"/>
                    </w:rPr>
                    <w:t>地表水环境：机油/UV油墨/油漆泄漏通过地表径流或雨水管道进入地表水环境，火灾消防过程废水通过地表径流或雨水管网排入地表水环境；</w:t>
                  </w:r>
                </w:p>
                <w:p w14:paraId="7E60697C">
                  <w:pPr>
                    <w:rPr>
                      <w:rFonts w:cstheme="minorHAnsi"/>
                      <w:szCs w:val="21"/>
                    </w:rPr>
                  </w:pPr>
                  <w:r>
                    <w:rPr>
                      <w:rFonts w:cstheme="minorHAnsi"/>
                      <w:szCs w:val="21"/>
                    </w:rPr>
                    <w:t>地下水环境或土壤环境</w:t>
                  </w:r>
                  <w:r>
                    <w:rPr>
                      <w:rFonts w:hint="eastAsia" w:cstheme="minorHAnsi"/>
                      <w:szCs w:val="21"/>
                    </w:rPr>
                    <w:t>：机油/UV油墨/油漆泄漏通过垂直渗透进入地下水环境或土壤环境。</w:t>
                  </w:r>
                </w:p>
              </w:tc>
            </w:tr>
          </w:tbl>
          <w:p w14:paraId="62BFC830">
            <w:pPr>
              <w:spacing w:line="360" w:lineRule="auto"/>
              <w:ind w:firstLine="482" w:firstLineChars="200"/>
              <w:rPr>
                <w:b/>
                <w:sz w:val="24"/>
                <w:szCs w:val="24"/>
              </w:rPr>
            </w:pPr>
            <w:r>
              <w:rPr>
                <w:rFonts w:hint="eastAsia"/>
                <w:b/>
                <w:sz w:val="24"/>
                <w:szCs w:val="24"/>
              </w:rPr>
              <w:t>（</w:t>
            </w:r>
            <w:r>
              <w:rPr>
                <w:b/>
                <w:sz w:val="24"/>
                <w:szCs w:val="24"/>
              </w:rPr>
              <w:t>3</w:t>
            </w:r>
            <w:r>
              <w:rPr>
                <w:rFonts w:hint="eastAsia"/>
                <w:b/>
                <w:sz w:val="24"/>
                <w:szCs w:val="24"/>
              </w:rPr>
              <w:t>）环境风险防范措施</w:t>
            </w:r>
          </w:p>
          <w:p w14:paraId="6864487D">
            <w:pPr>
              <w:spacing w:line="360" w:lineRule="auto"/>
              <w:ind w:firstLine="480" w:firstLineChars="200"/>
              <w:rPr>
                <w:bCs/>
                <w:sz w:val="24"/>
                <w:szCs w:val="24"/>
              </w:rPr>
            </w:pPr>
            <w:r>
              <w:rPr>
                <w:rFonts w:hint="eastAsia"/>
                <w:bCs/>
                <w:sz w:val="24"/>
                <w:szCs w:val="24"/>
              </w:rPr>
              <w:t>根据现场调查，现有工程目前已采取环境风险防范措施包括：①严格按照消防设计规范进行建设，设置消防警示标识，配备灭火器材；②危废暂存间、油漆存储间地面及墙裙防渗措施，设置有防渗墙裙和备用收容设施；③建立危险废物管理制度和台账，加强环保设施运营管理；④制定了环境风险应急预案。企业定期组织开展了应急演练和相关培训，现有环境风险防范措施、管理制度可基本满足厂区突发环境事件应急需求。</w:t>
            </w:r>
            <w:r>
              <w:rPr>
                <w:rFonts w:hint="eastAsia"/>
                <w:b/>
                <w:sz w:val="24"/>
                <w:szCs w:val="24"/>
              </w:rPr>
              <w:t>针对本次扩建新增部分风险源，本次环评将从以下几个方面完善风险防范措施。</w:t>
            </w:r>
          </w:p>
          <w:p w14:paraId="726FB825">
            <w:pPr>
              <w:spacing w:line="360" w:lineRule="auto"/>
              <w:ind w:firstLine="482" w:firstLineChars="200"/>
              <w:rPr>
                <w:b/>
                <w:sz w:val="24"/>
                <w:szCs w:val="24"/>
              </w:rPr>
            </w:pPr>
            <w:r>
              <w:rPr>
                <w:rFonts w:hint="eastAsia"/>
                <w:b/>
                <w:sz w:val="24"/>
                <w:szCs w:val="24"/>
              </w:rPr>
              <w:t>①贮存过程风险防范措施</w:t>
            </w:r>
          </w:p>
          <w:p w14:paraId="42F8540F">
            <w:pPr>
              <w:spacing w:line="360" w:lineRule="auto"/>
              <w:ind w:firstLine="480" w:firstLineChars="200"/>
              <w:rPr>
                <w:sz w:val="24"/>
                <w:szCs w:val="24"/>
              </w:rPr>
            </w:pPr>
            <w:r>
              <w:rPr>
                <w:rFonts w:hint="eastAsia"/>
                <w:sz w:val="24"/>
                <w:szCs w:val="24"/>
              </w:rPr>
              <w:t>UV油墨、机油等风险物质应分类贮存在辅料库房内，采用专用容器盛装且下设防渗托盘（托盘边缘高度不低于10cm），设置空桶作备用收集容器。</w:t>
            </w:r>
          </w:p>
          <w:p w14:paraId="4453710A">
            <w:pPr>
              <w:spacing w:line="360" w:lineRule="auto"/>
              <w:ind w:firstLine="480" w:firstLineChars="200"/>
              <w:rPr>
                <w:sz w:val="24"/>
                <w:szCs w:val="24"/>
              </w:rPr>
            </w:pPr>
            <w:r>
              <w:rPr>
                <w:rFonts w:hint="eastAsia"/>
                <w:sz w:val="24"/>
                <w:szCs w:val="24"/>
              </w:rPr>
              <w:t>危险废物应分类存储并设置警示标识，危险废物暂存间进行重点防渗处理，暂存间地面及10cm高墙裙（围堰）采用2mmHDPE防渗层进行防渗、防腐处理，液态危废采用专用容器盛装且下设防渗托盘（托盘边缘高度不低于10cm），采取防风、防晒、防雨、防漏、防渗、防腐等环境污染防治措施，设置空桶作备用收集容器。贮存区附近需常备有砂子、碎石等防范物资。一旦发生泄漏，不要直接接触泄漏物，在确保安全情况下堵漏。发生小量的泄漏，用砂石</w:t>
            </w:r>
            <w:r>
              <w:rPr>
                <w:rFonts w:hint="eastAsia"/>
                <w:sz w:val="24"/>
                <w:szCs w:val="24"/>
                <w:lang w:eastAsia="zh-CN"/>
              </w:rPr>
              <w:t>或其他</w:t>
            </w:r>
            <w:r>
              <w:rPr>
                <w:rFonts w:hint="eastAsia"/>
                <w:sz w:val="24"/>
                <w:szCs w:val="24"/>
              </w:rPr>
              <w:t>不燃性吸附剂混合吸收，然后收集运至废物处理场所处置。发生大量泄漏，应及时将围堰里物质的抽取到安全不易泄漏的收集器内，回收或运至废物处理场所处置。</w:t>
            </w:r>
          </w:p>
          <w:p w14:paraId="192DDB97">
            <w:pPr>
              <w:spacing w:line="360" w:lineRule="auto"/>
              <w:ind w:firstLine="482" w:firstLineChars="200"/>
              <w:rPr>
                <w:b/>
                <w:sz w:val="24"/>
                <w:szCs w:val="24"/>
              </w:rPr>
            </w:pPr>
            <w:r>
              <w:rPr>
                <w:rFonts w:hint="eastAsia"/>
                <w:b/>
                <w:sz w:val="24"/>
                <w:szCs w:val="24"/>
              </w:rPr>
              <w:t>②运输过程风险防范措施</w:t>
            </w:r>
          </w:p>
          <w:p w14:paraId="3F469E2B">
            <w:pPr>
              <w:spacing w:line="360" w:lineRule="auto"/>
              <w:ind w:firstLine="480" w:firstLineChars="200"/>
              <w:rPr>
                <w:sz w:val="24"/>
                <w:szCs w:val="24"/>
              </w:rPr>
            </w:pPr>
            <w:r>
              <w:rPr>
                <w:sz w:val="24"/>
                <w:szCs w:val="24"/>
              </w:rPr>
              <w:t>a.</w:t>
            </w:r>
            <w:r>
              <w:rPr>
                <w:rFonts w:hint="eastAsia"/>
                <w:sz w:val="24"/>
                <w:szCs w:val="24"/>
              </w:rPr>
              <w:t>做好每次外运处置危险废物的运输登记，认真填写危险废物转移联单，落实联单责任制度。</w:t>
            </w:r>
          </w:p>
          <w:p w14:paraId="132EB728">
            <w:pPr>
              <w:spacing w:line="360" w:lineRule="auto"/>
              <w:ind w:firstLine="480" w:firstLineChars="200"/>
              <w:rPr>
                <w:sz w:val="24"/>
                <w:szCs w:val="24"/>
              </w:rPr>
            </w:pPr>
            <w:r>
              <w:rPr>
                <w:rFonts w:hint="eastAsia"/>
                <w:sz w:val="24"/>
                <w:szCs w:val="24"/>
              </w:rPr>
              <w:t>b</w:t>
            </w:r>
            <w:r>
              <w:rPr>
                <w:sz w:val="24"/>
                <w:szCs w:val="24"/>
              </w:rPr>
              <w:t>.</w:t>
            </w:r>
            <w:r>
              <w:rPr>
                <w:rFonts w:hint="eastAsia"/>
                <w:sz w:val="24"/>
                <w:szCs w:val="24"/>
              </w:rPr>
              <w:t>危险废物处置单位的运输人员必须掌握危险化学品运输的安全知识，了解所运载的危险化学品的性质、危害特性、包装容器的使用特性和发生意外时的应急措施。</w:t>
            </w:r>
          </w:p>
          <w:p w14:paraId="023543B7">
            <w:pPr>
              <w:spacing w:line="360" w:lineRule="auto"/>
              <w:ind w:firstLine="480" w:firstLineChars="200"/>
              <w:rPr>
                <w:sz w:val="24"/>
                <w:szCs w:val="24"/>
              </w:rPr>
            </w:pPr>
            <w:r>
              <w:rPr>
                <w:rFonts w:hint="eastAsia"/>
                <w:sz w:val="24"/>
                <w:szCs w:val="24"/>
              </w:rPr>
              <w:t>c</w:t>
            </w:r>
            <w:r>
              <w:rPr>
                <w:sz w:val="24"/>
                <w:szCs w:val="24"/>
              </w:rPr>
              <w:t>.</w:t>
            </w:r>
            <w:r>
              <w:rPr>
                <w:rFonts w:hint="eastAsia"/>
                <w:sz w:val="24"/>
                <w:szCs w:val="24"/>
              </w:rPr>
              <w:t>运输危险废物不得超装、超载，严格按照规定的行车时间和行车路线行驶。</w:t>
            </w:r>
          </w:p>
          <w:p w14:paraId="50737036">
            <w:pPr>
              <w:spacing w:line="360" w:lineRule="auto"/>
              <w:ind w:firstLine="480" w:firstLineChars="200"/>
              <w:rPr>
                <w:sz w:val="24"/>
                <w:szCs w:val="24"/>
              </w:rPr>
            </w:pPr>
            <w:r>
              <w:rPr>
                <w:rFonts w:hint="eastAsia"/>
                <w:sz w:val="24"/>
                <w:szCs w:val="24"/>
              </w:rPr>
              <w:t>d</w:t>
            </w:r>
            <w:r>
              <w:rPr>
                <w:sz w:val="24"/>
                <w:szCs w:val="24"/>
              </w:rPr>
              <w:t>.</w:t>
            </w:r>
            <w:r>
              <w:rPr>
                <w:rFonts w:hint="eastAsia"/>
                <w:sz w:val="24"/>
                <w:szCs w:val="24"/>
              </w:rPr>
              <w:t>加强各类原辅料运输、使用、储存环节的环境管理，避免跑冒滴漏。</w:t>
            </w:r>
          </w:p>
          <w:p w14:paraId="77A4B250">
            <w:pPr>
              <w:spacing w:line="360" w:lineRule="auto"/>
              <w:ind w:firstLine="480" w:firstLineChars="200"/>
              <w:rPr>
                <w:sz w:val="24"/>
                <w:szCs w:val="24"/>
              </w:rPr>
            </w:pPr>
            <w:r>
              <w:rPr>
                <w:sz w:val="24"/>
                <w:szCs w:val="24"/>
              </w:rPr>
              <w:t>e</w:t>
            </w:r>
            <w:r>
              <w:rPr>
                <w:rFonts w:hint="eastAsia"/>
                <w:sz w:val="24"/>
                <w:szCs w:val="24"/>
              </w:rPr>
              <w:t>.运输单位应制定运输过程中突发环境风险事件的应急预案。</w:t>
            </w:r>
          </w:p>
          <w:p w14:paraId="0459B116">
            <w:pPr>
              <w:spacing w:line="360" w:lineRule="auto"/>
              <w:ind w:firstLine="482" w:firstLineChars="200"/>
              <w:rPr>
                <w:b/>
                <w:sz w:val="24"/>
                <w:szCs w:val="24"/>
              </w:rPr>
            </w:pPr>
            <w:r>
              <w:rPr>
                <w:rFonts w:hint="eastAsia"/>
                <w:b/>
                <w:sz w:val="24"/>
                <w:szCs w:val="24"/>
              </w:rPr>
              <w:t>③火灾风险防范措施</w:t>
            </w:r>
          </w:p>
          <w:p w14:paraId="7FEB3C94">
            <w:pPr>
              <w:spacing w:line="360" w:lineRule="auto"/>
              <w:ind w:firstLine="480" w:firstLineChars="200"/>
              <w:rPr>
                <w:sz w:val="24"/>
                <w:szCs w:val="24"/>
              </w:rPr>
            </w:pPr>
            <w:r>
              <w:rPr>
                <w:rFonts w:hint="eastAsia"/>
                <w:sz w:val="24"/>
                <w:szCs w:val="24"/>
              </w:rPr>
              <w:t>a.生产车间</w:t>
            </w:r>
            <w:r>
              <w:rPr>
                <w:sz w:val="24"/>
                <w:szCs w:val="24"/>
              </w:rPr>
              <w:t>应当严格按照</w:t>
            </w:r>
            <w:r>
              <w:rPr>
                <w:rFonts w:hint="eastAsia"/>
                <w:sz w:val="24"/>
                <w:szCs w:val="24"/>
              </w:rPr>
              <w:t>《建筑设计防火规范（2018年版）》（GB50016-2014）等规范进行设计建设，落实防火、防雷、防爆设计要求。</w:t>
            </w:r>
          </w:p>
          <w:p w14:paraId="7E8004AE">
            <w:pPr>
              <w:spacing w:line="360" w:lineRule="auto"/>
              <w:ind w:firstLine="480" w:firstLineChars="200"/>
              <w:rPr>
                <w:sz w:val="24"/>
                <w:szCs w:val="24"/>
              </w:rPr>
            </w:pPr>
            <w:r>
              <w:rPr>
                <w:rFonts w:hint="eastAsia"/>
                <w:sz w:val="24"/>
                <w:szCs w:val="24"/>
              </w:rPr>
              <w:t>b.完善生产</w:t>
            </w:r>
            <w:r>
              <w:rPr>
                <w:sz w:val="24"/>
                <w:szCs w:val="24"/>
              </w:rPr>
              <w:t>车间</w:t>
            </w:r>
            <w:r>
              <w:rPr>
                <w:rFonts w:hint="eastAsia"/>
                <w:sz w:val="24"/>
                <w:szCs w:val="24"/>
              </w:rPr>
              <w:t>（尤其是辅料库房、印刷间）、危废暂存间等区域</w:t>
            </w:r>
            <w:r>
              <w:rPr>
                <w:sz w:val="24"/>
                <w:szCs w:val="24"/>
              </w:rPr>
              <w:t>防火标识、消防系统，配置足够的灭火器材。</w:t>
            </w:r>
          </w:p>
          <w:p w14:paraId="153ECEC7">
            <w:pPr>
              <w:spacing w:line="360" w:lineRule="auto"/>
              <w:ind w:firstLine="480" w:firstLineChars="200"/>
              <w:rPr>
                <w:sz w:val="24"/>
                <w:szCs w:val="24"/>
              </w:rPr>
            </w:pPr>
            <w:r>
              <w:rPr>
                <w:rFonts w:hint="eastAsia"/>
                <w:sz w:val="24"/>
                <w:szCs w:val="24"/>
              </w:rPr>
              <w:t>c</w:t>
            </w:r>
            <w:r>
              <w:rPr>
                <w:sz w:val="24"/>
                <w:szCs w:val="24"/>
              </w:rPr>
              <w:t>.</w:t>
            </w:r>
            <w:r>
              <w:rPr>
                <w:rFonts w:hint="eastAsia"/>
                <w:sz w:val="24"/>
                <w:szCs w:val="24"/>
              </w:rPr>
              <w:t>厂区设置消火栓系统，为防止消防事故下废水经雨水管网排入地表水环境，造成水质污染，建议建设单位在雨水排放口设置截流装置，事故状态下启动截流装置，将消防废水导入预处理池处理达标后经污水管网排至园区污水处理厂进行处理。</w:t>
            </w:r>
          </w:p>
          <w:p w14:paraId="5748A4BC">
            <w:pPr>
              <w:spacing w:line="360" w:lineRule="auto"/>
              <w:ind w:firstLine="480" w:firstLineChars="200"/>
              <w:rPr>
                <w:sz w:val="24"/>
                <w:szCs w:val="24"/>
              </w:rPr>
            </w:pPr>
            <w:r>
              <w:rPr>
                <w:rFonts w:hint="eastAsia"/>
                <w:sz w:val="24"/>
                <w:szCs w:val="24"/>
              </w:rPr>
              <w:t>d.制定和强化各种安全管理、安全生产的规程，减少人为风险事故（如误操作）的发生；加强生产过程检查，强化员工消防意识，定期进行消防演练。</w:t>
            </w:r>
          </w:p>
          <w:p w14:paraId="18E491F9">
            <w:pPr>
              <w:spacing w:line="360" w:lineRule="auto"/>
              <w:ind w:firstLine="482" w:firstLineChars="200"/>
              <w:rPr>
                <w:b/>
                <w:sz w:val="24"/>
                <w:szCs w:val="24"/>
              </w:rPr>
            </w:pPr>
            <w:r>
              <w:rPr>
                <w:rFonts w:hint="eastAsia"/>
                <w:b/>
                <w:sz w:val="24"/>
                <w:szCs w:val="24"/>
              </w:rPr>
              <w:t>④事故污染防范措施</w:t>
            </w:r>
          </w:p>
          <w:p w14:paraId="326A702F">
            <w:pPr>
              <w:spacing w:line="360" w:lineRule="auto"/>
              <w:ind w:firstLine="480" w:firstLineChars="200"/>
              <w:rPr>
                <w:sz w:val="24"/>
                <w:szCs w:val="24"/>
              </w:rPr>
            </w:pPr>
            <w:r>
              <w:rPr>
                <w:rFonts w:hint="eastAsia"/>
                <w:sz w:val="24"/>
                <w:szCs w:val="24"/>
              </w:rPr>
              <w:t>加强废气处理设施的维护保养，及时发现处理设备的隐患并进行维修，确保废气处理系统正常运行；废气治理设施故障时立即停止产生废气的生产工序，待废气治理设施检修好后，方可进行生产。</w:t>
            </w:r>
          </w:p>
          <w:p w14:paraId="67BBB4D3">
            <w:pPr>
              <w:spacing w:line="360" w:lineRule="auto"/>
              <w:ind w:firstLine="482" w:firstLineChars="200"/>
              <w:rPr>
                <w:b/>
                <w:sz w:val="24"/>
                <w:szCs w:val="24"/>
              </w:rPr>
            </w:pPr>
            <w:r>
              <w:rPr>
                <w:rFonts w:hint="eastAsia"/>
                <w:b/>
                <w:bCs/>
                <w:sz w:val="24"/>
                <w:szCs w:val="24"/>
              </w:rPr>
              <w:t>⑤</w:t>
            </w:r>
            <w:r>
              <w:rPr>
                <w:rFonts w:hint="eastAsia"/>
                <w:b/>
                <w:sz w:val="24"/>
                <w:szCs w:val="24"/>
              </w:rPr>
              <w:t>风险应急预案</w:t>
            </w:r>
          </w:p>
          <w:p w14:paraId="2714FEA9">
            <w:pPr>
              <w:spacing w:line="360" w:lineRule="auto"/>
              <w:ind w:firstLine="480" w:firstLineChars="200"/>
              <w:rPr>
                <w:sz w:val="24"/>
                <w:szCs w:val="24"/>
              </w:rPr>
            </w:pPr>
            <w:r>
              <w:rPr>
                <w:rFonts w:hint="eastAsia"/>
                <w:sz w:val="24"/>
                <w:szCs w:val="24"/>
              </w:rPr>
              <w:t>根据《突发事件应急预案管理办法》（国办发〔2013〕101 号）、《突发环境事件应急管理办法》（环境保护部令第34号）、《企业事业单位突发环境事件应急预案备案管理办法（试行）》（环发〔2015〕4号）、《突发环境事件信息报告办法》（环境保护部令第17号）、《突发环境事件应急预案管理暂行办法》（环发〔2010〕113号）等文件要求，建设单位应制订和完善项目风险事故应急预案，应急</w:t>
            </w:r>
            <w:r>
              <w:rPr>
                <w:rFonts w:hint="eastAsia"/>
                <w:sz w:val="24"/>
                <w:szCs w:val="24"/>
                <w:lang w:eastAsia="zh-CN"/>
              </w:rPr>
              <w:t>预案</w:t>
            </w:r>
            <w:r>
              <w:rPr>
                <w:rFonts w:hint="eastAsia"/>
                <w:sz w:val="24"/>
                <w:szCs w:val="24"/>
              </w:rPr>
              <w:t>应包括下表内容。</w:t>
            </w:r>
          </w:p>
          <w:p w14:paraId="36E8DFDF">
            <w:pPr>
              <w:spacing w:line="360" w:lineRule="auto"/>
              <w:ind w:firstLine="480" w:firstLineChars="200"/>
              <w:rPr>
                <w:sz w:val="24"/>
                <w:szCs w:val="24"/>
              </w:rPr>
            </w:pPr>
          </w:p>
          <w:p w14:paraId="123830B9">
            <w:pPr>
              <w:pStyle w:val="51"/>
              <w:numPr>
                <w:ilvl w:val="0"/>
                <w:numId w:val="6"/>
              </w:numPr>
              <w:spacing w:line="360" w:lineRule="auto"/>
              <w:ind w:firstLineChars="0"/>
              <w:jc w:val="center"/>
              <w:rPr>
                <w:rFonts w:eastAsia="黑体" w:cs="Times New Roman"/>
                <w:szCs w:val="21"/>
              </w:rPr>
            </w:pPr>
            <w:r>
              <w:rPr>
                <w:rFonts w:hint="eastAsia" w:eastAsia="黑体"/>
                <w:szCs w:val="21"/>
              </w:rPr>
              <w:t>环境风险应急预案内容</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852"/>
              <w:gridCol w:w="5219"/>
            </w:tblGrid>
            <w:tr w14:paraId="1DAA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88" w:type="pct"/>
                  <w:vAlign w:val="center"/>
                </w:tcPr>
                <w:p w14:paraId="516D4FF2">
                  <w:pPr>
                    <w:widowControl/>
                    <w:jc w:val="center"/>
                    <w:rPr>
                      <w:rFonts w:cs="Times New Roman"/>
                      <w:kern w:val="0"/>
                      <w:szCs w:val="21"/>
                    </w:rPr>
                  </w:pPr>
                  <w:r>
                    <w:rPr>
                      <w:rFonts w:cs="Times New Roman"/>
                      <w:kern w:val="0"/>
                      <w:szCs w:val="21"/>
                    </w:rPr>
                    <w:t>序号</w:t>
                  </w:r>
                </w:p>
              </w:tc>
              <w:tc>
                <w:tcPr>
                  <w:tcW w:w="1559" w:type="pct"/>
                  <w:vAlign w:val="center"/>
                </w:tcPr>
                <w:p w14:paraId="69A0D698">
                  <w:pPr>
                    <w:widowControl/>
                    <w:jc w:val="center"/>
                    <w:rPr>
                      <w:rFonts w:cs="Times New Roman"/>
                      <w:kern w:val="0"/>
                      <w:szCs w:val="21"/>
                    </w:rPr>
                  </w:pPr>
                  <w:r>
                    <w:rPr>
                      <w:rFonts w:cs="Times New Roman"/>
                      <w:kern w:val="0"/>
                      <w:szCs w:val="21"/>
                    </w:rPr>
                    <w:t>项目</w:t>
                  </w:r>
                </w:p>
              </w:tc>
              <w:tc>
                <w:tcPr>
                  <w:tcW w:w="2853" w:type="pct"/>
                  <w:vAlign w:val="center"/>
                </w:tcPr>
                <w:p w14:paraId="5A5583B2">
                  <w:pPr>
                    <w:widowControl/>
                    <w:jc w:val="center"/>
                    <w:rPr>
                      <w:rFonts w:cs="Times New Roman"/>
                      <w:kern w:val="0"/>
                      <w:szCs w:val="21"/>
                    </w:rPr>
                  </w:pPr>
                  <w:r>
                    <w:rPr>
                      <w:rFonts w:cs="Times New Roman"/>
                      <w:kern w:val="0"/>
                      <w:szCs w:val="21"/>
                    </w:rPr>
                    <w:t>内容及要求</w:t>
                  </w:r>
                </w:p>
              </w:tc>
            </w:tr>
            <w:tr w14:paraId="66BB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5BB8730">
                  <w:pPr>
                    <w:widowControl/>
                    <w:jc w:val="center"/>
                    <w:rPr>
                      <w:rFonts w:cs="Times New Roman"/>
                      <w:kern w:val="0"/>
                      <w:szCs w:val="21"/>
                    </w:rPr>
                  </w:pPr>
                  <w:r>
                    <w:rPr>
                      <w:rFonts w:cs="Times New Roman"/>
                      <w:kern w:val="0"/>
                      <w:szCs w:val="21"/>
                    </w:rPr>
                    <w:t>1</w:t>
                  </w:r>
                </w:p>
              </w:tc>
              <w:tc>
                <w:tcPr>
                  <w:tcW w:w="1559" w:type="pct"/>
                  <w:vAlign w:val="center"/>
                </w:tcPr>
                <w:p w14:paraId="263E020C">
                  <w:pPr>
                    <w:widowControl/>
                    <w:rPr>
                      <w:rFonts w:cs="Times New Roman"/>
                      <w:kern w:val="0"/>
                      <w:szCs w:val="21"/>
                    </w:rPr>
                  </w:pPr>
                  <w:r>
                    <w:rPr>
                      <w:rFonts w:cs="Times New Roman"/>
                      <w:kern w:val="0"/>
                      <w:szCs w:val="21"/>
                    </w:rPr>
                    <w:t>应急组织机构、人员</w:t>
                  </w:r>
                </w:p>
              </w:tc>
              <w:tc>
                <w:tcPr>
                  <w:tcW w:w="2853" w:type="pct"/>
                  <w:vAlign w:val="center"/>
                </w:tcPr>
                <w:p w14:paraId="33E15662">
                  <w:pPr>
                    <w:widowControl/>
                    <w:rPr>
                      <w:rFonts w:cs="Times New Roman"/>
                      <w:kern w:val="0"/>
                      <w:szCs w:val="21"/>
                    </w:rPr>
                  </w:pPr>
                  <w:r>
                    <w:rPr>
                      <w:rFonts w:cs="Times New Roman"/>
                      <w:kern w:val="0"/>
                      <w:szCs w:val="21"/>
                    </w:rPr>
                    <w:t>公司应急机构人员，地方政府应急组织人员</w:t>
                  </w:r>
                </w:p>
              </w:tc>
            </w:tr>
            <w:tr w14:paraId="30FD3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4CD38C3D">
                  <w:pPr>
                    <w:widowControl/>
                    <w:jc w:val="center"/>
                    <w:rPr>
                      <w:rFonts w:cs="Times New Roman"/>
                      <w:kern w:val="0"/>
                      <w:szCs w:val="21"/>
                    </w:rPr>
                  </w:pPr>
                  <w:r>
                    <w:rPr>
                      <w:rFonts w:cs="Times New Roman"/>
                      <w:kern w:val="0"/>
                      <w:szCs w:val="21"/>
                    </w:rPr>
                    <w:t>2</w:t>
                  </w:r>
                </w:p>
              </w:tc>
              <w:tc>
                <w:tcPr>
                  <w:tcW w:w="1559" w:type="pct"/>
                  <w:vAlign w:val="center"/>
                </w:tcPr>
                <w:p w14:paraId="6AB7EA08">
                  <w:pPr>
                    <w:widowControl/>
                    <w:rPr>
                      <w:rFonts w:cs="Times New Roman"/>
                      <w:kern w:val="0"/>
                      <w:szCs w:val="21"/>
                    </w:rPr>
                  </w:pPr>
                  <w:r>
                    <w:rPr>
                      <w:rFonts w:cs="Times New Roman"/>
                      <w:kern w:val="0"/>
                      <w:szCs w:val="21"/>
                    </w:rPr>
                    <w:t>预案分级响应条件</w:t>
                  </w:r>
                </w:p>
              </w:tc>
              <w:tc>
                <w:tcPr>
                  <w:tcW w:w="2853" w:type="pct"/>
                  <w:vAlign w:val="center"/>
                </w:tcPr>
                <w:p w14:paraId="2C9A27FF">
                  <w:pPr>
                    <w:widowControl/>
                    <w:rPr>
                      <w:rFonts w:cs="Times New Roman"/>
                      <w:kern w:val="0"/>
                      <w:szCs w:val="21"/>
                    </w:rPr>
                  </w:pPr>
                  <w:r>
                    <w:rPr>
                      <w:rFonts w:cs="Times New Roman"/>
                      <w:kern w:val="0"/>
                      <w:szCs w:val="21"/>
                    </w:rPr>
                    <w:t>规定预案的级别及分级响应程序</w:t>
                  </w:r>
                </w:p>
              </w:tc>
            </w:tr>
            <w:tr w14:paraId="1E42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7DDF88FD">
                  <w:pPr>
                    <w:widowControl/>
                    <w:jc w:val="center"/>
                    <w:rPr>
                      <w:rFonts w:cs="Times New Roman"/>
                      <w:kern w:val="0"/>
                      <w:szCs w:val="21"/>
                    </w:rPr>
                  </w:pPr>
                  <w:r>
                    <w:rPr>
                      <w:rFonts w:cs="Times New Roman"/>
                      <w:kern w:val="0"/>
                      <w:szCs w:val="21"/>
                    </w:rPr>
                    <w:t>3</w:t>
                  </w:r>
                </w:p>
              </w:tc>
              <w:tc>
                <w:tcPr>
                  <w:tcW w:w="1559" w:type="pct"/>
                  <w:vAlign w:val="center"/>
                </w:tcPr>
                <w:p w14:paraId="039751AB">
                  <w:pPr>
                    <w:widowControl/>
                    <w:rPr>
                      <w:rFonts w:cs="Times New Roman"/>
                      <w:kern w:val="0"/>
                      <w:szCs w:val="21"/>
                    </w:rPr>
                  </w:pPr>
                  <w:r>
                    <w:rPr>
                      <w:rFonts w:cs="Times New Roman"/>
                      <w:kern w:val="0"/>
                      <w:szCs w:val="21"/>
                    </w:rPr>
                    <w:t>应急救援保障</w:t>
                  </w:r>
                </w:p>
              </w:tc>
              <w:tc>
                <w:tcPr>
                  <w:tcW w:w="2853" w:type="pct"/>
                  <w:vAlign w:val="center"/>
                </w:tcPr>
                <w:p w14:paraId="5F24B50E">
                  <w:pPr>
                    <w:widowControl/>
                    <w:rPr>
                      <w:rFonts w:cs="Times New Roman"/>
                      <w:kern w:val="0"/>
                      <w:szCs w:val="21"/>
                    </w:rPr>
                  </w:pPr>
                  <w:r>
                    <w:rPr>
                      <w:rFonts w:cs="Times New Roman"/>
                      <w:kern w:val="0"/>
                      <w:szCs w:val="21"/>
                    </w:rPr>
                    <w:t>应急设施、设备与器材等</w:t>
                  </w:r>
                </w:p>
              </w:tc>
            </w:tr>
            <w:tr w14:paraId="234C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04AC06D8">
                  <w:pPr>
                    <w:widowControl/>
                    <w:jc w:val="center"/>
                    <w:rPr>
                      <w:rFonts w:cs="Times New Roman"/>
                      <w:kern w:val="0"/>
                      <w:szCs w:val="21"/>
                    </w:rPr>
                  </w:pPr>
                  <w:r>
                    <w:rPr>
                      <w:rFonts w:cs="Times New Roman"/>
                      <w:kern w:val="0"/>
                      <w:szCs w:val="21"/>
                    </w:rPr>
                    <w:t>4</w:t>
                  </w:r>
                </w:p>
              </w:tc>
              <w:tc>
                <w:tcPr>
                  <w:tcW w:w="1559" w:type="pct"/>
                  <w:vAlign w:val="center"/>
                </w:tcPr>
                <w:p w14:paraId="568F475D">
                  <w:pPr>
                    <w:widowControl/>
                    <w:rPr>
                      <w:rFonts w:cs="Times New Roman"/>
                      <w:kern w:val="0"/>
                      <w:szCs w:val="21"/>
                    </w:rPr>
                  </w:pPr>
                  <w:r>
                    <w:rPr>
                      <w:rFonts w:cs="Times New Roman"/>
                      <w:kern w:val="0"/>
                      <w:szCs w:val="21"/>
                    </w:rPr>
                    <w:t>报警、通讯联络方式</w:t>
                  </w:r>
                </w:p>
              </w:tc>
              <w:tc>
                <w:tcPr>
                  <w:tcW w:w="2853" w:type="pct"/>
                  <w:vAlign w:val="center"/>
                </w:tcPr>
                <w:p w14:paraId="51B18BC8">
                  <w:pPr>
                    <w:widowControl/>
                    <w:rPr>
                      <w:rFonts w:cs="Times New Roman"/>
                      <w:kern w:val="0"/>
                      <w:szCs w:val="21"/>
                    </w:rPr>
                  </w:pPr>
                  <w:r>
                    <w:rPr>
                      <w:rFonts w:cs="Times New Roman"/>
                      <w:kern w:val="0"/>
                      <w:szCs w:val="21"/>
                    </w:rPr>
                    <w:t>规定应急状态下的报警通讯方式；交通保障、管制</w:t>
                  </w:r>
                </w:p>
              </w:tc>
            </w:tr>
            <w:tr w14:paraId="2D85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43E78F67">
                  <w:pPr>
                    <w:widowControl/>
                    <w:jc w:val="center"/>
                    <w:rPr>
                      <w:rFonts w:cs="Times New Roman"/>
                      <w:kern w:val="0"/>
                      <w:szCs w:val="21"/>
                    </w:rPr>
                  </w:pPr>
                  <w:r>
                    <w:rPr>
                      <w:rFonts w:cs="Times New Roman"/>
                      <w:kern w:val="0"/>
                      <w:szCs w:val="21"/>
                    </w:rPr>
                    <w:t>5</w:t>
                  </w:r>
                </w:p>
              </w:tc>
              <w:tc>
                <w:tcPr>
                  <w:tcW w:w="1559" w:type="pct"/>
                  <w:vAlign w:val="center"/>
                </w:tcPr>
                <w:p w14:paraId="25752ACD">
                  <w:pPr>
                    <w:widowControl/>
                    <w:rPr>
                      <w:rFonts w:cs="Times New Roman"/>
                      <w:kern w:val="0"/>
                      <w:szCs w:val="21"/>
                    </w:rPr>
                  </w:pPr>
                  <w:r>
                    <w:rPr>
                      <w:rFonts w:cs="Times New Roman"/>
                      <w:kern w:val="0"/>
                      <w:szCs w:val="21"/>
                    </w:rPr>
                    <w:t>应急环境监测、抢险、救援及控制措施</w:t>
                  </w:r>
                </w:p>
              </w:tc>
              <w:tc>
                <w:tcPr>
                  <w:tcW w:w="2853" w:type="pct"/>
                  <w:vAlign w:val="center"/>
                </w:tcPr>
                <w:p w14:paraId="1AF7BFC9">
                  <w:pPr>
                    <w:widowControl/>
                    <w:rPr>
                      <w:rFonts w:cs="Times New Roman"/>
                      <w:kern w:val="0"/>
                      <w:szCs w:val="21"/>
                    </w:rPr>
                  </w:pPr>
                  <w:r>
                    <w:rPr>
                      <w:rFonts w:cs="Times New Roman"/>
                      <w:kern w:val="0"/>
                      <w:szCs w:val="21"/>
                    </w:rPr>
                    <w:t>由环境监测站负责对事故现场进行监测，对事故性质、参数与后果进行评估，为指挥部门提供决策根据</w:t>
                  </w:r>
                </w:p>
              </w:tc>
            </w:tr>
            <w:tr w14:paraId="75A2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6A7BF9A4">
                  <w:pPr>
                    <w:widowControl/>
                    <w:jc w:val="center"/>
                    <w:rPr>
                      <w:rFonts w:cs="Times New Roman"/>
                      <w:kern w:val="0"/>
                      <w:szCs w:val="21"/>
                    </w:rPr>
                  </w:pPr>
                  <w:r>
                    <w:rPr>
                      <w:rFonts w:cs="Times New Roman"/>
                      <w:kern w:val="0"/>
                      <w:szCs w:val="21"/>
                    </w:rPr>
                    <w:t>6</w:t>
                  </w:r>
                </w:p>
              </w:tc>
              <w:tc>
                <w:tcPr>
                  <w:tcW w:w="1559" w:type="pct"/>
                  <w:vAlign w:val="center"/>
                </w:tcPr>
                <w:p w14:paraId="3125099B">
                  <w:pPr>
                    <w:widowControl/>
                    <w:rPr>
                      <w:rFonts w:cs="Times New Roman"/>
                      <w:kern w:val="0"/>
                      <w:szCs w:val="21"/>
                    </w:rPr>
                  </w:pPr>
                  <w:r>
                    <w:rPr>
                      <w:rFonts w:cs="Times New Roman"/>
                      <w:kern w:val="0"/>
                      <w:szCs w:val="21"/>
                    </w:rPr>
                    <w:t>应急检测、防护措施、清除泄漏措施器材</w:t>
                  </w:r>
                </w:p>
              </w:tc>
              <w:tc>
                <w:tcPr>
                  <w:tcW w:w="2853" w:type="pct"/>
                  <w:vAlign w:val="center"/>
                </w:tcPr>
                <w:p w14:paraId="74EE50E7">
                  <w:pPr>
                    <w:widowControl/>
                    <w:rPr>
                      <w:rFonts w:cs="Times New Roman"/>
                      <w:kern w:val="0"/>
                      <w:szCs w:val="21"/>
                    </w:rPr>
                  </w:pPr>
                  <w:r>
                    <w:rPr>
                      <w:rFonts w:cs="Times New Roman"/>
                      <w:kern w:val="0"/>
                      <w:szCs w:val="21"/>
                    </w:rPr>
                    <w:t>事故现场、邻近区域、控制防火区域，控制和清除污染措施及相应设备</w:t>
                  </w:r>
                </w:p>
              </w:tc>
            </w:tr>
            <w:tr w14:paraId="37A8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7BE219BC">
                  <w:pPr>
                    <w:widowControl/>
                    <w:jc w:val="center"/>
                    <w:rPr>
                      <w:rFonts w:cs="Times New Roman"/>
                      <w:kern w:val="0"/>
                      <w:szCs w:val="21"/>
                    </w:rPr>
                  </w:pPr>
                  <w:r>
                    <w:rPr>
                      <w:rFonts w:cs="Times New Roman"/>
                      <w:kern w:val="0"/>
                      <w:szCs w:val="21"/>
                    </w:rPr>
                    <w:t>7</w:t>
                  </w:r>
                </w:p>
              </w:tc>
              <w:tc>
                <w:tcPr>
                  <w:tcW w:w="1559" w:type="pct"/>
                  <w:vAlign w:val="center"/>
                </w:tcPr>
                <w:p w14:paraId="2C02331D">
                  <w:pPr>
                    <w:widowControl/>
                    <w:rPr>
                      <w:rFonts w:cs="Times New Roman"/>
                      <w:kern w:val="0"/>
                      <w:szCs w:val="21"/>
                    </w:rPr>
                  </w:pPr>
                  <w:r>
                    <w:rPr>
                      <w:rFonts w:cs="Times New Roman"/>
                      <w:kern w:val="0"/>
                      <w:szCs w:val="21"/>
                    </w:rPr>
                    <w:t>人员紧急撤离、疏散</w:t>
                  </w:r>
                </w:p>
              </w:tc>
              <w:tc>
                <w:tcPr>
                  <w:tcW w:w="2853" w:type="pct"/>
                  <w:vAlign w:val="center"/>
                </w:tcPr>
                <w:p w14:paraId="6B6FB613">
                  <w:pPr>
                    <w:widowControl/>
                    <w:rPr>
                      <w:rFonts w:cs="Times New Roman"/>
                      <w:kern w:val="0"/>
                      <w:szCs w:val="21"/>
                    </w:rPr>
                  </w:pPr>
                  <w:r>
                    <w:rPr>
                      <w:rFonts w:cs="Times New Roman"/>
                      <w:kern w:val="0"/>
                      <w:szCs w:val="21"/>
                    </w:rPr>
                    <w:t>撤离组织计划及救护，医疗救护与公众健康</w:t>
                  </w:r>
                </w:p>
              </w:tc>
            </w:tr>
            <w:tr w14:paraId="5432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66EEC635">
                  <w:pPr>
                    <w:widowControl/>
                    <w:jc w:val="center"/>
                    <w:rPr>
                      <w:rFonts w:cs="Times New Roman"/>
                      <w:kern w:val="0"/>
                      <w:szCs w:val="21"/>
                    </w:rPr>
                  </w:pPr>
                  <w:r>
                    <w:rPr>
                      <w:rFonts w:cs="Times New Roman"/>
                      <w:kern w:val="0"/>
                      <w:szCs w:val="21"/>
                    </w:rPr>
                    <w:t>8</w:t>
                  </w:r>
                </w:p>
              </w:tc>
              <w:tc>
                <w:tcPr>
                  <w:tcW w:w="1559" w:type="pct"/>
                  <w:vAlign w:val="center"/>
                </w:tcPr>
                <w:p w14:paraId="7136D14B">
                  <w:pPr>
                    <w:widowControl/>
                    <w:rPr>
                      <w:rFonts w:cs="Times New Roman"/>
                      <w:kern w:val="0"/>
                      <w:szCs w:val="21"/>
                    </w:rPr>
                  </w:pPr>
                  <w:r>
                    <w:rPr>
                      <w:rFonts w:cs="Times New Roman"/>
                      <w:kern w:val="0"/>
                      <w:szCs w:val="21"/>
                    </w:rPr>
                    <w:t>事故应急救援关闭程序与恢复措施</w:t>
                  </w:r>
                </w:p>
              </w:tc>
              <w:tc>
                <w:tcPr>
                  <w:tcW w:w="2853" w:type="pct"/>
                  <w:vAlign w:val="center"/>
                </w:tcPr>
                <w:p w14:paraId="5F08159E">
                  <w:pPr>
                    <w:widowControl/>
                    <w:rPr>
                      <w:rFonts w:cs="Times New Roman"/>
                      <w:kern w:val="0"/>
                      <w:szCs w:val="21"/>
                    </w:rPr>
                  </w:pPr>
                  <w:r>
                    <w:rPr>
                      <w:rFonts w:cs="Times New Roman"/>
                      <w:kern w:val="0"/>
                      <w:szCs w:val="21"/>
                    </w:rPr>
                    <w:t>专业队伍抢救结束后，做好事故现场善后处理，邻近区域解除事故警戒及善后恢复措施，现场调查、清理、清洗工作恢复生产状态，组织生产</w:t>
                  </w:r>
                </w:p>
              </w:tc>
            </w:tr>
            <w:tr w14:paraId="4BD5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4EDAA6F">
                  <w:pPr>
                    <w:widowControl/>
                    <w:jc w:val="center"/>
                    <w:rPr>
                      <w:rFonts w:cs="Times New Roman"/>
                      <w:kern w:val="0"/>
                      <w:szCs w:val="21"/>
                    </w:rPr>
                  </w:pPr>
                  <w:r>
                    <w:rPr>
                      <w:rFonts w:cs="Times New Roman"/>
                      <w:kern w:val="0"/>
                      <w:szCs w:val="21"/>
                    </w:rPr>
                    <w:t>9</w:t>
                  </w:r>
                </w:p>
              </w:tc>
              <w:tc>
                <w:tcPr>
                  <w:tcW w:w="1559" w:type="pct"/>
                  <w:vAlign w:val="center"/>
                </w:tcPr>
                <w:p w14:paraId="4CB0395E">
                  <w:pPr>
                    <w:widowControl/>
                    <w:rPr>
                      <w:rFonts w:cs="Times New Roman"/>
                      <w:kern w:val="0"/>
                      <w:szCs w:val="21"/>
                    </w:rPr>
                  </w:pPr>
                  <w:r>
                    <w:rPr>
                      <w:rFonts w:cs="Times New Roman"/>
                      <w:kern w:val="0"/>
                      <w:szCs w:val="21"/>
                    </w:rPr>
                    <w:t>应急培训计划</w:t>
                  </w:r>
                </w:p>
              </w:tc>
              <w:tc>
                <w:tcPr>
                  <w:tcW w:w="2853" w:type="pct"/>
                  <w:vAlign w:val="center"/>
                </w:tcPr>
                <w:p w14:paraId="1F95AB35">
                  <w:pPr>
                    <w:widowControl/>
                    <w:rPr>
                      <w:rFonts w:cs="Times New Roman"/>
                      <w:kern w:val="0"/>
                      <w:szCs w:val="21"/>
                    </w:rPr>
                  </w:pPr>
                  <w:r>
                    <w:rPr>
                      <w:rFonts w:cs="Times New Roman"/>
                      <w:kern w:val="0"/>
                      <w:szCs w:val="21"/>
                    </w:rPr>
                    <w:t>制定计划，安排人员培训与演练</w:t>
                  </w:r>
                </w:p>
              </w:tc>
            </w:tr>
          </w:tbl>
          <w:p w14:paraId="67B93571">
            <w:pPr>
              <w:spacing w:line="360" w:lineRule="auto"/>
              <w:ind w:firstLine="482" w:firstLineChars="200"/>
              <w:rPr>
                <w:b/>
                <w:sz w:val="24"/>
                <w:szCs w:val="24"/>
              </w:rPr>
            </w:pPr>
            <w:r>
              <w:rPr>
                <w:rFonts w:hint="eastAsia"/>
                <w:b/>
                <w:sz w:val="24"/>
                <w:szCs w:val="24"/>
              </w:rPr>
              <w:t>（</w:t>
            </w:r>
            <w:r>
              <w:rPr>
                <w:b/>
                <w:sz w:val="24"/>
                <w:szCs w:val="24"/>
              </w:rPr>
              <w:t>4</w:t>
            </w:r>
            <w:r>
              <w:rPr>
                <w:rFonts w:hint="eastAsia"/>
                <w:b/>
                <w:sz w:val="24"/>
                <w:szCs w:val="24"/>
              </w:rPr>
              <w:t>）环境风险分析结论</w:t>
            </w:r>
          </w:p>
          <w:p w14:paraId="47441D5F">
            <w:pPr>
              <w:spacing w:line="360" w:lineRule="auto"/>
              <w:ind w:firstLine="480"/>
              <w:rPr>
                <w:rFonts w:cs="Calibri"/>
                <w:sz w:val="24"/>
                <w:szCs w:val="24"/>
              </w:rPr>
            </w:pPr>
            <w:r>
              <w:rPr>
                <w:rFonts w:hint="eastAsia" w:cs="Calibri"/>
                <w:sz w:val="24"/>
                <w:szCs w:val="24"/>
              </w:rPr>
              <w:t>本项目环境风险潜势为I，运营期在严格落实环评提出的风险防范措施后，可最大程度防止重大环境污染事故的发生，使项目建成后风险水平处于可接受程度。</w:t>
            </w:r>
          </w:p>
          <w:p w14:paraId="1B279FE1">
            <w:pPr>
              <w:spacing w:line="360" w:lineRule="auto"/>
              <w:ind w:firstLine="482" w:firstLineChars="200"/>
              <w:rPr>
                <w:b/>
                <w:sz w:val="24"/>
                <w:szCs w:val="24"/>
              </w:rPr>
            </w:pPr>
            <w:r>
              <w:rPr>
                <w:b/>
                <w:sz w:val="24"/>
                <w:szCs w:val="24"/>
              </w:rPr>
              <w:t>7</w:t>
            </w:r>
            <w:r>
              <w:rPr>
                <w:rFonts w:hint="eastAsia"/>
                <w:b/>
                <w:sz w:val="24"/>
                <w:szCs w:val="24"/>
              </w:rPr>
              <w:t>、“三本账”计算</w:t>
            </w:r>
          </w:p>
          <w:p w14:paraId="5A2D3076">
            <w:pPr>
              <w:spacing w:line="360" w:lineRule="auto"/>
              <w:ind w:firstLine="480"/>
              <w:rPr>
                <w:sz w:val="24"/>
                <w:szCs w:val="24"/>
              </w:rPr>
            </w:pPr>
            <w:r>
              <w:rPr>
                <w:rFonts w:hint="eastAsia"/>
                <w:sz w:val="24"/>
                <w:szCs w:val="24"/>
              </w:rPr>
              <w:t>本次扩建前后污染物排放“三本账”计算结果见下表。</w:t>
            </w:r>
          </w:p>
          <w:p w14:paraId="3AA8F493">
            <w:pPr>
              <w:pStyle w:val="51"/>
              <w:numPr>
                <w:ilvl w:val="0"/>
                <w:numId w:val="6"/>
              </w:numPr>
              <w:spacing w:line="360" w:lineRule="auto"/>
              <w:ind w:firstLineChars="0"/>
              <w:jc w:val="center"/>
              <w:rPr>
                <w:rFonts w:eastAsia="黑体" w:cs="Times New Roman"/>
                <w:szCs w:val="21"/>
              </w:rPr>
            </w:pPr>
            <w:r>
              <w:rPr>
                <w:rFonts w:hint="eastAsia" w:eastAsia="黑体"/>
                <w:szCs w:val="21"/>
              </w:rPr>
              <w:t>扩建前后“三本账”计算表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645"/>
              <w:gridCol w:w="1262"/>
              <w:gridCol w:w="1264"/>
              <w:gridCol w:w="1412"/>
              <w:gridCol w:w="1412"/>
              <w:gridCol w:w="1413"/>
            </w:tblGrid>
            <w:tr w14:paraId="396A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04" w:type="pct"/>
                  <w:shd w:val="clear" w:color="auto" w:fill="auto"/>
                  <w:vAlign w:val="center"/>
                </w:tcPr>
                <w:p w14:paraId="78B5D9C6">
                  <w:pPr>
                    <w:jc w:val="center"/>
                    <w:rPr>
                      <w:szCs w:val="21"/>
                    </w:rPr>
                  </w:pPr>
                  <w:r>
                    <w:rPr>
                      <w:rFonts w:hint="eastAsia"/>
                      <w:szCs w:val="21"/>
                    </w:rPr>
                    <w:t>类别</w:t>
                  </w:r>
                </w:p>
              </w:tc>
              <w:tc>
                <w:tcPr>
                  <w:tcW w:w="899" w:type="pct"/>
                  <w:shd w:val="clear" w:color="auto" w:fill="auto"/>
                  <w:vAlign w:val="center"/>
                </w:tcPr>
                <w:p w14:paraId="737080C1">
                  <w:pPr>
                    <w:jc w:val="center"/>
                    <w:rPr>
                      <w:szCs w:val="21"/>
                    </w:rPr>
                  </w:pPr>
                  <w:r>
                    <w:rPr>
                      <w:rFonts w:hint="eastAsia"/>
                      <w:szCs w:val="21"/>
                    </w:rPr>
                    <w:t>污染物</w:t>
                  </w:r>
                </w:p>
              </w:tc>
              <w:tc>
                <w:tcPr>
                  <w:tcW w:w="690" w:type="pct"/>
                  <w:shd w:val="clear" w:color="auto" w:fill="auto"/>
                  <w:vAlign w:val="center"/>
                </w:tcPr>
                <w:p w14:paraId="3E0867D2">
                  <w:pPr>
                    <w:jc w:val="center"/>
                    <w:rPr>
                      <w:szCs w:val="21"/>
                    </w:rPr>
                  </w:pPr>
                  <w:r>
                    <w:rPr>
                      <w:rFonts w:hint="eastAsia"/>
                      <w:szCs w:val="21"/>
                    </w:rPr>
                    <w:t>现有工程排放量(t/a)</w:t>
                  </w:r>
                </w:p>
              </w:tc>
              <w:tc>
                <w:tcPr>
                  <w:tcW w:w="691" w:type="pct"/>
                  <w:shd w:val="clear" w:color="auto" w:fill="auto"/>
                  <w:vAlign w:val="center"/>
                </w:tcPr>
                <w:p w14:paraId="6383B8EE">
                  <w:pPr>
                    <w:jc w:val="center"/>
                    <w:rPr>
                      <w:szCs w:val="21"/>
                    </w:rPr>
                  </w:pPr>
                  <w:r>
                    <w:rPr>
                      <w:rFonts w:hint="eastAsia"/>
                      <w:szCs w:val="21"/>
                    </w:rPr>
                    <w:t>扩建项目排放量(t/a)</w:t>
                  </w:r>
                </w:p>
              </w:tc>
              <w:tc>
                <w:tcPr>
                  <w:tcW w:w="772" w:type="pct"/>
                  <w:shd w:val="clear" w:color="auto" w:fill="auto"/>
                  <w:vAlign w:val="center"/>
                </w:tcPr>
                <w:p w14:paraId="4F5A73E7">
                  <w:pPr>
                    <w:jc w:val="center"/>
                    <w:rPr>
                      <w:szCs w:val="21"/>
                    </w:rPr>
                  </w:pPr>
                  <w:r>
                    <w:rPr>
                      <w:rFonts w:cs="Times New Roman"/>
                      <w:szCs w:val="21"/>
                    </w:rPr>
                    <w:t>“以新带老”</w:t>
                  </w:r>
                  <w:r>
                    <w:rPr>
                      <w:rFonts w:hint="eastAsia"/>
                      <w:szCs w:val="21"/>
                    </w:rPr>
                    <w:t>削</w:t>
                  </w:r>
                  <w:r>
                    <w:rPr>
                      <w:szCs w:val="21"/>
                    </w:rPr>
                    <w:t>减量</w:t>
                  </w:r>
                  <w:r>
                    <w:rPr>
                      <w:rFonts w:hint="eastAsia"/>
                      <w:szCs w:val="21"/>
                    </w:rPr>
                    <w:t>(t/a)</w:t>
                  </w:r>
                </w:p>
              </w:tc>
              <w:tc>
                <w:tcPr>
                  <w:tcW w:w="772" w:type="pct"/>
                  <w:shd w:val="clear" w:color="auto" w:fill="auto"/>
                  <w:vAlign w:val="center"/>
                </w:tcPr>
                <w:p w14:paraId="5C1D3EE8">
                  <w:pPr>
                    <w:jc w:val="center"/>
                    <w:rPr>
                      <w:szCs w:val="21"/>
                    </w:rPr>
                  </w:pPr>
                  <w:r>
                    <w:rPr>
                      <w:rFonts w:hint="eastAsia"/>
                      <w:szCs w:val="21"/>
                    </w:rPr>
                    <w:t>扩建后全厂</w:t>
                  </w:r>
                  <w:r>
                    <w:rPr>
                      <w:szCs w:val="21"/>
                    </w:rPr>
                    <w:t>排放量</w:t>
                  </w:r>
                  <w:r>
                    <w:rPr>
                      <w:rFonts w:hint="eastAsia"/>
                      <w:szCs w:val="21"/>
                    </w:rPr>
                    <w:t>(t/a)</w:t>
                  </w:r>
                </w:p>
              </w:tc>
              <w:tc>
                <w:tcPr>
                  <w:tcW w:w="772" w:type="pct"/>
                  <w:shd w:val="clear" w:color="auto" w:fill="auto"/>
                  <w:vAlign w:val="center"/>
                </w:tcPr>
                <w:p w14:paraId="690329E3">
                  <w:pPr>
                    <w:jc w:val="center"/>
                    <w:rPr>
                      <w:szCs w:val="21"/>
                    </w:rPr>
                  </w:pPr>
                  <w:r>
                    <w:rPr>
                      <w:rFonts w:hint="eastAsia"/>
                      <w:szCs w:val="21"/>
                    </w:rPr>
                    <w:t>污染物增减量(t/a</w:t>
                  </w:r>
                  <w:r>
                    <w:rPr>
                      <w:szCs w:val="21"/>
                    </w:rPr>
                    <w:t>)</w:t>
                  </w:r>
                </w:p>
              </w:tc>
            </w:tr>
            <w:tr w14:paraId="6FEEF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restart"/>
                  <w:shd w:val="clear" w:color="auto" w:fill="auto"/>
                  <w:vAlign w:val="center"/>
                </w:tcPr>
                <w:p w14:paraId="31614CE2">
                  <w:pPr>
                    <w:jc w:val="center"/>
                    <w:rPr>
                      <w:szCs w:val="21"/>
                    </w:rPr>
                  </w:pPr>
                  <w:r>
                    <w:rPr>
                      <w:rFonts w:hint="eastAsia"/>
                      <w:szCs w:val="21"/>
                    </w:rPr>
                    <w:t>废气</w:t>
                  </w:r>
                </w:p>
              </w:tc>
              <w:tc>
                <w:tcPr>
                  <w:tcW w:w="899" w:type="pct"/>
                  <w:shd w:val="clear" w:color="auto" w:fill="auto"/>
                  <w:vAlign w:val="center"/>
                </w:tcPr>
                <w:p w14:paraId="7CCF4C5F">
                  <w:pPr>
                    <w:jc w:val="center"/>
                    <w:rPr>
                      <w:szCs w:val="21"/>
                    </w:rPr>
                  </w:pPr>
                  <w:r>
                    <w:rPr>
                      <w:rFonts w:hint="eastAsia"/>
                      <w:szCs w:val="21"/>
                    </w:rPr>
                    <w:t>颗粒物</w:t>
                  </w:r>
                </w:p>
              </w:tc>
              <w:tc>
                <w:tcPr>
                  <w:tcW w:w="690" w:type="pct"/>
                  <w:shd w:val="clear" w:color="auto" w:fill="auto"/>
                  <w:vAlign w:val="center"/>
                </w:tcPr>
                <w:p w14:paraId="37B1C349">
                  <w:pPr>
                    <w:jc w:val="center"/>
                    <w:rPr>
                      <w:szCs w:val="21"/>
                    </w:rPr>
                  </w:pPr>
                  <w:r>
                    <w:rPr>
                      <w:rFonts w:hint="eastAsia"/>
                      <w:szCs w:val="21"/>
                    </w:rPr>
                    <w:t>1.2252</w:t>
                  </w:r>
                </w:p>
              </w:tc>
              <w:tc>
                <w:tcPr>
                  <w:tcW w:w="691" w:type="pct"/>
                  <w:shd w:val="clear" w:color="auto" w:fill="auto"/>
                  <w:vAlign w:val="center"/>
                </w:tcPr>
                <w:p w14:paraId="399D9B37">
                  <w:pPr>
                    <w:jc w:val="center"/>
                    <w:rPr>
                      <w:rFonts w:cs="Times New Roman" w:eastAsiaTheme="minorEastAsia"/>
                      <w:szCs w:val="21"/>
                    </w:rPr>
                  </w:pPr>
                  <w:r>
                    <w:rPr>
                      <w:rFonts w:hint="eastAsia" w:cs="Times New Roman" w:eastAsiaTheme="minorEastAsia"/>
                      <w:szCs w:val="21"/>
                    </w:rPr>
                    <w:t>0</w:t>
                  </w:r>
                </w:p>
              </w:tc>
              <w:tc>
                <w:tcPr>
                  <w:tcW w:w="772" w:type="pct"/>
                  <w:shd w:val="clear" w:color="auto" w:fill="auto"/>
                </w:tcPr>
                <w:p w14:paraId="6E5862B2">
                  <w:pPr>
                    <w:jc w:val="center"/>
                    <w:rPr>
                      <w:szCs w:val="21"/>
                    </w:rPr>
                  </w:pPr>
                  <w:r>
                    <w:rPr>
                      <w:rFonts w:hint="eastAsia"/>
                      <w:szCs w:val="21"/>
                    </w:rPr>
                    <w:t>0</w:t>
                  </w:r>
                </w:p>
              </w:tc>
              <w:tc>
                <w:tcPr>
                  <w:tcW w:w="772" w:type="pct"/>
                  <w:shd w:val="clear" w:color="auto" w:fill="auto"/>
                  <w:vAlign w:val="center"/>
                </w:tcPr>
                <w:p w14:paraId="4FCF3F13">
                  <w:pPr>
                    <w:jc w:val="center"/>
                    <w:rPr>
                      <w:szCs w:val="21"/>
                    </w:rPr>
                  </w:pPr>
                  <w:r>
                    <w:rPr>
                      <w:rFonts w:hint="eastAsia"/>
                      <w:szCs w:val="21"/>
                    </w:rPr>
                    <w:t>1.2252</w:t>
                  </w:r>
                </w:p>
              </w:tc>
              <w:tc>
                <w:tcPr>
                  <w:tcW w:w="772" w:type="pct"/>
                  <w:shd w:val="clear" w:color="auto" w:fill="auto"/>
                  <w:vAlign w:val="center"/>
                </w:tcPr>
                <w:p w14:paraId="5CB391D8">
                  <w:pPr>
                    <w:jc w:val="center"/>
                    <w:rPr>
                      <w:rFonts w:cs="Times New Roman"/>
                      <w:szCs w:val="21"/>
                    </w:rPr>
                  </w:pPr>
                  <w:r>
                    <w:rPr>
                      <w:rFonts w:hint="eastAsia" w:cs="Times New Roman"/>
                      <w:szCs w:val="21"/>
                    </w:rPr>
                    <w:t>0</w:t>
                  </w:r>
                </w:p>
              </w:tc>
            </w:tr>
            <w:tr w14:paraId="26CD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5445A5CB">
                  <w:pPr>
                    <w:jc w:val="center"/>
                    <w:rPr>
                      <w:szCs w:val="21"/>
                    </w:rPr>
                  </w:pPr>
                </w:p>
              </w:tc>
              <w:tc>
                <w:tcPr>
                  <w:tcW w:w="899" w:type="pct"/>
                  <w:shd w:val="clear" w:color="auto" w:fill="auto"/>
                  <w:vAlign w:val="center"/>
                </w:tcPr>
                <w:p w14:paraId="0EF647D2">
                  <w:pPr>
                    <w:jc w:val="center"/>
                    <w:rPr>
                      <w:szCs w:val="21"/>
                    </w:rPr>
                  </w:pPr>
                  <w:r>
                    <w:rPr>
                      <w:rFonts w:hint="eastAsia"/>
                      <w:szCs w:val="21"/>
                    </w:rPr>
                    <w:t>VOCs</w:t>
                  </w:r>
                </w:p>
              </w:tc>
              <w:tc>
                <w:tcPr>
                  <w:tcW w:w="690" w:type="pct"/>
                  <w:shd w:val="clear" w:color="auto" w:fill="auto"/>
                  <w:vAlign w:val="center"/>
                </w:tcPr>
                <w:p w14:paraId="192E0C6C">
                  <w:pPr>
                    <w:jc w:val="center"/>
                    <w:rPr>
                      <w:szCs w:val="21"/>
                    </w:rPr>
                  </w:pPr>
                  <w:r>
                    <w:rPr>
                      <w:rFonts w:hint="eastAsia"/>
                      <w:szCs w:val="21"/>
                    </w:rPr>
                    <w:t>2.1171</w:t>
                  </w:r>
                </w:p>
              </w:tc>
              <w:tc>
                <w:tcPr>
                  <w:tcW w:w="691" w:type="pct"/>
                  <w:shd w:val="clear" w:color="auto" w:fill="auto"/>
                  <w:vAlign w:val="center"/>
                </w:tcPr>
                <w:p w14:paraId="169F4981">
                  <w:pPr>
                    <w:jc w:val="center"/>
                    <w:rPr>
                      <w:szCs w:val="21"/>
                    </w:rPr>
                  </w:pPr>
                  <w:r>
                    <w:rPr>
                      <w:rFonts w:cs="Times New Roman" w:eastAsiaTheme="minorEastAsia"/>
                      <w:szCs w:val="21"/>
                    </w:rPr>
                    <w:t>0.8470</w:t>
                  </w:r>
                </w:p>
              </w:tc>
              <w:tc>
                <w:tcPr>
                  <w:tcW w:w="772" w:type="pct"/>
                  <w:shd w:val="clear" w:color="auto" w:fill="auto"/>
                </w:tcPr>
                <w:p w14:paraId="77D38B2A">
                  <w:pPr>
                    <w:jc w:val="center"/>
                    <w:rPr>
                      <w:szCs w:val="21"/>
                    </w:rPr>
                  </w:pPr>
                  <w:r>
                    <w:rPr>
                      <w:rFonts w:hint="eastAsia"/>
                      <w:szCs w:val="21"/>
                    </w:rPr>
                    <w:t>0</w:t>
                  </w:r>
                </w:p>
              </w:tc>
              <w:tc>
                <w:tcPr>
                  <w:tcW w:w="772" w:type="pct"/>
                  <w:shd w:val="clear" w:color="auto" w:fill="auto"/>
                  <w:vAlign w:val="center"/>
                </w:tcPr>
                <w:p w14:paraId="098EB808">
                  <w:pPr>
                    <w:jc w:val="center"/>
                    <w:rPr>
                      <w:szCs w:val="21"/>
                    </w:rPr>
                  </w:pPr>
                  <w:r>
                    <w:rPr>
                      <w:rFonts w:hint="eastAsia"/>
                      <w:szCs w:val="21"/>
                    </w:rPr>
                    <w:t>2.9641</w:t>
                  </w:r>
                </w:p>
              </w:tc>
              <w:tc>
                <w:tcPr>
                  <w:tcW w:w="772" w:type="pct"/>
                  <w:shd w:val="clear" w:color="auto" w:fill="auto"/>
                  <w:vAlign w:val="center"/>
                </w:tcPr>
                <w:p w14:paraId="4336C26E">
                  <w:pPr>
                    <w:jc w:val="center"/>
                    <w:rPr>
                      <w:rFonts w:cs="Times New Roman"/>
                      <w:szCs w:val="21"/>
                    </w:rPr>
                  </w:pPr>
                  <w:r>
                    <w:rPr>
                      <w:rFonts w:hint="eastAsia" w:cs="Times New Roman"/>
                      <w:szCs w:val="21"/>
                    </w:rPr>
                    <w:t>+0.8470</w:t>
                  </w:r>
                </w:p>
              </w:tc>
            </w:tr>
            <w:tr w14:paraId="0056C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5B661A00">
                  <w:pPr>
                    <w:jc w:val="center"/>
                    <w:rPr>
                      <w:szCs w:val="21"/>
                    </w:rPr>
                  </w:pPr>
                </w:p>
              </w:tc>
              <w:tc>
                <w:tcPr>
                  <w:tcW w:w="899" w:type="pct"/>
                  <w:shd w:val="clear" w:color="auto" w:fill="auto"/>
                  <w:vAlign w:val="center"/>
                </w:tcPr>
                <w:p w14:paraId="770052CE">
                  <w:pPr>
                    <w:jc w:val="center"/>
                    <w:rPr>
                      <w:szCs w:val="21"/>
                    </w:rPr>
                  </w:pPr>
                  <w:r>
                    <w:rPr>
                      <w:rFonts w:hint="eastAsia"/>
                      <w:szCs w:val="21"/>
                    </w:rPr>
                    <w:t>乙酸乙酯</w:t>
                  </w:r>
                </w:p>
              </w:tc>
              <w:tc>
                <w:tcPr>
                  <w:tcW w:w="690" w:type="pct"/>
                  <w:shd w:val="clear" w:color="auto" w:fill="auto"/>
                  <w:vAlign w:val="center"/>
                </w:tcPr>
                <w:p w14:paraId="62759CC0">
                  <w:pPr>
                    <w:jc w:val="center"/>
                    <w:rPr>
                      <w:szCs w:val="21"/>
                    </w:rPr>
                  </w:pPr>
                  <w:r>
                    <w:rPr>
                      <w:rFonts w:hint="eastAsia"/>
                      <w:szCs w:val="21"/>
                    </w:rPr>
                    <w:t>0.3585</w:t>
                  </w:r>
                </w:p>
              </w:tc>
              <w:tc>
                <w:tcPr>
                  <w:tcW w:w="691" w:type="pct"/>
                  <w:shd w:val="clear" w:color="auto" w:fill="auto"/>
                  <w:vAlign w:val="center"/>
                </w:tcPr>
                <w:p w14:paraId="550B4B97">
                  <w:pPr>
                    <w:jc w:val="center"/>
                    <w:rPr>
                      <w:rFonts w:cs="Times New Roman" w:eastAsiaTheme="minorEastAsia"/>
                      <w:szCs w:val="21"/>
                    </w:rPr>
                  </w:pPr>
                  <w:r>
                    <w:rPr>
                      <w:rFonts w:hint="eastAsia" w:cs="Times New Roman" w:eastAsiaTheme="minorEastAsia"/>
                      <w:szCs w:val="21"/>
                    </w:rPr>
                    <w:t>0</w:t>
                  </w:r>
                </w:p>
              </w:tc>
              <w:tc>
                <w:tcPr>
                  <w:tcW w:w="772" w:type="pct"/>
                  <w:shd w:val="clear" w:color="auto" w:fill="auto"/>
                </w:tcPr>
                <w:p w14:paraId="2D5FB187">
                  <w:pPr>
                    <w:jc w:val="center"/>
                    <w:rPr>
                      <w:szCs w:val="21"/>
                    </w:rPr>
                  </w:pPr>
                  <w:r>
                    <w:rPr>
                      <w:rFonts w:hint="eastAsia"/>
                      <w:szCs w:val="21"/>
                    </w:rPr>
                    <w:t>0</w:t>
                  </w:r>
                </w:p>
              </w:tc>
              <w:tc>
                <w:tcPr>
                  <w:tcW w:w="772" w:type="pct"/>
                  <w:shd w:val="clear" w:color="auto" w:fill="auto"/>
                  <w:vAlign w:val="center"/>
                </w:tcPr>
                <w:p w14:paraId="4B2A616F">
                  <w:pPr>
                    <w:jc w:val="center"/>
                    <w:rPr>
                      <w:szCs w:val="21"/>
                    </w:rPr>
                  </w:pPr>
                  <w:r>
                    <w:rPr>
                      <w:rFonts w:hint="eastAsia"/>
                      <w:szCs w:val="21"/>
                    </w:rPr>
                    <w:t>0.3585</w:t>
                  </w:r>
                </w:p>
              </w:tc>
              <w:tc>
                <w:tcPr>
                  <w:tcW w:w="772" w:type="pct"/>
                  <w:shd w:val="clear" w:color="auto" w:fill="auto"/>
                  <w:vAlign w:val="center"/>
                </w:tcPr>
                <w:p w14:paraId="33E8AD8D">
                  <w:pPr>
                    <w:jc w:val="center"/>
                    <w:rPr>
                      <w:rFonts w:cs="Times New Roman"/>
                      <w:szCs w:val="21"/>
                    </w:rPr>
                  </w:pPr>
                  <w:r>
                    <w:rPr>
                      <w:rFonts w:hint="eastAsia" w:cs="Times New Roman"/>
                      <w:szCs w:val="21"/>
                    </w:rPr>
                    <w:t>0</w:t>
                  </w:r>
                </w:p>
              </w:tc>
            </w:tr>
            <w:tr w14:paraId="550D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68E0A85E">
                  <w:pPr>
                    <w:jc w:val="center"/>
                    <w:rPr>
                      <w:szCs w:val="21"/>
                    </w:rPr>
                  </w:pPr>
                </w:p>
              </w:tc>
              <w:tc>
                <w:tcPr>
                  <w:tcW w:w="899" w:type="pct"/>
                  <w:shd w:val="clear" w:color="auto" w:fill="auto"/>
                  <w:vAlign w:val="center"/>
                </w:tcPr>
                <w:p w14:paraId="0DA8131D">
                  <w:pPr>
                    <w:jc w:val="center"/>
                    <w:rPr>
                      <w:szCs w:val="21"/>
                    </w:rPr>
                  </w:pPr>
                  <w:r>
                    <w:rPr>
                      <w:rFonts w:hint="eastAsia"/>
                      <w:szCs w:val="21"/>
                    </w:rPr>
                    <w:t>乙酸丁酯</w:t>
                  </w:r>
                </w:p>
              </w:tc>
              <w:tc>
                <w:tcPr>
                  <w:tcW w:w="690" w:type="pct"/>
                  <w:shd w:val="clear" w:color="auto" w:fill="auto"/>
                  <w:vAlign w:val="center"/>
                </w:tcPr>
                <w:p w14:paraId="03F207C5">
                  <w:pPr>
                    <w:jc w:val="center"/>
                    <w:rPr>
                      <w:szCs w:val="21"/>
                    </w:rPr>
                  </w:pPr>
                  <w:r>
                    <w:rPr>
                      <w:rFonts w:hint="eastAsia"/>
                      <w:szCs w:val="21"/>
                    </w:rPr>
                    <w:t>0.3585</w:t>
                  </w:r>
                </w:p>
              </w:tc>
              <w:tc>
                <w:tcPr>
                  <w:tcW w:w="691" w:type="pct"/>
                  <w:shd w:val="clear" w:color="auto" w:fill="auto"/>
                  <w:vAlign w:val="center"/>
                </w:tcPr>
                <w:p w14:paraId="7720C7EF">
                  <w:pPr>
                    <w:jc w:val="center"/>
                    <w:rPr>
                      <w:rFonts w:cs="Times New Roman" w:eastAsiaTheme="minorEastAsia"/>
                      <w:szCs w:val="21"/>
                    </w:rPr>
                  </w:pPr>
                  <w:r>
                    <w:rPr>
                      <w:rFonts w:hint="eastAsia" w:cs="Times New Roman" w:eastAsiaTheme="minorEastAsia"/>
                      <w:szCs w:val="21"/>
                    </w:rPr>
                    <w:t>0</w:t>
                  </w:r>
                </w:p>
              </w:tc>
              <w:tc>
                <w:tcPr>
                  <w:tcW w:w="772" w:type="pct"/>
                  <w:shd w:val="clear" w:color="auto" w:fill="auto"/>
                </w:tcPr>
                <w:p w14:paraId="3FA324F1">
                  <w:pPr>
                    <w:jc w:val="center"/>
                    <w:rPr>
                      <w:szCs w:val="21"/>
                    </w:rPr>
                  </w:pPr>
                  <w:r>
                    <w:rPr>
                      <w:rFonts w:hint="eastAsia"/>
                      <w:szCs w:val="21"/>
                    </w:rPr>
                    <w:t>0</w:t>
                  </w:r>
                </w:p>
              </w:tc>
              <w:tc>
                <w:tcPr>
                  <w:tcW w:w="772" w:type="pct"/>
                  <w:shd w:val="clear" w:color="auto" w:fill="auto"/>
                  <w:vAlign w:val="center"/>
                </w:tcPr>
                <w:p w14:paraId="70CD1AF9">
                  <w:pPr>
                    <w:jc w:val="center"/>
                    <w:rPr>
                      <w:szCs w:val="21"/>
                    </w:rPr>
                  </w:pPr>
                  <w:r>
                    <w:rPr>
                      <w:rFonts w:hint="eastAsia"/>
                      <w:szCs w:val="21"/>
                    </w:rPr>
                    <w:t>0.3585</w:t>
                  </w:r>
                </w:p>
              </w:tc>
              <w:tc>
                <w:tcPr>
                  <w:tcW w:w="772" w:type="pct"/>
                  <w:shd w:val="clear" w:color="auto" w:fill="auto"/>
                  <w:vAlign w:val="center"/>
                </w:tcPr>
                <w:p w14:paraId="0790B21B">
                  <w:pPr>
                    <w:jc w:val="center"/>
                    <w:rPr>
                      <w:rFonts w:cs="Times New Roman"/>
                      <w:szCs w:val="21"/>
                    </w:rPr>
                  </w:pPr>
                  <w:r>
                    <w:rPr>
                      <w:rFonts w:hint="eastAsia" w:cs="Times New Roman"/>
                      <w:szCs w:val="21"/>
                    </w:rPr>
                    <w:t>0</w:t>
                  </w:r>
                </w:p>
              </w:tc>
            </w:tr>
            <w:tr w14:paraId="5AF6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3E56B7EA">
                  <w:pPr>
                    <w:jc w:val="center"/>
                    <w:rPr>
                      <w:szCs w:val="21"/>
                    </w:rPr>
                  </w:pPr>
                </w:p>
              </w:tc>
              <w:tc>
                <w:tcPr>
                  <w:tcW w:w="899" w:type="pct"/>
                  <w:shd w:val="clear" w:color="auto" w:fill="auto"/>
                  <w:vAlign w:val="center"/>
                </w:tcPr>
                <w:p w14:paraId="1FDA6E77">
                  <w:pPr>
                    <w:jc w:val="center"/>
                    <w:rPr>
                      <w:szCs w:val="21"/>
                    </w:rPr>
                  </w:pPr>
                  <w:r>
                    <w:rPr>
                      <w:rFonts w:hint="eastAsia"/>
                      <w:szCs w:val="21"/>
                    </w:rPr>
                    <w:t>苯乙烯</w:t>
                  </w:r>
                </w:p>
              </w:tc>
              <w:tc>
                <w:tcPr>
                  <w:tcW w:w="690" w:type="pct"/>
                  <w:shd w:val="clear" w:color="auto" w:fill="auto"/>
                  <w:vAlign w:val="center"/>
                </w:tcPr>
                <w:p w14:paraId="19CC98A2">
                  <w:pPr>
                    <w:jc w:val="center"/>
                    <w:rPr>
                      <w:szCs w:val="21"/>
                    </w:rPr>
                  </w:pPr>
                  <w:r>
                    <w:rPr>
                      <w:rFonts w:hint="eastAsia"/>
                      <w:szCs w:val="21"/>
                    </w:rPr>
                    <w:t>0</w:t>
                  </w:r>
                </w:p>
              </w:tc>
              <w:tc>
                <w:tcPr>
                  <w:tcW w:w="691" w:type="pct"/>
                  <w:shd w:val="clear" w:color="auto" w:fill="auto"/>
                  <w:vAlign w:val="center"/>
                </w:tcPr>
                <w:p w14:paraId="59084AAE">
                  <w:pPr>
                    <w:jc w:val="center"/>
                    <w:rPr>
                      <w:szCs w:val="21"/>
                    </w:rPr>
                  </w:pPr>
                  <w:r>
                    <w:rPr>
                      <w:rFonts w:cs="Times New Roman" w:eastAsiaTheme="minorEastAsia"/>
                      <w:szCs w:val="21"/>
                    </w:rPr>
                    <w:t>0.008</w:t>
                  </w:r>
                </w:p>
              </w:tc>
              <w:tc>
                <w:tcPr>
                  <w:tcW w:w="772" w:type="pct"/>
                  <w:shd w:val="clear" w:color="auto" w:fill="auto"/>
                  <w:vAlign w:val="center"/>
                </w:tcPr>
                <w:p w14:paraId="2E25C828">
                  <w:pPr>
                    <w:jc w:val="center"/>
                    <w:rPr>
                      <w:szCs w:val="21"/>
                    </w:rPr>
                  </w:pPr>
                  <w:r>
                    <w:rPr>
                      <w:rFonts w:hint="eastAsia"/>
                      <w:szCs w:val="21"/>
                    </w:rPr>
                    <w:t>0</w:t>
                  </w:r>
                </w:p>
              </w:tc>
              <w:tc>
                <w:tcPr>
                  <w:tcW w:w="772" w:type="pct"/>
                  <w:shd w:val="clear" w:color="auto" w:fill="auto"/>
                  <w:vAlign w:val="center"/>
                </w:tcPr>
                <w:p w14:paraId="7A7C834A">
                  <w:pPr>
                    <w:jc w:val="center"/>
                    <w:rPr>
                      <w:szCs w:val="21"/>
                    </w:rPr>
                  </w:pPr>
                  <w:r>
                    <w:rPr>
                      <w:rFonts w:cs="Times New Roman" w:eastAsiaTheme="minorEastAsia"/>
                      <w:szCs w:val="21"/>
                    </w:rPr>
                    <w:t>0.008</w:t>
                  </w:r>
                </w:p>
              </w:tc>
              <w:tc>
                <w:tcPr>
                  <w:tcW w:w="772" w:type="pct"/>
                  <w:shd w:val="clear" w:color="auto" w:fill="auto"/>
                  <w:vAlign w:val="center"/>
                </w:tcPr>
                <w:p w14:paraId="15C5A925">
                  <w:pPr>
                    <w:jc w:val="center"/>
                    <w:rPr>
                      <w:rFonts w:cs="Times New Roman"/>
                      <w:szCs w:val="21"/>
                    </w:rPr>
                  </w:pPr>
                  <w:r>
                    <w:rPr>
                      <w:rFonts w:hint="eastAsia" w:cs="Times New Roman"/>
                      <w:szCs w:val="21"/>
                    </w:rPr>
                    <w:t>+</w:t>
                  </w:r>
                  <w:r>
                    <w:rPr>
                      <w:rFonts w:cs="Times New Roman" w:eastAsiaTheme="minorEastAsia"/>
                      <w:szCs w:val="21"/>
                    </w:rPr>
                    <w:t>0.008</w:t>
                  </w:r>
                </w:p>
              </w:tc>
            </w:tr>
            <w:tr w14:paraId="3565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714A5B00">
                  <w:pPr>
                    <w:jc w:val="center"/>
                    <w:rPr>
                      <w:szCs w:val="21"/>
                    </w:rPr>
                  </w:pPr>
                </w:p>
              </w:tc>
              <w:tc>
                <w:tcPr>
                  <w:tcW w:w="899" w:type="pct"/>
                  <w:shd w:val="clear" w:color="auto" w:fill="auto"/>
                  <w:vAlign w:val="center"/>
                </w:tcPr>
                <w:p w14:paraId="4C92084F">
                  <w:pPr>
                    <w:jc w:val="center"/>
                    <w:rPr>
                      <w:szCs w:val="21"/>
                    </w:rPr>
                  </w:pPr>
                  <w:r>
                    <w:rPr>
                      <w:rFonts w:hint="eastAsia" w:cs="Times New Roman"/>
                      <w:szCs w:val="21"/>
                    </w:rPr>
                    <w:t>丙烯腈</w:t>
                  </w:r>
                </w:p>
              </w:tc>
              <w:tc>
                <w:tcPr>
                  <w:tcW w:w="690" w:type="pct"/>
                  <w:shd w:val="clear" w:color="auto" w:fill="auto"/>
                  <w:vAlign w:val="center"/>
                </w:tcPr>
                <w:p w14:paraId="19559B8A">
                  <w:pPr>
                    <w:jc w:val="center"/>
                    <w:rPr>
                      <w:szCs w:val="21"/>
                    </w:rPr>
                  </w:pPr>
                  <w:r>
                    <w:rPr>
                      <w:rFonts w:hint="eastAsia"/>
                      <w:szCs w:val="21"/>
                    </w:rPr>
                    <w:t>0</w:t>
                  </w:r>
                </w:p>
              </w:tc>
              <w:tc>
                <w:tcPr>
                  <w:tcW w:w="691" w:type="pct"/>
                  <w:shd w:val="clear" w:color="auto" w:fill="auto"/>
                  <w:vAlign w:val="center"/>
                </w:tcPr>
                <w:p w14:paraId="043CB2A3">
                  <w:pPr>
                    <w:jc w:val="center"/>
                    <w:rPr>
                      <w:szCs w:val="21"/>
                    </w:rPr>
                  </w:pPr>
                  <w:r>
                    <w:rPr>
                      <w:rFonts w:cs="Times New Roman" w:eastAsiaTheme="minorEastAsia"/>
                      <w:szCs w:val="21"/>
                    </w:rPr>
                    <w:t>0.0034</w:t>
                  </w:r>
                </w:p>
              </w:tc>
              <w:tc>
                <w:tcPr>
                  <w:tcW w:w="772" w:type="pct"/>
                  <w:shd w:val="clear" w:color="auto" w:fill="auto"/>
                  <w:vAlign w:val="center"/>
                </w:tcPr>
                <w:p w14:paraId="279DBEDB">
                  <w:pPr>
                    <w:jc w:val="center"/>
                    <w:rPr>
                      <w:szCs w:val="21"/>
                    </w:rPr>
                  </w:pPr>
                  <w:r>
                    <w:rPr>
                      <w:rFonts w:hint="eastAsia"/>
                      <w:szCs w:val="21"/>
                    </w:rPr>
                    <w:t>0</w:t>
                  </w:r>
                </w:p>
              </w:tc>
              <w:tc>
                <w:tcPr>
                  <w:tcW w:w="772" w:type="pct"/>
                  <w:shd w:val="clear" w:color="auto" w:fill="auto"/>
                  <w:vAlign w:val="center"/>
                </w:tcPr>
                <w:p w14:paraId="69AF8E67">
                  <w:pPr>
                    <w:jc w:val="center"/>
                    <w:rPr>
                      <w:szCs w:val="21"/>
                    </w:rPr>
                  </w:pPr>
                  <w:r>
                    <w:rPr>
                      <w:rFonts w:cs="Times New Roman" w:eastAsiaTheme="minorEastAsia"/>
                      <w:szCs w:val="21"/>
                    </w:rPr>
                    <w:t>0.0034</w:t>
                  </w:r>
                </w:p>
              </w:tc>
              <w:tc>
                <w:tcPr>
                  <w:tcW w:w="772" w:type="pct"/>
                  <w:shd w:val="clear" w:color="auto" w:fill="auto"/>
                  <w:vAlign w:val="center"/>
                </w:tcPr>
                <w:p w14:paraId="0EF70420">
                  <w:pPr>
                    <w:jc w:val="center"/>
                    <w:rPr>
                      <w:rFonts w:cs="Times New Roman"/>
                      <w:szCs w:val="21"/>
                    </w:rPr>
                  </w:pPr>
                  <w:r>
                    <w:rPr>
                      <w:rFonts w:hint="eastAsia" w:cs="Times New Roman"/>
                      <w:szCs w:val="21"/>
                    </w:rPr>
                    <w:t>+</w:t>
                  </w:r>
                  <w:r>
                    <w:rPr>
                      <w:rFonts w:cs="Times New Roman" w:eastAsiaTheme="minorEastAsia"/>
                      <w:szCs w:val="21"/>
                    </w:rPr>
                    <w:t>0.0034</w:t>
                  </w:r>
                </w:p>
              </w:tc>
            </w:tr>
            <w:tr w14:paraId="1A95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38AD877E">
                  <w:pPr>
                    <w:jc w:val="center"/>
                    <w:rPr>
                      <w:szCs w:val="21"/>
                    </w:rPr>
                  </w:pPr>
                </w:p>
              </w:tc>
              <w:tc>
                <w:tcPr>
                  <w:tcW w:w="899" w:type="pct"/>
                  <w:shd w:val="clear" w:color="auto" w:fill="auto"/>
                  <w:vAlign w:val="center"/>
                </w:tcPr>
                <w:p w14:paraId="7433B66D">
                  <w:pPr>
                    <w:jc w:val="center"/>
                    <w:rPr>
                      <w:szCs w:val="21"/>
                    </w:rPr>
                  </w:pPr>
                  <w:r>
                    <w:rPr>
                      <w:rFonts w:hint="eastAsia" w:cs="Times New Roman"/>
                      <w:szCs w:val="21"/>
                    </w:rPr>
                    <w:t>1,3-丁二烯</w:t>
                  </w:r>
                </w:p>
              </w:tc>
              <w:tc>
                <w:tcPr>
                  <w:tcW w:w="690" w:type="pct"/>
                  <w:shd w:val="clear" w:color="auto" w:fill="auto"/>
                  <w:vAlign w:val="center"/>
                </w:tcPr>
                <w:p w14:paraId="7EEA62A3">
                  <w:pPr>
                    <w:jc w:val="center"/>
                    <w:rPr>
                      <w:szCs w:val="21"/>
                    </w:rPr>
                  </w:pPr>
                  <w:r>
                    <w:rPr>
                      <w:rFonts w:hint="eastAsia"/>
                      <w:szCs w:val="21"/>
                    </w:rPr>
                    <w:t>0</w:t>
                  </w:r>
                </w:p>
              </w:tc>
              <w:tc>
                <w:tcPr>
                  <w:tcW w:w="691" w:type="pct"/>
                  <w:shd w:val="clear" w:color="auto" w:fill="auto"/>
                  <w:vAlign w:val="center"/>
                </w:tcPr>
                <w:p w14:paraId="00D70EEA">
                  <w:pPr>
                    <w:jc w:val="center"/>
                    <w:rPr>
                      <w:szCs w:val="21"/>
                    </w:rPr>
                  </w:pPr>
                  <w:r>
                    <w:rPr>
                      <w:rFonts w:cs="Times New Roman" w:eastAsiaTheme="minorEastAsia"/>
                      <w:szCs w:val="21"/>
                    </w:rPr>
                    <w:t>0.0013</w:t>
                  </w:r>
                </w:p>
              </w:tc>
              <w:tc>
                <w:tcPr>
                  <w:tcW w:w="772" w:type="pct"/>
                  <w:shd w:val="clear" w:color="auto" w:fill="auto"/>
                  <w:vAlign w:val="center"/>
                </w:tcPr>
                <w:p w14:paraId="5563D8AF">
                  <w:pPr>
                    <w:jc w:val="center"/>
                    <w:rPr>
                      <w:szCs w:val="21"/>
                    </w:rPr>
                  </w:pPr>
                  <w:r>
                    <w:rPr>
                      <w:rFonts w:hint="eastAsia"/>
                      <w:szCs w:val="21"/>
                    </w:rPr>
                    <w:t>0</w:t>
                  </w:r>
                </w:p>
              </w:tc>
              <w:tc>
                <w:tcPr>
                  <w:tcW w:w="772" w:type="pct"/>
                  <w:shd w:val="clear" w:color="auto" w:fill="auto"/>
                  <w:vAlign w:val="center"/>
                </w:tcPr>
                <w:p w14:paraId="727C9BD2">
                  <w:pPr>
                    <w:jc w:val="center"/>
                    <w:rPr>
                      <w:szCs w:val="21"/>
                    </w:rPr>
                  </w:pPr>
                  <w:r>
                    <w:rPr>
                      <w:rFonts w:cs="Times New Roman" w:eastAsiaTheme="minorEastAsia"/>
                      <w:szCs w:val="21"/>
                    </w:rPr>
                    <w:t>0.0013</w:t>
                  </w:r>
                </w:p>
              </w:tc>
              <w:tc>
                <w:tcPr>
                  <w:tcW w:w="772" w:type="pct"/>
                  <w:shd w:val="clear" w:color="auto" w:fill="auto"/>
                  <w:vAlign w:val="center"/>
                </w:tcPr>
                <w:p w14:paraId="3172C253">
                  <w:pPr>
                    <w:jc w:val="center"/>
                    <w:rPr>
                      <w:rFonts w:cs="Times New Roman"/>
                      <w:szCs w:val="21"/>
                    </w:rPr>
                  </w:pPr>
                  <w:r>
                    <w:rPr>
                      <w:rFonts w:hint="eastAsia" w:cs="Times New Roman"/>
                      <w:szCs w:val="21"/>
                    </w:rPr>
                    <w:t>+</w:t>
                  </w:r>
                  <w:r>
                    <w:rPr>
                      <w:rFonts w:cs="Times New Roman" w:eastAsiaTheme="minorEastAsia"/>
                      <w:szCs w:val="21"/>
                    </w:rPr>
                    <w:t>0.0013</w:t>
                  </w:r>
                </w:p>
              </w:tc>
            </w:tr>
            <w:tr w14:paraId="4425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622EDC8D">
                  <w:pPr>
                    <w:jc w:val="center"/>
                    <w:rPr>
                      <w:szCs w:val="21"/>
                    </w:rPr>
                  </w:pPr>
                </w:p>
              </w:tc>
              <w:tc>
                <w:tcPr>
                  <w:tcW w:w="899" w:type="pct"/>
                  <w:shd w:val="clear" w:color="auto" w:fill="auto"/>
                  <w:vAlign w:val="center"/>
                </w:tcPr>
                <w:p w14:paraId="3ACFF047">
                  <w:pPr>
                    <w:jc w:val="center"/>
                    <w:rPr>
                      <w:szCs w:val="21"/>
                    </w:rPr>
                  </w:pPr>
                  <w:r>
                    <w:rPr>
                      <w:rFonts w:hint="eastAsia" w:cs="Times New Roman"/>
                      <w:szCs w:val="21"/>
                    </w:rPr>
                    <w:t>甲苯</w:t>
                  </w:r>
                </w:p>
              </w:tc>
              <w:tc>
                <w:tcPr>
                  <w:tcW w:w="690" w:type="pct"/>
                  <w:shd w:val="clear" w:color="auto" w:fill="auto"/>
                  <w:vAlign w:val="center"/>
                </w:tcPr>
                <w:p w14:paraId="5641B294">
                  <w:pPr>
                    <w:jc w:val="center"/>
                    <w:rPr>
                      <w:szCs w:val="21"/>
                    </w:rPr>
                  </w:pPr>
                  <w:r>
                    <w:rPr>
                      <w:rFonts w:hint="eastAsia"/>
                      <w:szCs w:val="21"/>
                    </w:rPr>
                    <w:t>0</w:t>
                  </w:r>
                </w:p>
              </w:tc>
              <w:tc>
                <w:tcPr>
                  <w:tcW w:w="691" w:type="pct"/>
                  <w:shd w:val="clear" w:color="auto" w:fill="auto"/>
                  <w:vAlign w:val="center"/>
                </w:tcPr>
                <w:p w14:paraId="316CA8FD">
                  <w:pPr>
                    <w:jc w:val="center"/>
                    <w:rPr>
                      <w:szCs w:val="21"/>
                    </w:rPr>
                  </w:pPr>
                  <w:r>
                    <w:rPr>
                      <w:rFonts w:cs="Times New Roman" w:eastAsiaTheme="minorEastAsia"/>
                      <w:szCs w:val="21"/>
                    </w:rPr>
                    <w:t>0.0105</w:t>
                  </w:r>
                </w:p>
              </w:tc>
              <w:tc>
                <w:tcPr>
                  <w:tcW w:w="772" w:type="pct"/>
                  <w:shd w:val="clear" w:color="auto" w:fill="auto"/>
                  <w:vAlign w:val="center"/>
                </w:tcPr>
                <w:p w14:paraId="309BC7DB">
                  <w:pPr>
                    <w:jc w:val="center"/>
                    <w:rPr>
                      <w:szCs w:val="21"/>
                    </w:rPr>
                  </w:pPr>
                  <w:r>
                    <w:rPr>
                      <w:rFonts w:hint="eastAsia"/>
                      <w:szCs w:val="21"/>
                    </w:rPr>
                    <w:t>0</w:t>
                  </w:r>
                </w:p>
              </w:tc>
              <w:tc>
                <w:tcPr>
                  <w:tcW w:w="772" w:type="pct"/>
                  <w:shd w:val="clear" w:color="auto" w:fill="auto"/>
                  <w:vAlign w:val="center"/>
                </w:tcPr>
                <w:p w14:paraId="634EDD25">
                  <w:pPr>
                    <w:jc w:val="center"/>
                    <w:rPr>
                      <w:szCs w:val="21"/>
                    </w:rPr>
                  </w:pPr>
                  <w:r>
                    <w:rPr>
                      <w:rFonts w:cs="Times New Roman" w:eastAsiaTheme="minorEastAsia"/>
                      <w:szCs w:val="21"/>
                    </w:rPr>
                    <w:t>0.0105</w:t>
                  </w:r>
                </w:p>
              </w:tc>
              <w:tc>
                <w:tcPr>
                  <w:tcW w:w="772" w:type="pct"/>
                  <w:shd w:val="clear" w:color="auto" w:fill="auto"/>
                  <w:vAlign w:val="center"/>
                </w:tcPr>
                <w:p w14:paraId="6386C44F">
                  <w:pPr>
                    <w:jc w:val="center"/>
                    <w:rPr>
                      <w:rFonts w:cs="Times New Roman"/>
                      <w:szCs w:val="21"/>
                    </w:rPr>
                  </w:pPr>
                  <w:r>
                    <w:rPr>
                      <w:rFonts w:hint="eastAsia" w:cs="Times New Roman"/>
                      <w:szCs w:val="21"/>
                    </w:rPr>
                    <w:t>+</w:t>
                  </w:r>
                  <w:r>
                    <w:rPr>
                      <w:rFonts w:cs="Times New Roman" w:eastAsiaTheme="minorEastAsia"/>
                      <w:szCs w:val="21"/>
                    </w:rPr>
                    <w:t>0.0105</w:t>
                  </w:r>
                </w:p>
              </w:tc>
            </w:tr>
            <w:tr w14:paraId="1946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3D9C592C">
                  <w:pPr>
                    <w:jc w:val="center"/>
                    <w:rPr>
                      <w:szCs w:val="21"/>
                    </w:rPr>
                  </w:pPr>
                </w:p>
              </w:tc>
              <w:tc>
                <w:tcPr>
                  <w:tcW w:w="899" w:type="pct"/>
                  <w:shd w:val="clear" w:color="auto" w:fill="auto"/>
                  <w:vAlign w:val="center"/>
                </w:tcPr>
                <w:p w14:paraId="3215D4D6">
                  <w:pPr>
                    <w:jc w:val="center"/>
                    <w:rPr>
                      <w:szCs w:val="21"/>
                    </w:rPr>
                  </w:pPr>
                  <w:r>
                    <w:rPr>
                      <w:rFonts w:hint="eastAsia" w:cs="Times New Roman"/>
                      <w:szCs w:val="21"/>
                    </w:rPr>
                    <w:t>乙苯</w:t>
                  </w:r>
                </w:p>
              </w:tc>
              <w:tc>
                <w:tcPr>
                  <w:tcW w:w="690" w:type="pct"/>
                  <w:shd w:val="clear" w:color="auto" w:fill="auto"/>
                  <w:vAlign w:val="center"/>
                </w:tcPr>
                <w:p w14:paraId="0A92E625">
                  <w:pPr>
                    <w:jc w:val="center"/>
                    <w:rPr>
                      <w:szCs w:val="21"/>
                    </w:rPr>
                  </w:pPr>
                  <w:r>
                    <w:rPr>
                      <w:rFonts w:hint="eastAsia"/>
                      <w:szCs w:val="21"/>
                    </w:rPr>
                    <w:t>0</w:t>
                  </w:r>
                </w:p>
              </w:tc>
              <w:tc>
                <w:tcPr>
                  <w:tcW w:w="691" w:type="pct"/>
                  <w:shd w:val="clear" w:color="auto" w:fill="auto"/>
                  <w:vAlign w:val="center"/>
                </w:tcPr>
                <w:p w14:paraId="4093C919">
                  <w:pPr>
                    <w:jc w:val="center"/>
                    <w:rPr>
                      <w:szCs w:val="21"/>
                    </w:rPr>
                  </w:pPr>
                  <w:r>
                    <w:rPr>
                      <w:rFonts w:cs="Times New Roman" w:eastAsiaTheme="minorEastAsia"/>
                      <w:szCs w:val="21"/>
                    </w:rPr>
                    <w:t>0.0048</w:t>
                  </w:r>
                </w:p>
              </w:tc>
              <w:tc>
                <w:tcPr>
                  <w:tcW w:w="772" w:type="pct"/>
                  <w:shd w:val="clear" w:color="auto" w:fill="auto"/>
                  <w:vAlign w:val="center"/>
                </w:tcPr>
                <w:p w14:paraId="00968BA5">
                  <w:pPr>
                    <w:jc w:val="center"/>
                    <w:rPr>
                      <w:szCs w:val="21"/>
                    </w:rPr>
                  </w:pPr>
                  <w:r>
                    <w:rPr>
                      <w:rFonts w:hint="eastAsia"/>
                      <w:szCs w:val="21"/>
                    </w:rPr>
                    <w:t>0</w:t>
                  </w:r>
                </w:p>
              </w:tc>
              <w:tc>
                <w:tcPr>
                  <w:tcW w:w="772" w:type="pct"/>
                  <w:shd w:val="clear" w:color="auto" w:fill="auto"/>
                  <w:vAlign w:val="center"/>
                </w:tcPr>
                <w:p w14:paraId="2A77D7F7">
                  <w:pPr>
                    <w:jc w:val="center"/>
                    <w:rPr>
                      <w:szCs w:val="21"/>
                    </w:rPr>
                  </w:pPr>
                  <w:r>
                    <w:rPr>
                      <w:rFonts w:cs="Times New Roman" w:eastAsiaTheme="minorEastAsia"/>
                      <w:szCs w:val="21"/>
                    </w:rPr>
                    <w:t>0.0048</w:t>
                  </w:r>
                </w:p>
              </w:tc>
              <w:tc>
                <w:tcPr>
                  <w:tcW w:w="772" w:type="pct"/>
                  <w:shd w:val="clear" w:color="auto" w:fill="auto"/>
                  <w:vAlign w:val="center"/>
                </w:tcPr>
                <w:p w14:paraId="52A4D9D9">
                  <w:pPr>
                    <w:jc w:val="center"/>
                    <w:rPr>
                      <w:rFonts w:cs="Times New Roman"/>
                      <w:szCs w:val="21"/>
                    </w:rPr>
                  </w:pPr>
                  <w:r>
                    <w:rPr>
                      <w:rFonts w:hint="eastAsia" w:cs="Times New Roman"/>
                      <w:szCs w:val="21"/>
                    </w:rPr>
                    <w:t>+</w:t>
                  </w:r>
                  <w:r>
                    <w:rPr>
                      <w:rFonts w:cs="Times New Roman" w:eastAsiaTheme="minorEastAsia"/>
                      <w:szCs w:val="21"/>
                    </w:rPr>
                    <w:t>0.0048</w:t>
                  </w:r>
                </w:p>
              </w:tc>
            </w:tr>
            <w:tr w14:paraId="7A287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41D60D3C">
                  <w:pPr>
                    <w:jc w:val="center"/>
                    <w:rPr>
                      <w:szCs w:val="21"/>
                    </w:rPr>
                  </w:pPr>
                </w:p>
              </w:tc>
              <w:tc>
                <w:tcPr>
                  <w:tcW w:w="899" w:type="pct"/>
                  <w:shd w:val="clear" w:color="auto" w:fill="auto"/>
                  <w:vAlign w:val="center"/>
                </w:tcPr>
                <w:p w14:paraId="4BC68E8A">
                  <w:pPr>
                    <w:jc w:val="center"/>
                    <w:rPr>
                      <w:szCs w:val="21"/>
                    </w:rPr>
                  </w:pPr>
                  <w:r>
                    <w:rPr>
                      <w:rFonts w:hint="eastAsia"/>
                      <w:szCs w:val="21"/>
                    </w:rPr>
                    <w:t>油烟</w:t>
                  </w:r>
                </w:p>
              </w:tc>
              <w:tc>
                <w:tcPr>
                  <w:tcW w:w="690" w:type="pct"/>
                  <w:shd w:val="clear" w:color="auto" w:fill="auto"/>
                  <w:vAlign w:val="center"/>
                </w:tcPr>
                <w:p w14:paraId="1B571283">
                  <w:pPr>
                    <w:jc w:val="center"/>
                    <w:rPr>
                      <w:szCs w:val="21"/>
                    </w:rPr>
                  </w:pPr>
                  <w:r>
                    <w:rPr>
                      <w:rFonts w:hint="eastAsia"/>
                      <w:szCs w:val="21"/>
                    </w:rPr>
                    <w:t>0.0038</w:t>
                  </w:r>
                </w:p>
              </w:tc>
              <w:tc>
                <w:tcPr>
                  <w:tcW w:w="691" w:type="pct"/>
                  <w:shd w:val="clear" w:color="auto" w:fill="auto"/>
                  <w:vAlign w:val="center"/>
                </w:tcPr>
                <w:p w14:paraId="766DDEEA">
                  <w:pPr>
                    <w:jc w:val="center"/>
                    <w:rPr>
                      <w:szCs w:val="21"/>
                    </w:rPr>
                  </w:pPr>
                  <w:r>
                    <w:rPr>
                      <w:rFonts w:hint="eastAsia" w:cs="Times New Roman"/>
                      <w:szCs w:val="21"/>
                    </w:rPr>
                    <w:t>0.0012</w:t>
                  </w:r>
                </w:p>
              </w:tc>
              <w:tc>
                <w:tcPr>
                  <w:tcW w:w="772" w:type="pct"/>
                  <w:shd w:val="clear" w:color="auto" w:fill="auto"/>
                  <w:vAlign w:val="center"/>
                </w:tcPr>
                <w:p w14:paraId="700DA11B">
                  <w:pPr>
                    <w:jc w:val="center"/>
                    <w:rPr>
                      <w:szCs w:val="21"/>
                    </w:rPr>
                  </w:pPr>
                  <w:r>
                    <w:rPr>
                      <w:rFonts w:hint="eastAsia"/>
                      <w:szCs w:val="21"/>
                    </w:rPr>
                    <w:t>0</w:t>
                  </w:r>
                </w:p>
              </w:tc>
              <w:tc>
                <w:tcPr>
                  <w:tcW w:w="772" w:type="pct"/>
                  <w:shd w:val="clear" w:color="auto" w:fill="auto"/>
                  <w:vAlign w:val="center"/>
                </w:tcPr>
                <w:p w14:paraId="55EA6A70">
                  <w:pPr>
                    <w:jc w:val="center"/>
                    <w:rPr>
                      <w:szCs w:val="21"/>
                    </w:rPr>
                  </w:pPr>
                  <w:r>
                    <w:rPr>
                      <w:rFonts w:hint="eastAsia"/>
                      <w:szCs w:val="21"/>
                    </w:rPr>
                    <w:t>0.0050</w:t>
                  </w:r>
                </w:p>
              </w:tc>
              <w:tc>
                <w:tcPr>
                  <w:tcW w:w="772" w:type="pct"/>
                  <w:shd w:val="clear" w:color="auto" w:fill="auto"/>
                  <w:vAlign w:val="center"/>
                </w:tcPr>
                <w:p w14:paraId="1D023E9B">
                  <w:pPr>
                    <w:jc w:val="center"/>
                    <w:rPr>
                      <w:rFonts w:cs="Times New Roman"/>
                      <w:szCs w:val="21"/>
                    </w:rPr>
                  </w:pPr>
                  <w:r>
                    <w:rPr>
                      <w:rFonts w:hint="eastAsia" w:cs="Times New Roman"/>
                      <w:szCs w:val="21"/>
                    </w:rPr>
                    <w:t>+0.0012</w:t>
                  </w:r>
                </w:p>
              </w:tc>
            </w:tr>
            <w:tr w14:paraId="2CCD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restart"/>
                  <w:shd w:val="clear" w:color="auto" w:fill="auto"/>
                  <w:vAlign w:val="center"/>
                </w:tcPr>
                <w:p w14:paraId="7CEBD7D1">
                  <w:pPr>
                    <w:jc w:val="center"/>
                    <w:rPr>
                      <w:szCs w:val="21"/>
                    </w:rPr>
                  </w:pPr>
                  <w:r>
                    <w:rPr>
                      <w:rFonts w:hint="eastAsia"/>
                      <w:szCs w:val="21"/>
                    </w:rPr>
                    <w:t>废水</w:t>
                  </w:r>
                </w:p>
              </w:tc>
              <w:tc>
                <w:tcPr>
                  <w:tcW w:w="899" w:type="pct"/>
                  <w:shd w:val="clear" w:color="auto" w:fill="auto"/>
                  <w:vAlign w:val="center"/>
                </w:tcPr>
                <w:p w14:paraId="7EC370DF">
                  <w:pPr>
                    <w:jc w:val="center"/>
                    <w:rPr>
                      <w:szCs w:val="21"/>
                    </w:rPr>
                  </w:pPr>
                  <w:r>
                    <w:rPr>
                      <w:rFonts w:hint="eastAsia"/>
                      <w:szCs w:val="21"/>
                    </w:rPr>
                    <w:t>废水量</w:t>
                  </w:r>
                </w:p>
              </w:tc>
              <w:tc>
                <w:tcPr>
                  <w:tcW w:w="690" w:type="pct"/>
                  <w:shd w:val="clear" w:color="auto" w:fill="auto"/>
                  <w:vAlign w:val="center"/>
                </w:tcPr>
                <w:p w14:paraId="2ACE1645">
                  <w:pPr>
                    <w:jc w:val="center"/>
                    <w:rPr>
                      <w:szCs w:val="21"/>
                    </w:rPr>
                  </w:pPr>
                  <w:r>
                    <w:rPr>
                      <w:rFonts w:hint="eastAsia"/>
                      <w:szCs w:val="21"/>
                    </w:rPr>
                    <w:t>3164</w:t>
                  </w:r>
                </w:p>
              </w:tc>
              <w:tc>
                <w:tcPr>
                  <w:tcW w:w="691" w:type="pct"/>
                  <w:shd w:val="clear" w:color="auto" w:fill="auto"/>
                  <w:vAlign w:val="center"/>
                </w:tcPr>
                <w:p w14:paraId="3F392743">
                  <w:pPr>
                    <w:jc w:val="center"/>
                    <w:rPr>
                      <w:szCs w:val="21"/>
                    </w:rPr>
                  </w:pPr>
                  <w:r>
                    <w:rPr>
                      <w:rFonts w:cstheme="minorHAnsi"/>
                      <w:szCs w:val="21"/>
                    </w:rPr>
                    <w:t>850.75</w:t>
                  </w:r>
                </w:p>
              </w:tc>
              <w:tc>
                <w:tcPr>
                  <w:tcW w:w="772" w:type="pct"/>
                  <w:shd w:val="clear" w:color="auto" w:fill="auto"/>
                  <w:vAlign w:val="center"/>
                </w:tcPr>
                <w:p w14:paraId="0EA41926">
                  <w:pPr>
                    <w:jc w:val="center"/>
                    <w:rPr>
                      <w:szCs w:val="21"/>
                    </w:rPr>
                  </w:pPr>
                  <w:r>
                    <w:rPr>
                      <w:rFonts w:hint="eastAsia"/>
                      <w:szCs w:val="21"/>
                    </w:rPr>
                    <w:t>0</w:t>
                  </w:r>
                </w:p>
              </w:tc>
              <w:tc>
                <w:tcPr>
                  <w:tcW w:w="772" w:type="pct"/>
                  <w:shd w:val="clear" w:color="auto" w:fill="auto"/>
                  <w:vAlign w:val="center"/>
                </w:tcPr>
                <w:p w14:paraId="4865782F">
                  <w:pPr>
                    <w:jc w:val="center"/>
                    <w:rPr>
                      <w:rFonts w:cs="Times New Roman" w:eastAsiaTheme="minorEastAsia"/>
                      <w:szCs w:val="21"/>
                    </w:rPr>
                  </w:pPr>
                  <w:r>
                    <w:rPr>
                      <w:rFonts w:cs="Times New Roman" w:eastAsiaTheme="minorEastAsia"/>
                      <w:szCs w:val="21"/>
                    </w:rPr>
                    <w:t>4014.75</w:t>
                  </w:r>
                </w:p>
              </w:tc>
              <w:tc>
                <w:tcPr>
                  <w:tcW w:w="772" w:type="pct"/>
                  <w:shd w:val="clear" w:color="auto" w:fill="auto"/>
                  <w:vAlign w:val="center"/>
                </w:tcPr>
                <w:p w14:paraId="77C07172">
                  <w:pPr>
                    <w:jc w:val="center"/>
                    <w:rPr>
                      <w:szCs w:val="21"/>
                    </w:rPr>
                  </w:pPr>
                  <w:r>
                    <w:rPr>
                      <w:rFonts w:hint="eastAsia" w:cs="Times New Roman"/>
                      <w:szCs w:val="21"/>
                    </w:rPr>
                    <w:t>+</w:t>
                  </w:r>
                  <w:r>
                    <w:rPr>
                      <w:rFonts w:cstheme="minorHAnsi"/>
                      <w:szCs w:val="21"/>
                    </w:rPr>
                    <w:t>850.75</w:t>
                  </w:r>
                </w:p>
              </w:tc>
            </w:tr>
            <w:tr w14:paraId="6A0A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54B01967">
                  <w:pPr>
                    <w:jc w:val="center"/>
                    <w:rPr>
                      <w:szCs w:val="21"/>
                    </w:rPr>
                  </w:pPr>
                </w:p>
              </w:tc>
              <w:tc>
                <w:tcPr>
                  <w:tcW w:w="899" w:type="pct"/>
                  <w:shd w:val="clear" w:color="auto" w:fill="auto"/>
                  <w:vAlign w:val="center"/>
                </w:tcPr>
                <w:p w14:paraId="02CB6D06">
                  <w:pPr>
                    <w:jc w:val="center"/>
                    <w:rPr>
                      <w:szCs w:val="21"/>
                    </w:rPr>
                  </w:pPr>
                  <w:r>
                    <w:rPr>
                      <w:rFonts w:hint="eastAsia"/>
                      <w:szCs w:val="21"/>
                    </w:rPr>
                    <w:t>COD</w:t>
                  </w:r>
                </w:p>
              </w:tc>
              <w:tc>
                <w:tcPr>
                  <w:tcW w:w="690" w:type="pct"/>
                  <w:shd w:val="clear" w:color="auto" w:fill="auto"/>
                  <w:vAlign w:val="center"/>
                </w:tcPr>
                <w:p w14:paraId="5122222C">
                  <w:pPr>
                    <w:jc w:val="center"/>
                    <w:rPr>
                      <w:szCs w:val="21"/>
                    </w:rPr>
                  </w:pPr>
                  <w:r>
                    <w:rPr>
                      <w:rFonts w:hint="eastAsia"/>
                      <w:szCs w:val="21"/>
                    </w:rPr>
                    <w:t>0.3322</w:t>
                  </w:r>
                </w:p>
              </w:tc>
              <w:tc>
                <w:tcPr>
                  <w:tcW w:w="691" w:type="pct"/>
                  <w:shd w:val="clear" w:color="auto" w:fill="auto"/>
                  <w:vAlign w:val="center"/>
                </w:tcPr>
                <w:p w14:paraId="2585C529">
                  <w:pPr>
                    <w:jc w:val="center"/>
                    <w:rPr>
                      <w:szCs w:val="21"/>
                    </w:rPr>
                  </w:pPr>
                  <w:r>
                    <w:rPr>
                      <w:rFonts w:cs="Times New Roman"/>
                      <w:szCs w:val="21"/>
                    </w:rPr>
                    <w:t>0.2034</w:t>
                  </w:r>
                </w:p>
              </w:tc>
              <w:tc>
                <w:tcPr>
                  <w:tcW w:w="772" w:type="pct"/>
                  <w:shd w:val="clear" w:color="auto" w:fill="auto"/>
                  <w:vAlign w:val="center"/>
                </w:tcPr>
                <w:p w14:paraId="17E971D7">
                  <w:pPr>
                    <w:jc w:val="center"/>
                    <w:rPr>
                      <w:szCs w:val="21"/>
                    </w:rPr>
                  </w:pPr>
                  <w:r>
                    <w:rPr>
                      <w:rFonts w:hint="eastAsia"/>
                      <w:szCs w:val="21"/>
                    </w:rPr>
                    <w:t>0</w:t>
                  </w:r>
                </w:p>
              </w:tc>
              <w:tc>
                <w:tcPr>
                  <w:tcW w:w="772" w:type="pct"/>
                  <w:shd w:val="clear" w:color="auto" w:fill="auto"/>
                  <w:vAlign w:val="center"/>
                </w:tcPr>
                <w:p w14:paraId="71C10491">
                  <w:pPr>
                    <w:jc w:val="center"/>
                    <w:rPr>
                      <w:rFonts w:cs="Times New Roman"/>
                      <w:szCs w:val="21"/>
                    </w:rPr>
                  </w:pPr>
                  <w:r>
                    <w:rPr>
                      <w:rFonts w:cs="Times New Roman"/>
                      <w:szCs w:val="21"/>
                    </w:rPr>
                    <w:t>0.5356</w:t>
                  </w:r>
                </w:p>
              </w:tc>
              <w:tc>
                <w:tcPr>
                  <w:tcW w:w="772" w:type="pct"/>
                  <w:shd w:val="clear" w:color="auto" w:fill="auto"/>
                  <w:vAlign w:val="center"/>
                </w:tcPr>
                <w:p w14:paraId="14D9291D">
                  <w:pPr>
                    <w:jc w:val="center"/>
                    <w:rPr>
                      <w:szCs w:val="21"/>
                    </w:rPr>
                  </w:pPr>
                  <w:r>
                    <w:rPr>
                      <w:rFonts w:hint="eastAsia" w:cs="Times New Roman"/>
                      <w:szCs w:val="21"/>
                    </w:rPr>
                    <w:t>+</w:t>
                  </w:r>
                  <w:r>
                    <w:rPr>
                      <w:rFonts w:cs="Times New Roman"/>
                      <w:szCs w:val="21"/>
                    </w:rPr>
                    <w:t>0.2034</w:t>
                  </w:r>
                </w:p>
              </w:tc>
            </w:tr>
            <w:tr w14:paraId="6E9A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shd w:val="clear" w:color="auto" w:fill="auto"/>
                  <w:vAlign w:val="center"/>
                </w:tcPr>
                <w:p w14:paraId="3FAD5EB2">
                  <w:pPr>
                    <w:jc w:val="center"/>
                    <w:rPr>
                      <w:szCs w:val="21"/>
                    </w:rPr>
                  </w:pPr>
                </w:p>
              </w:tc>
              <w:tc>
                <w:tcPr>
                  <w:tcW w:w="899" w:type="pct"/>
                  <w:shd w:val="clear" w:color="auto" w:fill="auto"/>
                  <w:vAlign w:val="center"/>
                </w:tcPr>
                <w:p w14:paraId="7916A229">
                  <w:pPr>
                    <w:jc w:val="center"/>
                    <w:rPr>
                      <w:szCs w:val="21"/>
                    </w:rPr>
                  </w:pPr>
                  <w:r>
                    <w:rPr>
                      <w:rFonts w:hint="eastAsia"/>
                      <w:szCs w:val="21"/>
                    </w:rPr>
                    <w:t>NH</w:t>
                  </w:r>
                  <w:r>
                    <w:rPr>
                      <w:szCs w:val="21"/>
                      <w:vertAlign w:val="subscript"/>
                    </w:rPr>
                    <w:t>3</w:t>
                  </w:r>
                  <w:r>
                    <w:rPr>
                      <w:rFonts w:hint="eastAsia"/>
                      <w:szCs w:val="21"/>
                    </w:rPr>
                    <w:t>-N</w:t>
                  </w:r>
                </w:p>
              </w:tc>
              <w:tc>
                <w:tcPr>
                  <w:tcW w:w="690" w:type="pct"/>
                  <w:shd w:val="clear" w:color="auto" w:fill="auto"/>
                  <w:vAlign w:val="center"/>
                </w:tcPr>
                <w:p w14:paraId="7457F461">
                  <w:pPr>
                    <w:jc w:val="center"/>
                    <w:rPr>
                      <w:szCs w:val="21"/>
                    </w:rPr>
                  </w:pPr>
                  <w:r>
                    <w:rPr>
                      <w:rFonts w:hint="eastAsia"/>
                      <w:szCs w:val="21"/>
                    </w:rPr>
                    <w:t>0.1373</w:t>
                  </w:r>
                </w:p>
              </w:tc>
              <w:tc>
                <w:tcPr>
                  <w:tcW w:w="691" w:type="pct"/>
                  <w:shd w:val="clear" w:color="auto" w:fill="auto"/>
                  <w:vAlign w:val="center"/>
                </w:tcPr>
                <w:p w14:paraId="6D47263F">
                  <w:pPr>
                    <w:jc w:val="center"/>
                    <w:rPr>
                      <w:szCs w:val="21"/>
                    </w:rPr>
                  </w:pPr>
                  <w:r>
                    <w:rPr>
                      <w:rFonts w:hint="eastAsia"/>
                      <w:szCs w:val="21"/>
                    </w:rPr>
                    <w:t>0.0256</w:t>
                  </w:r>
                </w:p>
              </w:tc>
              <w:tc>
                <w:tcPr>
                  <w:tcW w:w="772" w:type="pct"/>
                  <w:shd w:val="clear" w:color="auto" w:fill="auto"/>
                  <w:vAlign w:val="center"/>
                </w:tcPr>
                <w:p w14:paraId="5D932636">
                  <w:pPr>
                    <w:jc w:val="center"/>
                    <w:rPr>
                      <w:szCs w:val="21"/>
                    </w:rPr>
                  </w:pPr>
                  <w:r>
                    <w:rPr>
                      <w:rFonts w:hint="eastAsia"/>
                      <w:szCs w:val="21"/>
                    </w:rPr>
                    <w:t>0</w:t>
                  </w:r>
                </w:p>
              </w:tc>
              <w:tc>
                <w:tcPr>
                  <w:tcW w:w="772" w:type="pct"/>
                  <w:shd w:val="clear" w:color="auto" w:fill="auto"/>
                  <w:vAlign w:val="center"/>
                </w:tcPr>
                <w:p w14:paraId="712DD209">
                  <w:pPr>
                    <w:jc w:val="center"/>
                    <w:rPr>
                      <w:rFonts w:cs="Times New Roman"/>
                      <w:szCs w:val="21"/>
                    </w:rPr>
                  </w:pPr>
                  <w:r>
                    <w:rPr>
                      <w:rFonts w:cs="Times New Roman"/>
                      <w:szCs w:val="21"/>
                    </w:rPr>
                    <w:t>0.1629</w:t>
                  </w:r>
                </w:p>
              </w:tc>
              <w:tc>
                <w:tcPr>
                  <w:tcW w:w="772" w:type="pct"/>
                  <w:shd w:val="clear" w:color="auto" w:fill="auto"/>
                  <w:vAlign w:val="center"/>
                </w:tcPr>
                <w:p w14:paraId="05DF9D1B">
                  <w:pPr>
                    <w:jc w:val="center"/>
                    <w:rPr>
                      <w:szCs w:val="21"/>
                    </w:rPr>
                  </w:pPr>
                  <w:r>
                    <w:rPr>
                      <w:rFonts w:hint="eastAsia" w:cs="Times New Roman"/>
                      <w:szCs w:val="21"/>
                    </w:rPr>
                    <w:t>+</w:t>
                  </w:r>
                  <w:r>
                    <w:rPr>
                      <w:rFonts w:hint="eastAsia"/>
                      <w:szCs w:val="21"/>
                    </w:rPr>
                    <w:t>0.0256</w:t>
                  </w:r>
                </w:p>
              </w:tc>
            </w:tr>
            <w:tr w14:paraId="263C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continue"/>
                  <w:shd w:val="clear" w:color="auto" w:fill="auto"/>
                  <w:vAlign w:val="center"/>
                </w:tcPr>
                <w:p w14:paraId="4507D2EA">
                  <w:pPr>
                    <w:jc w:val="center"/>
                    <w:rPr>
                      <w:szCs w:val="21"/>
                    </w:rPr>
                  </w:pPr>
                </w:p>
              </w:tc>
              <w:tc>
                <w:tcPr>
                  <w:tcW w:w="899" w:type="pct"/>
                  <w:shd w:val="clear" w:color="auto" w:fill="auto"/>
                  <w:vAlign w:val="center"/>
                </w:tcPr>
                <w:p w14:paraId="583327A9">
                  <w:pPr>
                    <w:jc w:val="center"/>
                    <w:rPr>
                      <w:szCs w:val="21"/>
                    </w:rPr>
                  </w:pPr>
                  <w:r>
                    <w:rPr>
                      <w:rFonts w:hint="eastAsia"/>
                      <w:szCs w:val="21"/>
                    </w:rPr>
                    <w:t>TP</w:t>
                  </w:r>
                </w:p>
              </w:tc>
              <w:tc>
                <w:tcPr>
                  <w:tcW w:w="690" w:type="pct"/>
                  <w:shd w:val="clear" w:color="auto" w:fill="auto"/>
                  <w:vAlign w:val="center"/>
                </w:tcPr>
                <w:p w14:paraId="3D855144">
                  <w:pPr>
                    <w:jc w:val="center"/>
                    <w:rPr>
                      <w:szCs w:val="21"/>
                    </w:rPr>
                  </w:pPr>
                  <w:r>
                    <w:rPr>
                      <w:rFonts w:hint="eastAsia"/>
                      <w:szCs w:val="21"/>
                    </w:rPr>
                    <w:t>0.0065</w:t>
                  </w:r>
                </w:p>
              </w:tc>
              <w:tc>
                <w:tcPr>
                  <w:tcW w:w="691" w:type="pct"/>
                  <w:shd w:val="clear" w:color="auto" w:fill="auto"/>
                  <w:vAlign w:val="center"/>
                </w:tcPr>
                <w:p w14:paraId="3E8B737F">
                  <w:pPr>
                    <w:jc w:val="center"/>
                    <w:rPr>
                      <w:szCs w:val="21"/>
                    </w:rPr>
                  </w:pPr>
                  <w:r>
                    <w:rPr>
                      <w:rFonts w:hint="eastAsia"/>
                      <w:kern w:val="24"/>
                      <w:szCs w:val="21"/>
                    </w:rPr>
                    <w:t>0.0028</w:t>
                  </w:r>
                </w:p>
              </w:tc>
              <w:tc>
                <w:tcPr>
                  <w:tcW w:w="772" w:type="pct"/>
                  <w:shd w:val="clear" w:color="auto" w:fill="auto"/>
                  <w:vAlign w:val="center"/>
                </w:tcPr>
                <w:p w14:paraId="06DAA828">
                  <w:pPr>
                    <w:jc w:val="center"/>
                    <w:rPr>
                      <w:szCs w:val="21"/>
                    </w:rPr>
                  </w:pPr>
                  <w:r>
                    <w:rPr>
                      <w:rFonts w:hint="eastAsia"/>
                      <w:szCs w:val="21"/>
                    </w:rPr>
                    <w:t>0</w:t>
                  </w:r>
                </w:p>
              </w:tc>
              <w:tc>
                <w:tcPr>
                  <w:tcW w:w="772" w:type="pct"/>
                  <w:shd w:val="clear" w:color="auto" w:fill="auto"/>
                  <w:vAlign w:val="center"/>
                </w:tcPr>
                <w:p w14:paraId="0D71B1EB">
                  <w:pPr>
                    <w:jc w:val="center"/>
                    <w:rPr>
                      <w:rFonts w:cs="Times New Roman"/>
                      <w:szCs w:val="21"/>
                    </w:rPr>
                  </w:pPr>
                  <w:r>
                    <w:rPr>
                      <w:rFonts w:cs="Times New Roman"/>
                      <w:szCs w:val="21"/>
                    </w:rPr>
                    <w:t>0.0093</w:t>
                  </w:r>
                </w:p>
              </w:tc>
              <w:tc>
                <w:tcPr>
                  <w:tcW w:w="772" w:type="pct"/>
                  <w:shd w:val="clear" w:color="auto" w:fill="auto"/>
                  <w:vAlign w:val="center"/>
                </w:tcPr>
                <w:p w14:paraId="5DC33E5D">
                  <w:pPr>
                    <w:jc w:val="center"/>
                    <w:rPr>
                      <w:szCs w:val="21"/>
                    </w:rPr>
                  </w:pPr>
                  <w:r>
                    <w:rPr>
                      <w:rFonts w:hint="eastAsia" w:cs="Times New Roman"/>
                      <w:szCs w:val="21"/>
                    </w:rPr>
                    <w:t>+</w:t>
                  </w:r>
                  <w:r>
                    <w:rPr>
                      <w:rFonts w:hint="eastAsia"/>
                      <w:kern w:val="24"/>
                      <w:szCs w:val="21"/>
                    </w:rPr>
                    <w:t>0.0028</w:t>
                  </w:r>
                </w:p>
              </w:tc>
            </w:tr>
            <w:tr w14:paraId="2B38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4" w:type="pct"/>
                  <w:vMerge w:val="restart"/>
                  <w:shd w:val="clear" w:color="auto" w:fill="auto"/>
                  <w:vAlign w:val="center"/>
                </w:tcPr>
                <w:p w14:paraId="762B97BD">
                  <w:pPr>
                    <w:jc w:val="center"/>
                    <w:rPr>
                      <w:szCs w:val="21"/>
                    </w:rPr>
                  </w:pPr>
                  <w:r>
                    <w:rPr>
                      <w:rFonts w:hint="eastAsia"/>
                      <w:szCs w:val="21"/>
                    </w:rPr>
                    <w:t>固体</w:t>
                  </w:r>
                </w:p>
                <w:p w14:paraId="01691C7C">
                  <w:pPr>
                    <w:jc w:val="center"/>
                    <w:rPr>
                      <w:szCs w:val="21"/>
                    </w:rPr>
                  </w:pPr>
                  <w:r>
                    <w:rPr>
                      <w:szCs w:val="21"/>
                    </w:rPr>
                    <w:t>废物</w:t>
                  </w:r>
                </w:p>
              </w:tc>
              <w:tc>
                <w:tcPr>
                  <w:tcW w:w="899" w:type="pct"/>
                  <w:shd w:val="clear" w:color="auto" w:fill="auto"/>
                  <w:vAlign w:val="center"/>
                </w:tcPr>
                <w:p w14:paraId="38766709">
                  <w:pPr>
                    <w:jc w:val="center"/>
                    <w:rPr>
                      <w:szCs w:val="21"/>
                    </w:rPr>
                  </w:pPr>
                  <w:r>
                    <w:rPr>
                      <w:rFonts w:hint="eastAsia"/>
                      <w:szCs w:val="21"/>
                    </w:rPr>
                    <w:t>一般固体废物</w:t>
                  </w:r>
                </w:p>
              </w:tc>
              <w:tc>
                <w:tcPr>
                  <w:tcW w:w="690" w:type="pct"/>
                  <w:shd w:val="clear" w:color="auto" w:fill="auto"/>
                  <w:vAlign w:val="center"/>
                </w:tcPr>
                <w:p w14:paraId="315BA1A2">
                  <w:pPr>
                    <w:jc w:val="center"/>
                    <w:rPr>
                      <w:szCs w:val="21"/>
                    </w:rPr>
                  </w:pPr>
                  <w:r>
                    <w:rPr>
                      <w:rFonts w:hint="eastAsia"/>
                      <w:szCs w:val="21"/>
                    </w:rPr>
                    <w:t>39.175</w:t>
                  </w:r>
                </w:p>
              </w:tc>
              <w:tc>
                <w:tcPr>
                  <w:tcW w:w="691" w:type="pct"/>
                  <w:shd w:val="clear" w:color="auto" w:fill="auto"/>
                  <w:vAlign w:val="center"/>
                </w:tcPr>
                <w:p w14:paraId="23548F3B">
                  <w:pPr>
                    <w:jc w:val="center"/>
                    <w:rPr>
                      <w:szCs w:val="21"/>
                    </w:rPr>
                  </w:pPr>
                  <w:r>
                    <w:rPr>
                      <w:rFonts w:hint="eastAsia"/>
                      <w:szCs w:val="21"/>
                    </w:rPr>
                    <w:t>20.665</w:t>
                  </w:r>
                </w:p>
              </w:tc>
              <w:tc>
                <w:tcPr>
                  <w:tcW w:w="772" w:type="pct"/>
                  <w:shd w:val="clear" w:color="auto" w:fill="auto"/>
                  <w:vAlign w:val="center"/>
                </w:tcPr>
                <w:p w14:paraId="7E0799EE">
                  <w:pPr>
                    <w:jc w:val="center"/>
                    <w:rPr>
                      <w:szCs w:val="21"/>
                    </w:rPr>
                  </w:pPr>
                  <w:r>
                    <w:rPr>
                      <w:rFonts w:hint="eastAsia"/>
                      <w:szCs w:val="21"/>
                    </w:rPr>
                    <w:t>0</w:t>
                  </w:r>
                </w:p>
              </w:tc>
              <w:tc>
                <w:tcPr>
                  <w:tcW w:w="772" w:type="pct"/>
                  <w:shd w:val="clear" w:color="auto" w:fill="auto"/>
                  <w:vAlign w:val="center"/>
                </w:tcPr>
                <w:p w14:paraId="04A934F4">
                  <w:pPr>
                    <w:jc w:val="center"/>
                    <w:rPr>
                      <w:szCs w:val="21"/>
                    </w:rPr>
                  </w:pPr>
                  <w:r>
                    <w:rPr>
                      <w:rFonts w:hint="eastAsia"/>
                      <w:szCs w:val="21"/>
                    </w:rPr>
                    <w:t>59.840</w:t>
                  </w:r>
                </w:p>
              </w:tc>
              <w:tc>
                <w:tcPr>
                  <w:tcW w:w="772" w:type="pct"/>
                  <w:shd w:val="clear" w:color="auto" w:fill="auto"/>
                  <w:vAlign w:val="center"/>
                </w:tcPr>
                <w:p w14:paraId="6A6120EC">
                  <w:pPr>
                    <w:jc w:val="center"/>
                    <w:rPr>
                      <w:szCs w:val="21"/>
                    </w:rPr>
                  </w:pPr>
                  <w:r>
                    <w:rPr>
                      <w:rFonts w:hint="eastAsia" w:cs="Times New Roman"/>
                      <w:szCs w:val="21"/>
                    </w:rPr>
                    <w:t>+</w:t>
                  </w:r>
                  <w:r>
                    <w:rPr>
                      <w:rFonts w:hint="eastAsia"/>
                      <w:szCs w:val="21"/>
                    </w:rPr>
                    <w:t>20.665</w:t>
                  </w:r>
                </w:p>
              </w:tc>
            </w:tr>
            <w:tr w14:paraId="4F9D1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4" w:type="pct"/>
                  <w:vMerge w:val="continue"/>
                  <w:shd w:val="clear" w:color="auto" w:fill="auto"/>
                  <w:vAlign w:val="center"/>
                </w:tcPr>
                <w:p w14:paraId="40B57CED">
                  <w:pPr>
                    <w:jc w:val="center"/>
                    <w:rPr>
                      <w:szCs w:val="21"/>
                    </w:rPr>
                  </w:pPr>
                </w:p>
              </w:tc>
              <w:tc>
                <w:tcPr>
                  <w:tcW w:w="899" w:type="pct"/>
                  <w:shd w:val="clear" w:color="auto" w:fill="auto"/>
                  <w:vAlign w:val="center"/>
                </w:tcPr>
                <w:p w14:paraId="0D8660B9">
                  <w:pPr>
                    <w:jc w:val="center"/>
                    <w:rPr>
                      <w:szCs w:val="21"/>
                    </w:rPr>
                  </w:pPr>
                  <w:r>
                    <w:rPr>
                      <w:rFonts w:hint="eastAsia"/>
                      <w:szCs w:val="21"/>
                    </w:rPr>
                    <w:t>危险废物</w:t>
                  </w:r>
                </w:p>
              </w:tc>
              <w:tc>
                <w:tcPr>
                  <w:tcW w:w="690" w:type="pct"/>
                  <w:shd w:val="clear" w:color="auto" w:fill="auto"/>
                  <w:vAlign w:val="center"/>
                </w:tcPr>
                <w:p w14:paraId="77395DC3">
                  <w:pPr>
                    <w:jc w:val="center"/>
                    <w:rPr>
                      <w:szCs w:val="21"/>
                    </w:rPr>
                  </w:pPr>
                  <w:r>
                    <w:rPr>
                      <w:rFonts w:hint="eastAsia"/>
                      <w:szCs w:val="21"/>
                    </w:rPr>
                    <w:t>52.204</w:t>
                  </w:r>
                </w:p>
              </w:tc>
              <w:tc>
                <w:tcPr>
                  <w:tcW w:w="691" w:type="pct"/>
                  <w:shd w:val="clear" w:color="auto" w:fill="auto"/>
                  <w:vAlign w:val="center"/>
                </w:tcPr>
                <w:p w14:paraId="6ECF09C2">
                  <w:pPr>
                    <w:jc w:val="center"/>
                    <w:rPr>
                      <w:szCs w:val="21"/>
                    </w:rPr>
                  </w:pPr>
                  <w:r>
                    <w:rPr>
                      <w:rFonts w:hint="eastAsia"/>
                      <w:szCs w:val="21"/>
                    </w:rPr>
                    <w:t>22.704</w:t>
                  </w:r>
                </w:p>
              </w:tc>
              <w:tc>
                <w:tcPr>
                  <w:tcW w:w="772" w:type="pct"/>
                  <w:shd w:val="clear" w:color="auto" w:fill="auto"/>
                  <w:vAlign w:val="center"/>
                </w:tcPr>
                <w:p w14:paraId="17B64480">
                  <w:pPr>
                    <w:jc w:val="center"/>
                    <w:rPr>
                      <w:szCs w:val="21"/>
                    </w:rPr>
                  </w:pPr>
                  <w:r>
                    <w:rPr>
                      <w:rFonts w:hint="eastAsia"/>
                      <w:szCs w:val="21"/>
                    </w:rPr>
                    <w:t>0</w:t>
                  </w:r>
                </w:p>
              </w:tc>
              <w:tc>
                <w:tcPr>
                  <w:tcW w:w="772" w:type="pct"/>
                  <w:shd w:val="clear" w:color="auto" w:fill="auto"/>
                  <w:vAlign w:val="center"/>
                </w:tcPr>
                <w:p w14:paraId="466EA111">
                  <w:pPr>
                    <w:jc w:val="center"/>
                    <w:rPr>
                      <w:szCs w:val="21"/>
                    </w:rPr>
                  </w:pPr>
                  <w:r>
                    <w:rPr>
                      <w:rFonts w:hint="eastAsia"/>
                      <w:szCs w:val="21"/>
                    </w:rPr>
                    <w:t>74.908</w:t>
                  </w:r>
                </w:p>
              </w:tc>
              <w:tc>
                <w:tcPr>
                  <w:tcW w:w="772" w:type="pct"/>
                  <w:shd w:val="clear" w:color="auto" w:fill="auto"/>
                  <w:vAlign w:val="center"/>
                </w:tcPr>
                <w:p w14:paraId="1D25D65B">
                  <w:pPr>
                    <w:jc w:val="center"/>
                    <w:rPr>
                      <w:szCs w:val="21"/>
                    </w:rPr>
                  </w:pPr>
                  <w:r>
                    <w:rPr>
                      <w:rFonts w:hint="eastAsia" w:cs="Times New Roman"/>
                      <w:szCs w:val="21"/>
                    </w:rPr>
                    <w:t>+</w:t>
                  </w:r>
                  <w:r>
                    <w:rPr>
                      <w:rFonts w:hint="eastAsia"/>
                      <w:szCs w:val="21"/>
                    </w:rPr>
                    <w:t>22.704</w:t>
                  </w:r>
                </w:p>
              </w:tc>
            </w:tr>
          </w:tbl>
          <w:p w14:paraId="58ADD77E">
            <w:pPr>
              <w:spacing w:line="360" w:lineRule="auto"/>
              <w:ind w:firstLine="480"/>
              <w:rPr>
                <w:sz w:val="24"/>
                <w:szCs w:val="24"/>
              </w:rPr>
            </w:pPr>
            <w:r>
              <w:rPr>
                <w:rFonts w:hint="eastAsia"/>
                <w:sz w:val="24"/>
                <w:szCs w:val="24"/>
              </w:rPr>
              <w:t>由上表可知，项目改建后虽然主要污染物排放量或固体废物产生量均</w:t>
            </w:r>
            <w:r>
              <w:rPr>
                <w:rFonts w:hint="eastAsia"/>
                <w:sz w:val="24"/>
                <w:szCs w:val="24"/>
                <w:lang w:eastAsia="zh-CN"/>
              </w:rPr>
              <w:t>有所</w:t>
            </w:r>
            <w:r>
              <w:rPr>
                <w:rFonts w:hint="eastAsia"/>
                <w:sz w:val="24"/>
                <w:szCs w:val="24"/>
              </w:rPr>
              <w:t>增加，但各类污染物落实环评提出的污染防治措施后，可以实现达标排放或有效处置，对环境的影响是可接受的。</w:t>
            </w:r>
          </w:p>
        </w:tc>
      </w:tr>
      <w:tr w14:paraId="2929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4" w:type="pct"/>
            <w:vAlign w:val="center"/>
          </w:tcPr>
          <w:p w14:paraId="0CEB139B">
            <w:pPr>
              <w:spacing w:line="360" w:lineRule="auto"/>
              <w:jc w:val="center"/>
              <w:rPr>
                <w:rFonts w:cs="Times New Roman"/>
                <w:sz w:val="24"/>
                <w:szCs w:val="24"/>
              </w:rPr>
            </w:pPr>
            <w:r>
              <w:rPr>
                <w:rFonts w:hint="eastAsia" w:cs="Times New Roman"/>
                <w:sz w:val="24"/>
                <w:szCs w:val="24"/>
              </w:rPr>
              <w:t>环保投资</w:t>
            </w:r>
          </w:p>
        </w:tc>
        <w:tc>
          <w:tcPr>
            <w:tcW w:w="4756" w:type="pct"/>
            <w:vAlign w:val="center"/>
          </w:tcPr>
          <w:p w14:paraId="315BE485">
            <w:pPr>
              <w:spacing w:line="360" w:lineRule="auto"/>
              <w:ind w:firstLine="480" w:firstLineChars="200"/>
              <w:rPr>
                <w:sz w:val="24"/>
                <w:szCs w:val="24"/>
              </w:rPr>
            </w:pPr>
            <w:r>
              <w:rPr>
                <w:rFonts w:hint="eastAsia"/>
                <w:sz w:val="24"/>
                <w:szCs w:val="24"/>
              </w:rPr>
              <w:t>本项目总投资</w:t>
            </w:r>
            <w:r>
              <w:rPr>
                <w:sz w:val="24"/>
                <w:szCs w:val="24"/>
              </w:rPr>
              <w:t>2000万元</w:t>
            </w:r>
            <w:r>
              <w:rPr>
                <w:rFonts w:hint="eastAsia"/>
                <w:sz w:val="24"/>
                <w:szCs w:val="24"/>
              </w:rPr>
              <w:t>，环保投资约9</w:t>
            </w:r>
            <w:r>
              <w:rPr>
                <w:sz w:val="24"/>
                <w:szCs w:val="24"/>
              </w:rPr>
              <w:t>0</w:t>
            </w:r>
            <w:r>
              <w:rPr>
                <w:rFonts w:hint="eastAsia"/>
                <w:sz w:val="24"/>
                <w:szCs w:val="24"/>
              </w:rPr>
              <w:t>万元，占总投资的</w:t>
            </w:r>
            <w:r>
              <w:rPr>
                <w:rFonts w:hint="eastAsia" w:cs="Times New Roman"/>
                <w:sz w:val="24"/>
                <w:szCs w:val="24"/>
              </w:rPr>
              <w:t>4.5</w:t>
            </w:r>
            <w:r>
              <w:rPr>
                <w:rFonts w:cs="Times New Roman"/>
                <w:sz w:val="24"/>
                <w:szCs w:val="24"/>
              </w:rPr>
              <w:t>%</w:t>
            </w:r>
            <w:r>
              <w:rPr>
                <w:rFonts w:hint="eastAsia"/>
                <w:sz w:val="24"/>
                <w:szCs w:val="24"/>
              </w:rPr>
              <w:t>，主要环保措施及投资估算见下表。</w:t>
            </w:r>
          </w:p>
          <w:p w14:paraId="37E448E4">
            <w:pPr>
              <w:pStyle w:val="51"/>
              <w:numPr>
                <w:ilvl w:val="0"/>
                <w:numId w:val="6"/>
              </w:numPr>
              <w:spacing w:line="360" w:lineRule="auto"/>
              <w:ind w:firstLineChars="0"/>
              <w:jc w:val="center"/>
              <w:rPr>
                <w:rFonts w:eastAsia="黑体" w:cs="Times New Roman"/>
                <w:szCs w:val="21"/>
              </w:rPr>
            </w:pPr>
            <w:r>
              <w:rPr>
                <w:rFonts w:hint="eastAsia" w:eastAsia="黑体"/>
                <w:szCs w:val="21"/>
              </w:rPr>
              <w:t>环保投资估算一览表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748"/>
              <w:gridCol w:w="5236"/>
              <w:gridCol w:w="1645"/>
              <w:gridCol w:w="777"/>
            </w:tblGrid>
            <w:tr w14:paraId="657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blHeader/>
              </w:trPr>
              <w:tc>
                <w:tcPr>
                  <w:tcW w:w="405" w:type="pct"/>
                  <w:vAlign w:val="center"/>
                </w:tcPr>
                <w:p w14:paraId="07C0E0BC">
                  <w:pPr>
                    <w:pStyle w:val="31"/>
                  </w:pPr>
                  <w:r>
                    <w:rPr>
                      <w:rFonts w:hint="eastAsia"/>
                    </w:rPr>
                    <w:t>时期</w:t>
                  </w:r>
                </w:p>
              </w:tc>
              <w:tc>
                <w:tcPr>
                  <w:tcW w:w="409" w:type="pct"/>
                  <w:shd w:val="clear" w:color="auto" w:fill="auto"/>
                  <w:vAlign w:val="center"/>
                </w:tcPr>
                <w:p w14:paraId="0D7A361C">
                  <w:pPr>
                    <w:pStyle w:val="31"/>
                  </w:pPr>
                  <w:r>
                    <w:t>类别</w:t>
                  </w:r>
                </w:p>
              </w:tc>
              <w:tc>
                <w:tcPr>
                  <w:tcW w:w="2862" w:type="pct"/>
                  <w:shd w:val="clear" w:color="auto" w:fill="auto"/>
                  <w:vAlign w:val="center"/>
                </w:tcPr>
                <w:p w14:paraId="247A9149">
                  <w:pPr>
                    <w:pStyle w:val="31"/>
                  </w:pPr>
                  <w:r>
                    <w:t>措施内容</w:t>
                  </w:r>
                </w:p>
              </w:tc>
              <w:tc>
                <w:tcPr>
                  <w:tcW w:w="899" w:type="pct"/>
                  <w:shd w:val="clear" w:color="auto" w:fill="auto"/>
                  <w:vAlign w:val="center"/>
                </w:tcPr>
                <w:p w14:paraId="0D247171">
                  <w:pPr>
                    <w:pStyle w:val="31"/>
                  </w:pPr>
                  <w:r>
                    <w:t>投资（万元）</w:t>
                  </w:r>
                </w:p>
              </w:tc>
              <w:tc>
                <w:tcPr>
                  <w:tcW w:w="425" w:type="pct"/>
                  <w:vAlign w:val="center"/>
                </w:tcPr>
                <w:p w14:paraId="4A20C04F">
                  <w:pPr>
                    <w:pStyle w:val="31"/>
                  </w:pPr>
                  <w:r>
                    <w:t>备注</w:t>
                  </w:r>
                </w:p>
              </w:tc>
            </w:tr>
            <w:tr w14:paraId="4EA5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5" w:type="pct"/>
                  <w:vMerge w:val="restart"/>
                  <w:vAlign w:val="center"/>
                </w:tcPr>
                <w:p w14:paraId="6C9B2579">
                  <w:pPr>
                    <w:pStyle w:val="31"/>
                  </w:pPr>
                  <w:r>
                    <w:rPr>
                      <w:rFonts w:hint="eastAsia"/>
                    </w:rPr>
                    <w:t>施</w:t>
                  </w:r>
                </w:p>
                <w:p w14:paraId="16F98D9E">
                  <w:pPr>
                    <w:pStyle w:val="31"/>
                  </w:pPr>
                  <w:r>
                    <w:rPr>
                      <w:rFonts w:hint="eastAsia"/>
                    </w:rPr>
                    <w:t>工</w:t>
                  </w:r>
                </w:p>
                <w:p w14:paraId="0A8531C2">
                  <w:pPr>
                    <w:pStyle w:val="31"/>
                  </w:pPr>
                  <w:r>
                    <w:rPr>
                      <w:rFonts w:hint="eastAsia"/>
                    </w:rPr>
                    <w:t>期</w:t>
                  </w:r>
                </w:p>
              </w:tc>
              <w:tc>
                <w:tcPr>
                  <w:tcW w:w="409" w:type="pct"/>
                  <w:vMerge w:val="restart"/>
                  <w:shd w:val="clear" w:color="auto" w:fill="auto"/>
                  <w:vAlign w:val="center"/>
                </w:tcPr>
                <w:p w14:paraId="32D29498">
                  <w:pPr>
                    <w:jc w:val="center"/>
                    <w:rPr>
                      <w:szCs w:val="21"/>
                    </w:rPr>
                  </w:pPr>
                  <w:r>
                    <w:rPr>
                      <w:rFonts w:hint="eastAsia"/>
                      <w:szCs w:val="21"/>
                    </w:rPr>
                    <w:t>废气</w:t>
                  </w:r>
                </w:p>
              </w:tc>
              <w:tc>
                <w:tcPr>
                  <w:tcW w:w="2862" w:type="pct"/>
                  <w:shd w:val="clear" w:color="auto" w:fill="auto"/>
                  <w:vAlign w:val="center"/>
                </w:tcPr>
                <w:p w14:paraId="539B4D7C">
                  <w:pPr>
                    <w:pStyle w:val="31"/>
                  </w:pPr>
                  <w:r>
                    <w:rPr>
                      <w:rFonts w:hint="eastAsia"/>
                    </w:rPr>
                    <w:t>施工现场设不低于2.5m高封闭围挡、雾状喷淋，主要道路硬化、设挡水带、排水沟等，采取覆盖措施，湿法作业，车辆密闭运输等</w:t>
                  </w:r>
                </w:p>
              </w:tc>
              <w:tc>
                <w:tcPr>
                  <w:tcW w:w="899" w:type="pct"/>
                  <w:shd w:val="clear" w:color="auto" w:fill="auto"/>
                  <w:vAlign w:val="center"/>
                </w:tcPr>
                <w:p w14:paraId="07F85ED3">
                  <w:pPr>
                    <w:pStyle w:val="31"/>
                  </w:pPr>
                  <w:r>
                    <w:rPr>
                      <w:rFonts w:hint="eastAsia" w:eastAsiaTheme="minorEastAsia"/>
                    </w:rPr>
                    <w:t>10</w:t>
                  </w:r>
                </w:p>
              </w:tc>
              <w:tc>
                <w:tcPr>
                  <w:tcW w:w="425" w:type="pct"/>
                  <w:vAlign w:val="center"/>
                </w:tcPr>
                <w:p w14:paraId="5E5A70C9">
                  <w:pPr>
                    <w:pStyle w:val="31"/>
                  </w:pPr>
                  <w:r>
                    <w:rPr>
                      <w:rFonts w:eastAsiaTheme="minorEastAsia"/>
                    </w:rPr>
                    <w:t>新增</w:t>
                  </w:r>
                </w:p>
              </w:tc>
            </w:tr>
            <w:tr w14:paraId="2456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5" w:type="pct"/>
                  <w:vMerge w:val="continue"/>
                  <w:vAlign w:val="center"/>
                </w:tcPr>
                <w:p w14:paraId="1FEE04BA">
                  <w:pPr>
                    <w:pStyle w:val="31"/>
                  </w:pPr>
                </w:p>
              </w:tc>
              <w:tc>
                <w:tcPr>
                  <w:tcW w:w="409" w:type="pct"/>
                  <w:vMerge w:val="continue"/>
                  <w:shd w:val="clear" w:color="auto" w:fill="auto"/>
                  <w:vAlign w:val="center"/>
                </w:tcPr>
                <w:p w14:paraId="093810F1">
                  <w:pPr>
                    <w:jc w:val="center"/>
                    <w:rPr>
                      <w:szCs w:val="21"/>
                    </w:rPr>
                  </w:pPr>
                </w:p>
              </w:tc>
              <w:tc>
                <w:tcPr>
                  <w:tcW w:w="2862" w:type="pct"/>
                  <w:shd w:val="clear" w:color="auto" w:fill="auto"/>
                  <w:vAlign w:val="center"/>
                </w:tcPr>
                <w:p w14:paraId="46EE97F6">
                  <w:pPr>
                    <w:pStyle w:val="31"/>
                  </w:pPr>
                  <w:r>
                    <w:rPr>
                      <w:rFonts w:hint="eastAsia"/>
                    </w:rPr>
                    <w:t>禁止使用高排放非道路移动机械，制定施工现场非道路移动机械管理制度，加强施工设备维护，采用低污染的燃料；采用优质环保的装修材料</w:t>
                  </w:r>
                </w:p>
              </w:tc>
              <w:tc>
                <w:tcPr>
                  <w:tcW w:w="899" w:type="pct"/>
                  <w:shd w:val="clear" w:color="auto" w:fill="auto"/>
                  <w:vAlign w:val="center"/>
                </w:tcPr>
                <w:p w14:paraId="4A488ADD">
                  <w:pPr>
                    <w:pStyle w:val="31"/>
                  </w:pPr>
                  <w:r>
                    <w:rPr>
                      <w:rFonts w:hint="eastAsia" w:eastAsiaTheme="minorEastAsia"/>
                    </w:rPr>
                    <w:t>2</w:t>
                  </w:r>
                </w:p>
              </w:tc>
              <w:tc>
                <w:tcPr>
                  <w:tcW w:w="425" w:type="pct"/>
                  <w:vAlign w:val="center"/>
                </w:tcPr>
                <w:p w14:paraId="5C041999">
                  <w:pPr>
                    <w:pStyle w:val="31"/>
                  </w:pPr>
                  <w:r>
                    <w:rPr>
                      <w:rFonts w:eastAsiaTheme="minorEastAsia"/>
                    </w:rPr>
                    <w:t>新增</w:t>
                  </w:r>
                </w:p>
              </w:tc>
            </w:tr>
            <w:tr w14:paraId="4F92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5" w:type="pct"/>
                  <w:vMerge w:val="continue"/>
                  <w:vAlign w:val="center"/>
                </w:tcPr>
                <w:p w14:paraId="74BF5F91">
                  <w:pPr>
                    <w:pStyle w:val="31"/>
                  </w:pPr>
                </w:p>
              </w:tc>
              <w:tc>
                <w:tcPr>
                  <w:tcW w:w="409" w:type="pct"/>
                  <w:vMerge w:val="restart"/>
                  <w:shd w:val="clear" w:color="auto" w:fill="auto"/>
                  <w:vAlign w:val="center"/>
                </w:tcPr>
                <w:p w14:paraId="6CC22407">
                  <w:pPr>
                    <w:jc w:val="center"/>
                    <w:rPr>
                      <w:szCs w:val="21"/>
                    </w:rPr>
                  </w:pPr>
                  <w:r>
                    <w:rPr>
                      <w:rFonts w:hint="eastAsia"/>
                      <w:szCs w:val="21"/>
                    </w:rPr>
                    <w:t>废水</w:t>
                  </w:r>
                </w:p>
                <w:p w14:paraId="6EECFF2D">
                  <w:pPr>
                    <w:pStyle w:val="31"/>
                  </w:pPr>
                  <w:r>
                    <w:rPr>
                      <w:rFonts w:hint="eastAsia"/>
                    </w:rPr>
                    <w:t>治理</w:t>
                  </w:r>
                </w:p>
              </w:tc>
              <w:tc>
                <w:tcPr>
                  <w:tcW w:w="2862" w:type="pct"/>
                  <w:shd w:val="clear" w:color="auto" w:fill="auto"/>
                  <w:vAlign w:val="center"/>
                </w:tcPr>
                <w:p w14:paraId="15064B13">
                  <w:pPr>
                    <w:pStyle w:val="31"/>
                  </w:pPr>
                  <w:r>
                    <w:rPr>
                      <w:rFonts w:hint="eastAsia"/>
                    </w:rPr>
                    <w:t>依托厂区已建的预处理池（容积4</w:t>
                  </w:r>
                  <w:r>
                    <w:t>0</w:t>
                  </w:r>
                  <w:r>
                    <w:rPr>
                      <w:rFonts w:hint="eastAsia"/>
                    </w:rPr>
                    <w:t>m</w:t>
                  </w:r>
                  <w:r>
                    <w:rPr>
                      <w:vertAlign w:val="superscript"/>
                    </w:rPr>
                    <w:t>3</w:t>
                  </w:r>
                  <w:r>
                    <w:rPr>
                      <w:rFonts w:hint="eastAsia"/>
                    </w:rPr>
                    <w:t>）</w:t>
                  </w:r>
                </w:p>
              </w:tc>
              <w:tc>
                <w:tcPr>
                  <w:tcW w:w="899" w:type="pct"/>
                  <w:shd w:val="clear" w:color="auto" w:fill="auto"/>
                  <w:vAlign w:val="center"/>
                </w:tcPr>
                <w:p w14:paraId="2D7AD6C5">
                  <w:pPr>
                    <w:pStyle w:val="31"/>
                  </w:pPr>
                  <w:r>
                    <w:rPr>
                      <w:rFonts w:hint="eastAsia" w:eastAsiaTheme="minorEastAsia"/>
                    </w:rPr>
                    <w:t>/</w:t>
                  </w:r>
                </w:p>
              </w:tc>
              <w:tc>
                <w:tcPr>
                  <w:tcW w:w="425" w:type="pct"/>
                  <w:vAlign w:val="center"/>
                </w:tcPr>
                <w:p w14:paraId="5C8E0640">
                  <w:pPr>
                    <w:pStyle w:val="31"/>
                  </w:pPr>
                  <w:r>
                    <w:rPr>
                      <w:rFonts w:hint="eastAsia" w:eastAsiaTheme="minorEastAsia"/>
                    </w:rPr>
                    <w:t>依托</w:t>
                  </w:r>
                </w:p>
              </w:tc>
            </w:tr>
            <w:tr w14:paraId="3771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405" w:type="pct"/>
                  <w:vMerge w:val="continue"/>
                  <w:vAlign w:val="center"/>
                </w:tcPr>
                <w:p w14:paraId="3F2397E1">
                  <w:pPr>
                    <w:pStyle w:val="31"/>
                  </w:pPr>
                </w:p>
              </w:tc>
              <w:tc>
                <w:tcPr>
                  <w:tcW w:w="409" w:type="pct"/>
                  <w:vMerge w:val="continue"/>
                  <w:shd w:val="clear" w:color="auto" w:fill="auto"/>
                  <w:vAlign w:val="center"/>
                </w:tcPr>
                <w:p w14:paraId="538659FF">
                  <w:pPr>
                    <w:jc w:val="center"/>
                    <w:rPr>
                      <w:szCs w:val="21"/>
                    </w:rPr>
                  </w:pPr>
                </w:p>
              </w:tc>
              <w:tc>
                <w:tcPr>
                  <w:tcW w:w="2862" w:type="pct"/>
                  <w:shd w:val="clear" w:color="auto" w:fill="auto"/>
                  <w:vAlign w:val="center"/>
                </w:tcPr>
                <w:p w14:paraId="64375B82">
                  <w:pPr>
                    <w:pStyle w:val="31"/>
                  </w:pPr>
                  <w:r>
                    <w:t>设排水沟（沟宽×深≥300×300mm，排水坡度应大于3%）</w:t>
                  </w:r>
                  <w:r>
                    <w:rPr>
                      <w:rFonts w:hint="eastAsia"/>
                    </w:rPr>
                    <w:t>和</w:t>
                  </w:r>
                  <w:r>
                    <w:t>三级沉淀池</w:t>
                  </w:r>
                </w:p>
              </w:tc>
              <w:tc>
                <w:tcPr>
                  <w:tcW w:w="899" w:type="pct"/>
                  <w:shd w:val="clear" w:color="auto" w:fill="auto"/>
                  <w:vAlign w:val="center"/>
                </w:tcPr>
                <w:p w14:paraId="3ABE7C31">
                  <w:pPr>
                    <w:pStyle w:val="31"/>
                  </w:pPr>
                  <w:r>
                    <w:rPr>
                      <w:rFonts w:hint="eastAsia" w:eastAsiaTheme="minorEastAsia"/>
                    </w:rPr>
                    <w:t>30</w:t>
                  </w:r>
                </w:p>
              </w:tc>
              <w:tc>
                <w:tcPr>
                  <w:tcW w:w="425" w:type="pct"/>
                  <w:vAlign w:val="center"/>
                </w:tcPr>
                <w:p w14:paraId="38AF4835">
                  <w:pPr>
                    <w:pStyle w:val="31"/>
                  </w:pPr>
                  <w:r>
                    <w:rPr>
                      <w:rFonts w:eastAsiaTheme="minorEastAsia"/>
                    </w:rPr>
                    <w:t>新增</w:t>
                  </w:r>
                </w:p>
              </w:tc>
            </w:tr>
            <w:tr w14:paraId="638A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4AB99B51">
                  <w:pPr>
                    <w:pStyle w:val="31"/>
                  </w:pPr>
                </w:p>
              </w:tc>
              <w:tc>
                <w:tcPr>
                  <w:tcW w:w="409" w:type="pct"/>
                  <w:shd w:val="clear" w:color="auto" w:fill="auto"/>
                  <w:vAlign w:val="center"/>
                </w:tcPr>
                <w:p w14:paraId="4D883FFA">
                  <w:pPr>
                    <w:pStyle w:val="31"/>
                  </w:pPr>
                  <w:r>
                    <w:rPr>
                      <w:rFonts w:hint="eastAsia"/>
                    </w:rPr>
                    <w:t>噪声</w:t>
                  </w:r>
                </w:p>
                <w:p w14:paraId="7F0B3395">
                  <w:pPr>
                    <w:pStyle w:val="31"/>
                  </w:pPr>
                  <w:r>
                    <w:rPr>
                      <w:rFonts w:hint="eastAsia"/>
                    </w:rPr>
                    <w:t>治理</w:t>
                  </w:r>
                </w:p>
              </w:tc>
              <w:tc>
                <w:tcPr>
                  <w:tcW w:w="2862" w:type="pct"/>
                  <w:shd w:val="clear" w:color="auto" w:fill="auto"/>
                  <w:vAlign w:val="center"/>
                </w:tcPr>
                <w:p w14:paraId="6BC6CC31">
                  <w:pPr>
                    <w:pStyle w:val="31"/>
                  </w:pPr>
                  <w:r>
                    <w:rPr>
                      <w:rFonts w:hint="eastAsia"/>
                    </w:rPr>
                    <w:t>编制噪声污染防治方案，</w:t>
                  </w:r>
                  <w:r>
                    <w:rPr>
                      <w:rFonts w:hint="eastAsia"/>
                      <w:lang w:eastAsia="zh-CN"/>
                    </w:rPr>
                    <w:t>选择</w:t>
                  </w:r>
                  <w:r>
                    <w:rPr>
                      <w:rFonts w:hint="eastAsia"/>
                    </w:rPr>
                    <w:t>噪声施工工艺，设置噪声自动监测系统，文明施工，合理布局施工平面</w:t>
                  </w:r>
                </w:p>
              </w:tc>
              <w:tc>
                <w:tcPr>
                  <w:tcW w:w="899" w:type="pct"/>
                  <w:shd w:val="clear" w:color="auto" w:fill="auto"/>
                  <w:vAlign w:val="center"/>
                </w:tcPr>
                <w:p w14:paraId="449477C0">
                  <w:pPr>
                    <w:pStyle w:val="31"/>
                  </w:pPr>
                  <w:r>
                    <w:rPr>
                      <w:rFonts w:eastAsiaTheme="minorEastAsia"/>
                    </w:rPr>
                    <w:t>2</w:t>
                  </w:r>
                </w:p>
              </w:tc>
              <w:tc>
                <w:tcPr>
                  <w:tcW w:w="425" w:type="pct"/>
                  <w:vAlign w:val="center"/>
                </w:tcPr>
                <w:p w14:paraId="0EC2D5A6">
                  <w:pPr>
                    <w:pStyle w:val="31"/>
                  </w:pPr>
                  <w:r>
                    <w:rPr>
                      <w:rFonts w:hint="eastAsia" w:eastAsiaTheme="minorEastAsia"/>
                    </w:rPr>
                    <w:t>新增</w:t>
                  </w:r>
                </w:p>
              </w:tc>
            </w:tr>
            <w:tr w14:paraId="1E91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05" w:type="pct"/>
                  <w:vMerge w:val="continue"/>
                  <w:vAlign w:val="center"/>
                </w:tcPr>
                <w:p w14:paraId="63B55BA6">
                  <w:pPr>
                    <w:pStyle w:val="31"/>
                  </w:pPr>
                </w:p>
              </w:tc>
              <w:tc>
                <w:tcPr>
                  <w:tcW w:w="409" w:type="pct"/>
                  <w:shd w:val="clear" w:color="auto" w:fill="auto"/>
                  <w:vAlign w:val="center"/>
                </w:tcPr>
                <w:p w14:paraId="3F89CB2B">
                  <w:pPr>
                    <w:pStyle w:val="31"/>
                  </w:pPr>
                  <w:r>
                    <w:rPr>
                      <w:rFonts w:hint="eastAsia"/>
                    </w:rPr>
                    <w:t>固废</w:t>
                  </w:r>
                </w:p>
                <w:p w14:paraId="2443FEA0">
                  <w:pPr>
                    <w:pStyle w:val="31"/>
                  </w:pPr>
                  <w:r>
                    <w:rPr>
                      <w:rFonts w:hint="eastAsia"/>
                    </w:rPr>
                    <w:t>治理</w:t>
                  </w:r>
                </w:p>
              </w:tc>
              <w:tc>
                <w:tcPr>
                  <w:tcW w:w="2862" w:type="pct"/>
                  <w:shd w:val="clear" w:color="auto" w:fill="auto"/>
                  <w:vAlign w:val="center"/>
                </w:tcPr>
                <w:p w14:paraId="5F8BF6F9">
                  <w:pPr>
                    <w:pStyle w:val="31"/>
                  </w:pPr>
                  <w:r>
                    <w:rPr>
                      <w:rFonts w:hint="eastAsia"/>
                    </w:rPr>
                    <w:t>土石方回填、覆土，建筑废物分类处置，生活垃圾日产日清，废包装料外售废旧资源回收站</w:t>
                  </w:r>
                </w:p>
              </w:tc>
              <w:tc>
                <w:tcPr>
                  <w:tcW w:w="899" w:type="pct"/>
                  <w:shd w:val="clear" w:color="auto" w:fill="auto"/>
                  <w:vAlign w:val="center"/>
                </w:tcPr>
                <w:p w14:paraId="178E86CD">
                  <w:pPr>
                    <w:pStyle w:val="31"/>
                  </w:pPr>
                  <w:r>
                    <w:rPr>
                      <w:rFonts w:hint="eastAsia" w:eastAsiaTheme="minorEastAsia"/>
                    </w:rPr>
                    <w:t>12</w:t>
                  </w:r>
                </w:p>
              </w:tc>
              <w:tc>
                <w:tcPr>
                  <w:tcW w:w="425" w:type="pct"/>
                  <w:vAlign w:val="center"/>
                </w:tcPr>
                <w:p w14:paraId="51D61FDE">
                  <w:pPr>
                    <w:pStyle w:val="31"/>
                  </w:pPr>
                  <w:r>
                    <w:rPr>
                      <w:rFonts w:eastAsiaTheme="minorEastAsia"/>
                    </w:rPr>
                    <w:t>新增</w:t>
                  </w:r>
                </w:p>
              </w:tc>
            </w:tr>
            <w:tr w14:paraId="07D3D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1E9380B2">
                  <w:pPr>
                    <w:pStyle w:val="31"/>
                  </w:pPr>
                </w:p>
              </w:tc>
              <w:tc>
                <w:tcPr>
                  <w:tcW w:w="409" w:type="pct"/>
                  <w:shd w:val="clear" w:color="auto" w:fill="auto"/>
                  <w:vAlign w:val="center"/>
                </w:tcPr>
                <w:p w14:paraId="1BBCF99E">
                  <w:pPr>
                    <w:pStyle w:val="31"/>
                  </w:pPr>
                  <w:r>
                    <w:rPr>
                      <w:rFonts w:hint="eastAsia"/>
                    </w:rPr>
                    <w:t>生态保护</w:t>
                  </w:r>
                </w:p>
              </w:tc>
              <w:tc>
                <w:tcPr>
                  <w:tcW w:w="2862" w:type="pct"/>
                  <w:shd w:val="clear" w:color="auto" w:fill="auto"/>
                  <w:vAlign w:val="center"/>
                </w:tcPr>
                <w:p w14:paraId="3BC0EAC8">
                  <w:pPr>
                    <w:pStyle w:val="31"/>
                  </w:pPr>
                  <w:r>
                    <w:rPr>
                      <w:rFonts w:hint="eastAsia"/>
                    </w:rPr>
                    <w:t>严格控制开挖施工作业面，采取覆盖、拦挡，表土回铺、植被恢复等</w:t>
                  </w:r>
                </w:p>
              </w:tc>
              <w:tc>
                <w:tcPr>
                  <w:tcW w:w="899" w:type="pct"/>
                  <w:shd w:val="clear" w:color="auto" w:fill="auto"/>
                  <w:vAlign w:val="center"/>
                </w:tcPr>
                <w:p w14:paraId="72FBBFF6">
                  <w:pPr>
                    <w:pStyle w:val="31"/>
                    <w:rPr>
                      <w:rFonts w:eastAsiaTheme="minorEastAsia"/>
                    </w:rPr>
                  </w:pPr>
                  <w:r>
                    <w:rPr>
                      <w:rFonts w:hint="eastAsia" w:eastAsiaTheme="minorEastAsia"/>
                    </w:rPr>
                    <w:t>8</w:t>
                  </w:r>
                </w:p>
              </w:tc>
              <w:tc>
                <w:tcPr>
                  <w:tcW w:w="425" w:type="pct"/>
                  <w:vAlign w:val="center"/>
                </w:tcPr>
                <w:p w14:paraId="3F00413F">
                  <w:pPr>
                    <w:pStyle w:val="31"/>
                    <w:rPr>
                      <w:rFonts w:eastAsiaTheme="minorEastAsia"/>
                    </w:rPr>
                  </w:pPr>
                  <w:r>
                    <w:rPr>
                      <w:rFonts w:eastAsiaTheme="minorEastAsia"/>
                    </w:rPr>
                    <w:t>新增</w:t>
                  </w:r>
                </w:p>
              </w:tc>
            </w:tr>
            <w:tr w14:paraId="6F02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restart"/>
                  <w:vAlign w:val="center"/>
                </w:tcPr>
                <w:p w14:paraId="4B1F0107">
                  <w:pPr>
                    <w:pStyle w:val="31"/>
                  </w:pPr>
                  <w:r>
                    <w:rPr>
                      <w:rFonts w:hint="eastAsia"/>
                    </w:rPr>
                    <w:t>运</w:t>
                  </w:r>
                </w:p>
                <w:p w14:paraId="7F77555C">
                  <w:pPr>
                    <w:pStyle w:val="31"/>
                  </w:pPr>
                  <w:r>
                    <w:rPr>
                      <w:rFonts w:hint="eastAsia"/>
                    </w:rPr>
                    <w:t>营</w:t>
                  </w:r>
                </w:p>
                <w:p w14:paraId="2012B93D">
                  <w:pPr>
                    <w:pStyle w:val="31"/>
                  </w:pPr>
                  <w:r>
                    <w:rPr>
                      <w:rFonts w:hint="eastAsia"/>
                    </w:rPr>
                    <w:t>期</w:t>
                  </w:r>
                </w:p>
              </w:tc>
              <w:tc>
                <w:tcPr>
                  <w:tcW w:w="409" w:type="pct"/>
                  <w:vMerge w:val="restart"/>
                  <w:shd w:val="clear" w:color="auto" w:fill="auto"/>
                  <w:vAlign w:val="center"/>
                </w:tcPr>
                <w:p w14:paraId="095914BB">
                  <w:pPr>
                    <w:pStyle w:val="31"/>
                  </w:pPr>
                  <w:r>
                    <w:t>废</w:t>
                  </w:r>
                  <w:r>
                    <w:rPr>
                      <w:rFonts w:hint="eastAsia"/>
                    </w:rPr>
                    <w:t>气</w:t>
                  </w:r>
                </w:p>
                <w:p w14:paraId="397D0CEC">
                  <w:pPr>
                    <w:pStyle w:val="31"/>
                  </w:pPr>
                  <w:r>
                    <w:t>治理</w:t>
                  </w:r>
                </w:p>
              </w:tc>
              <w:tc>
                <w:tcPr>
                  <w:tcW w:w="2862" w:type="pct"/>
                  <w:shd w:val="clear" w:color="auto" w:fill="auto"/>
                  <w:vAlign w:val="center"/>
                </w:tcPr>
                <w:p w14:paraId="0D657C0D">
                  <w:pPr>
                    <w:pStyle w:val="31"/>
                  </w:pPr>
                  <w:r>
                    <w:rPr>
                      <w:rFonts w:hint="eastAsia"/>
                      <w:bCs/>
                    </w:rPr>
                    <w:t>注塑成型机上方设集气罩，印刷间密闭负压抽风，采用1套二级活性炭吸附装置（TA005</w:t>
                  </w:r>
                  <w:r>
                    <w:rPr>
                      <w:bCs/>
                    </w:rPr>
                    <w:t>）</w:t>
                  </w:r>
                  <w:r>
                    <w:rPr>
                      <w:rFonts w:hint="eastAsia"/>
                      <w:bCs/>
                    </w:rPr>
                    <w:t>处理后经15m高排气筒（DA005）排放</w:t>
                  </w:r>
                </w:p>
              </w:tc>
              <w:tc>
                <w:tcPr>
                  <w:tcW w:w="899" w:type="pct"/>
                  <w:shd w:val="clear" w:color="auto" w:fill="auto"/>
                  <w:vAlign w:val="center"/>
                </w:tcPr>
                <w:p w14:paraId="0954A8B0">
                  <w:pPr>
                    <w:pStyle w:val="31"/>
                  </w:pPr>
                  <w:r>
                    <w:rPr>
                      <w:rFonts w:hint="eastAsia"/>
                    </w:rPr>
                    <w:t>15</w:t>
                  </w:r>
                </w:p>
              </w:tc>
              <w:tc>
                <w:tcPr>
                  <w:tcW w:w="425" w:type="pct"/>
                  <w:vAlign w:val="center"/>
                </w:tcPr>
                <w:p w14:paraId="0FD810A0">
                  <w:pPr>
                    <w:pStyle w:val="31"/>
                  </w:pPr>
                  <w:r>
                    <w:t>新增</w:t>
                  </w:r>
                </w:p>
              </w:tc>
            </w:tr>
            <w:tr w14:paraId="53EFB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5139C4D8">
                  <w:pPr>
                    <w:pStyle w:val="31"/>
                  </w:pPr>
                </w:p>
              </w:tc>
              <w:tc>
                <w:tcPr>
                  <w:tcW w:w="409" w:type="pct"/>
                  <w:vMerge w:val="continue"/>
                  <w:shd w:val="clear" w:color="auto" w:fill="auto"/>
                  <w:vAlign w:val="center"/>
                </w:tcPr>
                <w:p w14:paraId="3041778C">
                  <w:pPr>
                    <w:pStyle w:val="31"/>
                  </w:pPr>
                </w:p>
              </w:tc>
              <w:tc>
                <w:tcPr>
                  <w:tcW w:w="2862" w:type="pct"/>
                  <w:shd w:val="clear" w:color="auto" w:fill="auto"/>
                  <w:vAlign w:val="center"/>
                </w:tcPr>
                <w:p w14:paraId="5A9410F9">
                  <w:pPr>
                    <w:pStyle w:val="31"/>
                  </w:pPr>
                  <w:r>
                    <w:rPr>
                      <w:rFonts w:hint="eastAsia"/>
                      <w:bCs/>
                    </w:rPr>
                    <w:t>厂区已建食堂油烟净化器（TA004</w:t>
                  </w:r>
                  <w:r>
                    <w:rPr>
                      <w:bCs/>
                    </w:rPr>
                    <w:t>）</w:t>
                  </w:r>
                  <w:r>
                    <w:rPr>
                      <w:rFonts w:hint="eastAsia"/>
                      <w:bCs/>
                    </w:rPr>
                    <w:t>处理后引至食堂屋顶排放（DA004</w:t>
                  </w:r>
                  <w:r>
                    <w:rPr>
                      <w:bCs/>
                    </w:rPr>
                    <w:t>）</w:t>
                  </w:r>
                </w:p>
              </w:tc>
              <w:tc>
                <w:tcPr>
                  <w:tcW w:w="899" w:type="pct"/>
                  <w:shd w:val="clear" w:color="auto" w:fill="auto"/>
                  <w:vAlign w:val="center"/>
                </w:tcPr>
                <w:p w14:paraId="7D5BF57F">
                  <w:pPr>
                    <w:pStyle w:val="31"/>
                  </w:pPr>
                  <w:r>
                    <w:rPr>
                      <w:rFonts w:hint="eastAsia"/>
                    </w:rPr>
                    <w:t>/</w:t>
                  </w:r>
                </w:p>
              </w:tc>
              <w:tc>
                <w:tcPr>
                  <w:tcW w:w="425" w:type="pct"/>
                  <w:vAlign w:val="center"/>
                </w:tcPr>
                <w:p w14:paraId="4BE60F8F">
                  <w:pPr>
                    <w:pStyle w:val="31"/>
                  </w:pPr>
                  <w:r>
                    <w:rPr>
                      <w:rFonts w:hint="eastAsia"/>
                    </w:rPr>
                    <w:t>依托</w:t>
                  </w:r>
                </w:p>
              </w:tc>
            </w:tr>
            <w:tr w14:paraId="2FBA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0614E735">
                  <w:pPr>
                    <w:pStyle w:val="31"/>
                  </w:pPr>
                </w:p>
              </w:tc>
              <w:tc>
                <w:tcPr>
                  <w:tcW w:w="409" w:type="pct"/>
                  <w:vMerge w:val="restart"/>
                  <w:shd w:val="clear" w:color="auto" w:fill="auto"/>
                  <w:vAlign w:val="center"/>
                </w:tcPr>
                <w:p w14:paraId="6AF6A335">
                  <w:pPr>
                    <w:pStyle w:val="31"/>
                  </w:pPr>
                  <w:r>
                    <w:t>废水</w:t>
                  </w:r>
                </w:p>
                <w:p w14:paraId="12E028FC">
                  <w:pPr>
                    <w:pStyle w:val="31"/>
                  </w:pPr>
                  <w:r>
                    <w:t>治理</w:t>
                  </w:r>
                </w:p>
              </w:tc>
              <w:tc>
                <w:tcPr>
                  <w:tcW w:w="2862" w:type="pct"/>
                  <w:shd w:val="clear" w:color="auto" w:fill="auto"/>
                  <w:vAlign w:val="center"/>
                </w:tcPr>
                <w:p w14:paraId="3C91016C">
                  <w:pPr>
                    <w:pStyle w:val="31"/>
                  </w:pPr>
                  <w:r>
                    <w:rPr>
                      <w:rFonts w:hint="eastAsia"/>
                    </w:rPr>
                    <w:t>依托厂区已建的1个预处理池（容积</w:t>
                  </w:r>
                  <w:r>
                    <w:t>40m</w:t>
                  </w:r>
                  <w:r>
                    <w:rPr>
                      <w:vertAlign w:val="superscript"/>
                    </w:rPr>
                    <w:t>3</w:t>
                  </w:r>
                  <w:r>
                    <w:rPr>
                      <w:rFonts w:hint="eastAsia"/>
                    </w:rPr>
                    <w:t>）</w:t>
                  </w:r>
                </w:p>
              </w:tc>
              <w:tc>
                <w:tcPr>
                  <w:tcW w:w="899" w:type="pct"/>
                  <w:shd w:val="clear" w:color="auto" w:fill="auto"/>
                  <w:vAlign w:val="center"/>
                </w:tcPr>
                <w:p w14:paraId="21F056B7">
                  <w:pPr>
                    <w:pStyle w:val="31"/>
                  </w:pPr>
                  <w:r>
                    <w:rPr>
                      <w:rFonts w:hint="eastAsia"/>
                    </w:rPr>
                    <w:t>/</w:t>
                  </w:r>
                </w:p>
              </w:tc>
              <w:tc>
                <w:tcPr>
                  <w:tcW w:w="425" w:type="pct"/>
                  <w:vAlign w:val="center"/>
                </w:tcPr>
                <w:p w14:paraId="1C3B7317">
                  <w:pPr>
                    <w:pStyle w:val="31"/>
                  </w:pPr>
                  <w:r>
                    <w:rPr>
                      <w:rFonts w:hint="eastAsia"/>
                    </w:rPr>
                    <w:t>依托</w:t>
                  </w:r>
                </w:p>
              </w:tc>
            </w:tr>
            <w:tr w14:paraId="6391F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312AD868">
                  <w:pPr>
                    <w:pStyle w:val="31"/>
                  </w:pPr>
                </w:p>
              </w:tc>
              <w:tc>
                <w:tcPr>
                  <w:tcW w:w="409" w:type="pct"/>
                  <w:vMerge w:val="continue"/>
                  <w:shd w:val="clear" w:color="auto" w:fill="auto"/>
                  <w:vAlign w:val="center"/>
                </w:tcPr>
                <w:p w14:paraId="53BCD291">
                  <w:pPr>
                    <w:pStyle w:val="31"/>
                  </w:pPr>
                </w:p>
              </w:tc>
              <w:tc>
                <w:tcPr>
                  <w:tcW w:w="2862" w:type="pct"/>
                  <w:shd w:val="clear" w:color="auto" w:fill="auto"/>
                  <w:vAlign w:val="center"/>
                </w:tcPr>
                <w:p w14:paraId="0DE6D4C7">
                  <w:pPr>
                    <w:pStyle w:val="31"/>
                  </w:pPr>
                  <w:r>
                    <w:rPr>
                      <w:rFonts w:hint="eastAsia"/>
                    </w:rPr>
                    <w:t>依托厂区已建的1个隔油池（容积</w:t>
                  </w:r>
                  <w:r>
                    <w:t>1m</w:t>
                  </w:r>
                  <w:r>
                    <w:rPr>
                      <w:vertAlign w:val="superscript"/>
                    </w:rPr>
                    <w:t>3</w:t>
                  </w:r>
                  <w:r>
                    <w:rPr>
                      <w:rFonts w:hint="eastAsia"/>
                    </w:rPr>
                    <w:t>）</w:t>
                  </w:r>
                </w:p>
              </w:tc>
              <w:tc>
                <w:tcPr>
                  <w:tcW w:w="899" w:type="pct"/>
                  <w:shd w:val="clear" w:color="auto" w:fill="auto"/>
                  <w:vAlign w:val="center"/>
                </w:tcPr>
                <w:p w14:paraId="6B7D906F">
                  <w:pPr>
                    <w:pStyle w:val="31"/>
                  </w:pPr>
                  <w:r>
                    <w:rPr>
                      <w:rFonts w:hint="eastAsia"/>
                    </w:rPr>
                    <w:t>/</w:t>
                  </w:r>
                </w:p>
              </w:tc>
              <w:tc>
                <w:tcPr>
                  <w:tcW w:w="425" w:type="pct"/>
                  <w:vAlign w:val="center"/>
                </w:tcPr>
                <w:p w14:paraId="4B1AF0BA">
                  <w:pPr>
                    <w:pStyle w:val="31"/>
                  </w:pPr>
                  <w:r>
                    <w:rPr>
                      <w:rFonts w:hint="eastAsia"/>
                    </w:rPr>
                    <w:t>依托</w:t>
                  </w:r>
                </w:p>
              </w:tc>
            </w:tr>
            <w:tr w14:paraId="1989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05" w:type="pct"/>
                  <w:vMerge w:val="continue"/>
                  <w:vAlign w:val="center"/>
                </w:tcPr>
                <w:p w14:paraId="722C965D">
                  <w:pPr>
                    <w:pStyle w:val="31"/>
                  </w:pPr>
                </w:p>
              </w:tc>
              <w:tc>
                <w:tcPr>
                  <w:tcW w:w="409" w:type="pct"/>
                  <w:shd w:val="clear" w:color="auto" w:fill="auto"/>
                  <w:vAlign w:val="center"/>
                </w:tcPr>
                <w:p w14:paraId="33915543">
                  <w:pPr>
                    <w:pStyle w:val="31"/>
                  </w:pPr>
                  <w:r>
                    <w:t>噪声</w:t>
                  </w:r>
                </w:p>
                <w:p w14:paraId="6980BF55">
                  <w:pPr>
                    <w:pStyle w:val="31"/>
                  </w:pPr>
                  <w:r>
                    <w:t>治理</w:t>
                  </w:r>
                </w:p>
              </w:tc>
              <w:tc>
                <w:tcPr>
                  <w:tcW w:w="2862" w:type="pct"/>
                  <w:shd w:val="clear" w:color="auto" w:fill="auto"/>
                  <w:vAlign w:val="center"/>
                </w:tcPr>
                <w:p w14:paraId="0B391179">
                  <w:pPr>
                    <w:pStyle w:val="31"/>
                  </w:pPr>
                  <w:r>
                    <w:rPr>
                      <w:rFonts w:hint="eastAsia"/>
                    </w:rPr>
                    <w:t>选</w:t>
                  </w:r>
                  <w:r>
                    <w:t>低噪声设备</w:t>
                  </w:r>
                  <w:r>
                    <w:rPr>
                      <w:rFonts w:hint="eastAsia"/>
                    </w:rPr>
                    <w:t>，</w:t>
                  </w:r>
                  <w:r>
                    <w:t>采取基础减振</w:t>
                  </w:r>
                  <w:r>
                    <w:rPr>
                      <w:rFonts w:hint="eastAsia"/>
                    </w:rPr>
                    <w:t>、隔声、消声等措施</w:t>
                  </w:r>
                </w:p>
              </w:tc>
              <w:tc>
                <w:tcPr>
                  <w:tcW w:w="899" w:type="pct"/>
                  <w:shd w:val="clear" w:color="auto" w:fill="auto"/>
                  <w:vAlign w:val="center"/>
                </w:tcPr>
                <w:p w14:paraId="27601085">
                  <w:pPr>
                    <w:pStyle w:val="31"/>
                  </w:pPr>
                  <w:r>
                    <w:t>3</w:t>
                  </w:r>
                </w:p>
              </w:tc>
              <w:tc>
                <w:tcPr>
                  <w:tcW w:w="425" w:type="pct"/>
                  <w:vAlign w:val="center"/>
                </w:tcPr>
                <w:p w14:paraId="2B6695AF">
                  <w:pPr>
                    <w:pStyle w:val="31"/>
                  </w:pPr>
                  <w:r>
                    <w:t>新增</w:t>
                  </w:r>
                </w:p>
              </w:tc>
            </w:tr>
            <w:tr w14:paraId="63E0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3E7BE5E3">
                  <w:pPr>
                    <w:pStyle w:val="31"/>
                  </w:pPr>
                </w:p>
              </w:tc>
              <w:tc>
                <w:tcPr>
                  <w:tcW w:w="409" w:type="pct"/>
                  <w:vMerge w:val="restart"/>
                  <w:shd w:val="clear" w:color="auto" w:fill="auto"/>
                  <w:vAlign w:val="center"/>
                </w:tcPr>
                <w:p w14:paraId="322F1DB1">
                  <w:pPr>
                    <w:pStyle w:val="31"/>
                  </w:pPr>
                  <w:r>
                    <w:t>固废</w:t>
                  </w:r>
                </w:p>
                <w:p w14:paraId="5492DC2D">
                  <w:pPr>
                    <w:pStyle w:val="31"/>
                  </w:pPr>
                  <w:r>
                    <w:t>治理</w:t>
                  </w:r>
                </w:p>
              </w:tc>
              <w:tc>
                <w:tcPr>
                  <w:tcW w:w="2862" w:type="pct"/>
                  <w:shd w:val="clear" w:color="auto" w:fill="auto"/>
                  <w:vAlign w:val="center"/>
                </w:tcPr>
                <w:p w14:paraId="21159220">
                  <w:pPr>
                    <w:jc w:val="center"/>
                    <w:rPr>
                      <w:rFonts w:cs="Times New Roman"/>
                    </w:rPr>
                  </w:pPr>
                  <w:r>
                    <w:rPr>
                      <w:rFonts w:hint="eastAsia" w:cs="Times New Roman"/>
                    </w:rPr>
                    <w:t>依托厂区已建的1间固废暂存间（</w:t>
                  </w:r>
                  <w:r>
                    <w:rPr>
                      <w:rFonts w:cs="Times New Roman"/>
                    </w:rPr>
                    <w:t>面积约</w:t>
                  </w:r>
                  <w:r>
                    <w:rPr>
                      <w:rFonts w:hint="eastAsia" w:cs="Times New Roman"/>
                    </w:rPr>
                    <w:t>90</w:t>
                  </w:r>
                  <w:r>
                    <w:rPr>
                      <w:rFonts w:cs="Times New Roman"/>
                    </w:rPr>
                    <w:t>m</w:t>
                  </w:r>
                  <w:r>
                    <w:rPr>
                      <w:rFonts w:cs="Times New Roman"/>
                      <w:vertAlign w:val="superscript"/>
                    </w:rPr>
                    <w:t>2</w:t>
                  </w:r>
                  <w:r>
                    <w:rPr>
                      <w:rFonts w:hint="eastAsia" w:cs="Times New Roman"/>
                    </w:rPr>
                    <w:t>）</w:t>
                  </w:r>
                </w:p>
              </w:tc>
              <w:tc>
                <w:tcPr>
                  <w:tcW w:w="899" w:type="pct"/>
                  <w:shd w:val="clear" w:color="auto" w:fill="auto"/>
                  <w:vAlign w:val="center"/>
                </w:tcPr>
                <w:p w14:paraId="53939F0E">
                  <w:pPr>
                    <w:jc w:val="center"/>
                    <w:rPr>
                      <w:rFonts w:eastAsiaTheme="minorEastAsia"/>
                    </w:rPr>
                  </w:pPr>
                  <w:r>
                    <w:rPr>
                      <w:rFonts w:hint="eastAsia"/>
                    </w:rPr>
                    <w:t>/</w:t>
                  </w:r>
                </w:p>
              </w:tc>
              <w:tc>
                <w:tcPr>
                  <w:tcW w:w="425" w:type="pct"/>
                  <w:vAlign w:val="center"/>
                </w:tcPr>
                <w:p w14:paraId="6149B639">
                  <w:pPr>
                    <w:jc w:val="center"/>
                    <w:rPr>
                      <w:rFonts w:eastAsiaTheme="minorEastAsia"/>
                    </w:rPr>
                  </w:pPr>
                  <w:r>
                    <w:rPr>
                      <w:rFonts w:hint="eastAsia"/>
                    </w:rPr>
                    <w:t>依托</w:t>
                  </w:r>
                </w:p>
              </w:tc>
            </w:tr>
            <w:tr w14:paraId="1A25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05" w:type="pct"/>
                  <w:vMerge w:val="continue"/>
                  <w:vAlign w:val="center"/>
                </w:tcPr>
                <w:p w14:paraId="39F10485">
                  <w:pPr>
                    <w:pStyle w:val="31"/>
                  </w:pPr>
                </w:p>
              </w:tc>
              <w:tc>
                <w:tcPr>
                  <w:tcW w:w="409" w:type="pct"/>
                  <w:vMerge w:val="continue"/>
                  <w:shd w:val="clear" w:color="auto" w:fill="auto"/>
                  <w:vAlign w:val="center"/>
                </w:tcPr>
                <w:p w14:paraId="6E47320A">
                  <w:pPr>
                    <w:pStyle w:val="31"/>
                  </w:pPr>
                </w:p>
              </w:tc>
              <w:tc>
                <w:tcPr>
                  <w:tcW w:w="2862" w:type="pct"/>
                  <w:shd w:val="clear" w:color="auto" w:fill="auto"/>
                  <w:vAlign w:val="center"/>
                </w:tcPr>
                <w:p w14:paraId="3C578DAA">
                  <w:pPr>
                    <w:jc w:val="center"/>
                    <w:rPr>
                      <w:rFonts w:cs="Times New Roman"/>
                      <w:szCs w:val="21"/>
                    </w:rPr>
                  </w:pPr>
                  <w:r>
                    <w:rPr>
                      <w:rFonts w:hint="eastAsia" w:cs="Times New Roman"/>
                    </w:rPr>
                    <w:t>依托厂区已建的1间危废暂存间（</w:t>
                  </w:r>
                  <w:r>
                    <w:rPr>
                      <w:rFonts w:cs="Times New Roman"/>
                    </w:rPr>
                    <w:t>面积约</w:t>
                  </w:r>
                  <w:r>
                    <w:rPr>
                      <w:rFonts w:hint="eastAsia" w:cs="Times New Roman"/>
                    </w:rPr>
                    <w:t>5</w:t>
                  </w:r>
                  <w:r>
                    <w:rPr>
                      <w:rFonts w:cs="Times New Roman"/>
                    </w:rPr>
                    <w:t>0m</w:t>
                  </w:r>
                  <w:r>
                    <w:rPr>
                      <w:rFonts w:cs="Times New Roman"/>
                      <w:vertAlign w:val="superscript"/>
                    </w:rPr>
                    <w:t>2</w:t>
                  </w:r>
                  <w:r>
                    <w:rPr>
                      <w:rFonts w:cs="Times New Roman"/>
                    </w:rPr>
                    <w:t>）</w:t>
                  </w:r>
                  <w:r>
                    <w:rPr>
                      <w:rFonts w:hint="eastAsia" w:cs="Times New Roman"/>
                    </w:rPr>
                    <w:t>，危险废物分类收集贮存，交有资质单位处理</w:t>
                  </w:r>
                </w:p>
              </w:tc>
              <w:tc>
                <w:tcPr>
                  <w:tcW w:w="899" w:type="pct"/>
                  <w:shd w:val="clear" w:color="auto" w:fill="auto"/>
                  <w:vAlign w:val="center"/>
                </w:tcPr>
                <w:p w14:paraId="05E2791F">
                  <w:pPr>
                    <w:jc w:val="center"/>
                    <w:rPr>
                      <w:rFonts w:cs="Times New Roman"/>
                      <w:szCs w:val="21"/>
                    </w:rPr>
                  </w:pPr>
                  <w:r>
                    <w:rPr>
                      <w:rFonts w:hint="eastAsia"/>
                    </w:rPr>
                    <w:t>/</w:t>
                  </w:r>
                </w:p>
              </w:tc>
              <w:tc>
                <w:tcPr>
                  <w:tcW w:w="425" w:type="pct"/>
                  <w:vAlign w:val="center"/>
                </w:tcPr>
                <w:p w14:paraId="5C4D3CE1">
                  <w:pPr>
                    <w:jc w:val="center"/>
                    <w:rPr>
                      <w:rFonts w:eastAsiaTheme="minorEastAsia"/>
                    </w:rPr>
                  </w:pPr>
                  <w:r>
                    <w:rPr>
                      <w:rFonts w:hint="eastAsia"/>
                    </w:rPr>
                    <w:t>依托</w:t>
                  </w:r>
                </w:p>
              </w:tc>
            </w:tr>
            <w:tr w14:paraId="71FD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05" w:type="pct"/>
                  <w:vMerge w:val="continue"/>
                  <w:vAlign w:val="center"/>
                </w:tcPr>
                <w:p w14:paraId="260B0DDF">
                  <w:pPr>
                    <w:jc w:val="center"/>
                    <w:rPr>
                      <w:rFonts w:cs="Times New Roman"/>
                      <w:szCs w:val="21"/>
                    </w:rPr>
                  </w:pPr>
                </w:p>
              </w:tc>
              <w:tc>
                <w:tcPr>
                  <w:tcW w:w="409" w:type="pct"/>
                  <w:shd w:val="clear" w:color="auto" w:fill="auto"/>
                  <w:vAlign w:val="center"/>
                </w:tcPr>
                <w:p w14:paraId="111FEAAC">
                  <w:pPr>
                    <w:jc w:val="center"/>
                    <w:rPr>
                      <w:rFonts w:cs="Times New Roman"/>
                      <w:szCs w:val="21"/>
                    </w:rPr>
                  </w:pPr>
                  <w:r>
                    <w:rPr>
                      <w:rFonts w:cs="Times New Roman"/>
                      <w:szCs w:val="21"/>
                    </w:rPr>
                    <w:t>地下水污染</w:t>
                  </w:r>
                </w:p>
              </w:tc>
              <w:tc>
                <w:tcPr>
                  <w:tcW w:w="2862" w:type="pct"/>
                  <w:shd w:val="clear" w:color="auto" w:fill="auto"/>
                  <w:vAlign w:val="center"/>
                </w:tcPr>
                <w:p w14:paraId="107A86FA">
                  <w:pPr>
                    <w:jc w:val="center"/>
                    <w:rPr>
                      <w:rFonts w:cs="Times New Roman"/>
                      <w:szCs w:val="21"/>
                    </w:rPr>
                  </w:pPr>
                  <w:r>
                    <w:rPr>
                      <w:rFonts w:hint="eastAsia" w:cs="Times New Roman"/>
                      <w:szCs w:val="21"/>
                    </w:rPr>
                    <w:t>新增</w:t>
                  </w:r>
                  <w:r>
                    <w:rPr>
                      <w:rFonts w:hint="eastAsia"/>
                      <w:szCs w:val="21"/>
                    </w:rPr>
                    <w:t>印刷间、辅料库房</w:t>
                  </w:r>
                  <w:r>
                    <w:rPr>
                      <w:rFonts w:cs="Times New Roman"/>
                      <w:szCs w:val="21"/>
                    </w:rPr>
                    <w:t>采用</w:t>
                  </w:r>
                  <w:r>
                    <w:rPr>
                      <w:rFonts w:hint="eastAsia"/>
                      <w:szCs w:val="21"/>
                    </w:rPr>
                    <w:t>原</w:t>
                  </w:r>
                  <w:r>
                    <w:rPr>
                      <w:rFonts w:cs="Times New Roman"/>
                      <w:szCs w:val="21"/>
                    </w:rPr>
                    <w:t>土夯实+30cm抗渗混凝土+2mmHDPE防渗层</w:t>
                  </w:r>
                  <w:r>
                    <w:rPr>
                      <w:rFonts w:hint="eastAsia" w:cs="Times New Roman"/>
                      <w:szCs w:val="21"/>
                    </w:rPr>
                    <w:t>，</w:t>
                  </w:r>
                  <w:r>
                    <w:rPr>
                      <w:rFonts w:hint="eastAsia" w:cstheme="minorHAnsi"/>
                      <w:szCs w:val="21"/>
                    </w:rPr>
                    <w:t>生产车间（不含</w:t>
                  </w:r>
                  <w:r>
                    <w:rPr>
                      <w:rFonts w:hint="eastAsia"/>
                      <w:szCs w:val="21"/>
                    </w:rPr>
                    <w:t>印刷间、辅料库房</w:t>
                  </w:r>
                  <w:r>
                    <w:rPr>
                      <w:rFonts w:hint="eastAsia" w:cstheme="minorHAnsi"/>
                      <w:szCs w:val="21"/>
                    </w:rPr>
                    <w:t>）、循环水塔、成品库房</w:t>
                  </w:r>
                  <w:r>
                    <w:rPr>
                      <w:rFonts w:hint="eastAsia" w:cs="Times New Roman"/>
                      <w:szCs w:val="21"/>
                    </w:rPr>
                    <w:t>采用原土夯实+30cm抗渗混凝土进行防渗处理</w:t>
                  </w:r>
                </w:p>
              </w:tc>
              <w:tc>
                <w:tcPr>
                  <w:tcW w:w="899" w:type="pct"/>
                  <w:shd w:val="clear" w:color="auto" w:fill="auto"/>
                  <w:vAlign w:val="center"/>
                </w:tcPr>
                <w:p w14:paraId="4798EB07">
                  <w:pPr>
                    <w:jc w:val="center"/>
                    <w:rPr>
                      <w:rFonts w:cs="Times New Roman"/>
                      <w:szCs w:val="21"/>
                    </w:rPr>
                  </w:pPr>
                  <w:r>
                    <w:rPr>
                      <w:rFonts w:eastAsiaTheme="minorEastAsia"/>
                    </w:rPr>
                    <w:t>5</w:t>
                  </w:r>
                </w:p>
              </w:tc>
              <w:tc>
                <w:tcPr>
                  <w:tcW w:w="425" w:type="pct"/>
                  <w:vAlign w:val="center"/>
                </w:tcPr>
                <w:p w14:paraId="507D4CF3">
                  <w:pPr>
                    <w:jc w:val="center"/>
                    <w:rPr>
                      <w:rFonts w:eastAsiaTheme="minorEastAsia"/>
                    </w:rPr>
                  </w:pPr>
                  <w:r>
                    <w:rPr>
                      <w:rFonts w:eastAsiaTheme="minorEastAsia"/>
                    </w:rPr>
                    <w:t>新增</w:t>
                  </w:r>
                </w:p>
              </w:tc>
            </w:tr>
            <w:tr w14:paraId="69E3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405" w:type="pct"/>
                  <w:vMerge w:val="continue"/>
                  <w:vAlign w:val="center"/>
                </w:tcPr>
                <w:p w14:paraId="344F27C7">
                  <w:pPr>
                    <w:pStyle w:val="31"/>
                  </w:pPr>
                </w:p>
              </w:tc>
              <w:tc>
                <w:tcPr>
                  <w:tcW w:w="409" w:type="pct"/>
                  <w:shd w:val="clear" w:color="auto" w:fill="auto"/>
                  <w:vAlign w:val="center"/>
                </w:tcPr>
                <w:p w14:paraId="5BB5CB24">
                  <w:pPr>
                    <w:pStyle w:val="31"/>
                  </w:pPr>
                  <w:r>
                    <w:t>环境</w:t>
                  </w:r>
                </w:p>
                <w:p w14:paraId="683F19B7">
                  <w:pPr>
                    <w:pStyle w:val="31"/>
                  </w:pPr>
                  <w:r>
                    <w:t>风险</w:t>
                  </w:r>
                </w:p>
              </w:tc>
              <w:tc>
                <w:tcPr>
                  <w:tcW w:w="2862" w:type="pct"/>
                  <w:shd w:val="clear" w:color="auto" w:fill="auto"/>
                  <w:vAlign w:val="center"/>
                </w:tcPr>
                <w:p w14:paraId="57CA6210">
                  <w:pPr>
                    <w:pStyle w:val="31"/>
                  </w:pPr>
                  <w:r>
                    <w:rPr>
                      <w:rFonts w:hint="eastAsia"/>
                    </w:rPr>
                    <w:t>加强危废暂存间管理，建立运营管理台账，落实防火、防爆设计要求，设置防火标识、消防器材，制定环境风险应急预案</w:t>
                  </w:r>
                </w:p>
              </w:tc>
              <w:tc>
                <w:tcPr>
                  <w:tcW w:w="899" w:type="pct"/>
                  <w:shd w:val="clear" w:color="auto" w:fill="auto"/>
                  <w:vAlign w:val="center"/>
                </w:tcPr>
                <w:p w14:paraId="0A20DED3">
                  <w:pPr>
                    <w:pStyle w:val="31"/>
                  </w:pPr>
                  <w:r>
                    <w:t>1</w:t>
                  </w:r>
                </w:p>
              </w:tc>
              <w:tc>
                <w:tcPr>
                  <w:tcW w:w="425" w:type="pct"/>
                  <w:vAlign w:val="center"/>
                </w:tcPr>
                <w:p w14:paraId="2A11046B">
                  <w:pPr>
                    <w:pStyle w:val="31"/>
                  </w:pPr>
                  <w:r>
                    <w:t>新增</w:t>
                  </w:r>
                </w:p>
              </w:tc>
            </w:tr>
            <w:tr w14:paraId="120E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405" w:type="pct"/>
                  <w:vMerge w:val="continue"/>
                  <w:vAlign w:val="center"/>
                </w:tcPr>
                <w:p w14:paraId="4F1291DA">
                  <w:pPr>
                    <w:pStyle w:val="31"/>
                  </w:pPr>
                </w:p>
              </w:tc>
              <w:tc>
                <w:tcPr>
                  <w:tcW w:w="409" w:type="pct"/>
                  <w:shd w:val="clear" w:color="auto" w:fill="auto"/>
                  <w:vAlign w:val="center"/>
                </w:tcPr>
                <w:p w14:paraId="16723D80">
                  <w:pPr>
                    <w:pStyle w:val="31"/>
                  </w:pPr>
                  <w:r>
                    <w:t>环境</w:t>
                  </w:r>
                </w:p>
                <w:p w14:paraId="37AE2128">
                  <w:pPr>
                    <w:pStyle w:val="31"/>
                  </w:pPr>
                  <w:r>
                    <w:t>监测</w:t>
                  </w:r>
                </w:p>
              </w:tc>
              <w:tc>
                <w:tcPr>
                  <w:tcW w:w="2862" w:type="pct"/>
                  <w:shd w:val="clear" w:color="auto" w:fill="auto"/>
                  <w:vAlign w:val="center"/>
                </w:tcPr>
                <w:p w14:paraId="2E3AC437">
                  <w:pPr>
                    <w:jc w:val="center"/>
                    <w:rPr>
                      <w:rFonts w:cs="Times New Roman"/>
                      <w:szCs w:val="21"/>
                    </w:rPr>
                  </w:pPr>
                  <w:r>
                    <w:rPr>
                      <w:rFonts w:hint="eastAsia" w:cs="Times New Roman"/>
                      <w:szCs w:val="21"/>
                    </w:rPr>
                    <w:t>制定</w:t>
                  </w:r>
                  <w:r>
                    <w:rPr>
                      <w:rFonts w:cs="Times New Roman"/>
                      <w:szCs w:val="21"/>
                    </w:rPr>
                    <w:t>自行监测方案</w:t>
                  </w:r>
                  <w:r>
                    <w:rPr>
                      <w:rFonts w:hint="eastAsia" w:cs="Times New Roman"/>
                      <w:szCs w:val="21"/>
                    </w:rPr>
                    <w:t>，</w:t>
                  </w:r>
                  <w:r>
                    <w:rPr>
                      <w:rFonts w:cs="Times New Roman"/>
                      <w:szCs w:val="21"/>
                    </w:rPr>
                    <w:t>定期开展污染源监测</w:t>
                  </w:r>
                </w:p>
              </w:tc>
              <w:tc>
                <w:tcPr>
                  <w:tcW w:w="899" w:type="pct"/>
                  <w:shd w:val="clear" w:color="auto" w:fill="auto"/>
                  <w:vAlign w:val="center"/>
                </w:tcPr>
                <w:p w14:paraId="1F862CCD">
                  <w:pPr>
                    <w:jc w:val="center"/>
                    <w:rPr>
                      <w:rFonts w:cs="Times New Roman"/>
                      <w:szCs w:val="21"/>
                    </w:rPr>
                  </w:pPr>
                  <w:r>
                    <w:rPr>
                      <w:rFonts w:hint="eastAsia" w:cs="Times New Roman"/>
                      <w:szCs w:val="21"/>
                    </w:rPr>
                    <w:t>2</w:t>
                  </w:r>
                </w:p>
              </w:tc>
              <w:tc>
                <w:tcPr>
                  <w:tcW w:w="425" w:type="pct"/>
                  <w:vAlign w:val="center"/>
                </w:tcPr>
                <w:p w14:paraId="79717E80">
                  <w:pPr>
                    <w:jc w:val="center"/>
                    <w:rPr>
                      <w:rFonts w:cs="Times New Roman"/>
                      <w:szCs w:val="21"/>
                    </w:rPr>
                  </w:pPr>
                  <w:r>
                    <w:rPr>
                      <w:rFonts w:eastAsiaTheme="minorEastAsia"/>
                    </w:rPr>
                    <w:t>新增</w:t>
                  </w:r>
                </w:p>
              </w:tc>
            </w:tr>
            <w:tr w14:paraId="1162A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3676" w:type="pct"/>
                  <w:gridSpan w:val="3"/>
                  <w:vAlign w:val="center"/>
                </w:tcPr>
                <w:p w14:paraId="5FB512D4">
                  <w:pPr>
                    <w:jc w:val="center"/>
                    <w:rPr>
                      <w:rFonts w:cs="Times New Roman"/>
                      <w:szCs w:val="21"/>
                    </w:rPr>
                  </w:pPr>
                  <w:r>
                    <w:rPr>
                      <w:rFonts w:hint="eastAsia" w:cs="Times New Roman"/>
                      <w:szCs w:val="21"/>
                    </w:rPr>
                    <w:t>合计</w:t>
                  </w:r>
                </w:p>
              </w:tc>
              <w:tc>
                <w:tcPr>
                  <w:tcW w:w="899" w:type="pct"/>
                  <w:shd w:val="clear" w:color="auto" w:fill="auto"/>
                  <w:vAlign w:val="center"/>
                </w:tcPr>
                <w:p w14:paraId="40A04840">
                  <w:pPr>
                    <w:jc w:val="center"/>
                    <w:rPr>
                      <w:rFonts w:cs="Times New Roman"/>
                      <w:szCs w:val="21"/>
                    </w:rPr>
                  </w:pPr>
                  <w:r>
                    <w:rPr>
                      <w:rFonts w:hint="eastAsia" w:cs="Times New Roman"/>
                      <w:szCs w:val="21"/>
                    </w:rPr>
                    <w:t>90</w:t>
                  </w:r>
                </w:p>
              </w:tc>
              <w:tc>
                <w:tcPr>
                  <w:tcW w:w="425" w:type="pct"/>
                  <w:vAlign w:val="center"/>
                </w:tcPr>
                <w:p w14:paraId="6000950B">
                  <w:pPr>
                    <w:jc w:val="center"/>
                    <w:rPr>
                      <w:rFonts w:cs="Times New Roman"/>
                      <w:szCs w:val="21"/>
                    </w:rPr>
                  </w:pPr>
                  <w:r>
                    <w:rPr>
                      <w:rFonts w:eastAsiaTheme="minorEastAsia"/>
                    </w:rPr>
                    <w:t>新增</w:t>
                  </w:r>
                </w:p>
              </w:tc>
            </w:tr>
          </w:tbl>
          <w:p w14:paraId="6BCCC189">
            <w:pPr>
              <w:spacing w:line="360" w:lineRule="auto"/>
              <w:rPr>
                <w:b/>
                <w:sz w:val="24"/>
                <w:szCs w:val="24"/>
              </w:rPr>
            </w:pPr>
          </w:p>
        </w:tc>
      </w:tr>
    </w:tbl>
    <w:p w14:paraId="351867FB">
      <w:pPr>
        <w:rPr>
          <w:rFonts w:hint="eastAsia" w:ascii="宋体" w:hAnsi="宋体"/>
          <w:sz w:val="28"/>
          <w:szCs w:val="28"/>
        </w:rPr>
        <w:sectPr>
          <w:pgSz w:w="11906" w:h="16838"/>
          <w:pgMar w:top="1134" w:right="1134" w:bottom="1134" w:left="1134" w:header="851" w:footer="992" w:gutter="0"/>
          <w:cols w:space="720" w:num="1"/>
          <w:docGrid w:type="lines" w:linePitch="312" w:charSpace="0"/>
        </w:sectPr>
      </w:pPr>
    </w:p>
    <w:p w14:paraId="7757BDB3">
      <w:pPr>
        <w:pStyle w:val="40"/>
        <w:jc w:val="center"/>
        <w:rPr>
          <w:rFonts w:hint="eastAsia" w:ascii="黑体" w:hAnsi="黑体" w:eastAsia="黑体"/>
          <w:b w:val="0"/>
          <w:sz w:val="30"/>
          <w:szCs w:val="30"/>
        </w:rPr>
      </w:pPr>
      <w:bookmarkStart w:id="9" w:name="_Toc97040277"/>
      <w:r>
        <w:rPr>
          <w:rFonts w:hint="eastAsia" w:ascii="黑体" w:hAnsi="黑体" w:eastAsia="黑体"/>
          <w:b w:val="0"/>
          <w:sz w:val="30"/>
          <w:szCs w:val="30"/>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394335</wp:posOffset>
                </wp:positionV>
                <wp:extent cx="981075" cy="400050"/>
                <wp:effectExtent l="0" t="0" r="28575" b="19050"/>
                <wp:wrapNone/>
                <wp:docPr id="45" name="直接连接符 45"/>
                <wp:cNvGraphicFramePr/>
                <a:graphic xmlns:a="http://schemas.openxmlformats.org/drawingml/2006/main">
                  <a:graphicData uri="http://schemas.microsoft.com/office/word/2010/wordprocessingShape">
                    <wps:wsp>
                      <wps:cNvCnPr/>
                      <wps:spPr>
                        <a:xfrm>
                          <a:off x="0" y="0"/>
                          <a:ext cx="981075" cy="400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1.5pt;width:77.25pt;z-index:251659264;mso-width-relative:page;mso-height-relative:page;" filled="f" stroked="t" coordsize="21600,21600" o:gfxdata="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K7+qdYAAAAJAQAADwAAAAAA&#10;AAABACAAAAAiAAAAZHJzL2Rvd25yZXYueG1sUEsBAhQAFAAAAAgAh07iQPtG8IrcAQAAoAMAAA4A&#10;AAAAAAAAAQAgAAAAJQEAAGRycy9lMm9Eb2MueG1sUEsFBgAAAAAGAAYAWQEAAHMFAAAAAA==&#10;">
                <v:fill on="f" focussize="0,0"/>
                <v:stroke color="#000000 [3213]" joinstyle="round"/>
                <v:imagedata o:title=""/>
                <o:lock v:ext="edit" aspectratio="f"/>
              </v:line>
            </w:pict>
          </mc:Fallback>
        </mc:AlternateContent>
      </w:r>
      <w:r>
        <w:rPr>
          <w:rFonts w:hint="eastAsia" w:ascii="黑体" w:hAnsi="黑体" w:eastAsia="黑体"/>
          <w:b w:val="0"/>
          <w:sz w:val="30"/>
          <w:szCs w:val="30"/>
        </w:rPr>
        <w:t>五、环境保护措施监督检查清单</w:t>
      </w:r>
      <w:bookmarkEnd w:id="9"/>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773"/>
        <w:gridCol w:w="1474"/>
        <w:gridCol w:w="2670"/>
        <w:gridCol w:w="2317"/>
      </w:tblGrid>
      <w:tr w14:paraId="12F8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4B258F75">
            <w:pPr>
              <w:jc w:val="right"/>
              <w:rPr>
                <w:rFonts w:cs="Times New Roman" w:eastAsiaTheme="minorEastAsia"/>
                <w:szCs w:val="21"/>
              </w:rPr>
            </w:pPr>
            <w:r>
              <w:rPr>
                <w:rFonts w:cs="Times New Roman" w:eastAsiaTheme="minorEastAsia"/>
                <w:szCs w:val="21"/>
              </w:rPr>
              <w:t>内容</w:t>
            </w:r>
          </w:p>
          <w:p w14:paraId="7AFD4814">
            <w:pPr>
              <w:rPr>
                <w:rFonts w:cs="Times New Roman" w:eastAsiaTheme="minorEastAsia"/>
                <w:szCs w:val="21"/>
              </w:rPr>
            </w:pPr>
            <w:r>
              <w:rPr>
                <w:rFonts w:hint="eastAsia" w:cs="Times New Roman" w:eastAsiaTheme="minorEastAsia"/>
                <w:szCs w:val="21"/>
              </w:rPr>
              <w:t>要素</w:t>
            </w:r>
          </w:p>
        </w:tc>
        <w:tc>
          <w:tcPr>
            <w:tcW w:w="910" w:type="pct"/>
            <w:vAlign w:val="center"/>
          </w:tcPr>
          <w:p w14:paraId="61C31988">
            <w:pPr>
              <w:jc w:val="center"/>
              <w:rPr>
                <w:rFonts w:cs="Times New Roman" w:eastAsiaTheme="minorEastAsia"/>
                <w:szCs w:val="21"/>
              </w:rPr>
            </w:pPr>
            <w:r>
              <w:rPr>
                <w:rFonts w:cs="Times New Roman" w:eastAsiaTheme="minorEastAsia"/>
                <w:szCs w:val="21"/>
              </w:rPr>
              <w:t>排放口</w:t>
            </w:r>
            <w:r>
              <w:rPr>
                <w:rFonts w:hint="eastAsia" w:cs="Times New Roman" w:eastAsiaTheme="minorEastAsia"/>
                <w:szCs w:val="21"/>
              </w:rPr>
              <w:t>（</w:t>
            </w:r>
            <w:r>
              <w:rPr>
                <w:rFonts w:cs="Times New Roman" w:eastAsiaTheme="minorEastAsia"/>
                <w:szCs w:val="21"/>
              </w:rPr>
              <w:t>编号</w:t>
            </w:r>
            <w:r>
              <w:rPr>
                <w:rFonts w:hint="eastAsia" w:cs="Times New Roman" w:eastAsiaTheme="minorEastAsia"/>
                <w:szCs w:val="21"/>
              </w:rPr>
              <w:t>、</w:t>
            </w:r>
            <w:r>
              <w:rPr>
                <w:rFonts w:cs="Times New Roman" w:eastAsiaTheme="minorEastAsia"/>
                <w:szCs w:val="21"/>
              </w:rPr>
              <w:t>名称</w:t>
            </w:r>
            <w:r>
              <w:rPr>
                <w:rFonts w:hint="eastAsia" w:cs="Times New Roman" w:eastAsiaTheme="minorEastAsia"/>
                <w:szCs w:val="21"/>
              </w:rPr>
              <w:t>）/污染源</w:t>
            </w:r>
          </w:p>
        </w:tc>
        <w:tc>
          <w:tcPr>
            <w:tcW w:w="758" w:type="pct"/>
            <w:vAlign w:val="center"/>
          </w:tcPr>
          <w:p w14:paraId="14B75066">
            <w:pPr>
              <w:jc w:val="center"/>
              <w:rPr>
                <w:rFonts w:cs="Times New Roman" w:eastAsiaTheme="minorEastAsia"/>
                <w:szCs w:val="21"/>
              </w:rPr>
            </w:pPr>
            <w:r>
              <w:rPr>
                <w:rFonts w:cs="Times New Roman" w:eastAsiaTheme="minorEastAsia"/>
                <w:szCs w:val="21"/>
              </w:rPr>
              <w:t>污染物项目</w:t>
            </w:r>
          </w:p>
        </w:tc>
        <w:tc>
          <w:tcPr>
            <w:tcW w:w="1365" w:type="pct"/>
            <w:vAlign w:val="center"/>
          </w:tcPr>
          <w:p w14:paraId="5794124C">
            <w:pPr>
              <w:jc w:val="center"/>
              <w:rPr>
                <w:rFonts w:cs="Times New Roman" w:eastAsiaTheme="minorEastAsia"/>
                <w:szCs w:val="21"/>
              </w:rPr>
            </w:pPr>
            <w:r>
              <w:rPr>
                <w:rFonts w:cs="Times New Roman" w:eastAsiaTheme="minorEastAsia"/>
                <w:szCs w:val="21"/>
              </w:rPr>
              <w:t>环境保护措施</w:t>
            </w:r>
          </w:p>
        </w:tc>
        <w:tc>
          <w:tcPr>
            <w:tcW w:w="1135" w:type="pct"/>
            <w:vAlign w:val="center"/>
          </w:tcPr>
          <w:p w14:paraId="668EE51E">
            <w:pPr>
              <w:jc w:val="center"/>
              <w:rPr>
                <w:rFonts w:cs="Times New Roman" w:eastAsiaTheme="minorEastAsia"/>
                <w:szCs w:val="21"/>
              </w:rPr>
            </w:pPr>
            <w:r>
              <w:rPr>
                <w:rFonts w:hint="eastAsia" w:cs="Times New Roman" w:eastAsiaTheme="minorEastAsia"/>
                <w:szCs w:val="21"/>
              </w:rPr>
              <w:t>执行标准</w:t>
            </w:r>
          </w:p>
        </w:tc>
      </w:tr>
      <w:tr w14:paraId="13F84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restart"/>
            <w:vAlign w:val="center"/>
          </w:tcPr>
          <w:p w14:paraId="67E7D9DE">
            <w:pPr>
              <w:jc w:val="center"/>
              <w:rPr>
                <w:rFonts w:cs="Times New Roman" w:eastAsiaTheme="minorEastAsia"/>
                <w:szCs w:val="21"/>
              </w:rPr>
            </w:pPr>
            <w:r>
              <w:rPr>
                <w:rFonts w:cs="Times New Roman" w:eastAsiaTheme="minorEastAsia"/>
                <w:szCs w:val="21"/>
              </w:rPr>
              <w:t>大气环境</w:t>
            </w:r>
          </w:p>
        </w:tc>
        <w:tc>
          <w:tcPr>
            <w:tcW w:w="910" w:type="pct"/>
            <w:vAlign w:val="center"/>
          </w:tcPr>
          <w:p w14:paraId="449E0924">
            <w:pPr>
              <w:jc w:val="center"/>
              <w:rPr>
                <w:rFonts w:cs="Times New Roman"/>
                <w:szCs w:val="21"/>
              </w:rPr>
            </w:pPr>
            <w:r>
              <w:rPr>
                <w:rFonts w:hint="eastAsia"/>
                <w:szCs w:val="21"/>
              </w:rPr>
              <w:t>有机废气</w:t>
            </w:r>
          </w:p>
        </w:tc>
        <w:tc>
          <w:tcPr>
            <w:tcW w:w="758" w:type="pct"/>
            <w:vAlign w:val="center"/>
          </w:tcPr>
          <w:p w14:paraId="7DD18EB4">
            <w:pPr>
              <w:jc w:val="center"/>
              <w:rPr>
                <w:rFonts w:cs="Times New Roman" w:eastAsiaTheme="minorEastAsia"/>
                <w:szCs w:val="21"/>
              </w:rPr>
            </w:pPr>
            <w:r>
              <w:rPr>
                <w:rFonts w:hint="eastAsia"/>
                <w:szCs w:val="21"/>
              </w:rPr>
              <w:t>VOCs、苯乙烯、丙烯腈、1,3-丁二烯、甲苯、乙苯</w:t>
            </w:r>
          </w:p>
        </w:tc>
        <w:tc>
          <w:tcPr>
            <w:tcW w:w="1365" w:type="pct"/>
            <w:vAlign w:val="center"/>
          </w:tcPr>
          <w:p w14:paraId="6B5C8D6B">
            <w:pPr>
              <w:jc w:val="center"/>
              <w:rPr>
                <w:rFonts w:cs="Times New Roman"/>
                <w:szCs w:val="21"/>
              </w:rPr>
            </w:pPr>
            <w:r>
              <w:rPr>
                <w:rFonts w:hint="eastAsia"/>
                <w:szCs w:val="21"/>
              </w:rPr>
              <w:t>注塑成型机设集气罩，印刷间密闭负压抽风，设1套二级活性炭吸附装置（TA005）+15m高排气筒（DA005）</w:t>
            </w:r>
          </w:p>
        </w:tc>
        <w:tc>
          <w:tcPr>
            <w:tcW w:w="1135" w:type="pct"/>
            <w:vAlign w:val="center"/>
          </w:tcPr>
          <w:p w14:paraId="58AA2FCA">
            <w:pPr>
              <w:jc w:val="center"/>
              <w:rPr>
                <w:rFonts w:cs="Times New Roman" w:eastAsiaTheme="minorEastAsia"/>
                <w:szCs w:val="21"/>
              </w:rPr>
            </w:pPr>
            <w:r>
              <w:rPr>
                <w:rFonts w:hint="eastAsia" w:cs="Times New Roman" w:eastAsiaTheme="minorEastAsia"/>
                <w:szCs w:val="21"/>
              </w:rPr>
              <w:t>《四川省固定污染源大气挥发性有机物排放标准》（DB51/2377-2017）、《合成树脂工业污染物排放标准》（GB31572-2015）（含2024年修改单）</w:t>
            </w:r>
          </w:p>
        </w:tc>
      </w:tr>
      <w:tr w14:paraId="2EEF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vAlign w:val="center"/>
          </w:tcPr>
          <w:p w14:paraId="365D6757">
            <w:pPr>
              <w:jc w:val="center"/>
              <w:rPr>
                <w:rFonts w:cs="Times New Roman" w:eastAsiaTheme="minorEastAsia"/>
                <w:szCs w:val="21"/>
              </w:rPr>
            </w:pPr>
          </w:p>
        </w:tc>
        <w:tc>
          <w:tcPr>
            <w:tcW w:w="910" w:type="pct"/>
            <w:vAlign w:val="center"/>
          </w:tcPr>
          <w:p w14:paraId="38525663">
            <w:pPr>
              <w:jc w:val="center"/>
              <w:rPr>
                <w:szCs w:val="21"/>
              </w:rPr>
            </w:pPr>
            <w:r>
              <w:rPr>
                <w:rFonts w:hint="eastAsia"/>
                <w:szCs w:val="21"/>
              </w:rPr>
              <w:t>食堂油烟</w:t>
            </w:r>
          </w:p>
        </w:tc>
        <w:tc>
          <w:tcPr>
            <w:tcW w:w="758" w:type="pct"/>
            <w:vAlign w:val="center"/>
          </w:tcPr>
          <w:p w14:paraId="49C8EF61">
            <w:pPr>
              <w:jc w:val="center"/>
              <w:rPr>
                <w:rFonts w:cs="Times New Roman" w:eastAsiaTheme="minorEastAsia"/>
                <w:szCs w:val="21"/>
              </w:rPr>
            </w:pPr>
            <w:r>
              <w:rPr>
                <w:rFonts w:hint="eastAsia"/>
                <w:szCs w:val="21"/>
              </w:rPr>
              <w:t>油烟</w:t>
            </w:r>
          </w:p>
        </w:tc>
        <w:tc>
          <w:tcPr>
            <w:tcW w:w="1365" w:type="pct"/>
            <w:vAlign w:val="center"/>
          </w:tcPr>
          <w:p w14:paraId="3C9426CB">
            <w:pPr>
              <w:jc w:val="center"/>
              <w:rPr>
                <w:szCs w:val="21"/>
              </w:rPr>
            </w:pPr>
            <w:r>
              <w:rPr>
                <w:rFonts w:hint="eastAsia"/>
                <w:szCs w:val="21"/>
              </w:rPr>
              <w:t>依托厂区食堂油烟净化器（TA004）处理后引至食堂屋顶排放（DA004）</w:t>
            </w:r>
          </w:p>
        </w:tc>
        <w:tc>
          <w:tcPr>
            <w:tcW w:w="1135" w:type="pct"/>
            <w:vAlign w:val="center"/>
          </w:tcPr>
          <w:p w14:paraId="1AA10953">
            <w:pPr>
              <w:jc w:val="center"/>
              <w:rPr>
                <w:rFonts w:cs="Times New Roman" w:eastAsiaTheme="minorEastAsia"/>
                <w:szCs w:val="21"/>
              </w:rPr>
            </w:pPr>
            <w:r>
              <w:rPr>
                <w:rFonts w:hint="eastAsia" w:cs="Times New Roman" w:eastAsiaTheme="minorEastAsia"/>
                <w:szCs w:val="21"/>
              </w:rPr>
              <w:t>《饮食业油烟排放标准（试行）》（GB18483-2001）</w:t>
            </w:r>
          </w:p>
        </w:tc>
      </w:tr>
      <w:tr w14:paraId="48C5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restart"/>
            <w:vAlign w:val="center"/>
          </w:tcPr>
          <w:p w14:paraId="3F210E75">
            <w:pPr>
              <w:jc w:val="center"/>
              <w:rPr>
                <w:rFonts w:cs="Times New Roman" w:eastAsiaTheme="minorEastAsia"/>
                <w:szCs w:val="21"/>
              </w:rPr>
            </w:pPr>
            <w:r>
              <w:rPr>
                <w:rFonts w:cs="Times New Roman" w:eastAsiaTheme="minorEastAsia"/>
                <w:szCs w:val="21"/>
              </w:rPr>
              <w:t>地表水环境</w:t>
            </w:r>
          </w:p>
        </w:tc>
        <w:tc>
          <w:tcPr>
            <w:tcW w:w="910" w:type="pct"/>
            <w:vAlign w:val="center"/>
          </w:tcPr>
          <w:p w14:paraId="72346263">
            <w:pPr>
              <w:jc w:val="center"/>
              <w:rPr>
                <w:szCs w:val="21"/>
              </w:rPr>
            </w:pPr>
            <w:r>
              <w:rPr>
                <w:rFonts w:hint="eastAsia"/>
                <w:szCs w:val="21"/>
              </w:rPr>
              <w:t>生活污水、食堂废水</w:t>
            </w:r>
          </w:p>
        </w:tc>
        <w:tc>
          <w:tcPr>
            <w:tcW w:w="758" w:type="pct"/>
            <w:vAlign w:val="center"/>
          </w:tcPr>
          <w:p w14:paraId="5EAF5F88">
            <w:pPr>
              <w:rPr>
                <w:szCs w:val="21"/>
              </w:rPr>
            </w:pPr>
            <w:r>
              <w:rPr>
                <w:szCs w:val="21"/>
              </w:rPr>
              <w:t>COD</w:t>
            </w:r>
            <w:r>
              <w:rPr>
                <w:rFonts w:hint="eastAsia"/>
                <w:szCs w:val="21"/>
              </w:rPr>
              <w:t>、</w:t>
            </w:r>
            <w:r>
              <w:rPr>
                <w:szCs w:val="21"/>
              </w:rPr>
              <w:t>BOD</w:t>
            </w:r>
            <w:r>
              <w:rPr>
                <w:szCs w:val="21"/>
                <w:vertAlign w:val="subscript"/>
              </w:rPr>
              <w:t>5</w:t>
            </w:r>
            <w:r>
              <w:rPr>
                <w:rFonts w:hint="eastAsia"/>
                <w:szCs w:val="21"/>
              </w:rPr>
              <w:t>、</w:t>
            </w:r>
            <w:r>
              <w:rPr>
                <w:szCs w:val="21"/>
              </w:rPr>
              <w:t>SS</w:t>
            </w:r>
            <w:r>
              <w:rPr>
                <w:rFonts w:hint="eastAsia"/>
                <w:szCs w:val="21"/>
              </w:rPr>
              <w:t>、</w:t>
            </w:r>
            <w:r>
              <w:rPr>
                <w:szCs w:val="21"/>
              </w:rPr>
              <w:t>NH</w:t>
            </w:r>
            <w:r>
              <w:rPr>
                <w:szCs w:val="21"/>
                <w:vertAlign w:val="subscript"/>
              </w:rPr>
              <w:t>3</w:t>
            </w:r>
            <w:r>
              <w:rPr>
                <w:rFonts w:hint="eastAsia"/>
                <w:szCs w:val="21"/>
              </w:rPr>
              <w:t>-</w:t>
            </w:r>
            <w:r>
              <w:rPr>
                <w:szCs w:val="21"/>
              </w:rPr>
              <w:t>N</w:t>
            </w:r>
            <w:r>
              <w:rPr>
                <w:rFonts w:hint="eastAsia"/>
                <w:szCs w:val="21"/>
              </w:rPr>
              <w:t>、</w:t>
            </w:r>
            <w:r>
              <w:rPr>
                <w:szCs w:val="21"/>
              </w:rPr>
              <w:t>TP</w:t>
            </w:r>
            <w:r>
              <w:rPr>
                <w:rFonts w:hint="eastAsia"/>
                <w:szCs w:val="21"/>
              </w:rPr>
              <w:t>、动植物油</w:t>
            </w:r>
          </w:p>
        </w:tc>
        <w:tc>
          <w:tcPr>
            <w:tcW w:w="1365" w:type="pct"/>
            <w:vAlign w:val="center"/>
          </w:tcPr>
          <w:p w14:paraId="08F0D015">
            <w:pPr>
              <w:jc w:val="center"/>
              <w:rPr>
                <w:szCs w:val="21"/>
              </w:rPr>
            </w:pPr>
            <w:r>
              <w:rPr>
                <w:rFonts w:hint="eastAsia"/>
                <w:szCs w:val="21"/>
              </w:rPr>
              <w:t>预处理池（食堂废水先经隔油池处理）处理后排入园区污水管网</w:t>
            </w:r>
          </w:p>
        </w:tc>
        <w:tc>
          <w:tcPr>
            <w:tcW w:w="1135" w:type="pct"/>
            <w:vMerge w:val="restart"/>
            <w:vAlign w:val="center"/>
          </w:tcPr>
          <w:p w14:paraId="196B69C8">
            <w:pPr>
              <w:jc w:val="center"/>
              <w:rPr>
                <w:rFonts w:cs="Times New Roman" w:eastAsiaTheme="minorEastAsia"/>
                <w:szCs w:val="21"/>
              </w:rPr>
            </w:pPr>
            <w:r>
              <w:rPr>
                <w:rFonts w:hint="eastAsia" w:cs="Times New Roman" w:eastAsiaTheme="minorEastAsia"/>
                <w:szCs w:val="21"/>
              </w:rPr>
              <w:t>《污水综合排放标准》（GB8978-1996）</w:t>
            </w:r>
          </w:p>
        </w:tc>
      </w:tr>
      <w:tr w14:paraId="7A7F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vAlign w:val="center"/>
          </w:tcPr>
          <w:p w14:paraId="2706453A">
            <w:pPr>
              <w:jc w:val="center"/>
              <w:rPr>
                <w:rFonts w:cs="Times New Roman" w:eastAsiaTheme="minorEastAsia"/>
                <w:szCs w:val="21"/>
              </w:rPr>
            </w:pPr>
          </w:p>
        </w:tc>
        <w:tc>
          <w:tcPr>
            <w:tcW w:w="910" w:type="pct"/>
            <w:vAlign w:val="center"/>
          </w:tcPr>
          <w:p w14:paraId="369A8FB2">
            <w:pPr>
              <w:jc w:val="center"/>
              <w:rPr>
                <w:szCs w:val="21"/>
              </w:rPr>
            </w:pPr>
            <w:r>
              <w:rPr>
                <w:rFonts w:hint="eastAsia"/>
                <w:szCs w:val="21"/>
              </w:rPr>
              <w:t>循环冷却排污水</w:t>
            </w:r>
          </w:p>
        </w:tc>
        <w:tc>
          <w:tcPr>
            <w:tcW w:w="758" w:type="pct"/>
            <w:vAlign w:val="center"/>
          </w:tcPr>
          <w:p w14:paraId="62878065">
            <w:pPr>
              <w:jc w:val="center"/>
              <w:rPr>
                <w:szCs w:val="21"/>
              </w:rPr>
            </w:pPr>
            <w:r>
              <w:rPr>
                <w:szCs w:val="21"/>
              </w:rPr>
              <w:t>COD</w:t>
            </w:r>
          </w:p>
        </w:tc>
        <w:tc>
          <w:tcPr>
            <w:tcW w:w="1365" w:type="pct"/>
            <w:vAlign w:val="center"/>
          </w:tcPr>
          <w:p w14:paraId="03558FA4">
            <w:pPr>
              <w:jc w:val="center"/>
              <w:rPr>
                <w:szCs w:val="21"/>
              </w:rPr>
            </w:pPr>
            <w:r>
              <w:rPr>
                <w:rFonts w:hint="eastAsia"/>
                <w:szCs w:val="21"/>
              </w:rPr>
              <w:t>排入园区污水管网</w:t>
            </w:r>
          </w:p>
        </w:tc>
        <w:tc>
          <w:tcPr>
            <w:tcW w:w="1135" w:type="pct"/>
            <w:vMerge w:val="continue"/>
            <w:vAlign w:val="center"/>
          </w:tcPr>
          <w:p w14:paraId="04743E1B">
            <w:pPr>
              <w:jc w:val="center"/>
              <w:rPr>
                <w:rFonts w:cs="Times New Roman" w:eastAsiaTheme="minorEastAsia"/>
                <w:szCs w:val="21"/>
              </w:rPr>
            </w:pPr>
          </w:p>
        </w:tc>
      </w:tr>
      <w:tr w14:paraId="193C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0" w:type="auto"/>
            <w:vAlign w:val="center"/>
          </w:tcPr>
          <w:p w14:paraId="6A61BB16">
            <w:pPr>
              <w:jc w:val="center"/>
              <w:rPr>
                <w:rFonts w:cs="Times New Roman" w:eastAsiaTheme="minorEastAsia"/>
                <w:szCs w:val="21"/>
              </w:rPr>
            </w:pPr>
            <w:r>
              <w:rPr>
                <w:rFonts w:cs="Times New Roman" w:eastAsiaTheme="minorEastAsia"/>
                <w:szCs w:val="21"/>
              </w:rPr>
              <w:t>声环境</w:t>
            </w:r>
          </w:p>
        </w:tc>
        <w:tc>
          <w:tcPr>
            <w:tcW w:w="910" w:type="pct"/>
            <w:vAlign w:val="center"/>
          </w:tcPr>
          <w:p w14:paraId="425332F4">
            <w:pPr>
              <w:jc w:val="center"/>
              <w:rPr>
                <w:rFonts w:cs="Times New Roman" w:eastAsiaTheme="minorEastAsia"/>
                <w:szCs w:val="21"/>
              </w:rPr>
            </w:pPr>
            <w:r>
              <w:rPr>
                <w:rFonts w:hint="eastAsia" w:cs="Times New Roman" w:eastAsiaTheme="minorEastAsia"/>
                <w:szCs w:val="21"/>
              </w:rPr>
              <w:t>生产设备</w:t>
            </w:r>
          </w:p>
        </w:tc>
        <w:tc>
          <w:tcPr>
            <w:tcW w:w="758" w:type="pct"/>
            <w:vAlign w:val="center"/>
          </w:tcPr>
          <w:p w14:paraId="0CD68D11">
            <w:pPr>
              <w:jc w:val="center"/>
              <w:rPr>
                <w:rFonts w:cs="Times New Roman" w:eastAsiaTheme="minorEastAsia"/>
                <w:szCs w:val="21"/>
              </w:rPr>
            </w:pPr>
            <w:r>
              <w:rPr>
                <w:rFonts w:cs="Times New Roman" w:eastAsiaTheme="minorEastAsia"/>
                <w:szCs w:val="21"/>
              </w:rPr>
              <w:t>噪声</w:t>
            </w:r>
          </w:p>
        </w:tc>
        <w:tc>
          <w:tcPr>
            <w:tcW w:w="1365" w:type="pct"/>
            <w:vAlign w:val="center"/>
          </w:tcPr>
          <w:p w14:paraId="1DEE7129">
            <w:pPr>
              <w:jc w:val="center"/>
              <w:rPr>
                <w:rFonts w:cs="Times New Roman" w:eastAsiaTheme="minorEastAsia"/>
                <w:szCs w:val="21"/>
              </w:rPr>
            </w:pPr>
            <w:r>
              <w:rPr>
                <w:rFonts w:hint="eastAsia" w:cs="Times New Roman" w:eastAsiaTheme="minorEastAsia"/>
                <w:szCs w:val="21"/>
              </w:rPr>
              <w:t>选低噪声设备，采取基础减振、消声、隔声措施</w:t>
            </w:r>
          </w:p>
        </w:tc>
        <w:tc>
          <w:tcPr>
            <w:tcW w:w="1135" w:type="pct"/>
            <w:vAlign w:val="center"/>
          </w:tcPr>
          <w:p w14:paraId="5F77FD45">
            <w:pPr>
              <w:jc w:val="center"/>
              <w:rPr>
                <w:rFonts w:cs="Times New Roman" w:eastAsiaTheme="minorEastAsia"/>
                <w:szCs w:val="21"/>
              </w:rPr>
            </w:pPr>
            <w:r>
              <w:rPr>
                <w:rFonts w:hint="eastAsia" w:cs="Times New Roman" w:eastAsiaTheme="minorEastAsia"/>
                <w:szCs w:val="21"/>
              </w:rPr>
              <w:t>《工业企业厂界环境噪声排放标准》（GB12348-2008）</w:t>
            </w:r>
          </w:p>
        </w:tc>
      </w:tr>
      <w:tr w14:paraId="7A239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35EDBA96">
            <w:pPr>
              <w:jc w:val="center"/>
              <w:rPr>
                <w:rFonts w:cs="Times New Roman" w:eastAsiaTheme="minorEastAsia"/>
                <w:szCs w:val="21"/>
              </w:rPr>
            </w:pPr>
            <w:r>
              <w:rPr>
                <w:rFonts w:hint="eastAsia" w:cs="Times New Roman" w:eastAsiaTheme="minorEastAsia"/>
                <w:szCs w:val="21"/>
              </w:rPr>
              <w:t>电磁辐射</w:t>
            </w:r>
          </w:p>
        </w:tc>
        <w:tc>
          <w:tcPr>
            <w:tcW w:w="910" w:type="pct"/>
            <w:vAlign w:val="center"/>
          </w:tcPr>
          <w:p w14:paraId="7C1BDF22">
            <w:pPr>
              <w:jc w:val="center"/>
              <w:rPr>
                <w:rFonts w:cs="Times New Roman" w:eastAsiaTheme="minorEastAsia"/>
                <w:szCs w:val="21"/>
              </w:rPr>
            </w:pPr>
            <w:r>
              <w:rPr>
                <w:rFonts w:hint="eastAsia" w:cs="Times New Roman" w:eastAsiaTheme="minorEastAsia"/>
                <w:szCs w:val="21"/>
              </w:rPr>
              <w:t>/</w:t>
            </w:r>
          </w:p>
        </w:tc>
        <w:tc>
          <w:tcPr>
            <w:tcW w:w="758" w:type="pct"/>
            <w:vAlign w:val="center"/>
          </w:tcPr>
          <w:p w14:paraId="544C28F7">
            <w:pPr>
              <w:jc w:val="center"/>
              <w:rPr>
                <w:rFonts w:cs="Times New Roman" w:eastAsiaTheme="minorEastAsia"/>
                <w:szCs w:val="21"/>
              </w:rPr>
            </w:pPr>
            <w:r>
              <w:rPr>
                <w:rFonts w:hint="eastAsia" w:cs="Times New Roman" w:eastAsiaTheme="minorEastAsia"/>
                <w:szCs w:val="21"/>
              </w:rPr>
              <w:t>/</w:t>
            </w:r>
          </w:p>
        </w:tc>
        <w:tc>
          <w:tcPr>
            <w:tcW w:w="1365" w:type="pct"/>
            <w:vAlign w:val="center"/>
          </w:tcPr>
          <w:p w14:paraId="08CC7143">
            <w:pPr>
              <w:jc w:val="center"/>
              <w:rPr>
                <w:rFonts w:cs="Times New Roman" w:eastAsiaTheme="minorEastAsia"/>
                <w:szCs w:val="21"/>
              </w:rPr>
            </w:pPr>
            <w:r>
              <w:rPr>
                <w:rFonts w:hint="eastAsia" w:cs="Times New Roman" w:eastAsiaTheme="minorEastAsia"/>
                <w:szCs w:val="21"/>
              </w:rPr>
              <w:t>/</w:t>
            </w:r>
          </w:p>
        </w:tc>
        <w:tc>
          <w:tcPr>
            <w:tcW w:w="1135" w:type="pct"/>
            <w:vAlign w:val="center"/>
          </w:tcPr>
          <w:p w14:paraId="2621CF8A">
            <w:pPr>
              <w:jc w:val="center"/>
              <w:rPr>
                <w:rFonts w:cs="Times New Roman" w:eastAsiaTheme="minorEastAsia"/>
                <w:szCs w:val="21"/>
              </w:rPr>
            </w:pPr>
            <w:r>
              <w:rPr>
                <w:rFonts w:hint="eastAsia" w:cs="Times New Roman" w:eastAsiaTheme="minorEastAsia"/>
                <w:szCs w:val="21"/>
              </w:rPr>
              <w:t>/</w:t>
            </w:r>
          </w:p>
        </w:tc>
      </w:tr>
      <w:tr w14:paraId="56B9F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435C2715">
            <w:pPr>
              <w:jc w:val="center"/>
              <w:rPr>
                <w:rFonts w:cs="Times New Roman" w:eastAsiaTheme="minorEastAsia"/>
                <w:szCs w:val="21"/>
              </w:rPr>
            </w:pPr>
            <w:r>
              <w:rPr>
                <w:rFonts w:hint="eastAsia" w:cs="Times New Roman" w:eastAsiaTheme="minorEastAsia"/>
                <w:szCs w:val="21"/>
              </w:rPr>
              <w:t>固体废物</w:t>
            </w:r>
          </w:p>
        </w:tc>
        <w:tc>
          <w:tcPr>
            <w:tcW w:w="4168" w:type="pct"/>
            <w:gridSpan w:val="4"/>
            <w:vAlign w:val="center"/>
          </w:tcPr>
          <w:p w14:paraId="41543675">
            <w:pPr>
              <w:ind w:firstLine="420" w:firstLineChars="200"/>
              <w:rPr>
                <w:rFonts w:cs="Times New Roman" w:eastAsiaTheme="minorEastAsia"/>
                <w:szCs w:val="21"/>
              </w:rPr>
            </w:pPr>
            <w:r>
              <w:rPr>
                <w:rFonts w:hint="eastAsia" w:cs="Times New Roman" w:eastAsiaTheme="minorEastAsia"/>
                <w:szCs w:val="21"/>
              </w:rPr>
              <w:t>废旧模具、废边角料、残次品、废旧铝箔、废包装材料等经分类收集后暂存于固废暂存间，其中废旧模具定期交由模具厂商回收处置，其余固体废物定期外售废旧资源回收站；生活垃圾交由环卫部门清运处理，实现日产日清；餐厨垃圾（含隔油池浮油）交由取得经营许可的餐厨垃圾处置单位清运处理；预处理池污泥委托环卫部门定期清掏处理。废网版、废油墨桶、废机油及包装桶、废活性炭、废弃劳保用品等危险废物分类收集后暂存于危废暂存间，定期交由有资质单位清运处置。</w:t>
            </w:r>
          </w:p>
        </w:tc>
      </w:tr>
      <w:tr w14:paraId="3CF1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37CEAB99">
            <w:pPr>
              <w:jc w:val="center"/>
              <w:rPr>
                <w:rFonts w:cs="Times New Roman" w:eastAsiaTheme="minorEastAsia"/>
                <w:szCs w:val="21"/>
              </w:rPr>
            </w:pPr>
            <w:r>
              <w:rPr>
                <w:rFonts w:hint="eastAsia" w:cs="Times New Roman" w:eastAsiaTheme="minorEastAsia"/>
                <w:szCs w:val="21"/>
              </w:rPr>
              <w:t>土壤及地下水</w:t>
            </w:r>
          </w:p>
          <w:p w14:paraId="0E99F064">
            <w:pPr>
              <w:jc w:val="center"/>
              <w:rPr>
                <w:rFonts w:cs="Times New Roman" w:eastAsiaTheme="minorEastAsia"/>
                <w:szCs w:val="21"/>
              </w:rPr>
            </w:pPr>
            <w:r>
              <w:rPr>
                <w:rFonts w:hint="eastAsia" w:cs="Times New Roman" w:eastAsiaTheme="minorEastAsia"/>
                <w:szCs w:val="21"/>
              </w:rPr>
              <w:t>污染防治措施</w:t>
            </w:r>
          </w:p>
        </w:tc>
        <w:tc>
          <w:tcPr>
            <w:tcW w:w="4168" w:type="pct"/>
            <w:gridSpan w:val="4"/>
            <w:vAlign w:val="center"/>
          </w:tcPr>
          <w:p w14:paraId="2C8D5F84">
            <w:pPr>
              <w:ind w:firstLine="420" w:firstLineChars="200"/>
              <w:rPr>
                <w:rFonts w:cs="Times New Roman" w:eastAsiaTheme="minorEastAsia"/>
                <w:szCs w:val="21"/>
              </w:rPr>
            </w:pPr>
            <w:r>
              <w:rPr>
                <w:rFonts w:hint="eastAsia" w:cs="Times New Roman" w:eastAsiaTheme="minorEastAsia"/>
                <w:szCs w:val="21"/>
              </w:rPr>
              <w:t>①新增工艺设备选用符合质量标准材料，并采取防腐、防渗漏措施，定期检查工艺设备运行状态，防止污染物“跑、冒、滴、漏”；所有包装容器均选用符合质量标准材料，并作防腐处理。</w:t>
            </w:r>
          </w:p>
          <w:p w14:paraId="5C2F5912">
            <w:pPr>
              <w:ind w:firstLine="420" w:firstLineChars="200"/>
              <w:rPr>
                <w:rFonts w:cs="Times New Roman" w:eastAsiaTheme="minorEastAsia"/>
                <w:szCs w:val="21"/>
              </w:rPr>
            </w:pPr>
            <w:r>
              <w:rPr>
                <w:rFonts w:hint="eastAsia" w:cs="Times New Roman" w:eastAsiaTheme="minorEastAsia"/>
                <w:szCs w:val="21"/>
              </w:rPr>
              <w:t>②新增印刷间、辅料库房采用原土夯实+30cm抗渗混凝土+2mmHDPE防渗层，生产车间（不含印刷间、辅料库房）、循环水塔、成品库房采用原土夯实+30cm抗渗混凝土进行防渗处理。</w:t>
            </w:r>
          </w:p>
          <w:p w14:paraId="42A7DDB5">
            <w:pPr>
              <w:ind w:firstLine="420" w:firstLineChars="200"/>
              <w:rPr>
                <w:rFonts w:cs="Times New Roman" w:eastAsiaTheme="minorEastAsia"/>
                <w:szCs w:val="21"/>
              </w:rPr>
            </w:pPr>
            <w:r>
              <w:rPr>
                <w:rFonts w:hint="eastAsia" w:cs="Times New Roman" w:eastAsiaTheme="minorEastAsia"/>
                <w:szCs w:val="21"/>
              </w:rPr>
              <w:t>③严格落实本环评提出的废气污染治理措施，保证污染防治设施正常稳定运行，减少污染物排放；厂区内及厂界四周应种植吸附能力强的植物，减轻对周围土壤环境的影响。</w:t>
            </w:r>
          </w:p>
        </w:tc>
      </w:tr>
      <w:tr w14:paraId="0D965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0CDCC6AE">
            <w:pPr>
              <w:jc w:val="center"/>
              <w:rPr>
                <w:rFonts w:cs="Times New Roman" w:eastAsiaTheme="minorEastAsia"/>
                <w:szCs w:val="21"/>
              </w:rPr>
            </w:pPr>
            <w:r>
              <w:rPr>
                <w:rFonts w:hint="eastAsia" w:cs="Times New Roman" w:eastAsiaTheme="minorEastAsia"/>
                <w:szCs w:val="21"/>
              </w:rPr>
              <w:t>生态保护措施</w:t>
            </w:r>
          </w:p>
        </w:tc>
        <w:tc>
          <w:tcPr>
            <w:tcW w:w="4168" w:type="pct"/>
            <w:gridSpan w:val="4"/>
            <w:vAlign w:val="center"/>
          </w:tcPr>
          <w:p w14:paraId="0CBEC4F3">
            <w:pPr>
              <w:ind w:firstLine="420" w:firstLineChars="200"/>
              <w:rPr>
                <w:rFonts w:cs="Times New Roman" w:eastAsiaTheme="minorEastAsia"/>
                <w:szCs w:val="21"/>
              </w:rPr>
            </w:pPr>
            <w:r>
              <w:rPr>
                <w:rFonts w:hint="eastAsia" w:cs="Times New Roman" w:eastAsiaTheme="minorEastAsia"/>
                <w:szCs w:val="21"/>
              </w:rPr>
              <w:t>严格控制开挖施工作业面，采取覆盖、拦挡，表土回铺、植被恢复等。</w:t>
            </w:r>
          </w:p>
        </w:tc>
      </w:tr>
      <w:tr w14:paraId="14E9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Align w:val="center"/>
          </w:tcPr>
          <w:p w14:paraId="5BF61D55">
            <w:pPr>
              <w:jc w:val="center"/>
              <w:rPr>
                <w:rFonts w:cs="Times New Roman" w:eastAsiaTheme="minorEastAsia"/>
                <w:szCs w:val="21"/>
              </w:rPr>
            </w:pPr>
            <w:r>
              <w:rPr>
                <w:rFonts w:hint="eastAsia" w:cs="Times New Roman" w:eastAsiaTheme="minorEastAsia"/>
                <w:szCs w:val="21"/>
              </w:rPr>
              <w:t>环境风险</w:t>
            </w:r>
          </w:p>
          <w:p w14:paraId="0BD03F0B">
            <w:pPr>
              <w:jc w:val="center"/>
              <w:rPr>
                <w:rFonts w:cs="Times New Roman" w:eastAsiaTheme="minorEastAsia"/>
                <w:szCs w:val="21"/>
              </w:rPr>
            </w:pPr>
            <w:r>
              <w:rPr>
                <w:rFonts w:hint="eastAsia" w:cs="Times New Roman" w:eastAsiaTheme="minorEastAsia"/>
                <w:szCs w:val="21"/>
              </w:rPr>
              <w:t>防范措施</w:t>
            </w:r>
          </w:p>
        </w:tc>
        <w:tc>
          <w:tcPr>
            <w:tcW w:w="4168" w:type="pct"/>
            <w:gridSpan w:val="4"/>
            <w:vAlign w:val="center"/>
          </w:tcPr>
          <w:p w14:paraId="4F0F3175">
            <w:pPr>
              <w:ind w:firstLine="420" w:firstLineChars="200"/>
              <w:rPr>
                <w:rFonts w:cs="Times New Roman" w:eastAsiaTheme="minorEastAsia"/>
                <w:szCs w:val="21"/>
              </w:rPr>
            </w:pPr>
            <w:r>
              <w:rPr>
                <w:rFonts w:hint="eastAsia" w:cs="Times New Roman" w:eastAsiaTheme="minorEastAsia"/>
                <w:szCs w:val="21"/>
              </w:rPr>
              <w:t>加强危废暂存间管理，建立运营管理台账，落实防火、防爆设计要求，设置防火标识、消防器材，制定环境风险应急预案。</w:t>
            </w:r>
          </w:p>
        </w:tc>
      </w:tr>
      <w:tr w14:paraId="25CF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1488EF3">
            <w:pPr>
              <w:jc w:val="center"/>
              <w:rPr>
                <w:rFonts w:cs="Times New Roman" w:eastAsiaTheme="minorEastAsia"/>
                <w:szCs w:val="21"/>
              </w:rPr>
            </w:pPr>
            <w:r>
              <w:rPr>
                <w:rFonts w:hint="eastAsia" w:cs="Times New Roman" w:eastAsiaTheme="minorEastAsia"/>
                <w:szCs w:val="21"/>
              </w:rPr>
              <w:t>其他环境</w:t>
            </w:r>
          </w:p>
          <w:p w14:paraId="67A0E428">
            <w:pPr>
              <w:jc w:val="center"/>
              <w:rPr>
                <w:rFonts w:cs="Times New Roman" w:eastAsiaTheme="minorEastAsia"/>
                <w:szCs w:val="21"/>
              </w:rPr>
            </w:pPr>
            <w:r>
              <w:rPr>
                <w:rFonts w:hint="eastAsia" w:cs="Times New Roman" w:eastAsiaTheme="minorEastAsia"/>
                <w:szCs w:val="21"/>
              </w:rPr>
              <w:t>管理要求</w:t>
            </w:r>
          </w:p>
        </w:tc>
        <w:tc>
          <w:tcPr>
            <w:tcW w:w="4168" w:type="pct"/>
            <w:gridSpan w:val="4"/>
            <w:vAlign w:val="center"/>
          </w:tcPr>
          <w:p w14:paraId="225DB13E">
            <w:pPr>
              <w:ind w:firstLine="422" w:firstLineChars="200"/>
              <w:rPr>
                <w:rFonts w:cs="Times New Roman"/>
                <w:b/>
                <w:szCs w:val="21"/>
              </w:rPr>
            </w:pPr>
            <w:r>
              <w:rPr>
                <w:rFonts w:cs="Times New Roman"/>
                <w:b/>
                <w:szCs w:val="21"/>
              </w:rPr>
              <w:t>1、</w:t>
            </w:r>
            <w:r>
              <w:rPr>
                <w:rFonts w:hint="eastAsia" w:cs="Times New Roman"/>
                <w:b/>
                <w:szCs w:val="21"/>
              </w:rPr>
              <w:t>排污口规范化管理</w:t>
            </w:r>
          </w:p>
          <w:p w14:paraId="7F6561C6">
            <w:pPr>
              <w:ind w:firstLine="420" w:firstLineChars="200"/>
              <w:rPr>
                <w:rFonts w:cs="Times New Roman" w:eastAsiaTheme="minorEastAsia"/>
                <w:szCs w:val="21"/>
              </w:rPr>
            </w:pPr>
            <w:r>
              <w:rPr>
                <w:rFonts w:hint="eastAsia" w:cs="Times New Roman" w:eastAsiaTheme="minorEastAsia"/>
                <w:szCs w:val="21"/>
              </w:rPr>
              <w:t>根据《环境保护图形标志—排放口（源）》（GB15562.1-1995）、《环境保护图形标志—固体废物贮存（处置）场》（GB15562.2-1995）及其修改单和《关于印发排放口标志牌技术规格的通知》（环发〔2003〕95号）的要求，企业所有排放口（包括气、声、固体废物），必须按照“便于计量监测、便于日常现场监督检查”的原则和规范化要求，设置与之相适应的环境保护图形标志牌，绘制企业排污口分布图，对治理设施安装运行监控装置。</w:t>
            </w:r>
          </w:p>
          <w:p w14:paraId="6F64E95B">
            <w:pPr>
              <w:ind w:firstLine="420" w:firstLineChars="200"/>
              <w:rPr>
                <w:rFonts w:cs="Times New Roman" w:eastAsiaTheme="minorEastAsia"/>
                <w:szCs w:val="21"/>
              </w:rPr>
            </w:pPr>
            <w:r>
              <w:rPr>
                <w:rFonts w:hint="eastAsia" w:cs="Times New Roman" w:eastAsiaTheme="minorEastAsia"/>
                <w:szCs w:val="21"/>
              </w:rPr>
              <w:t>排放一般污染物排污口（源），设置提示性标志牌，排放有毒有害等污染物的排污口设置警告性标志牌。标志牌设置位置在排污口附近且醒目处，高度为标志牌上缘离地面2m；排污口附近1m范围内有建筑物的，设平面式标志牌，无建筑物的设立式标志牌。</w:t>
            </w:r>
          </w:p>
          <w:p w14:paraId="0D592ECA">
            <w:pPr>
              <w:ind w:firstLine="420" w:firstLineChars="200"/>
              <w:rPr>
                <w:rFonts w:cs="Times New Roman" w:eastAsiaTheme="minorEastAsia"/>
                <w:szCs w:val="21"/>
              </w:rPr>
            </w:pPr>
            <w:r>
              <w:rPr>
                <w:rFonts w:hint="eastAsia" w:cs="Times New Roman" w:eastAsiaTheme="minorEastAsia"/>
                <w:szCs w:val="21"/>
              </w:rPr>
              <w:t>规范化排污口的有关设置（如图形标志牌、监控装置等）属环保设施，排污单位必须负责日常的维护保养，任何单位和个人不得擅自拆除，如需变更的须报环境监管部门同意并办理变更手续。</w:t>
            </w:r>
          </w:p>
          <w:p w14:paraId="3164B00F">
            <w:pPr>
              <w:ind w:firstLine="422" w:firstLineChars="200"/>
              <w:rPr>
                <w:rFonts w:cs="Times New Roman"/>
                <w:b/>
                <w:szCs w:val="21"/>
              </w:rPr>
            </w:pPr>
            <w:r>
              <w:rPr>
                <w:rFonts w:cs="Times New Roman"/>
                <w:b/>
                <w:szCs w:val="21"/>
              </w:rPr>
              <w:t>2、</w:t>
            </w:r>
            <w:r>
              <w:rPr>
                <w:rFonts w:hint="eastAsia" w:cs="Times New Roman"/>
                <w:b/>
                <w:szCs w:val="21"/>
              </w:rPr>
              <w:t>排污许可</w:t>
            </w:r>
          </w:p>
          <w:p w14:paraId="7EC2FD85">
            <w:pPr>
              <w:ind w:firstLine="420" w:firstLineChars="200"/>
              <w:rPr>
                <w:rFonts w:cs="Times New Roman" w:eastAsiaTheme="minorEastAsia"/>
                <w:szCs w:val="21"/>
              </w:rPr>
            </w:pPr>
            <w:r>
              <w:rPr>
                <w:rFonts w:hint="eastAsia" w:cs="Times New Roman" w:eastAsiaTheme="minorEastAsia"/>
                <w:szCs w:val="21"/>
              </w:rPr>
              <w:t>根据《排污许可管理条例》和《关于做好环境影响评价制度与排污许可制衔接相关工作的通知》（环办环评〔2017〕84号）的要求，建设单位应在投入使用并产生实际排污行为之前，依法按照《固定污染源排污许可分类管理名录（2019年版）》（生态环境部令第11号）和《排污许可证申请与核发技术规范》提交排污许可申请。</w:t>
            </w:r>
          </w:p>
          <w:p w14:paraId="1984E1DD">
            <w:pPr>
              <w:ind w:firstLine="422" w:firstLineChars="200"/>
              <w:rPr>
                <w:rFonts w:cs="Times New Roman"/>
                <w:b/>
                <w:szCs w:val="21"/>
              </w:rPr>
            </w:pPr>
            <w:r>
              <w:rPr>
                <w:rFonts w:cs="Times New Roman"/>
                <w:b/>
                <w:szCs w:val="21"/>
              </w:rPr>
              <w:t>3、</w:t>
            </w:r>
            <w:r>
              <w:rPr>
                <w:rFonts w:hint="eastAsia" w:cs="Times New Roman"/>
                <w:b/>
                <w:szCs w:val="21"/>
              </w:rPr>
              <w:t>环境管理台账</w:t>
            </w:r>
          </w:p>
          <w:p w14:paraId="19D98938">
            <w:pPr>
              <w:ind w:firstLine="420" w:firstLineChars="200"/>
              <w:rPr>
                <w:rFonts w:cs="Times New Roman" w:eastAsiaTheme="minorEastAsia"/>
                <w:szCs w:val="21"/>
              </w:rPr>
            </w:pPr>
            <w:r>
              <w:rPr>
                <w:rFonts w:hint="eastAsia" w:cs="Times New Roman" w:eastAsiaTheme="minorEastAsia"/>
                <w:szCs w:val="21"/>
              </w:rPr>
              <w:t>根据《排污许可证申请与核发技术规范 家具制造工业》( HJ1027-2019）中相关要求，建设单位应建立环境管理台账制度，落实环境管理台账记录的责任部门和责任人，明确工作职责，包括台账的记录、整理、维护和管理等，台账记录</w:t>
            </w:r>
            <w:r>
              <w:rPr>
                <w:rFonts w:hint="eastAsia" w:cs="Times New Roman" w:eastAsiaTheme="minorEastAsia"/>
                <w:szCs w:val="21"/>
                <w:lang w:eastAsia="zh-CN"/>
              </w:rPr>
              <w:t>频次</w:t>
            </w:r>
            <w:r>
              <w:rPr>
                <w:rFonts w:hint="eastAsia" w:cs="Times New Roman" w:eastAsiaTheme="minorEastAsia"/>
                <w:szCs w:val="21"/>
              </w:rPr>
              <w:t>和内容须满足排污许可证环境管理要求，并对台账记录结果的真实性、完整性和规范性负责。台账应按照电子化储存和纸质储存两种形式同步管理，台账保存期不少于5年。</w:t>
            </w:r>
          </w:p>
          <w:p w14:paraId="4971EA15">
            <w:pPr>
              <w:ind w:firstLine="422" w:firstLineChars="200"/>
              <w:rPr>
                <w:rFonts w:cs="Times New Roman"/>
                <w:b/>
                <w:szCs w:val="21"/>
              </w:rPr>
            </w:pPr>
            <w:r>
              <w:rPr>
                <w:rFonts w:cs="Times New Roman"/>
                <w:b/>
                <w:szCs w:val="21"/>
              </w:rPr>
              <w:t>4、</w:t>
            </w:r>
            <w:r>
              <w:rPr>
                <w:rFonts w:hint="eastAsia" w:cs="Times New Roman"/>
                <w:b/>
                <w:szCs w:val="21"/>
              </w:rPr>
              <w:t>自行监测</w:t>
            </w:r>
          </w:p>
          <w:p w14:paraId="773087CA">
            <w:pPr>
              <w:ind w:firstLine="420" w:firstLineChars="200"/>
              <w:rPr>
                <w:rFonts w:cs="Times New Roman" w:eastAsiaTheme="minorEastAsia"/>
                <w:szCs w:val="21"/>
              </w:rPr>
            </w:pPr>
            <w:r>
              <w:rPr>
                <w:rFonts w:hint="eastAsia" w:cs="Times New Roman" w:eastAsiaTheme="minorEastAsia"/>
                <w:szCs w:val="21"/>
              </w:rPr>
              <w:t>企业应制定自行监测方案，定期开展污染源监测。</w:t>
            </w:r>
          </w:p>
          <w:p w14:paraId="0768819F">
            <w:pPr>
              <w:ind w:firstLine="420" w:firstLineChars="200"/>
              <w:rPr>
                <w:rFonts w:cs="Times New Roman" w:eastAsiaTheme="minorEastAsia"/>
                <w:szCs w:val="21"/>
              </w:rPr>
            </w:pPr>
          </w:p>
          <w:p w14:paraId="1947FA00">
            <w:pPr>
              <w:ind w:firstLine="420" w:firstLineChars="200"/>
              <w:rPr>
                <w:rFonts w:cs="Times New Roman" w:eastAsiaTheme="minorEastAsia"/>
                <w:szCs w:val="21"/>
              </w:rPr>
            </w:pPr>
          </w:p>
          <w:p w14:paraId="56C7AF72">
            <w:pPr>
              <w:ind w:firstLine="420" w:firstLineChars="200"/>
              <w:rPr>
                <w:rFonts w:cs="Times New Roman" w:eastAsiaTheme="minorEastAsia"/>
                <w:szCs w:val="21"/>
              </w:rPr>
            </w:pPr>
          </w:p>
          <w:p w14:paraId="070CC20C">
            <w:pPr>
              <w:ind w:firstLine="420" w:firstLineChars="200"/>
              <w:rPr>
                <w:rFonts w:cs="Times New Roman" w:eastAsiaTheme="minorEastAsia"/>
                <w:szCs w:val="21"/>
              </w:rPr>
            </w:pPr>
          </w:p>
          <w:p w14:paraId="48611A39">
            <w:pPr>
              <w:ind w:firstLine="420" w:firstLineChars="200"/>
              <w:rPr>
                <w:rFonts w:cs="Times New Roman" w:eastAsiaTheme="minorEastAsia"/>
                <w:szCs w:val="21"/>
              </w:rPr>
            </w:pPr>
          </w:p>
          <w:p w14:paraId="0C02E9F2">
            <w:pPr>
              <w:ind w:firstLine="420" w:firstLineChars="200"/>
              <w:rPr>
                <w:rFonts w:cs="Times New Roman" w:eastAsiaTheme="minorEastAsia"/>
                <w:szCs w:val="21"/>
              </w:rPr>
            </w:pPr>
          </w:p>
          <w:p w14:paraId="2B64BF6F">
            <w:pPr>
              <w:ind w:firstLine="420" w:firstLineChars="200"/>
              <w:rPr>
                <w:rFonts w:cs="Times New Roman" w:eastAsiaTheme="minorEastAsia"/>
                <w:szCs w:val="21"/>
              </w:rPr>
            </w:pPr>
          </w:p>
          <w:p w14:paraId="466E4109">
            <w:pPr>
              <w:ind w:firstLine="420" w:firstLineChars="200"/>
              <w:rPr>
                <w:rFonts w:cs="Times New Roman" w:eastAsiaTheme="minorEastAsia"/>
                <w:szCs w:val="21"/>
              </w:rPr>
            </w:pPr>
          </w:p>
          <w:p w14:paraId="3F283383">
            <w:pPr>
              <w:ind w:firstLine="420" w:firstLineChars="200"/>
              <w:rPr>
                <w:rFonts w:cs="Times New Roman" w:eastAsiaTheme="minorEastAsia"/>
                <w:szCs w:val="21"/>
              </w:rPr>
            </w:pPr>
          </w:p>
          <w:p w14:paraId="1A267ED7">
            <w:pPr>
              <w:ind w:firstLine="420" w:firstLineChars="200"/>
              <w:rPr>
                <w:rFonts w:cs="Times New Roman" w:eastAsiaTheme="minorEastAsia"/>
                <w:szCs w:val="21"/>
              </w:rPr>
            </w:pPr>
          </w:p>
          <w:p w14:paraId="1E83858A">
            <w:pPr>
              <w:ind w:firstLine="420" w:firstLineChars="200"/>
              <w:rPr>
                <w:rFonts w:cs="Times New Roman" w:eastAsiaTheme="minorEastAsia"/>
                <w:szCs w:val="21"/>
              </w:rPr>
            </w:pPr>
          </w:p>
          <w:p w14:paraId="42F19134">
            <w:pPr>
              <w:ind w:firstLine="420" w:firstLineChars="200"/>
              <w:rPr>
                <w:rFonts w:cs="Times New Roman" w:eastAsiaTheme="minorEastAsia"/>
                <w:szCs w:val="21"/>
              </w:rPr>
            </w:pPr>
          </w:p>
          <w:p w14:paraId="6FDF5586">
            <w:pPr>
              <w:ind w:firstLine="420" w:firstLineChars="200"/>
              <w:rPr>
                <w:rFonts w:cs="Times New Roman" w:eastAsiaTheme="minorEastAsia"/>
                <w:szCs w:val="21"/>
              </w:rPr>
            </w:pPr>
          </w:p>
          <w:p w14:paraId="00D8A134">
            <w:pPr>
              <w:ind w:firstLine="420" w:firstLineChars="200"/>
              <w:rPr>
                <w:rFonts w:cs="Times New Roman" w:eastAsiaTheme="minorEastAsia"/>
                <w:szCs w:val="21"/>
              </w:rPr>
            </w:pPr>
          </w:p>
          <w:p w14:paraId="172016F9">
            <w:pPr>
              <w:ind w:firstLine="420" w:firstLineChars="200"/>
              <w:rPr>
                <w:rFonts w:cs="Times New Roman" w:eastAsiaTheme="minorEastAsia"/>
                <w:szCs w:val="21"/>
              </w:rPr>
            </w:pPr>
          </w:p>
          <w:p w14:paraId="2CA16F76">
            <w:pPr>
              <w:ind w:firstLine="420" w:firstLineChars="200"/>
              <w:rPr>
                <w:rFonts w:cs="Times New Roman" w:eastAsiaTheme="minorEastAsia"/>
                <w:szCs w:val="21"/>
              </w:rPr>
            </w:pPr>
          </w:p>
          <w:p w14:paraId="0639D66A">
            <w:pPr>
              <w:ind w:firstLine="420" w:firstLineChars="200"/>
              <w:rPr>
                <w:rFonts w:cs="Times New Roman" w:eastAsiaTheme="minorEastAsia"/>
                <w:szCs w:val="21"/>
              </w:rPr>
            </w:pPr>
          </w:p>
          <w:p w14:paraId="7489ABAA">
            <w:pPr>
              <w:ind w:firstLine="420" w:firstLineChars="200"/>
              <w:rPr>
                <w:rFonts w:cs="Times New Roman" w:eastAsiaTheme="minorEastAsia"/>
                <w:szCs w:val="21"/>
              </w:rPr>
            </w:pPr>
          </w:p>
          <w:p w14:paraId="621C994A">
            <w:pPr>
              <w:ind w:firstLine="420" w:firstLineChars="200"/>
              <w:rPr>
                <w:rFonts w:cs="Times New Roman" w:eastAsiaTheme="minorEastAsia"/>
                <w:szCs w:val="21"/>
              </w:rPr>
            </w:pPr>
          </w:p>
          <w:p w14:paraId="51C6439F">
            <w:pPr>
              <w:ind w:firstLine="420" w:firstLineChars="200"/>
              <w:rPr>
                <w:rFonts w:cs="Times New Roman" w:eastAsiaTheme="minorEastAsia"/>
                <w:szCs w:val="21"/>
              </w:rPr>
            </w:pPr>
          </w:p>
          <w:p w14:paraId="495A3C7E">
            <w:pPr>
              <w:ind w:firstLine="420" w:firstLineChars="200"/>
              <w:rPr>
                <w:rFonts w:cs="Times New Roman" w:eastAsiaTheme="minorEastAsia"/>
                <w:szCs w:val="21"/>
              </w:rPr>
            </w:pPr>
          </w:p>
        </w:tc>
      </w:tr>
    </w:tbl>
    <w:p w14:paraId="4D5351D8">
      <w:pPr>
        <w:spacing w:line="360" w:lineRule="auto"/>
        <w:rPr>
          <w:b/>
          <w:sz w:val="28"/>
          <w:szCs w:val="28"/>
        </w:rPr>
        <w:sectPr>
          <w:pgSz w:w="11906" w:h="16838"/>
          <w:pgMar w:top="1134" w:right="1134" w:bottom="1134" w:left="1134" w:header="851" w:footer="992" w:gutter="0"/>
          <w:cols w:space="720" w:num="1"/>
          <w:docGrid w:type="lines" w:linePitch="312" w:charSpace="0"/>
        </w:sectPr>
      </w:pPr>
    </w:p>
    <w:p w14:paraId="3B52B853">
      <w:pPr>
        <w:pStyle w:val="40"/>
        <w:jc w:val="center"/>
        <w:rPr>
          <w:rFonts w:hint="eastAsia" w:ascii="黑体" w:hAnsi="黑体" w:eastAsia="黑体"/>
          <w:b w:val="0"/>
          <w:sz w:val="30"/>
          <w:szCs w:val="30"/>
        </w:rPr>
      </w:pPr>
      <w:bookmarkStart w:id="10" w:name="_Toc97040278"/>
      <w:r>
        <w:rPr>
          <w:rFonts w:hint="eastAsia" w:ascii="黑体" w:hAnsi="黑体" w:eastAsia="黑体"/>
          <w:b w:val="0"/>
          <w:sz w:val="30"/>
          <w:szCs w:val="30"/>
        </w:rPr>
        <w:t>六、结论</w:t>
      </w:r>
      <w:bookmarkEnd w:id="10"/>
    </w:p>
    <w:tbl>
      <w:tblPr>
        <w:tblStyle w:val="1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54"/>
      </w:tblGrid>
      <w:tr w14:paraId="641D98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000" w:type="pct"/>
            <w:shd w:val="clear" w:color="auto" w:fill="auto"/>
          </w:tcPr>
          <w:p w14:paraId="6F762BA8">
            <w:pPr>
              <w:spacing w:line="360" w:lineRule="auto"/>
              <w:ind w:firstLine="480" w:firstLineChars="200"/>
              <w:rPr>
                <w:rFonts w:cs="Times New Roman"/>
                <w:sz w:val="24"/>
                <w:szCs w:val="24"/>
              </w:rPr>
            </w:pPr>
            <w:r>
              <w:rPr>
                <w:rFonts w:hint="eastAsia" w:cs="Times New Roman"/>
                <w:sz w:val="24"/>
                <w:szCs w:val="24"/>
              </w:rPr>
              <w:t>四川圣拉斯包装制品有限公司年产4000万只酒类及家电类环保塑料制品数字化生产线建设项目符合国家现行产业政策，选址合理，符合生态环境分区管控要求，建设单位在认真落实本报告中提出的各项污染防治措施和有关管理措施，保证环境保护措施的有效运行，可确保污染物稳定达标排放。从环保角度而言，本项目的建设是可行的。</w:t>
            </w:r>
          </w:p>
          <w:p w14:paraId="2375AE44">
            <w:pPr>
              <w:spacing w:line="360" w:lineRule="auto"/>
              <w:ind w:firstLine="480" w:firstLineChars="200"/>
              <w:rPr>
                <w:rFonts w:cs="Times New Roman"/>
                <w:sz w:val="24"/>
                <w:szCs w:val="24"/>
              </w:rPr>
            </w:pPr>
          </w:p>
          <w:p w14:paraId="74AB1F45">
            <w:pPr>
              <w:spacing w:line="360" w:lineRule="auto"/>
              <w:ind w:firstLine="480" w:firstLineChars="200"/>
              <w:rPr>
                <w:rFonts w:cs="Times New Roman"/>
                <w:sz w:val="24"/>
                <w:szCs w:val="24"/>
              </w:rPr>
            </w:pPr>
          </w:p>
          <w:p w14:paraId="63DB9F96">
            <w:pPr>
              <w:spacing w:line="360" w:lineRule="auto"/>
              <w:ind w:firstLine="480" w:firstLineChars="200"/>
              <w:rPr>
                <w:rFonts w:cs="Times New Roman"/>
                <w:sz w:val="24"/>
                <w:szCs w:val="24"/>
              </w:rPr>
            </w:pPr>
          </w:p>
          <w:p w14:paraId="7B8631B4">
            <w:pPr>
              <w:spacing w:line="360" w:lineRule="auto"/>
              <w:ind w:firstLine="480" w:firstLineChars="200"/>
              <w:rPr>
                <w:rFonts w:cs="Times New Roman"/>
                <w:sz w:val="24"/>
                <w:szCs w:val="24"/>
              </w:rPr>
            </w:pPr>
          </w:p>
          <w:p w14:paraId="662DBC07">
            <w:pPr>
              <w:spacing w:line="360" w:lineRule="auto"/>
              <w:ind w:firstLine="480" w:firstLineChars="200"/>
              <w:rPr>
                <w:rFonts w:cs="Times New Roman"/>
                <w:sz w:val="24"/>
                <w:szCs w:val="24"/>
              </w:rPr>
            </w:pPr>
          </w:p>
          <w:p w14:paraId="03933948">
            <w:pPr>
              <w:spacing w:line="360" w:lineRule="auto"/>
              <w:ind w:firstLine="480" w:firstLineChars="200"/>
              <w:rPr>
                <w:rFonts w:cs="Times New Roman"/>
                <w:sz w:val="24"/>
                <w:szCs w:val="24"/>
              </w:rPr>
            </w:pPr>
          </w:p>
          <w:p w14:paraId="42091F60">
            <w:pPr>
              <w:spacing w:line="360" w:lineRule="auto"/>
              <w:ind w:firstLine="480" w:firstLineChars="200"/>
              <w:rPr>
                <w:rFonts w:cs="Times New Roman"/>
                <w:sz w:val="24"/>
                <w:szCs w:val="24"/>
              </w:rPr>
            </w:pPr>
          </w:p>
          <w:p w14:paraId="730583C2">
            <w:pPr>
              <w:spacing w:line="360" w:lineRule="auto"/>
              <w:ind w:firstLine="480" w:firstLineChars="200"/>
              <w:rPr>
                <w:rFonts w:cs="Times New Roman"/>
                <w:sz w:val="24"/>
                <w:szCs w:val="24"/>
              </w:rPr>
            </w:pPr>
          </w:p>
          <w:p w14:paraId="359C9A2B">
            <w:pPr>
              <w:spacing w:line="360" w:lineRule="auto"/>
              <w:ind w:firstLine="480" w:firstLineChars="200"/>
              <w:rPr>
                <w:rFonts w:cs="Times New Roman"/>
                <w:sz w:val="24"/>
                <w:szCs w:val="24"/>
              </w:rPr>
            </w:pPr>
          </w:p>
          <w:p w14:paraId="53D344A7">
            <w:pPr>
              <w:spacing w:line="360" w:lineRule="auto"/>
              <w:ind w:firstLine="480" w:firstLineChars="200"/>
              <w:rPr>
                <w:rFonts w:cs="Times New Roman"/>
                <w:sz w:val="24"/>
                <w:szCs w:val="24"/>
              </w:rPr>
            </w:pPr>
          </w:p>
          <w:p w14:paraId="6AFD9D1F">
            <w:pPr>
              <w:spacing w:line="360" w:lineRule="auto"/>
              <w:ind w:firstLine="480" w:firstLineChars="200"/>
              <w:rPr>
                <w:rFonts w:cs="Times New Roman"/>
                <w:sz w:val="24"/>
                <w:szCs w:val="24"/>
              </w:rPr>
            </w:pPr>
          </w:p>
          <w:p w14:paraId="1E81A207">
            <w:pPr>
              <w:spacing w:line="360" w:lineRule="auto"/>
              <w:ind w:firstLine="480" w:firstLineChars="200"/>
              <w:rPr>
                <w:rFonts w:cs="Times New Roman"/>
                <w:sz w:val="24"/>
                <w:szCs w:val="24"/>
              </w:rPr>
            </w:pPr>
          </w:p>
          <w:p w14:paraId="6E31B271">
            <w:pPr>
              <w:spacing w:line="360" w:lineRule="auto"/>
              <w:ind w:firstLine="480" w:firstLineChars="200"/>
              <w:rPr>
                <w:rFonts w:cs="Times New Roman"/>
                <w:sz w:val="24"/>
                <w:szCs w:val="24"/>
              </w:rPr>
            </w:pPr>
          </w:p>
          <w:p w14:paraId="03979955">
            <w:pPr>
              <w:spacing w:line="360" w:lineRule="auto"/>
              <w:ind w:firstLine="480" w:firstLineChars="200"/>
              <w:rPr>
                <w:rFonts w:cs="Times New Roman"/>
                <w:sz w:val="24"/>
                <w:szCs w:val="24"/>
              </w:rPr>
            </w:pPr>
          </w:p>
          <w:p w14:paraId="69E20427">
            <w:pPr>
              <w:spacing w:line="360" w:lineRule="auto"/>
              <w:ind w:firstLine="480" w:firstLineChars="200"/>
              <w:rPr>
                <w:rFonts w:cs="Times New Roman"/>
                <w:sz w:val="24"/>
                <w:szCs w:val="24"/>
              </w:rPr>
            </w:pPr>
          </w:p>
          <w:p w14:paraId="1EC647CD">
            <w:pPr>
              <w:spacing w:line="360" w:lineRule="auto"/>
              <w:ind w:firstLine="480" w:firstLineChars="200"/>
              <w:rPr>
                <w:rFonts w:cs="Times New Roman"/>
                <w:sz w:val="24"/>
                <w:szCs w:val="24"/>
              </w:rPr>
            </w:pPr>
          </w:p>
          <w:p w14:paraId="37BD5213">
            <w:pPr>
              <w:spacing w:line="360" w:lineRule="auto"/>
              <w:ind w:firstLine="480" w:firstLineChars="200"/>
              <w:rPr>
                <w:rFonts w:cs="Times New Roman"/>
                <w:sz w:val="24"/>
                <w:szCs w:val="24"/>
              </w:rPr>
            </w:pPr>
          </w:p>
          <w:p w14:paraId="75026B21">
            <w:pPr>
              <w:spacing w:line="360" w:lineRule="auto"/>
              <w:ind w:firstLine="480" w:firstLineChars="200"/>
              <w:rPr>
                <w:rFonts w:cs="Times New Roman"/>
                <w:sz w:val="24"/>
                <w:szCs w:val="24"/>
              </w:rPr>
            </w:pPr>
          </w:p>
          <w:p w14:paraId="78D4D515">
            <w:pPr>
              <w:spacing w:line="360" w:lineRule="auto"/>
              <w:ind w:firstLine="480" w:firstLineChars="200"/>
              <w:rPr>
                <w:rFonts w:cs="Times New Roman"/>
                <w:sz w:val="24"/>
                <w:szCs w:val="24"/>
              </w:rPr>
            </w:pPr>
          </w:p>
          <w:p w14:paraId="17FF8FD3">
            <w:pPr>
              <w:spacing w:line="360" w:lineRule="auto"/>
              <w:ind w:firstLine="480" w:firstLineChars="200"/>
              <w:rPr>
                <w:rFonts w:cs="Times New Roman"/>
                <w:sz w:val="24"/>
                <w:szCs w:val="24"/>
              </w:rPr>
            </w:pPr>
          </w:p>
          <w:p w14:paraId="423D5B9B">
            <w:pPr>
              <w:spacing w:line="360" w:lineRule="auto"/>
              <w:ind w:firstLine="480" w:firstLineChars="200"/>
              <w:rPr>
                <w:rFonts w:cs="Times New Roman"/>
                <w:sz w:val="24"/>
                <w:szCs w:val="24"/>
              </w:rPr>
            </w:pPr>
          </w:p>
          <w:p w14:paraId="46F02DDD">
            <w:pPr>
              <w:spacing w:line="360" w:lineRule="auto"/>
              <w:ind w:firstLine="480" w:firstLineChars="200"/>
              <w:rPr>
                <w:rFonts w:cs="Times New Roman"/>
                <w:sz w:val="24"/>
                <w:szCs w:val="24"/>
              </w:rPr>
            </w:pPr>
          </w:p>
          <w:p w14:paraId="071C47FD">
            <w:pPr>
              <w:spacing w:line="360" w:lineRule="auto"/>
              <w:ind w:firstLine="480" w:firstLineChars="200"/>
              <w:rPr>
                <w:rFonts w:cs="Times New Roman"/>
                <w:sz w:val="24"/>
                <w:szCs w:val="24"/>
              </w:rPr>
            </w:pPr>
          </w:p>
          <w:p w14:paraId="63025A13">
            <w:pPr>
              <w:spacing w:line="360" w:lineRule="auto"/>
              <w:ind w:firstLine="480" w:firstLineChars="200"/>
              <w:rPr>
                <w:rFonts w:cs="Times New Roman"/>
                <w:sz w:val="24"/>
                <w:szCs w:val="24"/>
              </w:rPr>
            </w:pPr>
          </w:p>
          <w:p w14:paraId="6C466856">
            <w:pPr>
              <w:spacing w:line="360" w:lineRule="auto"/>
              <w:ind w:firstLine="480" w:firstLineChars="200"/>
              <w:rPr>
                <w:rFonts w:cs="Times New Roman"/>
                <w:sz w:val="24"/>
                <w:szCs w:val="24"/>
              </w:rPr>
            </w:pPr>
          </w:p>
        </w:tc>
      </w:tr>
    </w:tbl>
    <w:p w14:paraId="6A5E2B0D">
      <w:pPr>
        <w:rPr>
          <w:rFonts w:hint="eastAsia" w:ascii="宋体" w:hAnsi="宋体"/>
          <w:sz w:val="24"/>
          <w:szCs w:val="24"/>
        </w:rPr>
        <w:sectPr>
          <w:pgSz w:w="11906" w:h="16838"/>
          <w:pgMar w:top="1134" w:right="1134" w:bottom="1134" w:left="1134" w:header="851" w:footer="992" w:gutter="0"/>
          <w:cols w:space="720" w:num="1"/>
          <w:docGrid w:type="lines" w:linePitch="312" w:charSpace="0"/>
        </w:sectPr>
      </w:pPr>
    </w:p>
    <w:p w14:paraId="01306CCA">
      <w:pPr>
        <w:pStyle w:val="40"/>
        <w:rPr>
          <w:rFonts w:hint="eastAsia" w:ascii="黑体" w:hAnsi="黑体" w:eastAsia="黑体"/>
          <w:b w:val="0"/>
          <w:sz w:val="30"/>
          <w:szCs w:val="30"/>
        </w:rPr>
      </w:pPr>
      <w:bookmarkStart w:id="11" w:name="_Toc97040279"/>
      <w:r>
        <w:rPr>
          <w:rFonts w:hint="eastAsia" w:ascii="黑体" w:hAnsi="黑体" w:eastAsia="黑体"/>
          <w:b w:val="0"/>
          <w:sz w:val="30"/>
          <w:szCs w:val="30"/>
        </w:rPr>
        <w:t>附表</w:t>
      </w:r>
      <w:bookmarkEnd w:id="11"/>
    </w:p>
    <w:p w14:paraId="39CA354F">
      <w:pPr>
        <w:jc w:val="center"/>
        <w:rPr>
          <w:rFonts w:hint="eastAsia" w:ascii="方正小标宋_GBK" w:hAnsi="宋体" w:eastAsia="方正小标宋_GBK"/>
          <w:sz w:val="36"/>
          <w:szCs w:val="36"/>
        </w:rPr>
      </w:pPr>
      <w:r>
        <w:rPr>
          <w:rFonts w:hint="eastAsia" w:ascii="方正小标宋_GBK" w:hAnsi="宋体" w:eastAsia="方正小标宋_GBK"/>
          <w:sz w:val="36"/>
          <w:szCs w:val="36"/>
        </w:rPr>
        <w:t>建设项目污染物排放量汇总表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701"/>
        <w:gridCol w:w="1701"/>
        <w:gridCol w:w="1559"/>
        <w:gridCol w:w="1843"/>
        <w:gridCol w:w="1843"/>
        <w:gridCol w:w="1701"/>
        <w:gridCol w:w="1843"/>
        <w:gridCol w:w="1098"/>
      </w:tblGrid>
      <w:tr w14:paraId="26276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1D6BECD2">
            <w:pPr>
              <w:jc w:val="right"/>
              <w:rPr>
                <w:rFonts w:hint="eastAsia" w:ascii="黑体" w:hAnsi="黑体" w:eastAsia="黑体" w:cs="Times New Roman"/>
                <w:szCs w:val="21"/>
              </w:rPr>
            </w:pPr>
            <w:r>
              <w:rPr>
                <w:rFonts w:hint="eastAsia" w:ascii="方正小标宋_GBK" w:hAnsi="宋体" w:eastAsia="方正小标宋_GBK"/>
                <w:sz w:val="36"/>
                <w:szCs w:val="36"/>
              </w:rPr>
              <mc:AlternateContent>
                <mc:Choice Requires="wps">
                  <w:drawing>
                    <wp:anchor distT="0" distB="0" distL="114300" distR="114300" simplePos="0" relativeHeight="251660288" behindDoc="0" locked="0" layoutInCell="1" allowOverlap="1">
                      <wp:simplePos x="0" y="0"/>
                      <wp:positionH relativeFrom="margin">
                        <wp:posOffset>-69215</wp:posOffset>
                      </wp:positionH>
                      <wp:positionV relativeFrom="paragraph">
                        <wp:posOffset>-1905</wp:posOffset>
                      </wp:positionV>
                      <wp:extent cx="790575" cy="600075"/>
                      <wp:effectExtent l="0" t="0" r="28575" b="28575"/>
                      <wp:wrapNone/>
                      <wp:docPr id="1" name="直接连接符 1"/>
                      <wp:cNvGraphicFramePr/>
                      <a:graphic xmlns:a="http://schemas.openxmlformats.org/drawingml/2006/main">
                        <a:graphicData uri="http://schemas.microsoft.com/office/word/2010/wordprocessingShape">
                          <wps:wsp>
                            <wps:cNvCnPr/>
                            <wps:spPr>
                              <a:xfrm>
                                <a:off x="0" y="0"/>
                                <a:ext cx="790575" cy="600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5pt;margin-top:-0.15pt;height:47.25pt;width:62.25pt;mso-position-horizontal-relative:margin;z-index:251660288;mso-width-relative:page;mso-height-relative:page;" filled="f" stroked="t" coordsize="21600,21600" o:gfxdata="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aNyq21wAAAAgBAAAPAAAAAAAA&#10;AAEAIAAAACIAAABkcnMvZG93bnJldi54bWxQSwECFAAUAAAACACHTuJAutYxOdoBAACeAwAADgAA&#10;AAAAAAABACAAAAAmAQAAZHJzL2Uyb0RvYy54bWxQSwUGAAAAAAYABgBZAQAAcgUAAAAA&#10;">
                      <v:fill on="f" focussize="0,0"/>
                      <v:stroke color="#000000 [3213]" joinstyle="round"/>
                      <v:imagedata o:title=""/>
                      <o:lock v:ext="edit" aspectratio="f"/>
                    </v:line>
                  </w:pict>
                </mc:Fallback>
              </mc:AlternateContent>
            </w:r>
            <w:r>
              <w:rPr>
                <w:rFonts w:ascii="黑体" w:hAnsi="黑体" w:eastAsia="黑体" w:cs="Times New Roman"/>
                <w:szCs w:val="21"/>
              </w:rPr>
              <w:t>项目</w:t>
            </w:r>
          </w:p>
          <w:p w14:paraId="5069006A">
            <w:pPr>
              <w:jc w:val="left"/>
              <w:rPr>
                <w:rFonts w:hint="eastAsia" w:ascii="黑体" w:hAnsi="黑体" w:eastAsia="黑体" w:cs="Times New Roman"/>
                <w:szCs w:val="21"/>
              </w:rPr>
            </w:pPr>
          </w:p>
          <w:p w14:paraId="6741D153">
            <w:pPr>
              <w:jc w:val="left"/>
              <w:rPr>
                <w:rFonts w:hint="eastAsia" w:ascii="黑体" w:hAnsi="黑体" w:eastAsia="黑体" w:cs="Times New Roman"/>
                <w:szCs w:val="21"/>
              </w:rPr>
            </w:pPr>
            <w:r>
              <w:rPr>
                <w:rFonts w:ascii="黑体" w:hAnsi="黑体" w:eastAsia="黑体" w:cs="Times New Roman"/>
                <w:szCs w:val="21"/>
              </w:rPr>
              <w:t>分类</w:t>
            </w:r>
          </w:p>
        </w:tc>
        <w:tc>
          <w:tcPr>
            <w:tcW w:w="1701" w:type="dxa"/>
            <w:vAlign w:val="center"/>
          </w:tcPr>
          <w:p w14:paraId="63084FCA">
            <w:pPr>
              <w:jc w:val="center"/>
              <w:rPr>
                <w:rFonts w:hint="eastAsia" w:ascii="黑体" w:hAnsi="黑体" w:eastAsia="黑体" w:cs="Times New Roman"/>
                <w:szCs w:val="21"/>
              </w:rPr>
            </w:pPr>
            <w:r>
              <w:rPr>
                <w:rFonts w:ascii="黑体" w:hAnsi="黑体" w:eastAsia="黑体" w:cs="Times New Roman"/>
                <w:szCs w:val="21"/>
              </w:rPr>
              <w:t>污染物名称</w:t>
            </w:r>
          </w:p>
        </w:tc>
        <w:tc>
          <w:tcPr>
            <w:tcW w:w="1701" w:type="dxa"/>
            <w:vAlign w:val="center"/>
          </w:tcPr>
          <w:p w14:paraId="50E9F523">
            <w:pPr>
              <w:jc w:val="center"/>
              <w:rPr>
                <w:rFonts w:hint="eastAsia" w:ascii="黑体" w:hAnsi="黑体" w:eastAsia="黑体" w:cs="Times New Roman"/>
                <w:szCs w:val="21"/>
              </w:rPr>
            </w:pPr>
            <w:r>
              <w:rPr>
                <w:rFonts w:ascii="黑体" w:hAnsi="黑体" w:eastAsia="黑体" w:cs="Times New Roman"/>
                <w:szCs w:val="21"/>
              </w:rPr>
              <w:t>现有工程</w:t>
            </w:r>
          </w:p>
          <w:p w14:paraId="3A6E2A1D">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①</w:t>
            </w:r>
          </w:p>
        </w:tc>
        <w:tc>
          <w:tcPr>
            <w:tcW w:w="1559" w:type="dxa"/>
            <w:vAlign w:val="center"/>
          </w:tcPr>
          <w:p w14:paraId="2F5271AE">
            <w:pPr>
              <w:jc w:val="center"/>
              <w:rPr>
                <w:rFonts w:hint="eastAsia" w:ascii="黑体" w:hAnsi="黑体" w:eastAsia="黑体" w:cs="Times New Roman"/>
                <w:szCs w:val="21"/>
              </w:rPr>
            </w:pPr>
            <w:r>
              <w:rPr>
                <w:rFonts w:ascii="黑体" w:hAnsi="黑体" w:eastAsia="黑体" w:cs="Times New Roman"/>
                <w:szCs w:val="21"/>
              </w:rPr>
              <w:t>现有工程</w:t>
            </w:r>
          </w:p>
          <w:p w14:paraId="08DFDD35">
            <w:pPr>
              <w:jc w:val="center"/>
              <w:rPr>
                <w:rFonts w:hint="eastAsia" w:ascii="黑体" w:hAnsi="黑体" w:eastAsia="黑体" w:cs="Times New Roman"/>
                <w:szCs w:val="21"/>
              </w:rPr>
            </w:pPr>
            <w:r>
              <w:rPr>
                <w:rFonts w:ascii="黑体" w:hAnsi="黑体" w:eastAsia="黑体" w:cs="Times New Roman"/>
                <w:szCs w:val="21"/>
              </w:rPr>
              <w:t>许可排放量</w:t>
            </w:r>
            <w:r>
              <w:rPr>
                <w:rFonts w:hint="eastAsia" w:ascii="黑体" w:hAnsi="黑体" w:eastAsia="黑体" w:cs="宋体"/>
                <w:szCs w:val="21"/>
              </w:rPr>
              <w:t>②</w:t>
            </w:r>
          </w:p>
        </w:tc>
        <w:tc>
          <w:tcPr>
            <w:tcW w:w="1843" w:type="dxa"/>
            <w:vAlign w:val="center"/>
          </w:tcPr>
          <w:p w14:paraId="0F35E830">
            <w:pPr>
              <w:jc w:val="center"/>
              <w:rPr>
                <w:rFonts w:hint="eastAsia" w:ascii="黑体" w:hAnsi="黑体" w:eastAsia="黑体" w:cs="Times New Roman"/>
                <w:szCs w:val="21"/>
              </w:rPr>
            </w:pPr>
            <w:r>
              <w:rPr>
                <w:rFonts w:ascii="黑体" w:hAnsi="黑体" w:eastAsia="黑体" w:cs="Times New Roman"/>
                <w:szCs w:val="21"/>
              </w:rPr>
              <w:t>在建工程</w:t>
            </w:r>
          </w:p>
          <w:p w14:paraId="22193A2D">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③</w:t>
            </w:r>
          </w:p>
        </w:tc>
        <w:tc>
          <w:tcPr>
            <w:tcW w:w="1843" w:type="dxa"/>
            <w:vAlign w:val="center"/>
          </w:tcPr>
          <w:p w14:paraId="3CD9A7CA">
            <w:pPr>
              <w:jc w:val="center"/>
              <w:rPr>
                <w:rFonts w:hint="eastAsia" w:ascii="黑体" w:hAnsi="黑体" w:eastAsia="黑体" w:cs="Times New Roman"/>
                <w:szCs w:val="21"/>
              </w:rPr>
            </w:pPr>
            <w:r>
              <w:rPr>
                <w:rFonts w:ascii="黑体" w:hAnsi="黑体" w:eastAsia="黑体" w:cs="Times New Roman"/>
                <w:szCs w:val="21"/>
              </w:rPr>
              <w:t>本项目</w:t>
            </w:r>
          </w:p>
          <w:p w14:paraId="0506C940">
            <w:pPr>
              <w:jc w:val="center"/>
              <w:rPr>
                <w:rFonts w:hint="eastAsia" w:ascii="黑体" w:hAnsi="黑体" w:eastAsia="黑体" w:cs="Times New Roman"/>
                <w:szCs w:val="21"/>
              </w:rPr>
            </w:pPr>
            <w:r>
              <w:rPr>
                <w:rFonts w:ascii="黑体" w:hAnsi="黑体" w:eastAsia="黑体" w:cs="Times New Roman"/>
                <w:szCs w:val="21"/>
              </w:rPr>
              <w:t>排放量（固体废物产生量）</w:t>
            </w:r>
            <w:r>
              <w:rPr>
                <w:rFonts w:hint="eastAsia" w:ascii="黑体" w:hAnsi="黑体" w:eastAsia="黑体" w:cs="宋体"/>
                <w:szCs w:val="21"/>
              </w:rPr>
              <w:t>④</w:t>
            </w:r>
          </w:p>
        </w:tc>
        <w:tc>
          <w:tcPr>
            <w:tcW w:w="1701" w:type="dxa"/>
            <w:vAlign w:val="center"/>
          </w:tcPr>
          <w:p w14:paraId="7063600F">
            <w:pPr>
              <w:jc w:val="center"/>
              <w:rPr>
                <w:rFonts w:hint="eastAsia" w:ascii="黑体" w:hAnsi="黑体" w:eastAsia="黑体" w:cs="Times New Roman"/>
                <w:szCs w:val="21"/>
              </w:rPr>
            </w:pPr>
            <w:r>
              <w:rPr>
                <w:rFonts w:ascii="黑体" w:hAnsi="黑体" w:eastAsia="黑体" w:cs="Times New Roman"/>
                <w:szCs w:val="21"/>
              </w:rPr>
              <w:t>以新带老削减量</w:t>
            </w:r>
          </w:p>
          <w:p w14:paraId="2F69080D">
            <w:pPr>
              <w:jc w:val="center"/>
              <w:rPr>
                <w:rFonts w:hint="eastAsia" w:ascii="黑体" w:hAnsi="黑体" w:eastAsia="黑体" w:cs="Times New Roman"/>
                <w:szCs w:val="21"/>
              </w:rPr>
            </w:pPr>
            <w:r>
              <w:rPr>
                <w:rFonts w:ascii="黑体" w:hAnsi="黑体" w:eastAsia="黑体" w:cs="Times New Roman"/>
                <w:szCs w:val="21"/>
              </w:rPr>
              <w:t>（新建项目不填）</w:t>
            </w:r>
            <w:r>
              <w:rPr>
                <w:rFonts w:hint="eastAsia" w:ascii="黑体" w:hAnsi="黑体" w:eastAsia="黑体" w:cs="宋体"/>
                <w:szCs w:val="21"/>
              </w:rPr>
              <w:t>⑤</w:t>
            </w:r>
          </w:p>
        </w:tc>
        <w:tc>
          <w:tcPr>
            <w:tcW w:w="1843" w:type="dxa"/>
            <w:vAlign w:val="center"/>
          </w:tcPr>
          <w:p w14:paraId="6B66A413">
            <w:pPr>
              <w:jc w:val="center"/>
              <w:rPr>
                <w:rFonts w:hint="eastAsia" w:ascii="黑体" w:hAnsi="黑体" w:eastAsia="黑体" w:cs="Times New Roman"/>
                <w:szCs w:val="21"/>
              </w:rPr>
            </w:pPr>
            <w:r>
              <w:rPr>
                <w:rFonts w:ascii="黑体" w:hAnsi="黑体" w:eastAsia="黑体" w:cs="Times New Roman"/>
                <w:szCs w:val="21"/>
              </w:rPr>
              <w:t>本项目建成后</w:t>
            </w:r>
          </w:p>
          <w:p w14:paraId="5BB1666F">
            <w:pPr>
              <w:rPr>
                <w:rFonts w:hint="eastAsia" w:ascii="黑体" w:hAnsi="黑体" w:eastAsia="黑体" w:cs="Times New Roman"/>
                <w:szCs w:val="21"/>
              </w:rPr>
            </w:pPr>
            <w:r>
              <w:rPr>
                <w:rFonts w:ascii="黑体" w:hAnsi="黑体" w:eastAsia="黑体" w:cs="Times New Roman"/>
                <w:szCs w:val="21"/>
              </w:rPr>
              <w:t>全厂排放量（固体废物产生量）</w:t>
            </w:r>
            <w:r>
              <w:rPr>
                <w:rFonts w:hint="eastAsia" w:ascii="黑体" w:hAnsi="黑体" w:eastAsia="黑体" w:cs="宋体"/>
                <w:szCs w:val="21"/>
              </w:rPr>
              <w:t>⑥</w:t>
            </w:r>
          </w:p>
        </w:tc>
        <w:tc>
          <w:tcPr>
            <w:tcW w:w="1098" w:type="dxa"/>
            <w:vAlign w:val="center"/>
          </w:tcPr>
          <w:p w14:paraId="3FB3A224">
            <w:pPr>
              <w:jc w:val="center"/>
              <w:rPr>
                <w:rFonts w:hint="eastAsia" w:ascii="黑体" w:hAnsi="黑体" w:eastAsia="黑体" w:cs="Times New Roman"/>
                <w:szCs w:val="21"/>
              </w:rPr>
            </w:pPr>
            <w:r>
              <w:rPr>
                <w:rFonts w:ascii="黑体" w:hAnsi="黑体" w:eastAsia="黑体" w:cs="Times New Roman"/>
                <w:szCs w:val="21"/>
              </w:rPr>
              <w:t>变化量</w:t>
            </w:r>
          </w:p>
          <w:p w14:paraId="6960158B">
            <w:pPr>
              <w:jc w:val="center"/>
              <w:rPr>
                <w:rFonts w:hint="eastAsia" w:ascii="黑体" w:hAnsi="黑体" w:eastAsia="黑体" w:cs="Times New Roman"/>
                <w:szCs w:val="21"/>
              </w:rPr>
            </w:pPr>
            <w:r>
              <w:rPr>
                <w:rFonts w:hint="eastAsia" w:ascii="黑体" w:hAnsi="黑体" w:eastAsia="黑体" w:cs="宋体"/>
                <w:szCs w:val="21"/>
              </w:rPr>
              <w:t>⑦</w:t>
            </w:r>
          </w:p>
        </w:tc>
      </w:tr>
      <w:tr w14:paraId="734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50A1FF4E">
            <w:pPr>
              <w:jc w:val="center"/>
              <w:rPr>
                <w:rFonts w:cs="Times New Roman"/>
                <w:szCs w:val="21"/>
              </w:rPr>
            </w:pPr>
            <w:r>
              <w:rPr>
                <w:rFonts w:cs="Times New Roman"/>
                <w:szCs w:val="21"/>
              </w:rPr>
              <w:t>废气</w:t>
            </w:r>
          </w:p>
        </w:tc>
        <w:tc>
          <w:tcPr>
            <w:tcW w:w="1701" w:type="dxa"/>
            <w:vAlign w:val="center"/>
          </w:tcPr>
          <w:p w14:paraId="71CC3710">
            <w:pPr>
              <w:jc w:val="center"/>
              <w:rPr>
                <w:rFonts w:cs="Times New Roman"/>
                <w:szCs w:val="21"/>
              </w:rPr>
            </w:pPr>
            <w:r>
              <w:rPr>
                <w:rFonts w:hint="eastAsia"/>
                <w:szCs w:val="21"/>
              </w:rPr>
              <w:t>颗粒物</w:t>
            </w:r>
          </w:p>
        </w:tc>
        <w:tc>
          <w:tcPr>
            <w:tcW w:w="1701" w:type="dxa"/>
            <w:vAlign w:val="center"/>
          </w:tcPr>
          <w:p w14:paraId="426957F3">
            <w:pPr>
              <w:jc w:val="center"/>
              <w:rPr>
                <w:rFonts w:cs="Times New Roman"/>
                <w:szCs w:val="21"/>
              </w:rPr>
            </w:pPr>
            <w:r>
              <w:rPr>
                <w:rFonts w:hint="eastAsia"/>
                <w:szCs w:val="21"/>
              </w:rPr>
              <w:t>1.2252</w:t>
            </w:r>
          </w:p>
        </w:tc>
        <w:tc>
          <w:tcPr>
            <w:tcW w:w="1559" w:type="dxa"/>
            <w:vAlign w:val="center"/>
          </w:tcPr>
          <w:p w14:paraId="5E5FD7EC">
            <w:pPr>
              <w:jc w:val="center"/>
              <w:rPr>
                <w:rFonts w:cs="Times New Roman"/>
                <w:szCs w:val="21"/>
              </w:rPr>
            </w:pPr>
            <w:r>
              <w:rPr>
                <w:rFonts w:hint="eastAsia" w:cs="Times New Roman"/>
                <w:szCs w:val="21"/>
              </w:rPr>
              <w:t>/</w:t>
            </w:r>
          </w:p>
        </w:tc>
        <w:tc>
          <w:tcPr>
            <w:tcW w:w="1843" w:type="dxa"/>
            <w:vAlign w:val="center"/>
          </w:tcPr>
          <w:p w14:paraId="1DEB5FFD">
            <w:pPr>
              <w:jc w:val="center"/>
              <w:rPr>
                <w:rFonts w:cs="Times New Roman"/>
                <w:szCs w:val="21"/>
              </w:rPr>
            </w:pPr>
            <w:r>
              <w:rPr>
                <w:rFonts w:hint="eastAsia" w:cs="Times New Roman"/>
                <w:szCs w:val="21"/>
              </w:rPr>
              <w:t>/</w:t>
            </w:r>
          </w:p>
        </w:tc>
        <w:tc>
          <w:tcPr>
            <w:tcW w:w="1843" w:type="dxa"/>
            <w:vAlign w:val="center"/>
          </w:tcPr>
          <w:p w14:paraId="69CE2BEC">
            <w:pPr>
              <w:jc w:val="center"/>
              <w:rPr>
                <w:rFonts w:cs="Times New Roman"/>
                <w:szCs w:val="21"/>
              </w:rPr>
            </w:pPr>
            <w:r>
              <w:rPr>
                <w:rFonts w:hint="eastAsia" w:cs="Times New Roman" w:eastAsiaTheme="minorEastAsia"/>
                <w:szCs w:val="21"/>
              </w:rPr>
              <w:t>0</w:t>
            </w:r>
          </w:p>
        </w:tc>
        <w:tc>
          <w:tcPr>
            <w:tcW w:w="1701" w:type="dxa"/>
          </w:tcPr>
          <w:p w14:paraId="2577F3B9">
            <w:pPr>
              <w:jc w:val="center"/>
              <w:rPr>
                <w:rFonts w:cs="Times New Roman"/>
                <w:szCs w:val="21"/>
              </w:rPr>
            </w:pPr>
            <w:r>
              <w:rPr>
                <w:rFonts w:hint="eastAsia"/>
                <w:szCs w:val="21"/>
              </w:rPr>
              <w:t>0</w:t>
            </w:r>
          </w:p>
        </w:tc>
        <w:tc>
          <w:tcPr>
            <w:tcW w:w="1843" w:type="dxa"/>
            <w:vAlign w:val="center"/>
          </w:tcPr>
          <w:p w14:paraId="05CDC4C5">
            <w:pPr>
              <w:jc w:val="center"/>
              <w:rPr>
                <w:rFonts w:cs="Times New Roman"/>
                <w:szCs w:val="21"/>
              </w:rPr>
            </w:pPr>
            <w:r>
              <w:rPr>
                <w:rFonts w:hint="eastAsia"/>
                <w:szCs w:val="21"/>
              </w:rPr>
              <w:t>1.2252</w:t>
            </w:r>
          </w:p>
        </w:tc>
        <w:tc>
          <w:tcPr>
            <w:tcW w:w="1098" w:type="dxa"/>
            <w:vAlign w:val="center"/>
          </w:tcPr>
          <w:p w14:paraId="420274C3">
            <w:pPr>
              <w:jc w:val="center"/>
              <w:rPr>
                <w:rFonts w:cs="Times New Roman"/>
                <w:szCs w:val="21"/>
              </w:rPr>
            </w:pPr>
            <w:r>
              <w:rPr>
                <w:rFonts w:hint="eastAsia" w:cs="Times New Roman"/>
                <w:szCs w:val="21"/>
              </w:rPr>
              <w:t>0</w:t>
            </w:r>
          </w:p>
        </w:tc>
      </w:tr>
      <w:tr w14:paraId="7E74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64C6E43F">
            <w:pPr>
              <w:jc w:val="center"/>
              <w:rPr>
                <w:rFonts w:cs="Times New Roman"/>
                <w:szCs w:val="21"/>
              </w:rPr>
            </w:pPr>
          </w:p>
        </w:tc>
        <w:tc>
          <w:tcPr>
            <w:tcW w:w="1701" w:type="dxa"/>
            <w:vAlign w:val="center"/>
          </w:tcPr>
          <w:p w14:paraId="3D2F39B3">
            <w:pPr>
              <w:jc w:val="center"/>
              <w:rPr>
                <w:szCs w:val="21"/>
              </w:rPr>
            </w:pPr>
            <w:r>
              <w:rPr>
                <w:rFonts w:hint="eastAsia"/>
                <w:szCs w:val="21"/>
              </w:rPr>
              <w:t>VOCs</w:t>
            </w:r>
          </w:p>
        </w:tc>
        <w:tc>
          <w:tcPr>
            <w:tcW w:w="1701" w:type="dxa"/>
            <w:vAlign w:val="center"/>
          </w:tcPr>
          <w:p w14:paraId="57C568AF">
            <w:pPr>
              <w:jc w:val="center"/>
              <w:rPr>
                <w:rFonts w:cs="Times New Roman"/>
                <w:szCs w:val="21"/>
              </w:rPr>
            </w:pPr>
            <w:r>
              <w:rPr>
                <w:rFonts w:hint="eastAsia"/>
                <w:szCs w:val="21"/>
              </w:rPr>
              <w:t>2.1171</w:t>
            </w:r>
          </w:p>
        </w:tc>
        <w:tc>
          <w:tcPr>
            <w:tcW w:w="1559" w:type="dxa"/>
            <w:vAlign w:val="center"/>
          </w:tcPr>
          <w:p w14:paraId="4B4DE78D">
            <w:pPr>
              <w:jc w:val="center"/>
              <w:rPr>
                <w:rFonts w:cs="Times New Roman"/>
                <w:szCs w:val="21"/>
              </w:rPr>
            </w:pPr>
            <w:r>
              <w:rPr>
                <w:rFonts w:hint="eastAsia" w:cs="Times New Roman"/>
                <w:szCs w:val="21"/>
              </w:rPr>
              <w:t>2.1171</w:t>
            </w:r>
          </w:p>
        </w:tc>
        <w:tc>
          <w:tcPr>
            <w:tcW w:w="1843" w:type="dxa"/>
          </w:tcPr>
          <w:p w14:paraId="06B8EE3C">
            <w:pPr>
              <w:jc w:val="center"/>
              <w:rPr>
                <w:rFonts w:cs="Times New Roman"/>
                <w:szCs w:val="21"/>
              </w:rPr>
            </w:pPr>
            <w:r>
              <w:rPr>
                <w:rFonts w:hint="eastAsia" w:cs="Times New Roman"/>
                <w:szCs w:val="21"/>
              </w:rPr>
              <w:t>/</w:t>
            </w:r>
          </w:p>
        </w:tc>
        <w:tc>
          <w:tcPr>
            <w:tcW w:w="1843" w:type="dxa"/>
            <w:vAlign w:val="center"/>
          </w:tcPr>
          <w:p w14:paraId="7F981762">
            <w:pPr>
              <w:jc w:val="center"/>
              <w:rPr>
                <w:rFonts w:cs="Times New Roman"/>
                <w:szCs w:val="21"/>
              </w:rPr>
            </w:pPr>
            <w:r>
              <w:rPr>
                <w:rFonts w:cs="Times New Roman" w:eastAsiaTheme="minorEastAsia"/>
                <w:szCs w:val="21"/>
              </w:rPr>
              <w:t>0.8470</w:t>
            </w:r>
          </w:p>
        </w:tc>
        <w:tc>
          <w:tcPr>
            <w:tcW w:w="1701" w:type="dxa"/>
          </w:tcPr>
          <w:p w14:paraId="08C61586">
            <w:pPr>
              <w:jc w:val="center"/>
              <w:rPr>
                <w:rFonts w:cs="Times New Roman"/>
                <w:szCs w:val="21"/>
              </w:rPr>
            </w:pPr>
            <w:r>
              <w:rPr>
                <w:rFonts w:hint="eastAsia"/>
                <w:szCs w:val="21"/>
              </w:rPr>
              <w:t>0</w:t>
            </w:r>
          </w:p>
        </w:tc>
        <w:tc>
          <w:tcPr>
            <w:tcW w:w="1843" w:type="dxa"/>
            <w:vAlign w:val="center"/>
          </w:tcPr>
          <w:p w14:paraId="3234602A">
            <w:pPr>
              <w:jc w:val="center"/>
              <w:rPr>
                <w:rFonts w:cs="Times New Roman"/>
                <w:szCs w:val="21"/>
              </w:rPr>
            </w:pPr>
            <w:r>
              <w:rPr>
                <w:rFonts w:hint="eastAsia"/>
                <w:szCs w:val="21"/>
              </w:rPr>
              <w:t>2.9641</w:t>
            </w:r>
          </w:p>
        </w:tc>
        <w:tc>
          <w:tcPr>
            <w:tcW w:w="1098" w:type="dxa"/>
            <w:vAlign w:val="center"/>
          </w:tcPr>
          <w:p w14:paraId="1E5A04B9">
            <w:pPr>
              <w:jc w:val="center"/>
              <w:rPr>
                <w:rFonts w:cs="Times New Roman"/>
                <w:szCs w:val="21"/>
              </w:rPr>
            </w:pPr>
            <w:r>
              <w:rPr>
                <w:rFonts w:hint="eastAsia" w:cs="Times New Roman"/>
                <w:szCs w:val="21"/>
              </w:rPr>
              <w:t>+0.8470</w:t>
            </w:r>
          </w:p>
        </w:tc>
      </w:tr>
      <w:tr w14:paraId="1C4FA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9389BA4">
            <w:pPr>
              <w:jc w:val="center"/>
              <w:rPr>
                <w:rFonts w:cs="Times New Roman"/>
                <w:szCs w:val="21"/>
              </w:rPr>
            </w:pPr>
          </w:p>
        </w:tc>
        <w:tc>
          <w:tcPr>
            <w:tcW w:w="1701" w:type="dxa"/>
            <w:vAlign w:val="center"/>
          </w:tcPr>
          <w:p w14:paraId="5BB78A84">
            <w:pPr>
              <w:jc w:val="center"/>
              <w:rPr>
                <w:szCs w:val="21"/>
              </w:rPr>
            </w:pPr>
            <w:r>
              <w:rPr>
                <w:rFonts w:hint="eastAsia"/>
                <w:szCs w:val="21"/>
              </w:rPr>
              <w:t>乙酸乙酯</w:t>
            </w:r>
          </w:p>
        </w:tc>
        <w:tc>
          <w:tcPr>
            <w:tcW w:w="1701" w:type="dxa"/>
            <w:vAlign w:val="center"/>
          </w:tcPr>
          <w:p w14:paraId="2B49CB0D">
            <w:pPr>
              <w:jc w:val="center"/>
              <w:rPr>
                <w:szCs w:val="21"/>
              </w:rPr>
            </w:pPr>
            <w:r>
              <w:rPr>
                <w:rFonts w:hint="eastAsia"/>
                <w:szCs w:val="21"/>
              </w:rPr>
              <w:t>0.3585</w:t>
            </w:r>
          </w:p>
        </w:tc>
        <w:tc>
          <w:tcPr>
            <w:tcW w:w="1559" w:type="dxa"/>
          </w:tcPr>
          <w:p w14:paraId="48FF8BDC">
            <w:pPr>
              <w:jc w:val="center"/>
              <w:rPr>
                <w:rFonts w:cs="Times New Roman"/>
                <w:szCs w:val="21"/>
              </w:rPr>
            </w:pPr>
            <w:r>
              <w:rPr>
                <w:rFonts w:hint="eastAsia" w:cs="Times New Roman"/>
                <w:szCs w:val="21"/>
              </w:rPr>
              <w:t>/</w:t>
            </w:r>
          </w:p>
        </w:tc>
        <w:tc>
          <w:tcPr>
            <w:tcW w:w="1843" w:type="dxa"/>
          </w:tcPr>
          <w:p w14:paraId="0EA56478">
            <w:pPr>
              <w:jc w:val="center"/>
              <w:rPr>
                <w:rFonts w:cs="Times New Roman"/>
                <w:szCs w:val="21"/>
              </w:rPr>
            </w:pPr>
            <w:r>
              <w:rPr>
                <w:rFonts w:hint="eastAsia" w:cs="Times New Roman"/>
                <w:szCs w:val="21"/>
              </w:rPr>
              <w:t>/</w:t>
            </w:r>
          </w:p>
        </w:tc>
        <w:tc>
          <w:tcPr>
            <w:tcW w:w="1843" w:type="dxa"/>
            <w:vAlign w:val="center"/>
          </w:tcPr>
          <w:p w14:paraId="7A0C187F">
            <w:pPr>
              <w:jc w:val="center"/>
              <w:rPr>
                <w:szCs w:val="21"/>
              </w:rPr>
            </w:pPr>
            <w:r>
              <w:rPr>
                <w:rFonts w:hint="eastAsia" w:cs="Times New Roman" w:eastAsiaTheme="minorEastAsia"/>
                <w:szCs w:val="21"/>
              </w:rPr>
              <w:t>0</w:t>
            </w:r>
          </w:p>
        </w:tc>
        <w:tc>
          <w:tcPr>
            <w:tcW w:w="1701" w:type="dxa"/>
          </w:tcPr>
          <w:p w14:paraId="3D14B639">
            <w:pPr>
              <w:jc w:val="center"/>
              <w:rPr>
                <w:szCs w:val="21"/>
              </w:rPr>
            </w:pPr>
            <w:r>
              <w:rPr>
                <w:rFonts w:hint="eastAsia"/>
                <w:szCs w:val="21"/>
              </w:rPr>
              <w:t>0</w:t>
            </w:r>
          </w:p>
        </w:tc>
        <w:tc>
          <w:tcPr>
            <w:tcW w:w="1843" w:type="dxa"/>
            <w:vAlign w:val="center"/>
          </w:tcPr>
          <w:p w14:paraId="5E9F8CBC">
            <w:pPr>
              <w:jc w:val="center"/>
              <w:rPr>
                <w:szCs w:val="21"/>
              </w:rPr>
            </w:pPr>
            <w:r>
              <w:rPr>
                <w:rFonts w:hint="eastAsia"/>
                <w:szCs w:val="21"/>
              </w:rPr>
              <w:t>0.3585</w:t>
            </w:r>
          </w:p>
        </w:tc>
        <w:tc>
          <w:tcPr>
            <w:tcW w:w="1098" w:type="dxa"/>
            <w:vAlign w:val="center"/>
          </w:tcPr>
          <w:p w14:paraId="29E6F4F2">
            <w:pPr>
              <w:jc w:val="center"/>
              <w:rPr>
                <w:rFonts w:cs="Times New Roman"/>
                <w:szCs w:val="21"/>
              </w:rPr>
            </w:pPr>
            <w:r>
              <w:rPr>
                <w:rFonts w:hint="eastAsia" w:cs="Times New Roman"/>
                <w:szCs w:val="21"/>
              </w:rPr>
              <w:t>0</w:t>
            </w:r>
          </w:p>
        </w:tc>
      </w:tr>
      <w:tr w14:paraId="71C2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9BFF754">
            <w:pPr>
              <w:jc w:val="center"/>
              <w:rPr>
                <w:rFonts w:cs="Times New Roman"/>
                <w:szCs w:val="21"/>
              </w:rPr>
            </w:pPr>
          </w:p>
        </w:tc>
        <w:tc>
          <w:tcPr>
            <w:tcW w:w="1701" w:type="dxa"/>
            <w:vAlign w:val="center"/>
          </w:tcPr>
          <w:p w14:paraId="44801ACC">
            <w:pPr>
              <w:jc w:val="center"/>
              <w:rPr>
                <w:szCs w:val="21"/>
              </w:rPr>
            </w:pPr>
            <w:r>
              <w:rPr>
                <w:rFonts w:hint="eastAsia"/>
                <w:szCs w:val="21"/>
              </w:rPr>
              <w:t>乙酸丁酯</w:t>
            </w:r>
          </w:p>
        </w:tc>
        <w:tc>
          <w:tcPr>
            <w:tcW w:w="1701" w:type="dxa"/>
            <w:vAlign w:val="center"/>
          </w:tcPr>
          <w:p w14:paraId="0190D051">
            <w:pPr>
              <w:jc w:val="center"/>
              <w:rPr>
                <w:szCs w:val="21"/>
              </w:rPr>
            </w:pPr>
            <w:r>
              <w:rPr>
                <w:rFonts w:hint="eastAsia"/>
                <w:szCs w:val="21"/>
              </w:rPr>
              <w:t>0.3585</w:t>
            </w:r>
          </w:p>
        </w:tc>
        <w:tc>
          <w:tcPr>
            <w:tcW w:w="1559" w:type="dxa"/>
          </w:tcPr>
          <w:p w14:paraId="2B945C7D">
            <w:pPr>
              <w:jc w:val="center"/>
              <w:rPr>
                <w:rFonts w:cs="Times New Roman"/>
                <w:szCs w:val="21"/>
              </w:rPr>
            </w:pPr>
            <w:r>
              <w:rPr>
                <w:rFonts w:hint="eastAsia" w:cs="Times New Roman"/>
                <w:szCs w:val="21"/>
              </w:rPr>
              <w:t>/</w:t>
            </w:r>
          </w:p>
        </w:tc>
        <w:tc>
          <w:tcPr>
            <w:tcW w:w="1843" w:type="dxa"/>
          </w:tcPr>
          <w:p w14:paraId="75ACEF90">
            <w:pPr>
              <w:jc w:val="center"/>
              <w:rPr>
                <w:rFonts w:cs="Times New Roman"/>
                <w:szCs w:val="21"/>
              </w:rPr>
            </w:pPr>
            <w:r>
              <w:rPr>
                <w:rFonts w:hint="eastAsia" w:cs="Times New Roman"/>
                <w:szCs w:val="21"/>
              </w:rPr>
              <w:t>/</w:t>
            </w:r>
          </w:p>
        </w:tc>
        <w:tc>
          <w:tcPr>
            <w:tcW w:w="1843" w:type="dxa"/>
            <w:vAlign w:val="center"/>
          </w:tcPr>
          <w:p w14:paraId="066F6FF3">
            <w:pPr>
              <w:jc w:val="center"/>
              <w:rPr>
                <w:szCs w:val="21"/>
              </w:rPr>
            </w:pPr>
            <w:r>
              <w:rPr>
                <w:rFonts w:hint="eastAsia" w:cs="Times New Roman" w:eastAsiaTheme="minorEastAsia"/>
                <w:szCs w:val="21"/>
              </w:rPr>
              <w:t>0</w:t>
            </w:r>
          </w:p>
        </w:tc>
        <w:tc>
          <w:tcPr>
            <w:tcW w:w="1701" w:type="dxa"/>
          </w:tcPr>
          <w:p w14:paraId="7C26661C">
            <w:pPr>
              <w:jc w:val="center"/>
              <w:rPr>
                <w:szCs w:val="21"/>
              </w:rPr>
            </w:pPr>
            <w:r>
              <w:rPr>
                <w:rFonts w:hint="eastAsia"/>
                <w:szCs w:val="21"/>
              </w:rPr>
              <w:t>0</w:t>
            </w:r>
          </w:p>
        </w:tc>
        <w:tc>
          <w:tcPr>
            <w:tcW w:w="1843" w:type="dxa"/>
            <w:vAlign w:val="center"/>
          </w:tcPr>
          <w:p w14:paraId="68284026">
            <w:pPr>
              <w:jc w:val="center"/>
              <w:rPr>
                <w:szCs w:val="21"/>
              </w:rPr>
            </w:pPr>
            <w:r>
              <w:rPr>
                <w:rFonts w:hint="eastAsia"/>
                <w:szCs w:val="21"/>
              </w:rPr>
              <w:t>0.3585</w:t>
            </w:r>
          </w:p>
        </w:tc>
        <w:tc>
          <w:tcPr>
            <w:tcW w:w="1098" w:type="dxa"/>
            <w:vAlign w:val="center"/>
          </w:tcPr>
          <w:p w14:paraId="6B31D4EF">
            <w:pPr>
              <w:jc w:val="center"/>
              <w:rPr>
                <w:rFonts w:cs="Times New Roman"/>
                <w:szCs w:val="21"/>
              </w:rPr>
            </w:pPr>
            <w:r>
              <w:rPr>
                <w:rFonts w:hint="eastAsia" w:cs="Times New Roman"/>
                <w:szCs w:val="21"/>
              </w:rPr>
              <w:t>0</w:t>
            </w:r>
          </w:p>
        </w:tc>
      </w:tr>
      <w:tr w14:paraId="4CB3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14BC4AF">
            <w:pPr>
              <w:jc w:val="center"/>
              <w:rPr>
                <w:rFonts w:cs="Times New Roman"/>
                <w:szCs w:val="21"/>
              </w:rPr>
            </w:pPr>
          </w:p>
        </w:tc>
        <w:tc>
          <w:tcPr>
            <w:tcW w:w="1701" w:type="dxa"/>
            <w:vAlign w:val="center"/>
          </w:tcPr>
          <w:p w14:paraId="42C532CF">
            <w:pPr>
              <w:jc w:val="center"/>
              <w:rPr>
                <w:szCs w:val="21"/>
              </w:rPr>
            </w:pPr>
            <w:r>
              <w:rPr>
                <w:rFonts w:hint="eastAsia"/>
                <w:szCs w:val="21"/>
              </w:rPr>
              <w:t>苯乙烯</w:t>
            </w:r>
          </w:p>
        </w:tc>
        <w:tc>
          <w:tcPr>
            <w:tcW w:w="1701" w:type="dxa"/>
            <w:vAlign w:val="center"/>
          </w:tcPr>
          <w:p w14:paraId="223B02BF">
            <w:pPr>
              <w:jc w:val="center"/>
              <w:rPr>
                <w:szCs w:val="21"/>
              </w:rPr>
            </w:pPr>
            <w:r>
              <w:rPr>
                <w:rFonts w:hint="eastAsia"/>
                <w:szCs w:val="21"/>
              </w:rPr>
              <w:t>0</w:t>
            </w:r>
          </w:p>
        </w:tc>
        <w:tc>
          <w:tcPr>
            <w:tcW w:w="1559" w:type="dxa"/>
          </w:tcPr>
          <w:p w14:paraId="4CE5212B">
            <w:pPr>
              <w:jc w:val="center"/>
              <w:rPr>
                <w:rFonts w:cs="Times New Roman"/>
                <w:szCs w:val="21"/>
              </w:rPr>
            </w:pPr>
            <w:r>
              <w:rPr>
                <w:rFonts w:hint="eastAsia" w:cs="Times New Roman"/>
                <w:szCs w:val="21"/>
              </w:rPr>
              <w:t>/</w:t>
            </w:r>
          </w:p>
        </w:tc>
        <w:tc>
          <w:tcPr>
            <w:tcW w:w="1843" w:type="dxa"/>
          </w:tcPr>
          <w:p w14:paraId="0D3648EA">
            <w:pPr>
              <w:jc w:val="center"/>
              <w:rPr>
                <w:rFonts w:cs="Times New Roman"/>
                <w:szCs w:val="21"/>
              </w:rPr>
            </w:pPr>
            <w:r>
              <w:rPr>
                <w:rFonts w:hint="eastAsia" w:cs="Times New Roman"/>
                <w:szCs w:val="21"/>
              </w:rPr>
              <w:t>/</w:t>
            </w:r>
          </w:p>
        </w:tc>
        <w:tc>
          <w:tcPr>
            <w:tcW w:w="1843" w:type="dxa"/>
            <w:vAlign w:val="center"/>
          </w:tcPr>
          <w:p w14:paraId="7697E7C3">
            <w:pPr>
              <w:jc w:val="center"/>
              <w:rPr>
                <w:szCs w:val="21"/>
              </w:rPr>
            </w:pPr>
            <w:r>
              <w:rPr>
                <w:rFonts w:cs="Times New Roman" w:eastAsiaTheme="minorEastAsia"/>
                <w:szCs w:val="21"/>
              </w:rPr>
              <w:t>0.008</w:t>
            </w:r>
          </w:p>
        </w:tc>
        <w:tc>
          <w:tcPr>
            <w:tcW w:w="1701" w:type="dxa"/>
            <w:vAlign w:val="center"/>
          </w:tcPr>
          <w:p w14:paraId="3CA30ADE">
            <w:pPr>
              <w:jc w:val="center"/>
              <w:rPr>
                <w:szCs w:val="21"/>
              </w:rPr>
            </w:pPr>
            <w:r>
              <w:rPr>
                <w:rFonts w:hint="eastAsia"/>
                <w:szCs w:val="21"/>
              </w:rPr>
              <w:t>0</w:t>
            </w:r>
          </w:p>
        </w:tc>
        <w:tc>
          <w:tcPr>
            <w:tcW w:w="1843" w:type="dxa"/>
            <w:vAlign w:val="center"/>
          </w:tcPr>
          <w:p w14:paraId="55E4B732">
            <w:pPr>
              <w:jc w:val="center"/>
              <w:rPr>
                <w:szCs w:val="21"/>
              </w:rPr>
            </w:pPr>
            <w:r>
              <w:rPr>
                <w:rFonts w:cs="Times New Roman" w:eastAsiaTheme="minorEastAsia"/>
                <w:szCs w:val="21"/>
              </w:rPr>
              <w:t>0.008</w:t>
            </w:r>
          </w:p>
        </w:tc>
        <w:tc>
          <w:tcPr>
            <w:tcW w:w="1098" w:type="dxa"/>
            <w:vAlign w:val="center"/>
          </w:tcPr>
          <w:p w14:paraId="4254DD1E">
            <w:pPr>
              <w:jc w:val="center"/>
              <w:rPr>
                <w:rFonts w:cs="Times New Roman"/>
                <w:szCs w:val="21"/>
              </w:rPr>
            </w:pPr>
            <w:r>
              <w:rPr>
                <w:rFonts w:hint="eastAsia" w:cs="Times New Roman"/>
                <w:szCs w:val="21"/>
              </w:rPr>
              <w:t>+</w:t>
            </w:r>
            <w:r>
              <w:rPr>
                <w:rFonts w:cs="Times New Roman" w:eastAsiaTheme="minorEastAsia"/>
                <w:szCs w:val="21"/>
              </w:rPr>
              <w:t>0.008</w:t>
            </w:r>
          </w:p>
        </w:tc>
      </w:tr>
      <w:tr w14:paraId="701D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85FA5D0">
            <w:pPr>
              <w:jc w:val="center"/>
              <w:rPr>
                <w:rFonts w:cs="Times New Roman"/>
                <w:szCs w:val="21"/>
              </w:rPr>
            </w:pPr>
          </w:p>
        </w:tc>
        <w:tc>
          <w:tcPr>
            <w:tcW w:w="1701" w:type="dxa"/>
            <w:vAlign w:val="center"/>
          </w:tcPr>
          <w:p w14:paraId="5868DC2D">
            <w:pPr>
              <w:jc w:val="center"/>
              <w:rPr>
                <w:szCs w:val="21"/>
              </w:rPr>
            </w:pPr>
            <w:r>
              <w:rPr>
                <w:rFonts w:hint="eastAsia" w:cs="Times New Roman"/>
                <w:szCs w:val="21"/>
              </w:rPr>
              <w:t>丙烯腈</w:t>
            </w:r>
          </w:p>
        </w:tc>
        <w:tc>
          <w:tcPr>
            <w:tcW w:w="1701" w:type="dxa"/>
            <w:vAlign w:val="center"/>
          </w:tcPr>
          <w:p w14:paraId="49D397DB">
            <w:pPr>
              <w:jc w:val="center"/>
              <w:rPr>
                <w:szCs w:val="21"/>
              </w:rPr>
            </w:pPr>
            <w:r>
              <w:rPr>
                <w:rFonts w:hint="eastAsia"/>
                <w:szCs w:val="21"/>
              </w:rPr>
              <w:t>0</w:t>
            </w:r>
          </w:p>
        </w:tc>
        <w:tc>
          <w:tcPr>
            <w:tcW w:w="1559" w:type="dxa"/>
          </w:tcPr>
          <w:p w14:paraId="5575851F">
            <w:pPr>
              <w:jc w:val="center"/>
              <w:rPr>
                <w:rFonts w:cs="Times New Roman"/>
                <w:szCs w:val="21"/>
              </w:rPr>
            </w:pPr>
            <w:r>
              <w:rPr>
                <w:rFonts w:hint="eastAsia" w:cs="Times New Roman"/>
                <w:szCs w:val="21"/>
              </w:rPr>
              <w:t>/</w:t>
            </w:r>
          </w:p>
        </w:tc>
        <w:tc>
          <w:tcPr>
            <w:tcW w:w="1843" w:type="dxa"/>
          </w:tcPr>
          <w:p w14:paraId="1880EAEE">
            <w:pPr>
              <w:jc w:val="center"/>
              <w:rPr>
                <w:rFonts w:cs="Times New Roman"/>
                <w:szCs w:val="21"/>
              </w:rPr>
            </w:pPr>
            <w:r>
              <w:rPr>
                <w:rFonts w:hint="eastAsia" w:cs="Times New Roman"/>
                <w:szCs w:val="21"/>
              </w:rPr>
              <w:t>/</w:t>
            </w:r>
          </w:p>
        </w:tc>
        <w:tc>
          <w:tcPr>
            <w:tcW w:w="1843" w:type="dxa"/>
            <w:vAlign w:val="center"/>
          </w:tcPr>
          <w:p w14:paraId="24C158D2">
            <w:pPr>
              <w:jc w:val="center"/>
              <w:rPr>
                <w:szCs w:val="21"/>
              </w:rPr>
            </w:pPr>
            <w:r>
              <w:rPr>
                <w:rFonts w:cs="Times New Roman" w:eastAsiaTheme="minorEastAsia"/>
                <w:szCs w:val="21"/>
              </w:rPr>
              <w:t>0.0034</w:t>
            </w:r>
          </w:p>
        </w:tc>
        <w:tc>
          <w:tcPr>
            <w:tcW w:w="1701" w:type="dxa"/>
            <w:vAlign w:val="center"/>
          </w:tcPr>
          <w:p w14:paraId="28793826">
            <w:pPr>
              <w:jc w:val="center"/>
              <w:rPr>
                <w:szCs w:val="21"/>
              </w:rPr>
            </w:pPr>
            <w:r>
              <w:rPr>
                <w:rFonts w:hint="eastAsia"/>
                <w:szCs w:val="21"/>
              </w:rPr>
              <w:t>0</w:t>
            </w:r>
          </w:p>
        </w:tc>
        <w:tc>
          <w:tcPr>
            <w:tcW w:w="1843" w:type="dxa"/>
            <w:vAlign w:val="center"/>
          </w:tcPr>
          <w:p w14:paraId="4D6BC4B3">
            <w:pPr>
              <w:jc w:val="center"/>
              <w:rPr>
                <w:szCs w:val="21"/>
              </w:rPr>
            </w:pPr>
            <w:r>
              <w:rPr>
                <w:rFonts w:cs="Times New Roman" w:eastAsiaTheme="minorEastAsia"/>
                <w:szCs w:val="21"/>
              </w:rPr>
              <w:t>0.0034</w:t>
            </w:r>
          </w:p>
        </w:tc>
        <w:tc>
          <w:tcPr>
            <w:tcW w:w="1098" w:type="dxa"/>
            <w:vAlign w:val="center"/>
          </w:tcPr>
          <w:p w14:paraId="3A65D807">
            <w:pPr>
              <w:jc w:val="center"/>
              <w:rPr>
                <w:rFonts w:cs="Times New Roman"/>
                <w:szCs w:val="21"/>
              </w:rPr>
            </w:pPr>
            <w:r>
              <w:rPr>
                <w:rFonts w:hint="eastAsia" w:cs="Times New Roman"/>
                <w:szCs w:val="21"/>
              </w:rPr>
              <w:t>+</w:t>
            </w:r>
            <w:r>
              <w:rPr>
                <w:rFonts w:cs="Times New Roman" w:eastAsiaTheme="minorEastAsia"/>
                <w:szCs w:val="21"/>
              </w:rPr>
              <w:t>0.0034</w:t>
            </w:r>
          </w:p>
        </w:tc>
      </w:tr>
      <w:tr w14:paraId="02FE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6E18743">
            <w:pPr>
              <w:jc w:val="center"/>
              <w:rPr>
                <w:rFonts w:cs="Times New Roman"/>
                <w:szCs w:val="21"/>
              </w:rPr>
            </w:pPr>
          </w:p>
        </w:tc>
        <w:tc>
          <w:tcPr>
            <w:tcW w:w="1701" w:type="dxa"/>
            <w:vAlign w:val="center"/>
          </w:tcPr>
          <w:p w14:paraId="650EE2BD">
            <w:pPr>
              <w:jc w:val="center"/>
              <w:rPr>
                <w:szCs w:val="21"/>
              </w:rPr>
            </w:pPr>
            <w:r>
              <w:rPr>
                <w:rFonts w:hint="eastAsia" w:cs="Times New Roman"/>
                <w:szCs w:val="21"/>
              </w:rPr>
              <w:t>1,3-丁二烯</w:t>
            </w:r>
          </w:p>
        </w:tc>
        <w:tc>
          <w:tcPr>
            <w:tcW w:w="1701" w:type="dxa"/>
            <w:vAlign w:val="center"/>
          </w:tcPr>
          <w:p w14:paraId="071D5EDB">
            <w:pPr>
              <w:jc w:val="center"/>
              <w:rPr>
                <w:szCs w:val="21"/>
              </w:rPr>
            </w:pPr>
            <w:r>
              <w:rPr>
                <w:rFonts w:hint="eastAsia"/>
                <w:szCs w:val="21"/>
              </w:rPr>
              <w:t>0</w:t>
            </w:r>
          </w:p>
        </w:tc>
        <w:tc>
          <w:tcPr>
            <w:tcW w:w="1559" w:type="dxa"/>
          </w:tcPr>
          <w:p w14:paraId="0CCCA425">
            <w:pPr>
              <w:jc w:val="center"/>
              <w:rPr>
                <w:rFonts w:cs="Times New Roman"/>
                <w:szCs w:val="21"/>
              </w:rPr>
            </w:pPr>
            <w:r>
              <w:rPr>
                <w:rFonts w:hint="eastAsia" w:cs="Times New Roman"/>
                <w:szCs w:val="21"/>
              </w:rPr>
              <w:t>/</w:t>
            </w:r>
          </w:p>
        </w:tc>
        <w:tc>
          <w:tcPr>
            <w:tcW w:w="1843" w:type="dxa"/>
          </w:tcPr>
          <w:p w14:paraId="21C1D5D7">
            <w:pPr>
              <w:jc w:val="center"/>
              <w:rPr>
                <w:rFonts w:cs="Times New Roman"/>
                <w:szCs w:val="21"/>
              </w:rPr>
            </w:pPr>
            <w:r>
              <w:rPr>
                <w:rFonts w:hint="eastAsia" w:cs="Times New Roman"/>
                <w:szCs w:val="21"/>
              </w:rPr>
              <w:t>/</w:t>
            </w:r>
          </w:p>
        </w:tc>
        <w:tc>
          <w:tcPr>
            <w:tcW w:w="1843" w:type="dxa"/>
            <w:vAlign w:val="center"/>
          </w:tcPr>
          <w:p w14:paraId="24356E00">
            <w:pPr>
              <w:jc w:val="center"/>
              <w:rPr>
                <w:szCs w:val="21"/>
              </w:rPr>
            </w:pPr>
            <w:r>
              <w:rPr>
                <w:rFonts w:cs="Times New Roman" w:eastAsiaTheme="minorEastAsia"/>
                <w:szCs w:val="21"/>
              </w:rPr>
              <w:t>0.0013</w:t>
            </w:r>
          </w:p>
        </w:tc>
        <w:tc>
          <w:tcPr>
            <w:tcW w:w="1701" w:type="dxa"/>
            <w:vAlign w:val="center"/>
          </w:tcPr>
          <w:p w14:paraId="30C9C81F">
            <w:pPr>
              <w:jc w:val="center"/>
              <w:rPr>
                <w:szCs w:val="21"/>
              </w:rPr>
            </w:pPr>
            <w:r>
              <w:rPr>
                <w:rFonts w:hint="eastAsia"/>
                <w:szCs w:val="21"/>
              </w:rPr>
              <w:t>0</w:t>
            </w:r>
          </w:p>
        </w:tc>
        <w:tc>
          <w:tcPr>
            <w:tcW w:w="1843" w:type="dxa"/>
            <w:vAlign w:val="center"/>
          </w:tcPr>
          <w:p w14:paraId="480F2A19">
            <w:pPr>
              <w:jc w:val="center"/>
              <w:rPr>
                <w:szCs w:val="21"/>
              </w:rPr>
            </w:pPr>
            <w:r>
              <w:rPr>
                <w:rFonts w:cs="Times New Roman" w:eastAsiaTheme="minorEastAsia"/>
                <w:szCs w:val="21"/>
              </w:rPr>
              <w:t>0.0013</w:t>
            </w:r>
          </w:p>
        </w:tc>
        <w:tc>
          <w:tcPr>
            <w:tcW w:w="1098" w:type="dxa"/>
            <w:vAlign w:val="center"/>
          </w:tcPr>
          <w:p w14:paraId="08CEDCF3">
            <w:pPr>
              <w:jc w:val="center"/>
              <w:rPr>
                <w:rFonts w:cs="Times New Roman"/>
                <w:szCs w:val="21"/>
              </w:rPr>
            </w:pPr>
            <w:r>
              <w:rPr>
                <w:rFonts w:hint="eastAsia" w:cs="Times New Roman"/>
                <w:szCs w:val="21"/>
              </w:rPr>
              <w:t>+</w:t>
            </w:r>
            <w:r>
              <w:rPr>
                <w:rFonts w:cs="Times New Roman" w:eastAsiaTheme="minorEastAsia"/>
                <w:szCs w:val="21"/>
              </w:rPr>
              <w:t>0.0013</w:t>
            </w:r>
          </w:p>
        </w:tc>
      </w:tr>
      <w:tr w14:paraId="03DA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5701E278">
            <w:pPr>
              <w:jc w:val="center"/>
              <w:rPr>
                <w:rFonts w:cs="Times New Roman"/>
                <w:szCs w:val="21"/>
              </w:rPr>
            </w:pPr>
          </w:p>
        </w:tc>
        <w:tc>
          <w:tcPr>
            <w:tcW w:w="1701" w:type="dxa"/>
            <w:vAlign w:val="center"/>
          </w:tcPr>
          <w:p w14:paraId="7E5A084E">
            <w:pPr>
              <w:jc w:val="center"/>
              <w:rPr>
                <w:szCs w:val="21"/>
              </w:rPr>
            </w:pPr>
            <w:r>
              <w:rPr>
                <w:rFonts w:hint="eastAsia" w:cs="Times New Roman"/>
                <w:szCs w:val="21"/>
              </w:rPr>
              <w:t>甲苯</w:t>
            </w:r>
          </w:p>
        </w:tc>
        <w:tc>
          <w:tcPr>
            <w:tcW w:w="1701" w:type="dxa"/>
            <w:vAlign w:val="center"/>
          </w:tcPr>
          <w:p w14:paraId="5EFD9C0F">
            <w:pPr>
              <w:jc w:val="center"/>
              <w:rPr>
                <w:szCs w:val="21"/>
              </w:rPr>
            </w:pPr>
            <w:r>
              <w:rPr>
                <w:rFonts w:hint="eastAsia"/>
                <w:szCs w:val="21"/>
              </w:rPr>
              <w:t>0</w:t>
            </w:r>
          </w:p>
        </w:tc>
        <w:tc>
          <w:tcPr>
            <w:tcW w:w="1559" w:type="dxa"/>
          </w:tcPr>
          <w:p w14:paraId="4258D1E0">
            <w:pPr>
              <w:jc w:val="center"/>
              <w:rPr>
                <w:rFonts w:cs="Times New Roman"/>
                <w:szCs w:val="21"/>
              </w:rPr>
            </w:pPr>
            <w:r>
              <w:rPr>
                <w:rFonts w:hint="eastAsia" w:cs="Times New Roman"/>
                <w:szCs w:val="21"/>
              </w:rPr>
              <w:t>/</w:t>
            </w:r>
          </w:p>
        </w:tc>
        <w:tc>
          <w:tcPr>
            <w:tcW w:w="1843" w:type="dxa"/>
          </w:tcPr>
          <w:p w14:paraId="647863D3">
            <w:pPr>
              <w:jc w:val="center"/>
              <w:rPr>
                <w:rFonts w:cs="Times New Roman"/>
                <w:szCs w:val="21"/>
              </w:rPr>
            </w:pPr>
            <w:r>
              <w:rPr>
                <w:rFonts w:hint="eastAsia" w:cs="Times New Roman"/>
                <w:szCs w:val="21"/>
              </w:rPr>
              <w:t>/</w:t>
            </w:r>
          </w:p>
        </w:tc>
        <w:tc>
          <w:tcPr>
            <w:tcW w:w="1843" w:type="dxa"/>
            <w:vAlign w:val="center"/>
          </w:tcPr>
          <w:p w14:paraId="799A939B">
            <w:pPr>
              <w:jc w:val="center"/>
              <w:rPr>
                <w:szCs w:val="21"/>
              </w:rPr>
            </w:pPr>
            <w:r>
              <w:rPr>
                <w:rFonts w:cs="Times New Roman" w:eastAsiaTheme="minorEastAsia"/>
                <w:szCs w:val="21"/>
              </w:rPr>
              <w:t>0.0105</w:t>
            </w:r>
          </w:p>
        </w:tc>
        <w:tc>
          <w:tcPr>
            <w:tcW w:w="1701" w:type="dxa"/>
            <w:vAlign w:val="center"/>
          </w:tcPr>
          <w:p w14:paraId="3A1D881C">
            <w:pPr>
              <w:jc w:val="center"/>
              <w:rPr>
                <w:szCs w:val="21"/>
              </w:rPr>
            </w:pPr>
            <w:r>
              <w:rPr>
                <w:rFonts w:hint="eastAsia"/>
                <w:szCs w:val="21"/>
              </w:rPr>
              <w:t>0</w:t>
            </w:r>
          </w:p>
        </w:tc>
        <w:tc>
          <w:tcPr>
            <w:tcW w:w="1843" w:type="dxa"/>
            <w:vAlign w:val="center"/>
          </w:tcPr>
          <w:p w14:paraId="19FB7C1B">
            <w:pPr>
              <w:jc w:val="center"/>
              <w:rPr>
                <w:szCs w:val="21"/>
              </w:rPr>
            </w:pPr>
            <w:r>
              <w:rPr>
                <w:rFonts w:cs="Times New Roman" w:eastAsiaTheme="minorEastAsia"/>
                <w:szCs w:val="21"/>
              </w:rPr>
              <w:t>0.0105</w:t>
            </w:r>
          </w:p>
        </w:tc>
        <w:tc>
          <w:tcPr>
            <w:tcW w:w="1098" w:type="dxa"/>
            <w:vAlign w:val="center"/>
          </w:tcPr>
          <w:p w14:paraId="5FD4DACB">
            <w:pPr>
              <w:jc w:val="center"/>
              <w:rPr>
                <w:rFonts w:cs="Times New Roman"/>
                <w:szCs w:val="21"/>
              </w:rPr>
            </w:pPr>
            <w:r>
              <w:rPr>
                <w:rFonts w:hint="eastAsia" w:cs="Times New Roman"/>
                <w:szCs w:val="21"/>
              </w:rPr>
              <w:t>+</w:t>
            </w:r>
            <w:r>
              <w:rPr>
                <w:rFonts w:cs="Times New Roman" w:eastAsiaTheme="minorEastAsia"/>
                <w:szCs w:val="21"/>
              </w:rPr>
              <w:t>0.0105</w:t>
            </w:r>
          </w:p>
        </w:tc>
      </w:tr>
      <w:tr w14:paraId="2960E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23E6C51">
            <w:pPr>
              <w:jc w:val="center"/>
              <w:rPr>
                <w:rFonts w:cs="Times New Roman"/>
                <w:szCs w:val="21"/>
              </w:rPr>
            </w:pPr>
          </w:p>
        </w:tc>
        <w:tc>
          <w:tcPr>
            <w:tcW w:w="1701" w:type="dxa"/>
            <w:vAlign w:val="center"/>
          </w:tcPr>
          <w:p w14:paraId="7FCE228F">
            <w:pPr>
              <w:jc w:val="center"/>
              <w:rPr>
                <w:szCs w:val="21"/>
              </w:rPr>
            </w:pPr>
            <w:r>
              <w:rPr>
                <w:rFonts w:hint="eastAsia" w:cs="Times New Roman"/>
                <w:szCs w:val="21"/>
              </w:rPr>
              <w:t>乙苯</w:t>
            </w:r>
          </w:p>
        </w:tc>
        <w:tc>
          <w:tcPr>
            <w:tcW w:w="1701" w:type="dxa"/>
            <w:vAlign w:val="center"/>
          </w:tcPr>
          <w:p w14:paraId="2210BE90">
            <w:pPr>
              <w:jc w:val="center"/>
              <w:rPr>
                <w:szCs w:val="21"/>
              </w:rPr>
            </w:pPr>
            <w:r>
              <w:rPr>
                <w:rFonts w:hint="eastAsia"/>
                <w:szCs w:val="21"/>
              </w:rPr>
              <w:t>0</w:t>
            </w:r>
          </w:p>
        </w:tc>
        <w:tc>
          <w:tcPr>
            <w:tcW w:w="1559" w:type="dxa"/>
          </w:tcPr>
          <w:p w14:paraId="776B6277">
            <w:pPr>
              <w:jc w:val="center"/>
              <w:rPr>
                <w:rFonts w:cs="Times New Roman"/>
                <w:szCs w:val="21"/>
              </w:rPr>
            </w:pPr>
            <w:r>
              <w:rPr>
                <w:rFonts w:hint="eastAsia" w:cs="Times New Roman"/>
                <w:szCs w:val="21"/>
              </w:rPr>
              <w:t>/</w:t>
            </w:r>
          </w:p>
        </w:tc>
        <w:tc>
          <w:tcPr>
            <w:tcW w:w="1843" w:type="dxa"/>
          </w:tcPr>
          <w:p w14:paraId="6DAD6C5C">
            <w:pPr>
              <w:jc w:val="center"/>
              <w:rPr>
                <w:rFonts w:cs="Times New Roman"/>
                <w:szCs w:val="21"/>
              </w:rPr>
            </w:pPr>
            <w:r>
              <w:rPr>
                <w:rFonts w:hint="eastAsia" w:cs="Times New Roman"/>
                <w:szCs w:val="21"/>
              </w:rPr>
              <w:t>/</w:t>
            </w:r>
          </w:p>
        </w:tc>
        <w:tc>
          <w:tcPr>
            <w:tcW w:w="1843" w:type="dxa"/>
            <w:vAlign w:val="center"/>
          </w:tcPr>
          <w:p w14:paraId="3122EC73">
            <w:pPr>
              <w:jc w:val="center"/>
              <w:rPr>
                <w:szCs w:val="21"/>
              </w:rPr>
            </w:pPr>
            <w:r>
              <w:rPr>
                <w:rFonts w:cs="Times New Roman" w:eastAsiaTheme="minorEastAsia"/>
                <w:szCs w:val="21"/>
              </w:rPr>
              <w:t>0.0048</w:t>
            </w:r>
          </w:p>
        </w:tc>
        <w:tc>
          <w:tcPr>
            <w:tcW w:w="1701" w:type="dxa"/>
            <w:vAlign w:val="center"/>
          </w:tcPr>
          <w:p w14:paraId="23D5C854">
            <w:pPr>
              <w:jc w:val="center"/>
              <w:rPr>
                <w:szCs w:val="21"/>
              </w:rPr>
            </w:pPr>
            <w:r>
              <w:rPr>
                <w:rFonts w:hint="eastAsia"/>
                <w:szCs w:val="21"/>
              </w:rPr>
              <w:t>0</w:t>
            </w:r>
          </w:p>
        </w:tc>
        <w:tc>
          <w:tcPr>
            <w:tcW w:w="1843" w:type="dxa"/>
            <w:vAlign w:val="center"/>
          </w:tcPr>
          <w:p w14:paraId="5B72FC1B">
            <w:pPr>
              <w:jc w:val="center"/>
              <w:rPr>
                <w:szCs w:val="21"/>
              </w:rPr>
            </w:pPr>
            <w:r>
              <w:rPr>
                <w:rFonts w:cs="Times New Roman" w:eastAsiaTheme="minorEastAsia"/>
                <w:szCs w:val="21"/>
              </w:rPr>
              <w:t>0.0048</w:t>
            </w:r>
          </w:p>
        </w:tc>
        <w:tc>
          <w:tcPr>
            <w:tcW w:w="1098" w:type="dxa"/>
            <w:vAlign w:val="center"/>
          </w:tcPr>
          <w:p w14:paraId="653E7D7C">
            <w:pPr>
              <w:jc w:val="center"/>
              <w:rPr>
                <w:rFonts w:cs="Times New Roman"/>
                <w:szCs w:val="21"/>
              </w:rPr>
            </w:pPr>
            <w:r>
              <w:rPr>
                <w:rFonts w:hint="eastAsia" w:cs="Times New Roman"/>
                <w:szCs w:val="21"/>
              </w:rPr>
              <w:t>+</w:t>
            </w:r>
            <w:r>
              <w:rPr>
                <w:rFonts w:cs="Times New Roman" w:eastAsiaTheme="minorEastAsia"/>
                <w:szCs w:val="21"/>
              </w:rPr>
              <w:t>0.0048</w:t>
            </w:r>
          </w:p>
        </w:tc>
      </w:tr>
      <w:tr w14:paraId="24E7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438CF10D">
            <w:pPr>
              <w:jc w:val="center"/>
              <w:rPr>
                <w:rFonts w:cs="Times New Roman"/>
                <w:szCs w:val="21"/>
              </w:rPr>
            </w:pPr>
          </w:p>
        </w:tc>
        <w:tc>
          <w:tcPr>
            <w:tcW w:w="1701" w:type="dxa"/>
            <w:vAlign w:val="center"/>
          </w:tcPr>
          <w:p w14:paraId="11084C14">
            <w:pPr>
              <w:jc w:val="center"/>
              <w:rPr>
                <w:rFonts w:cs="Times New Roman"/>
                <w:szCs w:val="21"/>
              </w:rPr>
            </w:pPr>
            <w:r>
              <w:rPr>
                <w:rFonts w:hint="eastAsia"/>
                <w:szCs w:val="21"/>
              </w:rPr>
              <w:t>油烟</w:t>
            </w:r>
          </w:p>
        </w:tc>
        <w:tc>
          <w:tcPr>
            <w:tcW w:w="1701" w:type="dxa"/>
            <w:vAlign w:val="center"/>
          </w:tcPr>
          <w:p w14:paraId="065B5244">
            <w:pPr>
              <w:jc w:val="center"/>
              <w:rPr>
                <w:rFonts w:cs="Times New Roman"/>
                <w:szCs w:val="21"/>
              </w:rPr>
            </w:pPr>
            <w:r>
              <w:rPr>
                <w:rFonts w:hint="eastAsia"/>
                <w:szCs w:val="21"/>
              </w:rPr>
              <w:t>0.0038</w:t>
            </w:r>
          </w:p>
        </w:tc>
        <w:tc>
          <w:tcPr>
            <w:tcW w:w="1559" w:type="dxa"/>
            <w:vAlign w:val="center"/>
          </w:tcPr>
          <w:p w14:paraId="786FBA9D">
            <w:pPr>
              <w:jc w:val="center"/>
              <w:rPr>
                <w:rFonts w:cs="Times New Roman"/>
                <w:szCs w:val="21"/>
              </w:rPr>
            </w:pPr>
            <w:r>
              <w:rPr>
                <w:rFonts w:hint="eastAsia" w:cs="Times New Roman"/>
                <w:szCs w:val="21"/>
              </w:rPr>
              <w:t>/</w:t>
            </w:r>
          </w:p>
        </w:tc>
        <w:tc>
          <w:tcPr>
            <w:tcW w:w="1843" w:type="dxa"/>
          </w:tcPr>
          <w:p w14:paraId="715716E9">
            <w:pPr>
              <w:jc w:val="center"/>
              <w:rPr>
                <w:rFonts w:cs="Times New Roman"/>
                <w:szCs w:val="21"/>
              </w:rPr>
            </w:pPr>
            <w:r>
              <w:rPr>
                <w:rFonts w:hint="eastAsia" w:cs="Times New Roman"/>
                <w:szCs w:val="21"/>
              </w:rPr>
              <w:t>/</w:t>
            </w:r>
          </w:p>
        </w:tc>
        <w:tc>
          <w:tcPr>
            <w:tcW w:w="1843" w:type="dxa"/>
            <w:vAlign w:val="center"/>
          </w:tcPr>
          <w:p w14:paraId="3516EED8">
            <w:pPr>
              <w:jc w:val="center"/>
              <w:rPr>
                <w:rFonts w:cs="Times New Roman"/>
                <w:szCs w:val="21"/>
              </w:rPr>
            </w:pPr>
            <w:r>
              <w:rPr>
                <w:rFonts w:hint="eastAsia" w:cs="Times New Roman"/>
                <w:szCs w:val="21"/>
              </w:rPr>
              <w:t>0.0012</w:t>
            </w:r>
          </w:p>
        </w:tc>
        <w:tc>
          <w:tcPr>
            <w:tcW w:w="1701" w:type="dxa"/>
            <w:vAlign w:val="center"/>
          </w:tcPr>
          <w:p w14:paraId="4BD5943B">
            <w:pPr>
              <w:jc w:val="center"/>
              <w:rPr>
                <w:rFonts w:cs="Times New Roman"/>
                <w:szCs w:val="21"/>
              </w:rPr>
            </w:pPr>
            <w:r>
              <w:rPr>
                <w:rFonts w:hint="eastAsia"/>
                <w:szCs w:val="21"/>
              </w:rPr>
              <w:t>0</w:t>
            </w:r>
          </w:p>
        </w:tc>
        <w:tc>
          <w:tcPr>
            <w:tcW w:w="1843" w:type="dxa"/>
            <w:vAlign w:val="center"/>
          </w:tcPr>
          <w:p w14:paraId="5BA48B60">
            <w:pPr>
              <w:jc w:val="center"/>
              <w:rPr>
                <w:rFonts w:cs="Times New Roman"/>
                <w:szCs w:val="21"/>
              </w:rPr>
            </w:pPr>
            <w:r>
              <w:rPr>
                <w:rFonts w:hint="eastAsia"/>
                <w:szCs w:val="21"/>
              </w:rPr>
              <w:t>0.0050</w:t>
            </w:r>
          </w:p>
        </w:tc>
        <w:tc>
          <w:tcPr>
            <w:tcW w:w="1098" w:type="dxa"/>
            <w:vAlign w:val="center"/>
          </w:tcPr>
          <w:p w14:paraId="5283C9F3">
            <w:pPr>
              <w:jc w:val="center"/>
              <w:rPr>
                <w:rFonts w:cs="Times New Roman"/>
                <w:szCs w:val="21"/>
              </w:rPr>
            </w:pPr>
            <w:r>
              <w:rPr>
                <w:rFonts w:hint="eastAsia" w:cs="Times New Roman"/>
                <w:szCs w:val="21"/>
              </w:rPr>
              <w:t>+0.0012</w:t>
            </w:r>
          </w:p>
        </w:tc>
      </w:tr>
      <w:tr w14:paraId="5A065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59A4A1C8">
            <w:pPr>
              <w:jc w:val="center"/>
              <w:rPr>
                <w:rFonts w:cs="Times New Roman"/>
                <w:szCs w:val="21"/>
              </w:rPr>
            </w:pPr>
            <w:r>
              <w:rPr>
                <w:rFonts w:cs="Times New Roman"/>
                <w:szCs w:val="21"/>
              </w:rPr>
              <w:t>废水</w:t>
            </w:r>
          </w:p>
        </w:tc>
        <w:tc>
          <w:tcPr>
            <w:tcW w:w="1701" w:type="dxa"/>
            <w:vAlign w:val="center"/>
          </w:tcPr>
          <w:p w14:paraId="1BDF64B4">
            <w:pPr>
              <w:jc w:val="center"/>
              <w:rPr>
                <w:rFonts w:cs="Times New Roman"/>
                <w:szCs w:val="21"/>
              </w:rPr>
            </w:pPr>
            <w:r>
              <w:rPr>
                <w:rFonts w:cs="Times New Roman"/>
                <w:szCs w:val="21"/>
              </w:rPr>
              <w:t>废水量</w:t>
            </w:r>
          </w:p>
        </w:tc>
        <w:tc>
          <w:tcPr>
            <w:tcW w:w="1701" w:type="dxa"/>
            <w:vAlign w:val="center"/>
          </w:tcPr>
          <w:p w14:paraId="64270835">
            <w:pPr>
              <w:jc w:val="center"/>
              <w:rPr>
                <w:rFonts w:cs="Times New Roman"/>
                <w:szCs w:val="21"/>
              </w:rPr>
            </w:pPr>
            <w:r>
              <w:rPr>
                <w:rFonts w:hint="eastAsia"/>
                <w:szCs w:val="21"/>
              </w:rPr>
              <w:t>3164</w:t>
            </w:r>
          </w:p>
        </w:tc>
        <w:tc>
          <w:tcPr>
            <w:tcW w:w="1559" w:type="dxa"/>
            <w:vAlign w:val="center"/>
          </w:tcPr>
          <w:p w14:paraId="4872C9A5">
            <w:pPr>
              <w:jc w:val="center"/>
              <w:rPr>
                <w:rFonts w:cs="Times New Roman"/>
                <w:szCs w:val="21"/>
              </w:rPr>
            </w:pPr>
            <w:r>
              <w:rPr>
                <w:rFonts w:hint="eastAsia"/>
                <w:szCs w:val="21"/>
              </w:rPr>
              <w:t>3164</w:t>
            </w:r>
          </w:p>
        </w:tc>
        <w:tc>
          <w:tcPr>
            <w:tcW w:w="1843" w:type="dxa"/>
            <w:vAlign w:val="center"/>
          </w:tcPr>
          <w:p w14:paraId="76AEAA76">
            <w:pPr>
              <w:jc w:val="center"/>
              <w:rPr>
                <w:rFonts w:cs="Times New Roman"/>
                <w:szCs w:val="21"/>
              </w:rPr>
            </w:pPr>
            <w:r>
              <w:rPr>
                <w:rFonts w:hint="eastAsia" w:cs="Times New Roman"/>
                <w:szCs w:val="21"/>
              </w:rPr>
              <w:t>/</w:t>
            </w:r>
          </w:p>
        </w:tc>
        <w:tc>
          <w:tcPr>
            <w:tcW w:w="1843" w:type="dxa"/>
            <w:vAlign w:val="center"/>
          </w:tcPr>
          <w:p w14:paraId="25CE63CF">
            <w:pPr>
              <w:jc w:val="center"/>
              <w:rPr>
                <w:rFonts w:cs="Times New Roman"/>
                <w:szCs w:val="21"/>
              </w:rPr>
            </w:pPr>
            <w:r>
              <w:rPr>
                <w:rFonts w:cstheme="minorHAnsi"/>
                <w:szCs w:val="21"/>
              </w:rPr>
              <w:t>850.75</w:t>
            </w:r>
          </w:p>
        </w:tc>
        <w:tc>
          <w:tcPr>
            <w:tcW w:w="1701" w:type="dxa"/>
            <w:vAlign w:val="center"/>
          </w:tcPr>
          <w:p w14:paraId="79D7C840">
            <w:pPr>
              <w:jc w:val="center"/>
              <w:rPr>
                <w:rFonts w:cs="Times New Roman"/>
                <w:szCs w:val="21"/>
              </w:rPr>
            </w:pPr>
            <w:r>
              <w:rPr>
                <w:rFonts w:hint="eastAsia"/>
                <w:szCs w:val="21"/>
              </w:rPr>
              <w:t>0</w:t>
            </w:r>
          </w:p>
        </w:tc>
        <w:tc>
          <w:tcPr>
            <w:tcW w:w="1843" w:type="dxa"/>
            <w:vAlign w:val="center"/>
          </w:tcPr>
          <w:p w14:paraId="662A2719">
            <w:pPr>
              <w:jc w:val="center"/>
              <w:rPr>
                <w:rFonts w:cs="Times New Roman"/>
                <w:szCs w:val="21"/>
              </w:rPr>
            </w:pPr>
            <w:r>
              <w:rPr>
                <w:rFonts w:cs="Times New Roman" w:eastAsiaTheme="minorEastAsia"/>
                <w:szCs w:val="21"/>
              </w:rPr>
              <w:t>4014.75</w:t>
            </w:r>
          </w:p>
        </w:tc>
        <w:tc>
          <w:tcPr>
            <w:tcW w:w="1098" w:type="dxa"/>
            <w:vAlign w:val="center"/>
          </w:tcPr>
          <w:p w14:paraId="7A2AE0FD">
            <w:pPr>
              <w:jc w:val="center"/>
              <w:rPr>
                <w:rFonts w:cs="Times New Roman"/>
                <w:szCs w:val="21"/>
              </w:rPr>
            </w:pPr>
            <w:r>
              <w:rPr>
                <w:rFonts w:hint="eastAsia" w:cs="Times New Roman"/>
                <w:szCs w:val="21"/>
              </w:rPr>
              <w:t>+</w:t>
            </w:r>
            <w:r>
              <w:rPr>
                <w:rFonts w:cstheme="minorHAnsi"/>
                <w:szCs w:val="21"/>
              </w:rPr>
              <w:t>850.75</w:t>
            </w:r>
          </w:p>
        </w:tc>
      </w:tr>
      <w:tr w14:paraId="7194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FDA1AE6">
            <w:pPr>
              <w:jc w:val="center"/>
              <w:rPr>
                <w:rFonts w:cs="Times New Roman"/>
                <w:szCs w:val="21"/>
              </w:rPr>
            </w:pPr>
          </w:p>
        </w:tc>
        <w:tc>
          <w:tcPr>
            <w:tcW w:w="1701" w:type="dxa"/>
            <w:vAlign w:val="center"/>
          </w:tcPr>
          <w:p w14:paraId="2D46BDA0">
            <w:pPr>
              <w:jc w:val="center"/>
              <w:rPr>
                <w:rFonts w:cs="Times New Roman"/>
                <w:szCs w:val="21"/>
              </w:rPr>
            </w:pPr>
            <w:r>
              <w:rPr>
                <w:rFonts w:cs="Times New Roman"/>
                <w:szCs w:val="21"/>
              </w:rPr>
              <w:t>COD</w:t>
            </w:r>
          </w:p>
        </w:tc>
        <w:tc>
          <w:tcPr>
            <w:tcW w:w="1701" w:type="dxa"/>
            <w:vAlign w:val="center"/>
          </w:tcPr>
          <w:p w14:paraId="0DE57553">
            <w:pPr>
              <w:jc w:val="center"/>
              <w:rPr>
                <w:rFonts w:cs="Times New Roman"/>
                <w:szCs w:val="21"/>
              </w:rPr>
            </w:pPr>
            <w:r>
              <w:rPr>
                <w:rFonts w:hint="eastAsia"/>
                <w:szCs w:val="21"/>
              </w:rPr>
              <w:t>0.3322</w:t>
            </w:r>
          </w:p>
        </w:tc>
        <w:tc>
          <w:tcPr>
            <w:tcW w:w="1559" w:type="dxa"/>
            <w:vAlign w:val="center"/>
          </w:tcPr>
          <w:p w14:paraId="36D2AE98">
            <w:pPr>
              <w:jc w:val="center"/>
              <w:rPr>
                <w:rFonts w:cs="Times New Roman"/>
                <w:szCs w:val="21"/>
              </w:rPr>
            </w:pPr>
            <w:r>
              <w:rPr>
                <w:rFonts w:hint="eastAsia" w:cs="Times New Roman"/>
                <w:bCs/>
                <w:szCs w:val="21"/>
              </w:rPr>
              <w:t>1.582</w:t>
            </w:r>
          </w:p>
        </w:tc>
        <w:tc>
          <w:tcPr>
            <w:tcW w:w="1843" w:type="dxa"/>
            <w:vAlign w:val="center"/>
          </w:tcPr>
          <w:p w14:paraId="4B80D4F6">
            <w:pPr>
              <w:jc w:val="center"/>
              <w:rPr>
                <w:rFonts w:cs="Times New Roman"/>
                <w:szCs w:val="21"/>
              </w:rPr>
            </w:pPr>
            <w:r>
              <w:rPr>
                <w:rFonts w:hint="eastAsia" w:cs="Times New Roman"/>
                <w:szCs w:val="21"/>
              </w:rPr>
              <w:t>/</w:t>
            </w:r>
          </w:p>
        </w:tc>
        <w:tc>
          <w:tcPr>
            <w:tcW w:w="1843" w:type="dxa"/>
            <w:vAlign w:val="center"/>
          </w:tcPr>
          <w:p w14:paraId="2876AFBE">
            <w:pPr>
              <w:jc w:val="center"/>
              <w:rPr>
                <w:rFonts w:cs="Times New Roman"/>
                <w:szCs w:val="21"/>
              </w:rPr>
            </w:pPr>
            <w:r>
              <w:rPr>
                <w:rFonts w:cs="Times New Roman"/>
                <w:szCs w:val="21"/>
              </w:rPr>
              <w:t>0.2034</w:t>
            </w:r>
          </w:p>
        </w:tc>
        <w:tc>
          <w:tcPr>
            <w:tcW w:w="1701" w:type="dxa"/>
            <w:vAlign w:val="center"/>
          </w:tcPr>
          <w:p w14:paraId="6C40E5B6">
            <w:pPr>
              <w:jc w:val="center"/>
              <w:rPr>
                <w:rFonts w:cs="Times New Roman"/>
                <w:szCs w:val="21"/>
              </w:rPr>
            </w:pPr>
            <w:r>
              <w:rPr>
                <w:rFonts w:hint="eastAsia"/>
                <w:szCs w:val="21"/>
              </w:rPr>
              <w:t>0</w:t>
            </w:r>
          </w:p>
        </w:tc>
        <w:tc>
          <w:tcPr>
            <w:tcW w:w="1843" w:type="dxa"/>
            <w:vAlign w:val="center"/>
          </w:tcPr>
          <w:p w14:paraId="10B96138">
            <w:pPr>
              <w:jc w:val="center"/>
              <w:rPr>
                <w:rFonts w:cs="Times New Roman"/>
                <w:szCs w:val="21"/>
              </w:rPr>
            </w:pPr>
            <w:r>
              <w:rPr>
                <w:rFonts w:cs="Times New Roman"/>
                <w:szCs w:val="21"/>
              </w:rPr>
              <w:t>0.5356</w:t>
            </w:r>
          </w:p>
        </w:tc>
        <w:tc>
          <w:tcPr>
            <w:tcW w:w="1098" w:type="dxa"/>
            <w:vAlign w:val="center"/>
          </w:tcPr>
          <w:p w14:paraId="32D35C9D">
            <w:pPr>
              <w:jc w:val="center"/>
              <w:rPr>
                <w:rFonts w:cs="Times New Roman"/>
                <w:szCs w:val="21"/>
              </w:rPr>
            </w:pPr>
            <w:r>
              <w:rPr>
                <w:rFonts w:hint="eastAsia" w:cs="Times New Roman"/>
                <w:szCs w:val="21"/>
              </w:rPr>
              <w:t>+</w:t>
            </w:r>
            <w:r>
              <w:rPr>
                <w:rFonts w:cs="Times New Roman"/>
                <w:szCs w:val="21"/>
              </w:rPr>
              <w:t>0.2034</w:t>
            </w:r>
          </w:p>
        </w:tc>
      </w:tr>
      <w:tr w14:paraId="1C18F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Merge w:val="continue"/>
            <w:vAlign w:val="center"/>
          </w:tcPr>
          <w:p w14:paraId="72AA3462">
            <w:pPr>
              <w:jc w:val="center"/>
              <w:rPr>
                <w:rFonts w:cs="Times New Roman"/>
                <w:szCs w:val="21"/>
              </w:rPr>
            </w:pPr>
          </w:p>
        </w:tc>
        <w:tc>
          <w:tcPr>
            <w:tcW w:w="1701" w:type="dxa"/>
            <w:vAlign w:val="center"/>
          </w:tcPr>
          <w:p w14:paraId="06A888DE">
            <w:pPr>
              <w:jc w:val="center"/>
              <w:rPr>
                <w:rFonts w:cs="Times New Roman"/>
                <w:szCs w:val="21"/>
              </w:rPr>
            </w:pPr>
            <w:r>
              <w:rPr>
                <w:rFonts w:cs="Times New Roman"/>
                <w:szCs w:val="21"/>
              </w:rPr>
              <w:t>NH</w:t>
            </w:r>
            <w:r>
              <w:rPr>
                <w:rFonts w:cs="Times New Roman"/>
                <w:szCs w:val="21"/>
                <w:vertAlign w:val="subscript"/>
              </w:rPr>
              <w:t>3</w:t>
            </w:r>
            <w:r>
              <w:rPr>
                <w:rFonts w:hint="eastAsia" w:cs="Times New Roman"/>
                <w:szCs w:val="21"/>
              </w:rPr>
              <w:t>-</w:t>
            </w:r>
            <w:r>
              <w:rPr>
                <w:rFonts w:cs="Times New Roman"/>
                <w:szCs w:val="21"/>
              </w:rPr>
              <w:t>N</w:t>
            </w:r>
          </w:p>
        </w:tc>
        <w:tc>
          <w:tcPr>
            <w:tcW w:w="1701" w:type="dxa"/>
            <w:vAlign w:val="center"/>
          </w:tcPr>
          <w:p w14:paraId="0A976A78">
            <w:pPr>
              <w:jc w:val="center"/>
              <w:rPr>
                <w:rFonts w:cs="Times New Roman"/>
                <w:szCs w:val="21"/>
              </w:rPr>
            </w:pPr>
            <w:r>
              <w:rPr>
                <w:rFonts w:hint="eastAsia"/>
                <w:szCs w:val="21"/>
              </w:rPr>
              <w:t>0.1373</w:t>
            </w:r>
          </w:p>
        </w:tc>
        <w:tc>
          <w:tcPr>
            <w:tcW w:w="1559" w:type="dxa"/>
            <w:vAlign w:val="center"/>
          </w:tcPr>
          <w:p w14:paraId="6DDC2B73">
            <w:pPr>
              <w:jc w:val="center"/>
              <w:rPr>
                <w:rFonts w:cs="Times New Roman"/>
                <w:szCs w:val="21"/>
              </w:rPr>
            </w:pPr>
            <w:r>
              <w:rPr>
                <w:rFonts w:hint="eastAsia" w:cs="Times New Roman"/>
                <w:bCs/>
                <w:szCs w:val="21"/>
              </w:rPr>
              <w:t>0.1424</w:t>
            </w:r>
          </w:p>
        </w:tc>
        <w:tc>
          <w:tcPr>
            <w:tcW w:w="1843" w:type="dxa"/>
            <w:vAlign w:val="center"/>
          </w:tcPr>
          <w:p w14:paraId="327BBAE9">
            <w:pPr>
              <w:jc w:val="center"/>
              <w:rPr>
                <w:rFonts w:cs="Times New Roman"/>
                <w:szCs w:val="21"/>
              </w:rPr>
            </w:pPr>
            <w:r>
              <w:rPr>
                <w:rFonts w:hint="eastAsia" w:cs="Times New Roman"/>
                <w:szCs w:val="21"/>
              </w:rPr>
              <w:t>/</w:t>
            </w:r>
          </w:p>
        </w:tc>
        <w:tc>
          <w:tcPr>
            <w:tcW w:w="1843" w:type="dxa"/>
            <w:vAlign w:val="center"/>
          </w:tcPr>
          <w:p w14:paraId="4FBE5848">
            <w:pPr>
              <w:jc w:val="center"/>
              <w:rPr>
                <w:rFonts w:cs="Times New Roman"/>
                <w:szCs w:val="21"/>
              </w:rPr>
            </w:pPr>
            <w:r>
              <w:rPr>
                <w:rFonts w:hint="eastAsia"/>
                <w:szCs w:val="21"/>
              </w:rPr>
              <w:t>0.0256</w:t>
            </w:r>
          </w:p>
        </w:tc>
        <w:tc>
          <w:tcPr>
            <w:tcW w:w="1701" w:type="dxa"/>
            <w:vAlign w:val="center"/>
          </w:tcPr>
          <w:p w14:paraId="544DA19D">
            <w:pPr>
              <w:jc w:val="center"/>
              <w:rPr>
                <w:rFonts w:cs="Times New Roman"/>
                <w:szCs w:val="21"/>
              </w:rPr>
            </w:pPr>
            <w:r>
              <w:rPr>
                <w:rFonts w:hint="eastAsia"/>
                <w:szCs w:val="21"/>
              </w:rPr>
              <w:t>0</w:t>
            </w:r>
          </w:p>
        </w:tc>
        <w:tc>
          <w:tcPr>
            <w:tcW w:w="1843" w:type="dxa"/>
            <w:vAlign w:val="center"/>
          </w:tcPr>
          <w:p w14:paraId="413DED9C">
            <w:pPr>
              <w:jc w:val="center"/>
              <w:rPr>
                <w:rFonts w:cs="Times New Roman"/>
                <w:szCs w:val="21"/>
              </w:rPr>
            </w:pPr>
            <w:r>
              <w:rPr>
                <w:rFonts w:cs="Times New Roman"/>
                <w:szCs w:val="21"/>
              </w:rPr>
              <w:t>0.1629</w:t>
            </w:r>
          </w:p>
        </w:tc>
        <w:tc>
          <w:tcPr>
            <w:tcW w:w="1098" w:type="dxa"/>
            <w:vAlign w:val="center"/>
          </w:tcPr>
          <w:p w14:paraId="7FD150E3">
            <w:pPr>
              <w:jc w:val="center"/>
              <w:rPr>
                <w:rFonts w:cs="Times New Roman"/>
                <w:szCs w:val="21"/>
              </w:rPr>
            </w:pPr>
            <w:r>
              <w:rPr>
                <w:rFonts w:hint="eastAsia" w:cs="Times New Roman"/>
                <w:szCs w:val="21"/>
              </w:rPr>
              <w:t>+</w:t>
            </w:r>
            <w:r>
              <w:rPr>
                <w:rFonts w:hint="eastAsia"/>
                <w:szCs w:val="21"/>
              </w:rPr>
              <w:t>0.0256</w:t>
            </w:r>
          </w:p>
        </w:tc>
      </w:tr>
      <w:tr w14:paraId="215D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271" w:type="dxa"/>
            <w:vMerge w:val="continue"/>
            <w:vAlign w:val="center"/>
          </w:tcPr>
          <w:p w14:paraId="05F35BA3">
            <w:pPr>
              <w:jc w:val="center"/>
              <w:rPr>
                <w:rFonts w:cs="Times New Roman"/>
                <w:szCs w:val="21"/>
              </w:rPr>
            </w:pPr>
          </w:p>
        </w:tc>
        <w:tc>
          <w:tcPr>
            <w:tcW w:w="1701" w:type="dxa"/>
            <w:vAlign w:val="center"/>
          </w:tcPr>
          <w:p w14:paraId="640F1DEE">
            <w:pPr>
              <w:jc w:val="center"/>
              <w:rPr>
                <w:rFonts w:cs="Times New Roman"/>
                <w:szCs w:val="21"/>
              </w:rPr>
            </w:pPr>
            <w:r>
              <w:rPr>
                <w:rFonts w:hint="eastAsia" w:cs="Times New Roman"/>
                <w:szCs w:val="21"/>
              </w:rPr>
              <w:t>TP</w:t>
            </w:r>
          </w:p>
        </w:tc>
        <w:tc>
          <w:tcPr>
            <w:tcW w:w="1701" w:type="dxa"/>
            <w:vAlign w:val="center"/>
          </w:tcPr>
          <w:p w14:paraId="32FC29A0">
            <w:pPr>
              <w:jc w:val="center"/>
              <w:rPr>
                <w:szCs w:val="21"/>
              </w:rPr>
            </w:pPr>
            <w:r>
              <w:rPr>
                <w:rFonts w:hint="eastAsia"/>
                <w:szCs w:val="21"/>
              </w:rPr>
              <w:t>0.0065</w:t>
            </w:r>
          </w:p>
        </w:tc>
        <w:tc>
          <w:tcPr>
            <w:tcW w:w="1559" w:type="dxa"/>
            <w:vAlign w:val="center"/>
          </w:tcPr>
          <w:p w14:paraId="0ED5A3C3">
            <w:pPr>
              <w:jc w:val="center"/>
              <w:rPr>
                <w:rFonts w:cs="Times New Roman"/>
                <w:szCs w:val="21"/>
              </w:rPr>
            </w:pPr>
            <w:r>
              <w:rPr>
                <w:rFonts w:hint="eastAsia" w:cs="Times New Roman"/>
                <w:szCs w:val="21"/>
              </w:rPr>
              <w:t>/</w:t>
            </w:r>
          </w:p>
        </w:tc>
        <w:tc>
          <w:tcPr>
            <w:tcW w:w="1843" w:type="dxa"/>
            <w:vAlign w:val="center"/>
          </w:tcPr>
          <w:p w14:paraId="34F83201">
            <w:pPr>
              <w:jc w:val="center"/>
              <w:rPr>
                <w:rFonts w:cs="Times New Roman"/>
                <w:szCs w:val="21"/>
              </w:rPr>
            </w:pPr>
            <w:r>
              <w:rPr>
                <w:rFonts w:hint="eastAsia" w:cs="Times New Roman"/>
                <w:szCs w:val="21"/>
              </w:rPr>
              <w:t>/</w:t>
            </w:r>
          </w:p>
        </w:tc>
        <w:tc>
          <w:tcPr>
            <w:tcW w:w="1843" w:type="dxa"/>
            <w:vAlign w:val="center"/>
          </w:tcPr>
          <w:p w14:paraId="30A312C0">
            <w:pPr>
              <w:jc w:val="center"/>
              <w:rPr>
                <w:rFonts w:cs="Times New Roman"/>
                <w:szCs w:val="21"/>
              </w:rPr>
            </w:pPr>
            <w:r>
              <w:rPr>
                <w:rFonts w:hint="eastAsia"/>
                <w:kern w:val="24"/>
                <w:szCs w:val="21"/>
              </w:rPr>
              <w:t>0.0028</w:t>
            </w:r>
          </w:p>
        </w:tc>
        <w:tc>
          <w:tcPr>
            <w:tcW w:w="1701" w:type="dxa"/>
            <w:vAlign w:val="center"/>
          </w:tcPr>
          <w:p w14:paraId="7B13270A">
            <w:pPr>
              <w:jc w:val="center"/>
              <w:rPr>
                <w:rFonts w:cs="Times New Roman"/>
                <w:szCs w:val="21"/>
              </w:rPr>
            </w:pPr>
            <w:r>
              <w:rPr>
                <w:rFonts w:hint="eastAsia"/>
                <w:szCs w:val="21"/>
              </w:rPr>
              <w:t>0</w:t>
            </w:r>
          </w:p>
        </w:tc>
        <w:tc>
          <w:tcPr>
            <w:tcW w:w="1843" w:type="dxa"/>
            <w:vAlign w:val="center"/>
          </w:tcPr>
          <w:p w14:paraId="28CD9BED">
            <w:pPr>
              <w:jc w:val="center"/>
              <w:rPr>
                <w:szCs w:val="21"/>
              </w:rPr>
            </w:pPr>
            <w:r>
              <w:rPr>
                <w:rFonts w:cs="Times New Roman"/>
                <w:szCs w:val="21"/>
              </w:rPr>
              <w:t>0.0093</w:t>
            </w:r>
          </w:p>
        </w:tc>
        <w:tc>
          <w:tcPr>
            <w:tcW w:w="1098" w:type="dxa"/>
            <w:vAlign w:val="center"/>
          </w:tcPr>
          <w:p w14:paraId="72E39F26">
            <w:pPr>
              <w:jc w:val="center"/>
              <w:rPr>
                <w:rFonts w:cs="Times New Roman"/>
                <w:szCs w:val="21"/>
              </w:rPr>
            </w:pPr>
            <w:r>
              <w:rPr>
                <w:rFonts w:hint="eastAsia" w:cs="Times New Roman"/>
                <w:szCs w:val="21"/>
              </w:rPr>
              <w:t>+</w:t>
            </w:r>
            <w:r>
              <w:rPr>
                <w:rFonts w:hint="eastAsia"/>
                <w:kern w:val="24"/>
                <w:szCs w:val="21"/>
              </w:rPr>
              <w:t>0.0028</w:t>
            </w:r>
          </w:p>
        </w:tc>
      </w:tr>
      <w:tr w14:paraId="2700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63B22CA8">
            <w:pPr>
              <w:jc w:val="center"/>
              <w:rPr>
                <w:rFonts w:cs="Times New Roman"/>
                <w:szCs w:val="21"/>
              </w:rPr>
            </w:pPr>
            <w:r>
              <w:rPr>
                <w:rFonts w:cs="Times New Roman"/>
                <w:szCs w:val="21"/>
              </w:rPr>
              <w:t>一般工业</w:t>
            </w:r>
          </w:p>
          <w:p w14:paraId="44430792">
            <w:pPr>
              <w:jc w:val="center"/>
              <w:rPr>
                <w:rFonts w:cs="Times New Roman"/>
                <w:szCs w:val="21"/>
              </w:rPr>
            </w:pPr>
            <w:r>
              <w:rPr>
                <w:rFonts w:cs="Times New Roman"/>
                <w:szCs w:val="21"/>
              </w:rPr>
              <w:t>固体废物</w:t>
            </w:r>
          </w:p>
        </w:tc>
        <w:tc>
          <w:tcPr>
            <w:tcW w:w="1701" w:type="dxa"/>
            <w:vAlign w:val="center"/>
          </w:tcPr>
          <w:p w14:paraId="5A8655C3">
            <w:pPr>
              <w:jc w:val="center"/>
              <w:rPr>
                <w:szCs w:val="21"/>
              </w:rPr>
            </w:pPr>
            <w:r>
              <w:rPr>
                <w:rFonts w:hint="eastAsia"/>
                <w:szCs w:val="21"/>
              </w:rPr>
              <w:t>废旧模具</w:t>
            </w:r>
          </w:p>
        </w:tc>
        <w:tc>
          <w:tcPr>
            <w:tcW w:w="1701" w:type="dxa"/>
            <w:vAlign w:val="center"/>
          </w:tcPr>
          <w:p w14:paraId="6E94FEFE">
            <w:pPr>
              <w:jc w:val="center"/>
              <w:rPr>
                <w:szCs w:val="21"/>
              </w:rPr>
            </w:pPr>
            <w:r>
              <w:rPr>
                <w:rFonts w:hint="eastAsia"/>
                <w:szCs w:val="21"/>
              </w:rPr>
              <w:t>0</w:t>
            </w:r>
          </w:p>
        </w:tc>
        <w:tc>
          <w:tcPr>
            <w:tcW w:w="1559" w:type="dxa"/>
            <w:vAlign w:val="center"/>
          </w:tcPr>
          <w:p w14:paraId="6507385A">
            <w:pPr>
              <w:jc w:val="center"/>
              <w:rPr>
                <w:rFonts w:cs="Times New Roman"/>
                <w:szCs w:val="21"/>
              </w:rPr>
            </w:pPr>
            <w:r>
              <w:rPr>
                <w:rFonts w:hint="eastAsia" w:cs="Times New Roman"/>
                <w:szCs w:val="21"/>
              </w:rPr>
              <w:t>/</w:t>
            </w:r>
          </w:p>
        </w:tc>
        <w:tc>
          <w:tcPr>
            <w:tcW w:w="1843" w:type="dxa"/>
            <w:vAlign w:val="center"/>
          </w:tcPr>
          <w:p w14:paraId="6109CC0E">
            <w:pPr>
              <w:jc w:val="center"/>
              <w:rPr>
                <w:rFonts w:cs="Times New Roman"/>
                <w:szCs w:val="21"/>
              </w:rPr>
            </w:pPr>
            <w:r>
              <w:rPr>
                <w:rFonts w:hint="eastAsia" w:cs="Times New Roman"/>
                <w:szCs w:val="21"/>
              </w:rPr>
              <w:t>/</w:t>
            </w:r>
          </w:p>
        </w:tc>
        <w:tc>
          <w:tcPr>
            <w:tcW w:w="1843" w:type="dxa"/>
            <w:vAlign w:val="center"/>
          </w:tcPr>
          <w:p w14:paraId="4FE61C7D">
            <w:pPr>
              <w:jc w:val="center"/>
              <w:rPr>
                <w:szCs w:val="21"/>
              </w:rPr>
            </w:pPr>
            <w:r>
              <w:rPr>
                <w:rFonts w:hint="eastAsia"/>
                <w:szCs w:val="21"/>
              </w:rPr>
              <w:t>0.5</w:t>
            </w:r>
          </w:p>
        </w:tc>
        <w:tc>
          <w:tcPr>
            <w:tcW w:w="1701" w:type="dxa"/>
            <w:vAlign w:val="center"/>
          </w:tcPr>
          <w:p w14:paraId="49DFB45C">
            <w:pPr>
              <w:jc w:val="center"/>
              <w:rPr>
                <w:szCs w:val="21"/>
              </w:rPr>
            </w:pPr>
            <w:r>
              <w:rPr>
                <w:rFonts w:hint="eastAsia"/>
                <w:szCs w:val="21"/>
              </w:rPr>
              <w:t>0</w:t>
            </w:r>
          </w:p>
        </w:tc>
        <w:tc>
          <w:tcPr>
            <w:tcW w:w="1843" w:type="dxa"/>
            <w:vAlign w:val="center"/>
          </w:tcPr>
          <w:p w14:paraId="26171C2B">
            <w:pPr>
              <w:jc w:val="center"/>
              <w:rPr>
                <w:szCs w:val="21"/>
              </w:rPr>
            </w:pPr>
            <w:r>
              <w:rPr>
                <w:rFonts w:hint="eastAsia"/>
                <w:szCs w:val="21"/>
              </w:rPr>
              <w:t>0.5</w:t>
            </w:r>
          </w:p>
        </w:tc>
        <w:tc>
          <w:tcPr>
            <w:tcW w:w="1098" w:type="dxa"/>
            <w:vAlign w:val="center"/>
          </w:tcPr>
          <w:p w14:paraId="5FA062EE">
            <w:pPr>
              <w:jc w:val="center"/>
              <w:rPr>
                <w:rFonts w:cs="Times New Roman"/>
                <w:szCs w:val="21"/>
              </w:rPr>
            </w:pPr>
            <w:r>
              <w:rPr>
                <w:rFonts w:hint="eastAsia" w:cs="Times New Roman"/>
                <w:szCs w:val="21"/>
              </w:rPr>
              <w:t>+</w:t>
            </w:r>
            <w:r>
              <w:rPr>
                <w:rFonts w:hint="eastAsia"/>
                <w:szCs w:val="21"/>
              </w:rPr>
              <w:t>0.5</w:t>
            </w:r>
          </w:p>
        </w:tc>
      </w:tr>
      <w:tr w14:paraId="1965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DFFA3A4">
            <w:pPr>
              <w:jc w:val="center"/>
              <w:rPr>
                <w:rFonts w:cs="Times New Roman"/>
                <w:szCs w:val="21"/>
              </w:rPr>
            </w:pPr>
          </w:p>
        </w:tc>
        <w:tc>
          <w:tcPr>
            <w:tcW w:w="1701" w:type="dxa"/>
            <w:vAlign w:val="center"/>
          </w:tcPr>
          <w:p w14:paraId="13359210">
            <w:pPr>
              <w:jc w:val="center"/>
              <w:rPr>
                <w:szCs w:val="21"/>
              </w:rPr>
            </w:pPr>
            <w:r>
              <w:rPr>
                <w:rFonts w:hint="eastAsia"/>
                <w:szCs w:val="21"/>
              </w:rPr>
              <w:t>废旧铝箔</w:t>
            </w:r>
          </w:p>
        </w:tc>
        <w:tc>
          <w:tcPr>
            <w:tcW w:w="1701" w:type="dxa"/>
            <w:vAlign w:val="center"/>
          </w:tcPr>
          <w:p w14:paraId="09312E3B">
            <w:pPr>
              <w:jc w:val="center"/>
              <w:rPr>
                <w:szCs w:val="21"/>
              </w:rPr>
            </w:pPr>
            <w:r>
              <w:rPr>
                <w:rFonts w:hint="eastAsia"/>
                <w:szCs w:val="21"/>
              </w:rPr>
              <w:t>0.08</w:t>
            </w:r>
          </w:p>
        </w:tc>
        <w:tc>
          <w:tcPr>
            <w:tcW w:w="1559" w:type="dxa"/>
            <w:vAlign w:val="center"/>
          </w:tcPr>
          <w:p w14:paraId="3EC74CAC">
            <w:pPr>
              <w:jc w:val="center"/>
              <w:rPr>
                <w:rFonts w:cs="Times New Roman"/>
                <w:szCs w:val="21"/>
              </w:rPr>
            </w:pPr>
            <w:r>
              <w:rPr>
                <w:rFonts w:hint="eastAsia" w:cs="Times New Roman"/>
                <w:szCs w:val="21"/>
              </w:rPr>
              <w:t>/</w:t>
            </w:r>
          </w:p>
        </w:tc>
        <w:tc>
          <w:tcPr>
            <w:tcW w:w="1843" w:type="dxa"/>
            <w:vAlign w:val="center"/>
          </w:tcPr>
          <w:p w14:paraId="7ED54802">
            <w:pPr>
              <w:jc w:val="center"/>
              <w:rPr>
                <w:rFonts w:cs="Times New Roman"/>
                <w:szCs w:val="21"/>
              </w:rPr>
            </w:pPr>
            <w:r>
              <w:rPr>
                <w:rFonts w:hint="eastAsia" w:cs="Times New Roman"/>
                <w:szCs w:val="21"/>
              </w:rPr>
              <w:t>/</w:t>
            </w:r>
          </w:p>
        </w:tc>
        <w:tc>
          <w:tcPr>
            <w:tcW w:w="1843" w:type="dxa"/>
            <w:vAlign w:val="center"/>
          </w:tcPr>
          <w:p w14:paraId="573879A6">
            <w:pPr>
              <w:jc w:val="center"/>
              <w:rPr>
                <w:szCs w:val="21"/>
              </w:rPr>
            </w:pPr>
            <w:r>
              <w:rPr>
                <w:rFonts w:hint="eastAsia"/>
                <w:szCs w:val="21"/>
              </w:rPr>
              <w:t>0.08</w:t>
            </w:r>
          </w:p>
        </w:tc>
        <w:tc>
          <w:tcPr>
            <w:tcW w:w="1701" w:type="dxa"/>
            <w:vAlign w:val="center"/>
          </w:tcPr>
          <w:p w14:paraId="2C9FB823">
            <w:pPr>
              <w:jc w:val="center"/>
              <w:rPr>
                <w:szCs w:val="21"/>
              </w:rPr>
            </w:pPr>
            <w:r>
              <w:rPr>
                <w:rFonts w:hint="eastAsia"/>
                <w:szCs w:val="21"/>
              </w:rPr>
              <w:t>0</w:t>
            </w:r>
          </w:p>
        </w:tc>
        <w:tc>
          <w:tcPr>
            <w:tcW w:w="1843" w:type="dxa"/>
            <w:vAlign w:val="center"/>
          </w:tcPr>
          <w:p w14:paraId="0667E099">
            <w:pPr>
              <w:jc w:val="center"/>
              <w:rPr>
                <w:szCs w:val="21"/>
              </w:rPr>
            </w:pPr>
            <w:r>
              <w:rPr>
                <w:rFonts w:hint="eastAsia"/>
                <w:szCs w:val="21"/>
              </w:rPr>
              <w:t>0.08</w:t>
            </w:r>
          </w:p>
        </w:tc>
        <w:tc>
          <w:tcPr>
            <w:tcW w:w="1098" w:type="dxa"/>
            <w:vAlign w:val="center"/>
          </w:tcPr>
          <w:p w14:paraId="5A2004CE">
            <w:pPr>
              <w:jc w:val="center"/>
              <w:rPr>
                <w:rFonts w:cs="Times New Roman"/>
                <w:szCs w:val="21"/>
              </w:rPr>
            </w:pPr>
            <w:r>
              <w:rPr>
                <w:rFonts w:hint="eastAsia"/>
                <w:szCs w:val="21"/>
              </w:rPr>
              <w:t>+0.08</w:t>
            </w:r>
          </w:p>
        </w:tc>
      </w:tr>
      <w:tr w14:paraId="7ADC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5EB736B8">
            <w:pPr>
              <w:jc w:val="center"/>
              <w:rPr>
                <w:rFonts w:cs="Times New Roman"/>
                <w:szCs w:val="21"/>
              </w:rPr>
            </w:pPr>
          </w:p>
        </w:tc>
        <w:tc>
          <w:tcPr>
            <w:tcW w:w="1701" w:type="dxa"/>
            <w:vAlign w:val="center"/>
          </w:tcPr>
          <w:p w14:paraId="35BB1686">
            <w:pPr>
              <w:jc w:val="center"/>
              <w:rPr>
                <w:szCs w:val="21"/>
              </w:rPr>
            </w:pPr>
            <w:r>
              <w:rPr>
                <w:rFonts w:hint="eastAsia"/>
                <w:szCs w:val="21"/>
              </w:rPr>
              <w:t>废包装</w:t>
            </w:r>
          </w:p>
        </w:tc>
        <w:tc>
          <w:tcPr>
            <w:tcW w:w="1701" w:type="dxa"/>
            <w:vAlign w:val="center"/>
          </w:tcPr>
          <w:p w14:paraId="655BD8D0">
            <w:pPr>
              <w:jc w:val="center"/>
              <w:rPr>
                <w:rFonts w:cs="Times New Roman"/>
                <w:szCs w:val="21"/>
              </w:rPr>
            </w:pPr>
            <w:r>
              <w:rPr>
                <w:rFonts w:hint="eastAsia"/>
                <w:szCs w:val="21"/>
              </w:rPr>
              <w:t>10.5</w:t>
            </w:r>
          </w:p>
        </w:tc>
        <w:tc>
          <w:tcPr>
            <w:tcW w:w="1559" w:type="dxa"/>
            <w:vAlign w:val="center"/>
          </w:tcPr>
          <w:p w14:paraId="0F997E01">
            <w:pPr>
              <w:jc w:val="center"/>
              <w:rPr>
                <w:rFonts w:cs="Times New Roman"/>
                <w:szCs w:val="21"/>
              </w:rPr>
            </w:pPr>
            <w:r>
              <w:rPr>
                <w:rFonts w:hint="eastAsia" w:cs="Times New Roman"/>
                <w:szCs w:val="21"/>
              </w:rPr>
              <w:t>/</w:t>
            </w:r>
          </w:p>
        </w:tc>
        <w:tc>
          <w:tcPr>
            <w:tcW w:w="1843" w:type="dxa"/>
            <w:vAlign w:val="center"/>
          </w:tcPr>
          <w:p w14:paraId="0E83A90F">
            <w:pPr>
              <w:jc w:val="center"/>
              <w:rPr>
                <w:rFonts w:cs="Times New Roman"/>
                <w:szCs w:val="21"/>
              </w:rPr>
            </w:pPr>
            <w:r>
              <w:rPr>
                <w:rFonts w:hint="eastAsia" w:cs="Times New Roman"/>
                <w:szCs w:val="21"/>
              </w:rPr>
              <w:t>/</w:t>
            </w:r>
          </w:p>
        </w:tc>
        <w:tc>
          <w:tcPr>
            <w:tcW w:w="1843" w:type="dxa"/>
            <w:vAlign w:val="center"/>
          </w:tcPr>
          <w:p w14:paraId="6BF95CDE">
            <w:pPr>
              <w:jc w:val="center"/>
              <w:rPr>
                <w:szCs w:val="21"/>
              </w:rPr>
            </w:pPr>
            <w:r>
              <w:rPr>
                <w:rFonts w:hint="eastAsia"/>
                <w:szCs w:val="21"/>
              </w:rPr>
              <w:t>1</w:t>
            </w:r>
            <w:r>
              <w:rPr>
                <w:szCs w:val="21"/>
              </w:rPr>
              <w:t>2</w:t>
            </w:r>
          </w:p>
        </w:tc>
        <w:tc>
          <w:tcPr>
            <w:tcW w:w="1701" w:type="dxa"/>
            <w:vAlign w:val="center"/>
          </w:tcPr>
          <w:p w14:paraId="586CA83C">
            <w:pPr>
              <w:jc w:val="center"/>
              <w:rPr>
                <w:rFonts w:cs="Times New Roman"/>
                <w:szCs w:val="21"/>
              </w:rPr>
            </w:pPr>
            <w:r>
              <w:rPr>
                <w:rFonts w:hint="eastAsia"/>
                <w:szCs w:val="21"/>
              </w:rPr>
              <w:t>0</w:t>
            </w:r>
          </w:p>
        </w:tc>
        <w:tc>
          <w:tcPr>
            <w:tcW w:w="1843" w:type="dxa"/>
            <w:vAlign w:val="center"/>
          </w:tcPr>
          <w:p w14:paraId="5B7EDBBD">
            <w:pPr>
              <w:jc w:val="center"/>
              <w:rPr>
                <w:szCs w:val="21"/>
              </w:rPr>
            </w:pPr>
            <w:r>
              <w:rPr>
                <w:rFonts w:hint="eastAsia"/>
                <w:szCs w:val="21"/>
              </w:rPr>
              <w:t>22.5</w:t>
            </w:r>
          </w:p>
        </w:tc>
        <w:tc>
          <w:tcPr>
            <w:tcW w:w="1098" w:type="dxa"/>
            <w:vAlign w:val="center"/>
          </w:tcPr>
          <w:p w14:paraId="2CC0C89D">
            <w:pPr>
              <w:jc w:val="center"/>
              <w:rPr>
                <w:rFonts w:cs="Times New Roman"/>
                <w:szCs w:val="21"/>
              </w:rPr>
            </w:pPr>
            <w:r>
              <w:rPr>
                <w:rFonts w:hint="eastAsia" w:cs="Times New Roman"/>
                <w:szCs w:val="21"/>
              </w:rPr>
              <w:t>+12</w:t>
            </w:r>
          </w:p>
        </w:tc>
      </w:tr>
      <w:tr w14:paraId="5C6A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A37A73E">
            <w:pPr>
              <w:jc w:val="center"/>
              <w:rPr>
                <w:rFonts w:cs="Times New Roman"/>
                <w:szCs w:val="21"/>
              </w:rPr>
            </w:pPr>
          </w:p>
        </w:tc>
        <w:tc>
          <w:tcPr>
            <w:tcW w:w="1701" w:type="dxa"/>
            <w:vAlign w:val="center"/>
          </w:tcPr>
          <w:p w14:paraId="1417B896">
            <w:pPr>
              <w:jc w:val="center"/>
              <w:rPr>
                <w:szCs w:val="21"/>
              </w:rPr>
            </w:pPr>
            <w:r>
              <w:rPr>
                <w:rFonts w:hint="eastAsia"/>
                <w:szCs w:val="21"/>
              </w:rPr>
              <w:t>残次品</w:t>
            </w:r>
          </w:p>
        </w:tc>
        <w:tc>
          <w:tcPr>
            <w:tcW w:w="1701" w:type="dxa"/>
            <w:vAlign w:val="center"/>
          </w:tcPr>
          <w:p w14:paraId="6D111BC5">
            <w:pPr>
              <w:jc w:val="center"/>
              <w:rPr>
                <w:szCs w:val="21"/>
              </w:rPr>
            </w:pPr>
            <w:r>
              <w:rPr>
                <w:rFonts w:hint="eastAsia"/>
                <w:szCs w:val="21"/>
              </w:rPr>
              <w:t>4.5</w:t>
            </w:r>
          </w:p>
        </w:tc>
        <w:tc>
          <w:tcPr>
            <w:tcW w:w="1559" w:type="dxa"/>
            <w:vAlign w:val="center"/>
          </w:tcPr>
          <w:p w14:paraId="44634722">
            <w:pPr>
              <w:jc w:val="center"/>
              <w:rPr>
                <w:rFonts w:cs="Times New Roman"/>
                <w:szCs w:val="21"/>
              </w:rPr>
            </w:pPr>
            <w:r>
              <w:rPr>
                <w:rFonts w:hint="eastAsia" w:cs="Times New Roman"/>
                <w:szCs w:val="21"/>
              </w:rPr>
              <w:t>/</w:t>
            </w:r>
          </w:p>
        </w:tc>
        <w:tc>
          <w:tcPr>
            <w:tcW w:w="1843" w:type="dxa"/>
            <w:vAlign w:val="center"/>
          </w:tcPr>
          <w:p w14:paraId="2FACB2DA">
            <w:pPr>
              <w:jc w:val="center"/>
              <w:rPr>
                <w:rFonts w:cs="Times New Roman"/>
                <w:szCs w:val="21"/>
              </w:rPr>
            </w:pPr>
            <w:r>
              <w:rPr>
                <w:rFonts w:hint="eastAsia" w:cs="Times New Roman"/>
                <w:szCs w:val="21"/>
              </w:rPr>
              <w:t>/</w:t>
            </w:r>
          </w:p>
        </w:tc>
        <w:tc>
          <w:tcPr>
            <w:tcW w:w="1843" w:type="dxa"/>
            <w:vAlign w:val="center"/>
          </w:tcPr>
          <w:p w14:paraId="0F562453">
            <w:pPr>
              <w:jc w:val="center"/>
              <w:rPr>
                <w:szCs w:val="21"/>
              </w:rPr>
            </w:pPr>
            <w:r>
              <w:rPr>
                <w:rFonts w:hint="eastAsia"/>
                <w:szCs w:val="21"/>
              </w:rPr>
              <w:t>4.125</w:t>
            </w:r>
          </w:p>
        </w:tc>
        <w:tc>
          <w:tcPr>
            <w:tcW w:w="1701" w:type="dxa"/>
            <w:vAlign w:val="center"/>
          </w:tcPr>
          <w:p w14:paraId="76BC306F">
            <w:pPr>
              <w:jc w:val="center"/>
              <w:rPr>
                <w:szCs w:val="21"/>
              </w:rPr>
            </w:pPr>
            <w:r>
              <w:rPr>
                <w:rFonts w:hint="eastAsia"/>
                <w:szCs w:val="21"/>
              </w:rPr>
              <w:t>0</w:t>
            </w:r>
          </w:p>
        </w:tc>
        <w:tc>
          <w:tcPr>
            <w:tcW w:w="1843" w:type="dxa"/>
            <w:vAlign w:val="center"/>
          </w:tcPr>
          <w:p w14:paraId="2C9AF994">
            <w:pPr>
              <w:jc w:val="center"/>
              <w:rPr>
                <w:szCs w:val="21"/>
              </w:rPr>
            </w:pPr>
            <w:r>
              <w:rPr>
                <w:rFonts w:hint="eastAsia"/>
                <w:szCs w:val="21"/>
              </w:rPr>
              <w:t>8.625</w:t>
            </w:r>
          </w:p>
        </w:tc>
        <w:tc>
          <w:tcPr>
            <w:tcW w:w="1098" w:type="dxa"/>
            <w:vAlign w:val="center"/>
          </w:tcPr>
          <w:p w14:paraId="506561EE">
            <w:pPr>
              <w:jc w:val="center"/>
              <w:rPr>
                <w:rFonts w:cs="Times New Roman"/>
                <w:szCs w:val="21"/>
              </w:rPr>
            </w:pPr>
            <w:r>
              <w:rPr>
                <w:rFonts w:hint="eastAsia" w:cs="Times New Roman"/>
                <w:szCs w:val="21"/>
              </w:rPr>
              <w:t>+</w:t>
            </w:r>
            <w:r>
              <w:rPr>
                <w:rFonts w:hint="eastAsia"/>
                <w:szCs w:val="21"/>
              </w:rPr>
              <w:t>4.125</w:t>
            </w:r>
          </w:p>
        </w:tc>
      </w:tr>
      <w:tr w14:paraId="13B6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73B9080">
            <w:pPr>
              <w:jc w:val="center"/>
              <w:rPr>
                <w:rFonts w:cs="Times New Roman"/>
                <w:szCs w:val="21"/>
              </w:rPr>
            </w:pPr>
          </w:p>
        </w:tc>
        <w:tc>
          <w:tcPr>
            <w:tcW w:w="1701" w:type="dxa"/>
            <w:vAlign w:val="center"/>
          </w:tcPr>
          <w:p w14:paraId="13233A72">
            <w:pPr>
              <w:jc w:val="center"/>
              <w:rPr>
                <w:szCs w:val="21"/>
              </w:rPr>
            </w:pPr>
            <w:r>
              <w:rPr>
                <w:rFonts w:hint="eastAsia"/>
                <w:szCs w:val="21"/>
              </w:rPr>
              <w:t>除尘器收灰</w:t>
            </w:r>
          </w:p>
        </w:tc>
        <w:tc>
          <w:tcPr>
            <w:tcW w:w="1701" w:type="dxa"/>
            <w:vAlign w:val="center"/>
          </w:tcPr>
          <w:p w14:paraId="4985E6E1">
            <w:pPr>
              <w:jc w:val="center"/>
              <w:rPr>
                <w:rFonts w:cs="Times New Roman"/>
                <w:szCs w:val="21"/>
              </w:rPr>
            </w:pPr>
            <w:r>
              <w:rPr>
                <w:rFonts w:hint="eastAsia"/>
                <w:szCs w:val="21"/>
              </w:rPr>
              <w:t>0.02</w:t>
            </w:r>
          </w:p>
        </w:tc>
        <w:tc>
          <w:tcPr>
            <w:tcW w:w="1559" w:type="dxa"/>
            <w:vAlign w:val="center"/>
          </w:tcPr>
          <w:p w14:paraId="30F719CF">
            <w:pPr>
              <w:jc w:val="center"/>
              <w:rPr>
                <w:rFonts w:cs="Times New Roman"/>
                <w:szCs w:val="21"/>
              </w:rPr>
            </w:pPr>
            <w:r>
              <w:rPr>
                <w:rFonts w:hint="eastAsia" w:cs="Times New Roman"/>
                <w:szCs w:val="21"/>
              </w:rPr>
              <w:t>/</w:t>
            </w:r>
          </w:p>
        </w:tc>
        <w:tc>
          <w:tcPr>
            <w:tcW w:w="1843" w:type="dxa"/>
            <w:vAlign w:val="center"/>
          </w:tcPr>
          <w:p w14:paraId="12A5EC66">
            <w:pPr>
              <w:jc w:val="center"/>
              <w:rPr>
                <w:rFonts w:cs="Times New Roman"/>
                <w:szCs w:val="21"/>
              </w:rPr>
            </w:pPr>
            <w:r>
              <w:rPr>
                <w:rFonts w:hint="eastAsia" w:cs="Times New Roman"/>
                <w:szCs w:val="21"/>
              </w:rPr>
              <w:t>/</w:t>
            </w:r>
          </w:p>
        </w:tc>
        <w:tc>
          <w:tcPr>
            <w:tcW w:w="1843" w:type="dxa"/>
          </w:tcPr>
          <w:p w14:paraId="026AC280">
            <w:pPr>
              <w:jc w:val="center"/>
              <w:rPr>
                <w:szCs w:val="21"/>
              </w:rPr>
            </w:pPr>
            <w:r>
              <w:rPr>
                <w:rFonts w:hint="eastAsia"/>
                <w:szCs w:val="21"/>
              </w:rPr>
              <w:t>0</w:t>
            </w:r>
          </w:p>
        </w:tc>
        <w:tc>
          <w:tcPr>
            <w:tcW w:w="1701" w:type="dxa"/>
          </w:tcPr>
          <w:p w14:paraId="54B459E0">
            <w:pPr>
              <w:jc w:val="center"/>
              <w:rPr>
                <w:rFonts w:cs="Times New Roman"/>
                <w:szCs w:val="21"/>
              </w:rPr>
            </w:pPr>
            <w:r>
              <w:rPr>
                <w:rFonts w:hint="eastAsia"/>
                <w:szCs w:val="21"/>
              </w:rPr>
              <w:t>0</w:t>
            </w:r>
          </w:p>
        </w:tc>
        <w:tc>
          <w:tcPr>
            <w:tcW w:w="1843" w:type="dxa"/>
            <w:vAlign w:val="center"/>
          </w:tcPr>
          <w:p w14:paraId="25E8DB1E">
            <w:pPr>
              <w:jc w:val="center"/>
              <w:rPr>
                <w:szCs w:val="21"/>
              </w:rPr>
            </w:pPr>
            <w:r>
              <w:rPr>
                <w:rFonts w:hint="eastAsia"/>
                <w:szCs w:val="21"/>
              </w:rPr>
              <w:t>0.02</w:t>
            </w:r>
          </w:p>
        </w:tc>
        <w:tc>
          <w:tcPr>
            <w:tcW w:w="1098" w:type="dxa"/>
            <w:vAlign w:val="center"/>
          </w:tcPr>
          <w:p w14:paraId="712AD83A">
            <w:pPr>
              <w:jc w:val="center"/>
              <w:rPr>
                <w:rFonts w:cs="Times New Roman"/>
                <w:szCs w:val="21"/>
              </w:rPr>
            </w:pPr>
            <w:r>
              <w:rPr>
                <w:rFonts w:hint="eastAsia" w:cs="Times New Roman"/>
                <w:szCs w:val="21"/>
              </w:rPr>
              <w:t>0</w:t>
            </w:r>
          </w:p>
        </w:tc>
      </w:tr>
      <w:tr w14:paraId="0C7D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35DEBB5D">
            <w:pPr>
              <w:jc w:val="center"/>
              <w:rPr>
                <w:rFonts w:cs="Times New Roman"/>
                <w:szCs w:val="21"/>
              </w:rPr>
            </w:pPr>
          </w:p>
        </w:tc>
        <w:tc>
          <w:tcPr>
            <w:tcW w:w="1701" w:type="dxa"/>
            <w:vAlign w:val="center"/>
          </w:tcPr>
          <w:p w14:paraId="3CC6A1EC">
            <w:pPr>
              <w:jc w:val="center"/>
              <w:rPr>
                <w:szCs w:val="21"/>
              </w:rPr>
            </w:pPr>
            <w:r>
              <w:rPr>
                <w:rFonts w:hint="eastAsia"/>
                <w:szCs w:val="21"/>
              </w:rPr>
              <w:t>废铝粉</w:t>
            </w:r>
          </w:p>
        </w:tc>
        <w:tc>
          <w:tcPr>
            <w:tcW w:w="1701" w:type="dxa"/>
            <w:vAlign w:val="center"/>
          </w:tcPr>
          <w:p w14:paraId="2B3EAAFC">
            <w:pPr>
              <w:jc w:val="center"/>
              <w:rPr>
                <w:szCs w:val="21"/>
              </w:rPr>
            </w:pPr>
            <w:r>
              <w:rPr>
                <w:rFonts w:hint="eastAsia"/>
                <w:szCs w:val="21"/>
              </w:rPr>
              <w:t>0.005</w:t>
            </w:r>
          </w:p>
        </w:tc>
        <w:tc>
          <w:tcPr>
            <w:tcW w:w="1559" w:type="dxa"/>
            <w:vAlign w:val="center"/>
          </w:tcPr>
          <w:p w14:paraId="1E324DA1">
            <w:pPr>
              <w:jc w:val="center"/>
              <w:rPr>
                <w:rFonts w:cs="Times New Roman"/>
                <w:szCs w:val="21"/>
              </w:rPr>
            </w:pPr>
            <w:r>
              <w:rPr>
                <w:rFonts w:hint="eastAsia" w:cs="Times New Roman"/>
                <w:szCs w:val="21"/>
              </w:rPr>
              <w:t>/</w:t>
            </w:r>
          </w:p>
        </w:tc>
        <w:tc>
          <w:tcPr>
            <w:tcW w:w="1843" w:type="dxa"/>
            <w:vAlign w:val="center"/>
          </w:tcPr>
          <w:p w14:paraId="0AD8E94A">
            <w:pPr>
              <w:jc w:val="center"/>
              <w:rPr>
                <w:rFonts w:cs="Times New Roman"/>
                <w:szCs w:val="21"/>
              </w:rPr>
            </w:pPr>
            <w:r>
              <w:rPr>
                <w:rFonts w:hint="eastAsia" w:cs="Times New Roman"/>
                <w:szCs w:val="21"/>
              </w:rPr>
              <w:t>/</w:t>
            </w:r>
          </w:p>
        </w:tc>
        <w:tc>
          <w:tcPr>
            <w:tcW w:w="1843" w:type="dxa"/>
          </w:tcPr>
          <w:p w14:paraId="3E7A8084">
            <w:pPr>
              <w:jc w:val="center"/>
              <w:rPr>
                <w:szCs w:val="21"/>
              </w:rPr>
            </w:pPr>
            <w:r>
              <w:rPr>
                <w:rFonts w:hint="eastAsia" w:cs="Times New Roman"/>
                <w:szCs w:val="21"/>
              </w:rPr>
              <w:t>0</w:t>
            </w:r>
          </w:p>
        </w:tc>
        <w:tc>
          <w:tcPr>
            <w:tcW w:w="1701" w:type="dxa"/>
          </w:tcPr>
          <w:p w14:paraId="7CA1307A">
            <w:pPr>
              <w:jc w:val="center"/>
              <w:rPr>
                <w:szCs w:val="21"/>
              </w:rPr>
            </w:pPr>
            <w:r>
              <w:rPr>
                <w:rFonts w:hint="eastAsia" w:cs="Times New Roman"/>
                <w:szCs w:val="21"/>
              </w:rPr>
              <w:t>0</w:t>
            </w:r>
          </w:p>
        </w:tc>
        <w:tc>
          <w:tcPr>
            <w:tcW w:w="1843" w:type="dxa"/>
            <w:vAlign w:val="center"/>
          </w:tcPr>
          <w:p w14:paraId="4ECDA112">
            <w:pPr>
              <w:jc w:val="center"/>
              <w:rPr>
                <w:szCs w:val="21"/>
              </w:rPr>
            </w:pPr>
            <w:r>
              <w:rPr>
                <w:rFonts w:hint="eastAsia"/>
                <w:szCs w:val="21"/>
              </w:rPr>
              <w:t>0.005</w:t>
            </w:r>
          </w:p>
        </w:tc>
        <w:tc>
          <w:tcPr>
            <w:tcW w:w="1098" w:type="dxa"/>
          </w:tcPr>
          <w:p w14:paraId="41A906FB">
            <w:pPr>
              <w:jc w:val="center"/>
              <w:rPr>
                <w:rFonts w:cs="Times New Roman"/>
                <w:szCs w:val="21"/>
              </w:rPr>
            </w:pPr>
            <w:r>
              <w:rPr>
                <w:rFonts w:hint="eastAsia" w:cs="Times New Roman"/>
                <w:szCs w:val="21"/>
              </w:rPr>
              <w:t>0</w:t>
            </w:r>
          </w:p>
        </w:tc>
      </w:tr>
      <w:tr w14:paraId="1A96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7FD8B0DD">
            <w:pPr>
              <w:jc w:val="center"/>
              <w:rPr>
                <w:rFonts w:cs="Times New Roman"/>
                <w:szCs w:val="21"/>
              </w:rPr>
            </w:pPr>
          </w:p>
        </w:tc>
        <w:tc>
          <w:tcPr>
            <w:tcW w:w="1701" w:type="dxa"/>
            <w:vAlign w:val="center"/>
          </w:tcPr>
          <w:p w14:paraId="37060EDD">
            <w:pPr>
              <w:jc w:val="center"/>
              <w:rPr>
                <w:szCs w:val="21"/>
              </w:rPr>
            </w:pPr>
            <w:r>
              <w:rPr>
                <w:rFonts w:hint="eastAsia"/>
                <w:szCs w:val="21"/>
              </w:rPr>
              <w:t>废水性漆桶</w:t>
            </w:r>
          </w:p>
        </w:tc>
        <w:tc>
          <w:tcPr>
            <w:tcW w:w="1701" w:type="dxa"/>
            <w:vAlign w:val="center"/>
          </w:tcPr>
          <w:p w14:paraId="7E75026F">
            <w:pPr>
              <w:jc w:val="center"/>
              <w:rPr>
                <w:szCs w:val="21"/>
              </w:rPr>
            </w:pPr>
            <w:r>
              <w:rPr>
                <w:rFonts w:hint="eastAsia"/>
                <w:szCs w:val="21"/>
              </w:rPr>
              <w:t>3.75</w:t>
            </w:r>
          </w:p>
        </w:tc>
        <w:tc>
          <w:tcPr>
            <w:tcW w:w="1559" w:type="dxa"/>
            <w:vAlign w:val="center"/>
          </w:tcPr>
          <w:p w14:paraId="69EB4778">
            <w:pPr>
              <w:jc w:val="center"/>
              <w:rPr>
                <w:rFonts w:cs="Times New Roman"/>
                <w:szCs w:val="21"/>
              </w:rPr>
            </w:pPr>
            <w:r>
              <w:rPr>
                <w:rFonts w:hint="eastAsia" w:cs="Times New Roman"/>
                <w:szCs w:val="21"/>
              </w:rPr>
              <w:t>/</w:t>
            </w:r>
          </w:p>
        </w:tc>
        <w:tc>
          <w:tcPr>
            <w:tcW w:w="1843" w:type="dxa"/>
            <w:vAlign w:val="center"/>
          </w:tcPr>
          <w:p w14:paraId="0221BD36">
            <w:pPr>
              <w:jc w:val="center"/>
              <w:rPr>
                <w:rFonts w:cs="Times New Roman"/>
                <w:szCs w:val="21"/>
              </w:rPr>
            </w:pPr>
            <w:r>
              <w:rPr>
                <w:rFonts w:hint="eastAsia" w:cs="Times New Roman"/>
                <w:szCs w:val="21"/>
              </w:rPr>
              <w:t>/</w:t>
            </w:r>
          </w:p>
        </w:tc>
        <w:tc>
          <w:tcPr>
            <w:tcW w:w="1843" w:type="dxa"/>
          </w:tcPr>
          <w:p w14:paraId="63646255">
            <w:pPr>
              <w:jc w:val="center"/>
              <w:rPr>
                <w:szCs w:val="21"/>
              </w:rPr>
            </w:pPr>
            <w:r>
              <w:rPr>
                <w:rFonts w:hint="eastAsia" w:cs="Times New Roman"/>
                <w:szCs w:val="21"/>
              </w:rPr>
              <w:t>0</w:t>
            </w:r>
          </w:p>
        </w:tc>
        <w:tc>
          <w:tcPr>
            <w:tcW w:w="1701" w:type="dxa"/>
          </w:tcPr>
          <w:p w14:paraId="1D1D4D0C">
            <w:pPr>
              <w:jc w:val="center"/>
              <w:rPr>
                <w:szCs w:val="21"/>
              </w:rPr>
            </w:pPr>
            <w:r>
              <w:rPr>
                <w:rFonts w:hint="eastAsia" w:cs="Times New Roman"/>
                <w:szCs w:val="21"/>
              </w:rPr>
              <w:t>0</w:t>
            </w:r>
          </w:p>
        </w:tc>
        <w:tc>
          <w:tcPr>
            <w:tcW w:w="1843" w:type="dxa"/>
            <w:vAlign w:val="center"/>
          </w:tcPr>
          <w:p w14:paraId="08217AA3">
            <w:pPr>
              <w:jc w:val="center"/>
              <w:rPr>
                <w:szCs w:val="21"/>
              </w:rPr>
            </w:pPr>
            <w:r>
              <w:rPr>
                <w:rFonts w:hint="eastAsia"/>
                <w:szCs w:val="21"/>
              </w:rPr>
              <w:t>3.75</w:t>
            </w:r>
          </w:p>
        </w:tc>
        <w:tc>
          <w:tcPr>
            <w:tcW w:w="1098" w:type="dxa"/>
          </w:tcPr>
          <w:p w14:paraId="076A7850">
            <w:pPr>
              <w:jc w:val="center"/>
              <w:rPr>
                <w:rFonts w:cs="Times New Roman"/>
                <w:szCs w:val="21"/>
              </w:rPr>
            </w:pPr>
            <w:r>
              <w:rPr>
                <w:rFonts w:hint="eastAsia" w:cs="Times New Roman"/>
                <w:szCs w:val="21"/>
              </w:rPr>
              <w:t>0</w:t>
            </w:r>
          </w:p>
        </w:tc>
      </w:tr>
      <w:tr w14:paraId="4628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48F3BB27">
            <w:pPr>
              <w:jc w:val="center"/>
              <w:rPr>
                <w:rFonts w:cs="Times New Roman"/>
                <w:szCs w:val="21"/>
              </w:rPr>
            </w:pPr>
          </w:p>
        </w:tc>
        <w:tc>
          <w:tcPr>
            <w:tcW w:w="1701" w:type="dxa"/>
            <w:vAlign w:val="center"/>
          </w:tcPr>
          <w:p w14:paraId="495F99BD">
            <w:pPr>
              <w:jc w:val="center"/>
              <w:rPr>
                <w:szCs w:val="21"/>
              </w:rPr>
            </w:pPr>
            <w:r>
              <w:rPr>
                <w:rFonts w:hint="eastAsia"/>
                <w:szCs w:val="21"/>
              </w:rPr>
              <w:t>水性漆渣</w:t>
            </w:r>
          </w:p>
        </w:tc>
        <w:tc>
          <w:tcPr>
            <w:tcW w:w="1701" w:type="dxa"/>
            <w:vAlign w:val="center"/>
          </w:tcPr>
          <w:p w14:paraId="7399C7F1">
            <w:pPr>
              <w:jc w:val="center"/>
              <w:rPr>
                <w:szCs w:val="21"/>
              </w:rPr>
            </w:pPr>
            <w:r>
              <w:rPr>
                <w:rFonts w:hint="eastAsia"/>
                <w:szCs w:val="21"/>
              </w:rPr>
              <w:t>5.4</w:t>
            </w:r>
          </w:p>
        </w:tc>
        <w:tc>
          <w:tcPr>
            <w:tcW w:w="1559" w:type="dxa"/>
            <w:vAlign w:val="center"/>
          </w:tcPr>
          <w:p w14:paraId="6D98520C">
            <w:pPr>
              <w:jc w:val="center"/>
              <w:rPr>
                <w:rFonts w:cs="Times New Roman"/>
                <w:szCs w:val="21"/>
              </w:rPr>
            </w:pPr>
            <w:r>
              <w:rPr>
                <w:rFonts w:hint="eastAsia" w:cs="Times New Roman"/>
                <w:szCs w:val="21"/>
              </w:rPr>
              <w:t>/</w:t>
            </w:r>
          </w:p>
        </w:tc>
        <w:tc>
          <w:tcPr>
            <w:tcW w:w="1843" w:type="dxa"/>
            <w:vAlign w:val="center"/>
          </w:tcPr>
          <w:p w14:paraId="07908CFA">
            <w:pPr>
              <w:jc w:val="center"/>
              <w:rPr>
                <w:rFonts w:cs="Times New Roman"/>
                <w:szCs w:val="21"/>
              </w:rPr>
            </w:pPr>
            <w:r>
              <w:rPr>
                <w:rFonts w:hint="eastAsia" w:cs="Times New Roman"/>
                <w:szCs w:val="21"/>
              </w:rPr>
              <w:t>/</w:t>
            </w:r>
          </w:p>
        </w:tc>
        <w:tc>
          <w:tcPr>
            <w:tcW w:w="1843" w:type="dxa"/>
          </w:tcPr>
          <w:p w14:paraId="4F7CF49D">
            <w:pPr>
              <w:jc w:val="center"/>
              <w:rPr>
                <w:szCs w:val="21"/>
              </w:rPr>
            </w:pPr>
            <w:r>
              <w:rPr>
                <w:rFonts w:hint="eastAsia" w:cs="Times New Roman"/>
                <w:szCs w:val="21"/>
              </w:rPr>
              <w:t>0</w:t>
            </w:r>
          </w:p>
        </w:tc>
        <w:tc>
          <w:tcPr>
            <w:tcW w:w="1701" w:type="dxa"/>
          </w:tcPr>
          <w:p w14:paraId="07C101CE">
            <w:pPr>
              <w:jc w:val="center"/>
              <w:rPr>
                <w:szCs w:val="21"/>
              </w:rPr>
            </w:pPr>
            <w:r>
              <w:rPr>
                <w:rFonts w:hint="eastAsia" w:cs="Times New Roman"/>
                <w:szCs w:val="21"/>
              </w:rPr>
              <w:t>0</w:t>
            </w:r>
          </w:p>
        </w:tc>
        <w:tc>
          <w:tcPr>
            <w:tcW w:w="1843" w:type="dxa"/>
            <w:vAlign w:val="center"/>
          </w:tcPr>
          <w:p w14:paraId="126EFC5A">
            <w:pPr>
              <w:jc w:val="center"/>
              <w:rPr>
                <w:szCs w:val="21"/>
              </w:rPr>
            </w:pPr>
            <w:r>
              <w:rPr>
                <w:rFonts w:hint="eastAsia"/>
                <w:szCs w:val="21"/>
              </w:rPr>
              <w:t>5.4</w:t>
            </w:r>
          </w:p>
        </w:tc>
        <w:tc>
          <w:tcPr>
            <w:tcW w:w="1098" w:type="dxa"/>
          </w:tcPr>
          <w:p w14:paraId="46D3CB3B">
            <w:pPr>
              <w:jc w:val="center"/>
              <w:rPr>
                <w:rFonts w:cs="Times New Roman"/>
                <w:szCs w:val="21"/>
              </w:rPr>
            </w:pPr>
            <w:r>
              <w:rPr>
                <w:rFonts w:hint="eastAsia" w:cs="Times New Roman"/>
                <w:szCs w:val="21"/>
              </w:rPr>
              <w:t>0</w:t>
            </w:r>
          </w:p>
        </w:tc>
      </w:tr>
      <w:tr w14:paraId="0ECA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46B96BF4">
            <w:pPr>
              <w:jc w:val="center"/>
              <w:rPr>
                <w:rFonts w:cs="Times New Roman"/>
                <w:szCs w:val="21"/>
              </w:rPr>
            </w:pPr>
            <w:r>
              <w:rPr>
                <w:rFonts w:cs="Times New Roman"/>
                <w:szCs w:val="21"/>
              </w:rPr>
              <w:t>危险废物</w:t>
            </w:r>
          </w:p>
        </w:tc>
        <w:tc>
          <w:tcPr>
            <w:tcW w:w="1701" w:type="dxa"/>
            <w:vAlign w:val="center"/>
          </w:tcPr>
          <w:p w14:paraId="526F37B9">
            <w:pPr>
              <w:jc w:val="center"/>
              <w:rPr>
                <w:szCs w:val="21"/>
              </w:rPr>
            </w:pPr>
            <w:r>
              <w:rPr>
                <w:rFonts w:hint="eastAsia"/>
                <w:szCs w:val="21"/>
              </w:rPr>
              <w:t>废机油及油桶</w:t>
            </w:r>
          </w:p>
        </w:tc>
        <w:tc>
          <w:tcPr>
            <w:tcW w:w="1701" w:type="dxa"/>
            <w:vAlign w:val="center"/>
          </w:tcPr>
          <w:p w14:paraId="0FB98402">
            <w:pPr>
              <w:jc w:val="center"/>
              <w:rPr>
                <w:rFonts w:cs="Times New Roman"/>
                <w:szCs w:val="21"/>
              </w:rPr>
            </w:pPr>
            <w:r>
              <w:rPr>
                <w:rFonts w:hint="eastAsia"/>
                <w:szCs w:val="21"/>
              </w:rPr>
              <w:t>0.1</w:t>
            </w:r>
          </w:p>
        </w:tc>
        <w:tc>
          <w:tcPr>
            <w:tcW w:w="1559" w:type="dxa"/>
            <w:vAlign w:val="center"/>
          </w:tcPr>
          <w:p w14:paraId="5B0A055C">
            <w:pPr>
              <w:jc w:val="center"/>
              <w:rPr>
                <w:rFonts w:cs="Times New Roman"/>
                <w:szCs w:val="21"/>
              </w:rPr>
            </w:pPr>
            <w:r>
              <w:rPr>
                <w:rFonts w:hint="eastAsia" w:cs="Times New Roman"/>
                <w:szCs w:val="21"/>
              </w:rPr>
              <w:t>/</w:t>
            </w:r>
          </w:p>
        </w:tc>
        <w:tc>
          <w:tcPr>
            <w:tcW w:w="1843" w:type="dxa"/>
            <w:vAlign w:val="center"/>
          </w:tcPr>
          <w:p w14:paraId="2A7C82F3">
            <w:pPr>
              <w:jc w:val="center"/>
              <w:rPr>
                <w:rFonts w:cs="Times New Roman"/>
                <w:szCs w:val="21"/>
              </w:rPr>
            </w:pPr>
            <w:r>
              <w:rPr>
                <w:rFonts w:hint="eastAsia" w:cs="Times New Roman"/>
                <w:szCs w:val="21"/>
              </w:rPr>
              <w:t>/</w:t>
            </w:r>
          </w:p>
        </w:tc>
        <w:tc>
          <w:tcPr>
            <w:tcW w:w="1843" w:type="dxa"/>
            <w:vAlign w:val="center"/>
          </w:tcPr>
          <w:p w14:paraId="05B866AB">
            <w:pPr>
              <w:jc w:val="center"/>
              <w:rPr>
                <w:rFonts w:cstheme="minorHAnsi"/>
                <w:szCs w:val="21"/>
              </w:rPr>
            </w:pPr>
            <w:r>
              <w:rPr>
                <w:rFonts w:hint="eastAsia" w:cstheme="minorHAnsi"/>
                <w:szCs w:val="21"/>
              </w:rPr>
              <w:t>0.1</w:t>
            </w:r>
          </w:p>
        </w:tc>
        <w:tc>
          <w:tcPr>
            <w:tcW w:w="1701" w:type="dxa"/>
          </w:tcPr>
          <w:p w14:paraId="0E475F0D">
            <w:pPr>
              <w:jc w:val="center"/>
              <w:rPr>
                <w:rFonts w:cs="Times New Roman"/>
                <w:szCs w:val="21"/>
              </w:rPr>
            </w:pPr>
            <w:r>
              <w:rPr>
                <w:rFonts w:hint="eastAsia" w:cs="Times New Roman"/>
                <w:szCs w:val="21"/>
              </w:rPr>
              <w:t>0</w:t>
            </w:r>
          </w:p>
        </w:tc>
        <w:tc>
          <w:tcPr>
            <w:tcW w:w="1843" w:type="dxa"/>
            <w:vAlign w:val="center"/>
          </w:tcPr>
          <w:p w14:paraId="631640A6">
            <w:pPr>
              <w:jc w:val="center"/>
              <w:rPr>
                <w:rFonts w:cstheme="minorHAnsi"/>
                <w:szCs w:val="21"/>
              </w:rPr>
            </w:pPr>
            <w:r>
              <w:rPr>
                <w:rFonts w:hint="eastAsia" w:cstheme="minorHAnsi"/>
                <w:szCs w:val="21"/>
              </w:rPr>
              <w:t>0.2</w:t>
            </w:r>
          </w:p>
        </w:tc>
        <w:tc>
          <w:tcPr>
            <w:tcW w:w="1098" w:type="dxa"/>
            <w:vAlign w:val="center"/>
          </w:tcPr>
          <w:p w14:paraId="67BB12B8">
            <w:pPr>
              <w:jc w:val="center"/>
              <w:rPr>
                <w:rFonts w:cs="Times New Roman"/>
                <w:szCs w:val="21"/>
              </w:rPr>
            </w:pPr>
            <w:r>
              <w:rPr>
                <w:rFonts w:hint="eastAsia" w:cstheme="minorHAnsi"/>
                <w:szCs w:val="21"/>
              </w:rPr>
              <w:t>+0.1</w:t>
            </w:r>
          </w:p>
        </w:tc>
      </w:tr>
      <w:tr w14:paraId="560B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7722F10F">
            <w:pPr>
              <w:jc w:val="center"/>
              <w:rPr>
                <w:rFonts w:cs="Times New Roman"/>
                <w:szCs w:val="21"/>
              </w:rPr>
            </w:pPr>
          </w:p>
        </w:tc>
        <w:tc>
          <w:tcPr>
            <w:tcW w:w="1701" w:type="dxa"/>
            <w:vAlign w:val="center"/>
          </w:tcPr>
          <w:p w14:paraId="1286C8D5">
            <w:pPr>
              <w:jc w:val="center"/>
              <w:rPr>
                <w:rFonts w:cs="Times New Roman"/>
                <w:szCs w:val="21"/>
              </w:rPr>
            </w:pPr>
            <w:r>
              <w:rPr>
                <w:rFonts w:hint="eastAsia"/>
                <w:szCs w:val="21"/>
              </w:rPr>
              <w:t>废油性漆桶</w:t>
            </w:r>
          </w:p>
        </w:tc>
        <w:tc>
          <w:tcPr>
            <w:tcW w:w="1701" w:type="dxa"/>
            <w:vAlign w:val="center"/>
          </w:tcPr>
          <w:p w14:paraId="57D35AEF">
            <w:pPr>
              <w:jc w:val="center"/>
              <w:rPr>
                <w:rFonts w:cs="Times New Roman"/>
                <w:szCs w:val="21"/>
              </w:rPr>
            </w:pPr>
            <w:r>
              <w:rPr>
                <w:rFonts w:hint="eastAsia"/>
                <w:szCs w:val="21"/>
              </w:rPr>
              <w:t>0.82</w:t>
            </w:r>
          </w:p>
        </w:tc>
        <w:tc>
          <w:tcPr>
            <w:tcW w:w="1559" w:type="dxa"/>
            <w:vAlign w:val="center"/>
          </w:tcPr>
          <w:p w14:paraId="62546E92">
            <w:pPr>
              <w:jc w:val="center"/>
              <w:rPr>
                <w:rFonts w:cs="Times New Roman"/>
                <w:szCs w:val="21"/>
              </w:rPr>
            </w:pPr>
            <w:r>
              <w:rPr>
                <w:rFonts w:hint="eastAsia" w:cs="Times New Roman"/>
                <w:szCs w:val="21"/>
              </w:rPr>
              <w:t>/</w:t>
            </w:r>
          </w:p>
        </w:tc>
        <w:tc>
          <w:tcPr>
            <w:tcW w:w="1843" w:type="dxa"/>
            <w:vAlign w:val="center"/>
          </w:tcPr>
          <w:p w14:paraId="5C22B885">
            <w:pPr>
              <w:jc w:val="center"/>
              <w:rPr>
                <w:rFonts w:cs="Times New Roman"/>
                <w:szCs w:val="21"/>
              </w:rPr>
            </w:pPr>
            <w:r>
              <w:rPr>
                <w:rFonts w:hint="eastAsia" w:cs="Times New Roman"/>
                <w:szCs w:val="21"/>
              </w:rPr>
              <w:t>/</w:t>
            </w:r>
          </w:p>
        </w:tc>
        <w:tc>
          <w:tcPr>
            <w:tcW w:w="1843" w:type="dxa"/>
          </w:tcPr>
          <w:p w14:paraId="3B0DAC38">
            <w:pPr>
              <w:jc w:val="center"/>
              <w:rPr>
                <w:rFonts w:cs="Times New Roman"/>
                <w:szCs w:val="21"/>
              </w:rPr>
            </w:pPr>
            <w:r>
              <w:rPr>
                <w:rFonts w:hint="eastAsia" w:cs="Times New Roman"/>
                <w:szCs w:val="21"/>
              </w:rPr>
              <w:t>0</w:t>
            </w:r>
          </w:p>
        </w:tc>
        <w:tc>
          <w:tcPr>
            <w:tcW w:w="1701" w:type="dxa"/>
          </w:tcPr>
          <w:p w14:paraId="1694BB62">
            <w:pPr>
              <w:jc w:val="center"/>
              <w:rPr>
                <w:rFonts w:cs="Times New Roman"/>
                <w:szCs w:val="21"/>
              </w:rPr>
            </w:pPr>
            <w:r>
              <w:rPr>
                <w:rFonts w:hint="eastAsia" w:cs="Times New Roman"/>
                <w:szCs w:val="21"/>
              </w:rPr>
              <w:t>0</w:t>
            </w:r>
          </w:p>
        </w:tc>
        <w:tc>
          <w:tcPr>
            <w:tcW w:w="1843" w:type="dxa"/>
            <w:vAlign w:val="center"/>
          </w:tcPr>
          <w:p w14:paraId="62E56CAD">
            <w:pPr>
              <w:jc w:val="center"/>
              <w:rPr>
                <w:rFonts w:cs="Times New Roman"/>
                <w:szCs w:val="21"/>
              </w:rPr>
            </w:pPr>
            <w:r>
              <w:rPr>
                <w:rFonts w:hint="eastAsia"/>
                <w:szCs w:val="21"/>
              </w:rPr>
              <w:t>0.82</w:t>
            </w:r>
          </w:p>
        </w:tc>
        <w:tc>
          <w:tcPr>
            <w:tcW w:w="1098" w:type="dxa"/>
          </w:tcPr>
          <w:p w14:paraId="16870D08">
            <w:pPr>
              <w:jc w:val="center"/>
              <w:rPr>
                <w:rFonts w:cs="Times New Roman"/>
                <w:szCs w:val="21"/>
              </w:rPr>
            </w:pPr>
            <w:r>
              <w:rPr>
                <w:rFonts w:hint="eastAsia" w:cs="Times New Roman"/>
                <w:szCs w:val="21"/>
              </w:rPr>
              <w:t>0</w:t>
            </w:r>
          </w:p>
        </w:tc>
      </w:tr>
      <w:tr w14:paraId="5EEB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616ADFA">
            <w:pPr>
              <w:jc w:val="center"/>
              <w:rPr>
                <w:rFonts w:cs="Times New Roman"/>
                <w:szCs w:val="21"/>
              </w:rPr>
            </w:pPr>
          </w:p>
        </w:tc>
        <w:tc>
          <w:tcPr>
            <w:tcW w:w="1701" w:type="dxa"/>
            <w:vAlign w:val="center"/>
          </w:tcPr>
          <w:p w14:paraId="7F1D0504">
            <w:pPr>
              <w:jc w:val="center"/>
              <w:rPr>
                <w:rFonts w:cs="Times New Roman"/>
                <w:szCs w:val="21"/>
              </w:rPr>
            </w:pPr>
            <w:r>
              <w:rPr>
                <w:rFonts w:hint="eastAsia"/>
                <w:szCs w:val="21"/>
              </w:rPr>
              <w:t>油性漆渣</w:t>
            </w:r>
          </w:p>
        </w:tc>
        <w:tc>
          <w:tcPr>
            <w:tcW w:w="1701" w:type="dxa"/>
            <w:vAlign w:val="center"/>
          </w:tcPr>
          <w:p w14:paraId="1756694F">
            <w:pPr>
              <w:jc w:val="center"/>
              <w:rPr>
                <w:rFonts w:cs="Times New Roman"/>
                <w:szCs w:val="21"/>
              </w:rPr>
            </w:pPr>
            <w:r>
              <w:rPr>
                <w:rFonts w:hint="eastAsia"/>
                <w:szCs w:val="21"/>
              </w:rPr>
              <w:t>3.7</w:t>
            </w:r>
          </w:p>
        </w:tc>
        <w:tc>
          <w:tcPr>
            <w:tcW w:w="1559" w:type="dxa"/>
            <w:vAlign w:val="center"/>
          </w:tcPr>
          <w:p w14:paraId="6912C31B">
            <w:pPr>
              <w:jc w:val="center"/>
              <w:rPr>
                <w:rFonts w:cs="Times New Roman"/>
                <w:szCs w:val="21"/>
              </w:rPr>
            </w:pPr>
            <w:r>
              <w:rPr>
                <w:rFonts w:hint="eastAsia" w:cs="Times New Roman"/>
                <w:szCs w:val="21"/>
              </w:rPr>
              <w:t>/</w:t>
            </w:r>
          </w:p>
        </w:tc>
        <w:tc>
          <w:tcPr>
            <w:tcW w:w="1843" w:type="dxa"/>
            <w:vAlign w:val="center"/>
          </w:tcPr>
          <w:p w14:paraId="0FD3C09F">
            <w:pPr>
              <w:jc w:val="center"/>
              <w:rPr>
                <w:rFonts w:cs="Times New Roman"/>
                <w:szCs w:val="21"/>
              </w:rPr>
            </w:pPr>
            <w:r>
              <w:rPr>
                <w:rFonts w:hint="eastAsia" w:cs="Times New Roman"/>
                <w:szCs w:val="21"/>
              </w:rPr>
              <w:t>/</w:t>
            </w:r>
          </w:p>
        </w:tc>
        <w:tc>
          <w:tcPr>
            <w:tcW w:w="1843" w:type="dxa"/>
          </w:tcPr>
          <w:p w14:paraId="4991571F">
            <w:pPr>
              <w:jc w:val="center"/>
              <w:rPr>
                <w:rFonts w:cs="Times New Roman"/>
                <w:szCs w:val="21"/>
              </w:rPr>
            </w:pPr>
            <w:r>
              <w:rPr>
                <w:rFonts w:hint="eastAsia" w:cs="Times New Roman"/>
                <w:szCs w:val="21"/>
              </w:rPr>
              <w:t>0</w:t>
            </w:r>
          </w:p>
        </w:tc>
        <w:tc>
          <w:tcPr>
            <w:tcW w:w="1701" w:type="dxa"/>
          </w:tcPr>
          <w:p w14:paraId="67C8256A">
            <w:pPr>
              <w:jc w:val="center"/>
              <w:rPr>
                <w:rFonts w:cs="Times New Roman"/>
                <w:szCs w:val="21"/>
              </w:rPr>
            </w:pPr>
            <w:r>
              <w:rPr>
                <w:rFonts w:hint="eastAsia" w:cs="Times New Roman"/>
                <w:szCs w:val="21"/>
              </w:rPr>
              <w:t>0</w:t>
            </w:r>
          </w:p>
        </w:tc>
        <w:tc>
          <w:tcPr>
            <w:tcW w:w="1843" w:type="dxa"/>
            <w:vAlign w:val="center"/>
          </w:tcPr>
          <w:p w14:paraId="04503598">
            <w:pPr>
              <w:jc w:val="center"/>
              <w:rPr>
                <w:rFonts w:cs="Times New Roman"/>
                <w:szCs w:val="21"/>
              </w:rPr>
            </w:pPr>
            <w:r>
              <w:rPr>
                <w:rFonts w:hint="eastAsia"/>
                <w:szCs w:val="21"/>
              </w:rPr>
              <w:t>3.7</w:t>
            </w:r>
          </w:p>
        </w:tc>
        <w:tc>
          <w:tcPr>
            <w:tcW w:w="1098" w:type="dxa"/>
          </w:tcPr>
          <w:p w14:paraId="1424B2C8">
            <w:pPr>
              <w:jc w:val="center"/>
              <w:rPr>
                <w:rFonts w:cs="Times New Roman"/>
                <w:szCs w:val="21"/>
              </w:rPr>
            </w:pPr>
            <w:r>
              <w:rPr>
                <w:rFonts w:hint="eastAsia" w:cs="Times New Roman"/>
                <w:szCs w:val="21"/>
              </w:rPr>
              <w:t>0</w:t>
            </w:r>
          </w:p>
        </w:tc>
      </w:tr>
      <w:tr w14:paraId="4F06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7C880B40">
            <w:pPr>
              <w:jc w:val="center"/>
              <w:rPr>
                <w:rFonts w:cs="Times New Roman"/>
                <w:szCs w:val="21"/>
              </w:rPr>
            </w:pPr>
          </w:p>
        </w:tc>
        <w:tc>
          <w:tcPr>
            <w:tcW w:w="1701" w:type="dxa"/>
            <w:vAlign w:val="center"/>
          </w:tcPr>
          <w:p w14:paraId="0A24970F">
            <w:pPr>
              <w:jc w:val="center"/>
              <w:rPr>
                <w:szCs w:val="21"/>
              </w:rPr>
            </w:pPr>
            <w:r>
              <w:rPr>
                <w:rFonts w:hint="eastAsia"/>
                <w:szCs w:val="21"/>
              </w:rPr>
              <w:t>废抹布</w:t>
            </w:r>
          </w:p>
        </w:tc>
        <w:tc>
          <w:tcPr>
            <w:tcW w:w="1701" w:type="dxa"/>
            <w:vAlign w:val="center"/>
          </w:tcPr>
          <w:p w14:paraId="38C3C7C8">
            <w:pPr>
              <w:jc w:val="center"/>
              <w:rPr>
                <w:szCs w:val="21"/>
              </w:rPr>
            </w:pPr>
            <w:r>
              <w:rPr>
                <w:rFonts w:hint="eastAsia"/>
                <w:szCs w:val="21"/>
              </w:rPr>
              <w:t>0.2</w:t>
            </w:r>
          </w:p>
        </w:tc>
        <w:tc>
          <w:tcPr>
            <w:tcW w:w="1559" w:type="dxa"/>
            <w:vAlign w:val="center"/>
          </w:tcPr>
          <w:p w14:paraId="49D41960">
            <w:pPr>
              <w:jc w:val="center"/>
              <w:rPr>
                <w:rFonts w:cs="Times New Roman"/>
                <w:szCs w:val="21"/>
              </w:rPr>
            </w:pPr>
            <w:r>
              <w:rPr>
                <w:rFonts w:hint="eastAsia" w:cs="Times New Roman"/>
                <w:szCs w:val="21"/>
              </w:rPr>
              <w:t>/</w:t>
            </w:r>
          </w:p>
        </w:tc>
        <w:tc>
          <w:tcPr>
            <w:tcW w:w="1843" w:type="dxa"/>
            <w:vAlign w:val="center"/>
          </w:tcPr>
          <w:p w14:paraId="68DE49EB">
            <w:pPr>
              <w:jc w:val="center"/>
              <w:rPr>
                <w:rFonts w:cs="Times New Roman"/>
                <w:szCs w:val="21"/>
              </w:rPr>
            </w:pPr>
            <w:r>
              <w:rPr>
                <w:rFonts w:hint="eastAsia" w:cs="Times New Roman"/>
                <w:szCs w:val="21"/>
              </w:rPr>
              <w:t>/</w:t>
            </w:r>
          </w:p>
        </w:tc>
        <w:tc>
          <w:tcPr>
            <w:tcW w:w="1843" w:type="dxa"/>
            <w:vAlign w:val="center"/>
          </w:tcPr>
          <w:p w14:paraId="32C6B89A">
            <w:pPr>
              <w:jc w:val="center"/>
              <w:rPr>
                <w:rFonts w:cs="Times New Roman"/>
                <w:szCs w:val="21"/>
              </w:rPr>
            </w:pPr>
            <w:r>
              <w:rPr>
                <w:rFonts w:hint="eastAsia" w:cs="Times New Roman"/>
                <w:szCs w:val="21"/>
              </w:rPr>
              <w:t>0.01</w:t>
            </w:r>
          </w:p>
        </w:tc>
        <w:tc>
          <w:tcPr>
            <w:tcW w:w="1701" w:type="dxa"/>
          </w:tcPr>
          <w:p w14:paraId="0CA4CBEF">
            <w:pPr>
              <w:jc w:val="center"/>
              <w:rPr>
                <w:szCs w:val="21"/>
              </w:rPr>
            </w:pPr>
            <w:r>
              <w:rPr>
                <w:rFonts w:hint="eastAsia" w:cs="Times New Roman"/>
                <w:szCs w:val="21"/>
              </w:rPr>
              <w:t>0</w:t>
            </w:r>
          </w:p>
        </w:tc>
        <w:tc>
          <w:tcPr>
            <w:tcW w:w="1843" w:type="dxa"/>
            <w:vAlign w:val="center"/>
          </w:tcPr>
          <w:p w14:paraId="29303717">
            <w:pPr>
              <w:jc w:val="center"/>
              <w:rPr>
                <w:rFonts w:cs="Times New Roman"/>
                <w:szCs w:val="21"/>
              </w:rPr>
            </w:pPr>
            <w:r>
              <w:rPr>
                <w:rFonts w:hint="eastAsia" w:cs="Times New Roman"/>
                <w:szCs w:val="21"/>
              </w:rPr>
              <w:t>0.21</w:t>
            </w:r>
          </w:p>
        </w:tc>
        <w:tc>
          <w:tcPr>
            <w:tcW w:w="1098" w:type="dxa"/>
            <w:vAlign w:val="center"/>
          </w:tcPr>
          <w:p w14:paraId="39BE27BA">
            <w:pPr>
              <w:jc w:val="center"/>
              <w:rPr>
                <w:rFonts w:cstheme="minorHAnsi"/>
                <w:szCs w:val="21"/>
              </w:rPr>
            </w:pPr>
            <w:r>
              <w:rPr>
                <w:rFonts w:hint="eastAsia" w:cs="Times New Roman"/>
                <w:szCs w:val="21"/>
              </w:rPr>
              <w:t>+0.01</w:t>
            </w:r>
          </w:p>
        </w:tc>
      </w:tr>
      <w:tr w14:paraId="1AEE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47E09414">
            <w:pPr>
              <w:jc w:val="center"/>
              <w:rPr>
                <w:rFonts w:cs="Times New Roman"/>
                <w:szCs w:val="21"/>
              </w:rPr>
            </w:pPr>
          </w:p>
        </w:tc>
        <w:tc>
          <w:tcPr>
            <w:tcW w:w="1701" w:type="dxa"/>
            <w:vAlign w:val="center"/>
          </w:tcPr>
          <w:p w14:paraId="0D9DA580">
            <w:pPr>
              <w:jc w:val="center"/>
              <w:rPr>
                <w:szCs w:val="21"/>
              </w:rPr>
            </w:pPr>
            <w:r>
              <w:rPr>
                <w:rFonts w:hint="eastAsia"/>
                <w:szCs w:val="21"/>
              </w:rPr>
              <w:t>废过滤棉</w:t>
            </w:r>
          </w:p>
        </w:tc>
        <w:tc>
          <w:tcPr>
            <w:tcW w:w="1701" w:type="dxa"/>
            <w:vAlign w:val="center"/>
          </w:tcPr>
          <w:p w14:paraId="73E2E661">
            <w:pPr>
              <w:jc w:val="center"/>
              <w:rPr>
                <w:szCs w:val="21"/>
              </w:rPr>
            </w:pPr>
            <w:r>
              <w:rPr>
                <w:rFonts w:hint="eastAsia"/>
                <w:szCs w:val="21"/>
              </w:rPr>
              <w:t>3.184</w:t>
            </w:r>
          </w:p>
        </w:tc>
        <w:tc>
          <w:tcPr>
            <w:tcW w:w="1559" w:type="dxa"/>
            <w:vAlign w:val="center"/>
          </w:tcPr>
          <w:p w14:paraId="62AD10FF">
            <w:pPr>
              <w:jc w:val="center"/>
              <w:rPr>
                <w:rFonts w:cs="Times New Roman"/>
                <w:szCs w:val="21"/>
              </w:rPr>
            </w:pPr>
            <w:r>
              <w:rPr>
                <w:rFonts w:hint="eastAsia" w:cs="Times New Roman"/>
                <w:szCs w:val="21"/>
              </w:rPr>
              <w:t>/</w:t>
            </w:r>
          </w:p>
        </w:tc>
        <w:tc>
          <w:tcPr>
            <w:tcW w:w="1843" w:type="dxa"/>
            <w:vAlign w:val="center"/>
          </w:tcPr>
          <w:p w14:paraId="2471E6EC">
            <w:pPr>
              <w:jc w:val="center"/>
              <w:rPr>
                <w:rFonts w:cs="Times New Roman"/>
                <w:szCs w:val="21"/>
              </w:rPr>
            </w:pPr>
            <w:r>
              <w:rPr>
                <w:rFonts w:hint="eastAsia" w:cs="Times New Roman"/>
                <w:szCs w:val="21"/>
              </w:rPr>
              <w:t>/</w:t>
            </w:r>
          </w:p>
        </w:tc>
        <w:tc>
          <w:tcPr>
            <w:tcW w:w="1843" w:type="dxa"/>
          </w:tcPr>
          <w:p w14:paraId="40B4AEDF">
            <w:pPr>
              <w:jc w:val="center"/>
              <w:rPr>
                <w:rFonts w:cs="Times New Roman"/>
                <w:szCs w:val="21"/>
              </w:rPr>
            </w:pPr>
            <w:r>
              <w:rPr>
                <w:rFonts w:hint="eastAsia" w:cs="Times New Roman"/>
                <w:szCs w:val="21"/>
              </w:rPr>
              <w:t>0</w:t>
            </w:r>
          </w:p>
        </w:tc>
        <w:tc>
          <w:tcPr>
            <w:tcW w:w="1701" w:type="dxa"/>
          </w:tcPr>
          <w:p w14:paraId="6EA57142">
            <w:pPr>
              <w:jc w:val="center"/>
              <w:rPr>
                <w:szCs w:val="21"/>
              </w:rPr>
            </w:pPr>
            <w:r>
              <w:rPr>
                <w:rFonts w:hint="eastAsia" w:cs="Times New Roman"/>
                <w:szCs w:val="21"/>
              </w:rPr>
              <w:t>0</w:t>
            </w:r>
          </w:p>
        </w:tc>
        <w:tc>
          <w:tcPr>
            <w:tcW w:w="1843" w:type="dxa"/>
            <w:vAlign w:val="center"/>
          </w:tcPr>
          <w:p w14:paraId="5BF6DF6B">
            <w:pPr>
              <w:jc w:val="center"/>
              <w:rPr>
                <w:rFonts w:cs="Times New Roman"/>
                <w:szCs w:val="21"/>
              </w:rPr>
            </w:pPr>
            <w:r>
              <w:rPr>
                <w:rFonts w:hint="eastAsia"/>
                <w:szCs w:val="21"/>
              </w:rPr>
              <w:t>3.184</w:t>
            </w:r>
          </w:p>
        </w:tc>
        <w:tc>
          <w:tcPr>
            <w:tcW w:w="1098" w:type="dxa"/>
          </w:tcPr>
          <w:p w14:paraId="28E6022F">
            <w:pPr>
              <w:jc w:val="center"/>
              <w:rPr>
                <w:rFonts w:cstheme="minorHAnsi"/>
                <w:szCs w:val="21"/>
              </w:rPr>
            </w:pPr>
            <w:r>
              <w:rPr>
                <w:rFonts w:hint="eastAsia" w:cs="Times New Roman"/>
                <w:szCs w:val="21"/>
              </w:rPr>
              <w:t>0</w:t>
            </w:r>
          </w:p>
        </w:tc>
      </w:tr>
      <w:tr w14:paraId="0C5A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88CF060">
            <w:pPr>
              <w:jc w:val="center"/>
              <w:rPr>
                <w:rFonts w:cs="Times New Roman"/>
                <w:szCs w:val="21"/>
              </w:rPr>
            </w:pPr>
          </w:p>
        </w:tc>
        <w:tc>
          <w:tcPr>
            <w:tcW w:w="1701" w:type="dxa"/>
            <w:vAlign w:val="center"/>
          </w:tcPr>
          <w:p w14:paraId="41EE65D2">
            <w:pPr>
              <w:jc w:val="center"/>
              <w:rPr>
                <w:szCs w:val="21"/>
              </w:rPr>
            </w:pPr>
            <w:r>
              <w:rPr>
                <w:rFonts w:hint="eastAsia"/>
                <w:szCs w:val="21"/>
              </w:rPr>
              <w:t>废UV灯管</w:t>
            </w:r>
          </w:p>
        </w:tc>
        <w:tc>
          <w:tcPr>
            <w:tcW w:w="1701" w:type="dxa"/>
            <w:vAlign w:val="center"/>
          </w:tcPr>
          <w:p w14:paraId="71C5060C">
            <w:pPr>
              <w:jc w:val="center"/>
              <w:rPr>
                <w:szCs w:val="21"/>
              </w:rPr>
            </w:pPr>
            <w:r>
              <w:rPr>
                <w:rFonts w:hint="eastAsia"/>
                <w:szCs w:val="21"/>
              </w:rPr>
              <w:t>0.2</w:t>
            </w:r>
          </w:p>
        </w:tc>
        <w:tc>
          <w:tcPr>
            <w:tcW w:w="1559" w:type="dxa"/>
            <w:vAlign w:val="center"/>
          </w:tcPr>
          <w:p w14:paraId="2E85F59E">
            <w:pPr>
              <w:jc w:val="center"/>
              <w:rPr>
                <w:rFonts w:cs="Times New Roman"/>
                <w:szCs w:val="21"/>
              </w:rPr>
            </w:pPr>
            <w:r>
              <w:rPr>
                <w:rFonts w:hint="eastAsia" w:cs="Times New Roman"/>
                <w:szCs w:val="21"/>
              </w:rPr>
              <w:t>/</w:t>
            </w:r>
          </w:p>
        </w:tc>
        <w:tc>
          <w:tcPr>
            <w:tcW w:w="1843" w:type="dxa"/>
            <w:vAlign w:val="center"/>
          </w:tcPr>
          <w:p w14:paraId="642C8098">
            <w:pPr>
              <w:jc w:val="center"/>
              <w:rPr>
                <w:rFonts w:cs="Times New Roman"/>
                <w:szCs w:val="21"/>
              </w:rPr>
            </w:pPr>
            <w:r>
              <w:rPr>
                <w:rFonts w:hint="eastAsia" w:cs="Times New Roman"/>
                <w:szCs w:val="21"/>
              </w:rPr>
              <w:t>/</w:t>
            </w:r>
          </w:p>
        </w:tc>
        <w:tc>
          <w:tcPr>
            <w:tcW w:w="1843" w:type="dxa"/>
          </w:tcPr>
          <w:p w14:paraId="1A4E2B07">
            <w:pPr>
              <w:jc w:val="center"/>
              <w:rPr>
                <w:rFonts w:cs="Times New Roman"/>
                <w:szCs w:val="21"/>
              </w:rPr>
            </w:pPr>
            <w:r>
              <w:rPr>
                <w:rFonts w:hint="eastAsia" w:cs="Times New Roman"/>
                <w:szCs w:val="21"/>
              </w:rPr>
              <w:t>0</w:t>
            </w:r>
          </w:p>
        </w:tc>
        <w:tc>
          <w:tcPr>
            <w:tcW w:w="1701" w:type="dxa"/>
          </w:tcPr>
          <w:p w14:paraId="43D55CEC">
            <w:pPr>
              <w:jc w:val="center"/>
              <w:rPr>
                <w:szCs w:val="21"/>
              </w:rPr>
            </w:pPr>
            <w:r>
              <w:rPr>
                <w:rFonts w:hint="eastAsia" w:cs="Times New Roman"/>
                <w:szCs w:val="21"/>
              </w:rPr>
              <w:t>0</w:t>
            </w:r>
          </w:p>
        </w:tc>
        <w:tc>
          <w:tcPr>
            <w:tcW w:w="1843" w:type="dxa"/>
            <w:vAlign w:val="center"/>
          </w:tcPr>
          <w:p w14:paraId="6B5A981B">
            <w:pPr>
              <w:jc w:val="center"/>
              <w:rPr>
                <w:rFonts w:cs="Times New Roman"/>
                <w:szCs w:val="21"/>
              </w:rPr>
            </w:pPr>
            <w:r>
              <w:rPr>
                <w:rFonts w:hint="eastAsia"/>
                <w:szCs w:val="21"/>
              </w:rPr>
              <w:t>0.2</w:t>
            </w:r>
          </w:p>
        </w:tc>
        <w:tc>
          <w:tcPr>
            <w:tcW w:w="1098" w:type="dxa"/>
          </w:tcPr>
          <w:p w14:paraId="0D8A43DD">
            <w:pPr>
              <w:jc w:val="center"/>
              <w:rPr>
                <w:rFonts w:cstheme="minorHAnsi"/>
                <w:szCs w:val="21"/>
              </w:rPr>
            </w:pPr>
            <w:r>
              <w:rPr>
                <w:rFonts w:hint="eastAsia" w:cs="Times New Roman"/>
                <w:szCs w:val="21"/>
              </w:rPr>
              <w:t>0</w:t>
            </w:r>
          </w:p>
        </w:tc>
      </w:tr>
      <w:tr w14:paraId="79C5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AF366B4">
            <w:pPr>
              <w:jc w:val="center"/>
              <w:rPr>
                <w:rFonts w:cs="Times New Roman"/>
                <w:szCs w:val="21"/>
              </w:rPr>
            </w:pPr>
          </w:p>
        </w:tc>
        <w:tc>
          <w:tcPr>
            <w:tcW w:w="1701" w:type="dxa"/>
            <w:vAlign w:val="center"/>
          </w:tcPr>
          <w:p w14:paraId="56B7D949">
            <w:pPr>
              <w:jc w:val="center"/>
              <w:rPr>
                <w:szCs w:val="21"/>
              </w:rPr>
            </w:pPr>
            <w:r>
              <w:rPr>
                <w:rFonts w:hint="eastAsia"/>
                <w:szCs w:val="21"/>
              </w:rPr>
              <w:t>废催化剂</w:t>
            </w:r>
          </w:p>
        </w:tc>
        <w:tc>
          <w:tcPr>
            <w:tcW w:w="1701" w:type="dxa"/>
            <w:vAlign w:val="center"/>
          </w:tcPr>
          <w:p w14:paraId="6617B3D0">
            <w:pPr>
              <w:jc w:val="center"/>
              <w:rPr>
                <w:szCs w:val="21"/>
              </w:rPr>
            </w:pPr>
            <w:r>
              <w:rPr>
                <w:rFonts w:hint="eastAsia"/>
                <w:szCs w:val="21"/>
              </w:rPr>
              <w:t>0.3（3a）</w:t>
            </w:r>
          </w:p>
        </w:tc>
        <w:tc>
          <w:tcPr>
            <w:tcW w:w="1559" w:type="dxa"/>
            <w:vAlign w:val="center"/>
          </w:tcPr>
          <w:p w14:paraId="365A1ACA">
            <w:pPr>
              <w:jc w:val="center"/>
              <w:rPr>
                <w:rFonts w:cs="Times New Roman"/>
                <w:szCs w:val="21"/>
              </w:rPr>
            </w:pPr>
            <w:r>
              <w:rPr>
                <w:rFonts w:hint="eastAsia" w:cs="Times New Roman"/>
                <w:szCs w:val="21"/>
              </w:rPr>
              <w:t>/</w:t>
            </w:r>
          </w:p>
        </w:tc>
        <w:tc>
          <w:tcPr>
            <w:tcW w:w="1843" w:type="dxa"/>
            <w:vAlign w:val="center"/>
          </w:tcPr>
          <w:p w14:paraId="39C28443">
            <w:pPr>
              <w:jc w:val="center"/>
              <w:rPr>
                <w:rFonts w:cs="Times New Roman"/>
                <w:szCs w:val="21"/>
              </w:rPr>
            </w:pPr>
            <w:r>
              <w:rPr>
                <w:rFonts w:hint="eastAsia" w:cs="Times New Roman"/>
                <w:szCs w:val="21"/>
              </w:rPr>
              <w:t>/</w:t>
            </w:r>
          </w:p>
        </w:tc>
        <w:tc>
          <w:tcPr>
            <w:tcW w:w="1843" w:type="dxa"/>
          </w:tcPr>
          <w:p w14:paraId="7658BFC0">
            <w:pPr>
              <w:jc w:val="center"/>
              <w:rPr>
                <w:rFonts w:cs="Times New Roman"/>
                <w:szCs w:val="21"/>
              </w:rPr>
            </w:pPr>
            <w:r>
              <w:rPr>
                <w:rFonts w:hint="eastAsia" w:cs="Times New Roman"/>
                <w:szCs w:val="21"/>
              </w:rPr>
              <w:t>0</w:t>
            </w:r>
          </w:p>
        </w:tc>
        <w:tc>
          <w:tcPr>
            <w:tcW w:w="1701" w:type="dxa"/>
          </w:tcPr>
          <w:p w14:paraId="45C1188B">
            <w:pPr>
              <w:jc w:val="center"/>
              <w:rPr>
                <w:szCs w:val="21"/>
              </w:rPr>
            </w:pPr>
            <w:r>
              <w:rPr>
                <w:rFonts w:hint="eastAsia" w:cs="Times New Roman"/>
                <w:szCs w:val="21"/>
              </w:rPr>
              <w:t>0</w:t>
            </w:r>
          </w:p>
        </w:tc>
        <w:tc>
          <w:tcPr>
            <w:tcW w:w="1843" w:type="dxa"/>
            <w:vAlign w:val="center"/>
          </w:tcPr>
          <w:p w14:paraId="1BD766A3">
            <w:pPr>
              <w:jc w:val="center"/>
              <w:rPr>
                <w:rFonts w:cs="Times New Roman"/>
                <w:szCs w:val="21"/>
              </w:rPr>
            </w:pPr>
            <w:r>
              <w:rPr>
                <w:rFonts w:hint="eastAsia"/>
                <w:szCs w:val="21"/>
              </w:rPr>
              <w:t>0.3（3a）</w:t>
            </w:r>
          </w:p>
        </w:tc>
        <w:tc>
          <w:tcPr>
            <w:tcW w:w="1098" w:type="dxa"/>
          </w:tcPr>
          <w:p w14:paraId="31894266">
            <w:pPr>
              <w:jc w:val="center"/>
              <w:rPr>
                <w:rFonts w:cstheme="minorHAnsi"/>
                <w:szCs w:val="21"/>
              </w:rPr>
            </w:pPr>
            <w:r>
              <w:rPr>
                <w:rFonts w:hint="eastAsia" w:cs="Times New Roman"/>
                <w:szCs w:val="21"/>
              </w:rPr>
              <w:t>0</w:t>
            </w:r>
          </w:p>
        </w:tc>
      </w:tr>
      <w:tr w14:paraId="4731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40E43479">
            <w:pPr>
              <w:jc w:val="center"/>
              <w:rPr>
                <w:rFonts w:cs="Times New Roman"/>
                <w:szCs w:val="21"/>
              </w:rPr>
            </w:pPr>
          </w:p>
        </w:tc>
        <w:tc>
          <w:tcPr>
            <w:tcW w:w="1701" w:type="dxa"/>
            <w:vAlign w:val="center"/>
          </w:tcPr>
          <w:p w14:paraId="0DBDCEDE">
            <w:pPr>
              <w:jc w:val="center"/>
              <w:rPr>
                <w:szCs w:val="21"/>
              </w:rPr>
            </w:pPr>
            <w:r>
              <w:rPr>
                <w:rFonts w:hint="eastAsia"/>
                <w:szCs w:val="21"/>
              </w:rPr>
              <w:t>废活性炭</w:t>
            </w:r>
          </w:p>
        </w:tc>
        <w:tc>
          <w:tcPr>
            <w:tcW w:w="1701" w:type="dxa"/>
            <w:vAlign w:val="center"/>
          </w:tcPr>
          <w:p w14:paraId="45B5C402">
            <w:pPr>
              <w:jc w:val="center"/>
              <w:rPr>
                <w:szCs w:val="21"/>
              </w:rPr>
            </w:pPr>
            <w:r>
              <w:rPr>
                <w:rFonts w:hint="eastAsia"/>
                <w:szCs w:val="21"/>
              </w:rPr>
              <w:t>41.81</w:t>
            </w:r>
          </w:p>
        </w:tc>
        <w:tc>
          <w:tcPr>
            <w:tcW w:w="1559" w:type="dxa"/>
            <w:vAlign w:val="center"/>
          </w:tcPr>
          <w:p w14:paraId="692D64C1">
            <w:pPr>
              <w:jc w:val="center"/>
              <w:rPr>
                <w:rFonts w:cs="Times New Roman"/>
                <w:szCs w:val="21"/>
              </w:rPr>
            </w:pPr>
            <w:r>
              <w:rPr>
                <w:rFonts w:hint="eastAsia" w:cs="Times New Roman"/>
                <w:szCs w:val="21"/>
              </w:rPr>
              <w:t>/</w:t>
            </w:r>
          </w:p>
        </w:tc>
        <w:tc>
          <w:tcPr>
            <w:tcW w:w="1843" w:type="dxa"/>
            <w:vAlign w:val="center"/>
          </w:tcPr>
          <w:p w14:paraId="0D7F2CC3">
            <w:pPr>
              <w:jc w:val="center"/>
              <w:rPr>
                <w:rFonts w:cs="Times New Roman"/>
                <w:szCs w:val="21"/>
              </w:rPr>
            </w:pPr>
            <w:r>
              <w:rPr>
                <w:rFonts w:hint="eastAsia" w:cs="Times New Roman"/>
                <w:szCs w:val="21"/>
              </w:rPr>
              <w:t>/</w:t>
            </w:r>
          </w:p>
        </w:tc>
        <w:tc>
          <w:tcPr>
            <w:tcW w:w="1843" w:type="dxa"/>
            <w:vAlign w:val="center"/>
          </w:tcPr>
          <w:p w14:paraId="62E4F6DA">
            <w:pPr>
              <w:jc w:val="center"/>
              <w:rPr>
                <w:rFonts w:cs="Times New Roman"/>
                <w:szCs w:val="21"/>
              </w:rPr>
            </w:pPr>
            <w:r>
              <w:rPr>
                <w:rFonts w:hint="eastAsia" w:cs="Times New Roman"/>
                <w:szCs w:val="21"/>
              </w:rPr>
              <w:t>22.044</w:t>
            </w:r>
          </w:p>
        </w:tc>
        <w:tc>
          <w:tcPr>
            <w:tcW w:w="1701" w:type="dxa"/>
          </w:tcPr>
          <w:p w14:paraId="04DEE403">
            <w:pPr>
              <w:jc w:val="center"/>
              <w:rPr>
                <w:szCs w:val="21"/>
              </w:rPr>
            </w:pPr>
            <w:r>
              <w:rPr>
                <w:rFonts w:hint="eastAsia" w:cs="Times New Roman"/>
                <w:szCs w:val="21"/>
              </w:rPr>
              <w:t>0</w:t>
            </w:r>
          </w:p>
        </w:tc>
        <w:tc>
          <w:tcPr>
            <w:tcW w:w="1843" w:type="dxa"/>
            <w:vAlign w:val="center"/>
          </w:tcPr>
          <w:p w14:paraId="75DE0042">
            <w:pPr>
              <w:jc w:val="center"/>
              <w:rPr>
                <w:rFonts w:cs="Times New Roman"/>
                <w:szCs w:val="21"/>
              </w:rPr>
            </w:pPr>
            <w:r>
              <w:rPr>
                <w:rFonts w:hint="eastAsia" w:cs="Times New Roman"/>
                <w:szCs w:val="21"/>
              </w:rPr>
              <w:t>63.854</w:t>
            </w:r>
          </w:p>
        </w:tc>
        <w:tc>
          <w:tcPr>
            <w:tcW w:w="1098" w:type="dxa"/>
            <w:vAlign w:val="center"/>
          </w:tcPr>
          <w:p w14:paraId="60BCD484">
            <w:pPr>
              <w:jc w:val="center"/>
              <w:rPr>
                <w:rFonts w:cstheme="minorHAnsi"/>
                <w:szCs w:val="21"/>
              </w:rPr>
            </w:pPr>
            <w:r>
              <w:rPr>
                <w:rFonts w:hint="eastAsia" w:cs="Times New Roman"/>
                <w:szCs w:val="21"/>
              </w:rPr>
              <w:t>+22.044</w:t>
            </w:r>
          </w:p>
        </w:tc>
      </w:tr>
      <w:tr w14:paraId="654EC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2D6A02D">
            <w:pPr>
              <w:jc w:val="center"/>
              <w:rPr>
                <w:rFonts w:cs="Times New Roman"/>
                <w:szCs w:val="21"/>
              </w:rPr>
            </w:pPr>
          </w:p>
        </w:tc>
        <w:tc>
          <w:tcPr>
            <w:tcW w:w="1701" w:type="dxa"/>
            <w:vAlign w:val="center"/>
          </w:tcPr>
          <w:p w14:paraId="1ECB9832">
            <w:pPr>
              <w:jc w:val="center"/>
              <w:rPr>
                <w:szCs w:val="21"/>
              </w:rPr>
            </w:pPr>
            <w:r>
              <w:rPr>
                <w:rFonts w:hint="eastAsia"/>
                <w:szCs w:val="21"/>
              </w:rPr>
              <w:t>废稀释剂清洗液</w:t>
            </w:r>
          </w:p>
        </w:tc>
        <w:tc>
          <w:tcPr>
            <w:tcW w:w="1701" w:type="dxa"/>
            <w:vAlign w:val="center"/>
          </w:tcPr>
          <w:p w14:paraId="039A7256">
            <w:pPr>
              <w:jc w:val="center"/>
              <w:rPr>
                <w:szCs w:val="21"/>
              </w:rPr>
            </w:pPr>
            <w:r>
              <w:rPr>
                <w:rFonts w:hint="eastAsia"/>
                <w:szCs w:val="21"/>
              </w:rPr>
              <w:t>0.09</w:t>
            </w:r>
          </w:p>
        </w:tc>
        <w:tc>
          <w:tcPr>
            <w:tcW w:w="1559" w:type="dxa"/>
            <w:vAlign w:val="center"/>
          </w:tcPr>
          <w:p w14:paraId="5720FB3F">
            <w:pPr>
              <w:jc w:val="center"/>
              <w:rPr>
                <w:rFonts w:cs="Times New Roman"/>
                <w:szCs w:val="21"/>
              </w:rPr>
            </w:pPr>
            <w:r>
              <w:rPr>
                <w:rFonts w:hint="eastAsia" w:cs="Times New Roman"/>
                <w:szCs w:val="21"/>
              </w:rPr>
              <w:t>/</w:t>
            </w:r>
          </w:p>
        </w:tc>
        <w:tc>
          <w:tcPr>
            <w:tcW w:w="1843" w:type="dxa"/>
            <w:vAlign w:val="center"/>
          </w:tcPr>
          <w:p w14:paraId="27538DF5">
            <w:pPr>
              <w:jc w:val="center"/>
              <w:rPr>
                <w:rFonts w:cs="Times New Roman"/>
                <w:szCs w:val="21"/>
              </w:rPr>
            </w:pPr>
            <w:r>
              <w:rPr>
                <w:rFonts w:hint="eastAsia" w:cs="Times New Roman"/>
                <w:szCs w:val="21"/>
              </w:rPr>
              <w:t>/</w:t>
            </w:r>
          </w:p>
        </w:tc>
        <w:tc>
          <w:tcPr>
            <w:tcW w:w="1843" w:type="dxa"/>
          </w:tcPr>
          <w:p w14:paraId="4B79C353">
            <w:pPr>
              <w:jc w:val="center"/>
              <w:rPr>
                <w:rFonts w:cs="Times New Roman"/>
                <w:szCs w:val="21"/>
              </w:rPr>
            </w:pPr>
            <w:r>
              <w:rPr>
                <w:rFonts w:hint="eastAsia" w:cs="Times New Roman"/>
                <w:szCs w:val="21"/>
              </w:rPr>
              <w:t>0</w:t>
            </w:r>
          </w:p>
        </w:tc>
        <w:tc>
          <w:tcPr>
            <w:tcW w:w="1701" w:type="dxa"/>
          </w:tcPr>
          <w:p w14:paraId="19472065">
            <w:pPr>
              <w:jc w:val="center"/>
              <w:rPr>
                <w:szCs w:val="21"/>
              </w:rPr>
            </w:pPr>
            <w:r>
              <w:rPr>
                <w:rFonts w:hint="eastAsia" w:cs="Times New Roman"/>
                <w:szCs w:val="21"/>
              </w:rPr>
              <w:t>0</w:t>
            </w:r>
          </w:p>
        </w:tc>
        <w:tc>
          <w:tcPr>
            <w:tcW w:w="1843" w:type="dxa"/>
            <w:vAlign w:val="center"/>
          </w:tcPr>
          <w:p w14:paraId="58B282FB">
            <w:pPr>
              <w:jc w:val="center"/>
              <w:rPr>
                <w:rFonts w:cs="Times New Roman"/>
                <w:szCs w:val="21"/>
              </w:rPr>
            </w:pPr>
            <w:r>
              <w:rPr>
                <w:rFonts w:hint="eastAsia"/>
                <w:szCs w:val="21"/>
              </w:rPr>
              <w:t>0.09</w:t>
            </w:r>
          </w:p>
        </w:tc>
        <w:tc>
          <w:tcPr>
            <w:tcW w:w="1098" w:type="dxa"/>
          </w:tcPr>
          <w:p w14:paraId="5357AB2D">
            <w:pPr>
              <w:jc w:val="center"/>
              <w:rPr>
                <w:rFonts w:cstheme="minorHAnsi"/>
                <w:szCs w:val="21"/>
              </w:rPr>
            </w:pPr>
            <w:r>
              <w:rPr>
                <w:rFonts w:hint="eastAsia" w:cs="Times New Roman"/>
                <w:szCs w:val="21"/>
              </w:rPr>
              <w:t>0</w:t>
            </w:r>
          </w:p>
        </w:tc>
      </w:tr>
      <w:tr w14:paraId="2C86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236442C4">
            <w:pPr>
              <w:jc w:val="center"/>
              <w:rPr>
                <w:rFonts w:cs="Times New Roman"/>
                <w:szCs w:val="21"/>
              </w:rPr>
            </w:pPr>
          </w:p>
        </w:tc>
        <w:tc>
          <w:tcPr>
            <w:tcW w:w="1701" w:type="dxa"/>
            <w:vAlign w:val="center"/>
          </w:tcPr>
          <w:p w14:paraId="58620D6D">
            <w:pPr>
              <w:jc w:val="center"/>
              <w:rPr>
                <w:szCs w:val="21"/>
              </w:rPr>
            </w:pPr>
            <w:r>
              <w:rPr>
                <w:rFonts w:hint="eastAsia"/>
                <w:szCs w:val="21"/>
              </w:rPr>
              <w:t>水帘更换废水</w:t>
            </w:r>
          </w:p>
        </w:tc>
        <w:tc>
          <w:tcPr>
            <w:tcW w:w="1701" w:type="dxa"/>
            <w:vAlign w:val="center"/>
          </w:tcPr>
          <w:p w14:paraId="44A9FF97">
            <w:pPr>
              <w:jc w:val="center"/>
              <w:rPr>
                <w:szCs w:val="21"/>
              </w:rPr>
            </w:pPr>
            <w:r>
              <w:rPr>
                <w:rFonts w:hint="eastAsia"/>
                <w:szCs w:val="21"/>
              </w:rPr>
              <w:t>2</w:t>
            </w:r>
          </w:p>
        </w:tc>
        <w:tc>
          <w:tcPr>
            <w:tcW w:w="1559" w:type="dxa"/>
            <w:vAlign w:val="center"/>
          </w:tcPr>
          <w:p w14:paraId="48BF1A66">
            <w:pPr>
              <w:jc w:val="center"/>
              <w:rPr>
                <w:rFonts w:cs="Times New Roman"/>
                <w:szCs w:val="21"/>
              </w:rPr>
            </w:pPr>
            <w:r>
              <w:rPr>
                <w:rFonts w:hint="eastAsia" w:cs="Times New Roman"/>
                <w:szCs w:val="21"/>
              </w:rPr>
              <w:t>/</w:t>
            </w:r>
          </w:p>
        </w:tc>
        <w:tc>
          <w:tcPr>
            <w:tcW w:w="1843" w:type="dxa"/>
            <w:vAlign w:val="center"/>
          </w:tcPr>
          <w:p w14:paraId="66648D06">
            <w:pPr>
              <w:jc w:val="center"/>
              <w:rPr>
                <w:rFonts w:cs="Times New Roman"/>
                <w:szCs w:val="21"/>
              </w:rPr>
            </w:pPr>
            <w:r>
              <w:rPr>
                <w:rFonts w:hint="eastAsia" w:cs="Times New Roman"/>
                <w:szCs w:val="21"/>
              </w:rPr>
              <w:t>/</w:t>
            </w:r>
          </w:p>
        </w:tc>
        <w:tc>
          <w:tcPr>
            <w:tcW w:w="1843" w:type="dxa"/>
          </w:tcPr>
          <w:p w14:paraId="3A831471">
            <w:pPr>
              <w:jc w:val="center"/>
              <w:rPr>
                <w:rFonts w:cs="Times New Roman"/>
                <w:szCs w:val="21"/>
              </w:rPr>
            </w:pPr>
            <w:r>
              <w:rPr>
                <w:rFonts w:hint="eastAsia" w:cs="Times New Roman"/>
                <w:szCs w:val="21"/>
              </w:rPr>
              <w:t>0</w:t>
            </w:r>
          </w:p>
        </w:tc>
        <w:tc>
          <w:tcPr>
            <w:tcW w:w="1701" w:type="dxa"/>
          </w:tcPr>
          <w:p w14:paraId="51B41727">
            <w:pPr>
              <w:jc w:val="center"/>
              <w:rPr>
                <w:szCs w:val="21"/>
              </w:rPr>
            </w:pPr>
            <w:r>
              <w:rPr>
                <w:rFonts w:hint="eastAsia" w:cs="Times New Roman"/>
                <w:szCs w:val="21"/>
              </w:rPr>
              <w:t>0</w:t>
            </w:r>
          </w:p>
        </w:tc>
        <w:tc>
          <w:tcPr>
            <w:tcW w:w="1843" w:type="dxa"/>
            <w:vAlign w:val="center"/>
          </w:tcPr>
          <w:p w14:paraId="04E926C9">
            <w:pPr>
              <w:jc w:val="center"/>
              <w:rPr>
                <w:rFonts w:cs="Times New Roman"/>
                <w:szCs w:val="21"/>
              </w:rPr>
            </w:pPr>
            <w:r>
              <w:rPr>
                <w:rFonts w:hint="eastAsia"/>
                <w:szCs w:val="21"/>
              </w:rPr>
              <w:t>2</w:t>
            </w:r>
          </w:p>
        </w:tc>
        <w:tc>
          <w:tcPr>
            <w:tcW w:w="1098" w:type="dxa"/>
          </w:tcPr>
          <w:p w14:paraId="7F81AAE8">
            <w:pPr>
              <w:jc w:val="center"/>
              <w:rPr>
                <w:rFonts w:cstheme="minorHAnsi"/>
                <w:szCs w:val="21"/>
              </w:rPr>
            </w:pPr>
            <w:r>
              <w:rPr>
                <w:rFonts w:hint="eastAsia" w:cs="Times New Roman"/>
                <w:szCs w:val="21"/>
              </w:rPr>
              <w:t>0</w:t>
            </w:r>
          </w:p>
        </w:tc>
      </w:tr>
      <w:tr w14:paraId="6DA7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CBEB30F">
            <w:pPr>
              <w:jc w:val="center"/>
              <w:rPr>
                <w:rFonts w:cs="Times New Roman"/>
                <w:szCs w:val="21"/>
              </w:rPr>
            </w:pPr>
          </w:p>
        </w:tc>
        <w:tc>
          <w:tcPr>
            <w:tcW w:w="1701" w:type="dxa"/>
            <w:vAlign w:val="center"/>
          </w:tcPr>
          <w:p w14:paraId="0AE7EBD8">
            <w:pPr>
              <w:jc w:val="center"/>
              <w:rPr>
                <w:szCs w:val="21"/>
              </w:rPr>
            </w:pPr>
            <w:r>
              <w:rPr>
                <w:rFonts w:hint="eastAsia"/>
                <w:szCs w:val="21"/>
              </w:rPr>
              <w:t>废网版</w:t>
            </w:r>
          </w:p>
        </w:tc>
        <w:tc>
          <w:tcPr>
            <w:tcW w:w="1701" w:type="dxa"/>
            <w:vAlign w:val="center"/>
          </w:tcPr>
          <w:p w14:paraId="7E4F6314">
            <w:pPr>
              <w:jc w:val="center"/>
              <w:rPr>
                <w:szCs w:val="21"/>
              </w:rPr>
            </w:pPr>
            <w:r>
              <w:rPr>
                <w:rFonts w:hint="eastAsia"/>
                <w:szCs w:val="21"/>
              </w:rPr>
              <w:t>0</w:t>
            </w:r>
          </w:p>
        </w:tc>
        <w:tc>
          <w:tcPr>
            <w:tcW w:w="1559" w:type="dxa"/>
            <w:vAlign w:val="center"/>
          </w:tcPr>
          <w:p w14:paraId="4698FD83">
            <w:pPr>
              <w:jc w:val="center"/>
              <w:rPr>
                <w:rFonts w:cs="Times New Roman"/>
                <w:szCs w:val="21"/>
              </w:rPr>
            </w:pPr>
            <w:r>
              <w:rPr>
                <w:rFonts w:hint="eastAsia" w:cs="Times New Roman"/>
                <w:szCs w:val="21"/>
              </w:rPr>
              <w:t>/</w:t>
            </w:r>
          </w:p>
        </w:tc>
        <w:tc>
          <w:tcPr>
            <w:tcW w:w="1843" w:type="dxa"/>
            <w:vAlign w:val="center"/>
          </w:tcPr>
          <w:p w14:paraId="76425F2E">
            <w:pPr>
              <w:jc w:val="center"/>
              <w:rPr>
                <w:rFonts w:cs="Times New Roman"/>
                <w:szCs w:val="21"/>
              </w:rPr>
            </w:pPr>
            <w:r>
              <w:rPr>
                <w:rFonts w:hint="eastAsia" w:cs="Times New Roman"/>
                <w:szCs w:val="21"/>
              </w:rPr>
              <w:t>/</w:t>
            </w:r>
          </w:p>
        </w:tc>
        <w:tc>
          <w:tcPr>
            <w:tcW w:w="1843" w:type="dxa"/>
            <w:vAlign w:val="center"/>
          </w:tcPr>
          <w:p w14:paraId="6B4A6AAF">
            <w:pPr>
              <w:jc w:val="center"/>
              <w:rPr>
                <w:rFonts w:cs="Times New Roman"/>
                <w:szCs w:val="21"/>
              </w:rPr>
            </w:pPr>
            <w:r>
              <w:rPr>
                <w:rFonts w:hint="eastAsia" w:cs="Times New Roman"/>
                <w:szCs w:val="21"/>
              </w:rPr>
              <w:t>0.5</w:t>
            </w:r>
          </w:p>
        </w:tc>
        <w:tc>
          <w:tcPr>
            <w:tcW w:w="1701" w:type="dxa"/>
          </w:tcPr>
          <w:p w14:paraId="20EBA8E6">
            <w:pPr>
              <w:jc w:val="center"/>
              <w:rPr>
                <w:szCs w:val="21"/>
              </w:rPr>
            </w:pPr>
            <w:r>
              <w:rPr>
                <w:rFonts w:hint="eastAsia" w:cs="Times New Roman"/>
                <w:szCs w:val="21"/>
              </w:rPr>
              <w:t>0</w:t>
            </w:r>
          </w:p>
        </w:tc>
        <w:tc>
          <w:tcPr>
            <w:tcW w:w="1843" w:type="dxa"/>
            <w:vAlign w:val="center"/>
          </w:tcPr>
          <w:p w14:paraId="0BBB33A2">
            <w:pPr>
              <w:jc w:val="center"/>
              <w:rPr>
                <w:rFonts w:cs="Times New Roman"/>
                <w:szCs w:val="21"/>
              </w:rPr>
            </w:pPr>
            <w:r>
              <w:rPr>
                <w:rFonts w:hint="eastAsia" w:cs="Times New Roman"/>
                <w:szCs w:val="21"/>
              </w:rPr>
              <w:t>0.5</w:t>
            </w:r>
          </w:p>
        </w:tc>
        <w:tc>
          <w:tcPr>
            <w:tcW w:w="1098" w:type="dxa"/>
            <w:vAlign w:val="center"/>
          </w:tcPr>
          <w:p w14:paraId="27B88A8C">
            <w:pPr>
              <w:jc w:val="center"/>
              <w:rPr>
                <w:rFonts w:cstheme="minorHAnsi"/>
                <w:szCs w:val="21"/>
              </w:rPr>
            </w:pPr>
            <w:r>
              <w:rPr>
                <w:rFonts w:hint="eastAsia" w:cs="Times New Roman"/>
                <w:szCs w:val="21"/>
              </w:rPr>
              <w:t>+0.5</w:t>
            </w:r>
          </w:p>
        </w:tc>
      </w:tr>
      <w:tr w14:paraId="39ECB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1E3C2774">
            <w:pPr>
              <w:jc w:val="center"/>
              <w:rPr>
                <w:rFonts w:cs="Times New Roman"/>
                <w:szCs w:val="21"/>
              </w:rPr>
            </w:pPr>
          </w:p>
        </w:tc>
        <w:tc>
          <w:tcPr>
            <w:tcW w:w="1701" w:type="dxa"/>
            <w:vAlign w:val="center"/>
          </w:tcPr>
          <w:p w14:paraId="04C258D3">
            <w:pPr>
              <w:jc w:val="center"/>
              <w:rPr>
                <w:szCs w:val="21"/>
              </w:rPr>
            </w:pPr>
            <w:r>
              <w:rPr>
                <w:rFonts w:hint="eastAsia"/>
                <w:szCs w:val="21"/>
              </w:rPr>
              <w:t>废油墨桶</w:t>
            </w:r>
          </w:p>
        </w:tc>
        <w:tc>
          <w:tcPr>
            <w:tcW w:w="1701" w:type="dxa"/>
            <w:vAlign w:val="center"/>
          </w:tcPr>
          <w:p w14:paraId="2ED64C4D">
            <w:pPr>
              <w:jc w:val="center"/>
              <w:rPr>
                <w:szCs w:val="21"/>
              </w:rPr>
            </w:pPr>
            <w:r>
              <w:rPr>
                <w:rFonts w:hint="eastAsia"/>
                <w:szCs w:val="21"/>
              </w:rPr>
              <w:t>0</w:t>
            </w:r>
          </w:p>
        </w:tc>
        <w:tc>
          <w:tcPr>
            <w:tcW w:w="1559" w:type="dxa"/>
            <w:vAlign w:val="center"/>
          </w:tcPr>
          <w:p w14:paraId="6E3A01E8">
            <w:pPr>
              <w:jc w:val="center"/>
              <w:rPr>
                <w:rFonts w:cs="Times New Roman"/>
                <w:szCs w:val="21"/>
              </w:rPr>
            </w:pPr>
            <w:r>
              <w:rPr>
                <w:rFonts w:hint="eastAsia" w:cs="Times New Roman"/>
                <w:szCs w:val="21"/>
              </w:rPr>
              <w:t>/</w:t>
            </w:r>
          </w:p>
        </w:tc>
        <w:tc>
          <w:tcPr>
            <w:tcW w:w="1843" w:type="dxa"/>
            <w:vAlign w:val="center"/>
          </w:tcPr>
          <w:p w14:paraId="42681C9D">
            <w:pPr>
              <w:jc w:val="center"/>
              <w:rPr>
                <w:rFonts w:cs="Times New Roman"/>
                <w:szCs w:val="21"/>
              </w:rPr>
            </w:pPr>
            <w:r>
              <w:rPr>
                <w:rFonts w:hint="eastAsia" w:cs="Times New Roman"/>
                <w:szCs w:val="21"/>
              </w:rPr>
              <w:t>/</w:t>
            </w:r>
          </w:p>
        </w:tc>
        <w:tc>
          <w:tcPr>
            <w:tcW w:w="1843" w:type="dxa"/>
            <w:vAlign w:val="center"/>
          </w:tcPr>
          <w:p w14:paraId="2F1E8C47">
            <w:pPr>
              <w:jc w:val="center"/>
              <w:rPr>
                <w:rFonts w:cs="Times New Roman"/>
                <w:szCs w:val="21"/>
              </w:rPr>
            </w:pPr>
            <w:r>
              <w:rPr>
                <w:rFonts w:hint="eastAsia" w:cs="Times New Roman"/>
                <w:szCs w:val="21"/>
              </w:rPr>
              <w:t>0.05</w:t>
            </w:r>
          </w:p>
        </w:tc>
        <w:tc>
          <w:tcPr>
            <w:tcW w:w="1701" w:type="dxa"/>
          </w:tcPr>
          <w:p w14:paraId="41F84015">
            <w:pPr>
              <w:jc w:val="center"/>
              <w:rPr>
                <w:szCs w:val="21"/>
              </w:rPr>
            </w:pPr>
            <w:r>
              <w:rPr>
                <w:rFonts w:hint="eastAsia" w:cs="Times New Roman"/>
                <w:szCs w:val="21"/>
              </w:rPr>
              <w:t>0</w:t>
            </w:r>
          </w:p>
        </w:tc>
        <w:tc>
          <w:tcPr>
            <w:tcW w:w="1843" w:type="dxa"/>
            <w:vAlign w:val="center"/>
          </w:tcPr>
          <w:p w14:paraId="6BBF399F">
            <w:pPr>
              <w:jc w:val="center"/>
              <w:rPr>
                <w:rFonts w:cs="Times New Roman"/>
                <w:szCs w:val="21"/>
              </w:rPr>
            </w:pPr>
            <w:r>
              <w:rPr>
                <w:rFonts w:hint="eastAsia" w:cs="Times New Roman"/>
                <w:szCs w:val="21"/>
              </w:rPr>
              <w:t>0.05</w:t>
            </w:r>
          </w:p>
        </w:tc>
        <w:tc>
          <w:tcPr>
            <w:tcW w:w="1098" w:type="dxa"/>
            <w:vAlign w:val="center"/>
          </w:tcPr>
          <w:p w14:paraId="22127A5B">
            <w:pPr>
              <w:jc w:val="center"/>
              <w:rPr>
                <w:rFonts w:cstheme="minorHAnsi"/>
                <w:szCs w:val="21"/>
              </w:rPr>
            </w:pPr>
            <w:r>
              <w:rPr>
                <w:rFonts w:hint="eastAsia" w:cs="Times New Roman"/>
                <w:szCs w:val="21"/>
              </w:rPr>
              <w:t>+0.05</w:t>
            </w:r>
          </w:p>
        </w:tc>
      </w:tr>
    </w:tbl>
    <w:p w14:paraId="554EA042">
      <w:pPr>
        <w:rPr>
          <w:rFonts w:hint="eastAsia" w:ascii="宋体" w:hAnsi="宋体"/>
          <w:szCs w:val="21"/>
        </w:rPr>
      </w:pPr>
      <w:r>
        <w:rPr>
          <w:rFonts w:hint="eastAsia" w:ascii="宋体" w:hAnsi="宋体"/>
          <w:szCs w:val="21"/>
        </w:rPr>
        <w:t>注：⑥=①+③+④-⑤；⑦=⑥-①；</w:t>
      </w:r>
      <w:r>
        <w:rPr>
          <w:rFonts w:cs="Times New Roman"/>
          <w:szCs w:val="21"/>
        </w:rPr>
        <w:t>单位为</w:t>
      </w:r>
      <w:r>
        <w:rPr>
          <w:rFonts w:hint="eastAsia" w:cs="Times New Roman"/>
          <w:szCs w:val="21"/>
        </w:rPr>
        <w:t>吨</w:t>
      </w:r>
      <w:r>
        <w:rPr>
          <w:rFonts w:cs="Times New Roman"/>
          <w:szCs w:val="21"/>
        </w:rPr>
        <w:t>/年。</w:t>
      </w:r>
    </w:p>
    <w:sectPr>
      <w:pgSz w:w="16838" w:h="11906" w:orient="landscape"/>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82016"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Helvetica">
    <w:altName w:val="Arial"/>
    <w:panose1 w:val="020B0504020202020204"/>
    <w:charset w:val="00"/>
    <w:family w:val="swiss"/>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0CE46">
    <w:pPr>
      <w:pStyle w:val="10"/>
      <w:jc w:val="center"/>
    </w:pPr>
    <w:r>
      <w:fldChar w:fldCharType="begin"/>
    </w:r>
    <w:r>
      <w:instrText xml:space="preserve">PAGE   \* MERGEFORMAT</w:instrText>
    </w:r>
    <w:r>
      <w:fldChar w:fldCharType="separate"/>
    </w:r>
    <w:r>
      <w:rPr>
        <w:lang w:val="zh-CN"/>
      </w:rPr>
      <w:t>60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66960"/>
    <w:multiLevelType w:val="multilevel"/>
    <w:tmpl w:val="02966960"/>
    <w:lvl w:ilvl="0" w:tentative="0">
      <w:start w:val="1"/>
      <w:numFmt w:val="decimal"/>
      <w:lvlText w:val="图2-%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1">
    <w:nsid w:val="15A57FE0"/>
    <w:multiLevelType w:val="multilevel"/>
    <w:tmpl w:val="15A57FE0"/>
    <w:lvl w:ilvl="0" w:tentative="0">
      <w:start w:val="1"/>
      <w:numFmt w:val="decimal"/>
      <w:lvlText w:val="表1-%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2">
    <w:nsid w:val="1C0E7A3C"/>
    <w:multiLevelType w:val="multilevel"/>
    <w:tmpl w:val="1C0E7A3C"/>
    <w:lvl w:ilvl="0" w:tentative="0">
      <w:start w:val="1"/>
      <w:numFmt w:val="decimal"/>
      <w:lvlText w:val="图4-%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3">
    <w:nsid w:val="36B15A58"/>
    <w:multiLevelType w:val="multilevel"/>
    <w:tmpl w:val="36B15A58"/>
    <w:lvl w:ilvl="0" w:tentative="0">
      <w:start w:val="1"/>
      <w:numFmt w:val="decimal"/>
      <w:lvlText w:val="表2-%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4">
    <w:nsid w:val="38A961FB"/>
    <w:multiLevelType w:val="multilevel"/>
    <w:tmpl w:val="38A961FB"/>
    <w:lvl w:ilvl="0" w:tentative="0">
      <w:start w:val="1"/>
      <w:numFmt w:val="decimal"/>
      <w:lvlText w:val="表4-%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5">
    <w:nsid w:val="6A5E55FF"/>
    <w:multiLevelType w:val="multilevel"/>
    <w:tmpl w:val="6A5E55FF"/>
    <w:lvl w:ilvl="0" w:tentative="0">
      <w:start w:val="1"/>
      <w:numFmt w:val="decimal"/>
      <w:lvlText w:val="图1-%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abstractNum w:abstractNumId="6">
    <w:nsid w:val="7AD221C6"/>
    <w:multiLevelType w:val="multilevel"/>
    <w:tmpl w:val="7AD221C6"/>
    <w:lvl w:ilvl="0" w:tentative="0">
      <w:start w:val="1"/>
      <w:numFmt w:val="decimal"/>
      <w:lvlText w:val="表3-%1"/>
      <w:lvlJc w:val="left"/>
      <w:pPr>
        <w:tabs>
          <w:tab w:val="left" w:pos="680"/>
        </w:tabs>
        <w:ind w:left="425" w:hanging="425"/>
      </w:pPr>
      <w:rPr>
        <w:rFonts w:hint="default" w:ascii="Times New Roman" w:hAnsi="Times New Roman" w:eastAsia="黑体"/>
        <w:b w:val="0"/>
        <w:i w:val="0"/>
        <w:sz w:val="21"/>
      </w:rPr>
    </w:lvl>
    <w:lvl w:ilvl="1" w:tentative="0">
      <w:start w:val="1"/>
      <w:numFmt w:val="none"/>
      <w:lvlText w:val=""/>
      <w:lvlJc w:val="left"/>
      <w:pPr>
        <w:ind w:left="992" w:hanging="567"/>
      </w:pPr>
      <w:rPr>
        <w:rFonts w:hint="eastAsia"/>
      </w:rPr>
    </w:lvl>
    <w:lvl w:ilvl="2" w:tentative="0">
      <w:start w:val="1"/>
      <w:numFmt w:val="none"/>
      <w:lvlText w:val=""/>
      <w:lvlJc w:val="left"/>
      <w:pPr>
        <w:ind w:left="1418" w:hanging="567"/>
      </w:pPr>
      <w:rPr>
        <w:rFonts w:hint="eastAsia"/>
      </w:rPr>
    </w:lvl>
    <w:lvl w:ilvl="3" w:tentative="0">
      <w:start w:val="1"/>
      <w:numFmt w:val="none"/>
      <w:lvlText w:val=""/>
      <w:lvlJc w:val="left"/>
      <w:pPr>
        <w:ind w:left="1984" w:hanging="708"/>
      </w:pPr>
      <w:rPr>
        <w:rFonts w:hint="eastAsia"/>
      </w:rPr>
    </w:lvl>
    <w:lvl w:ilvl="4" w:tentative="0">
      <w:start w:val="1"/>
      <w:numFmt w:val="none"/>
      <w:lvlText w:val=""/>
      <w:lvlJc w:val="left"/>
      <w:pPr>
        <w:ind w:left="2551" w:hanging="850"/>
      </w:pPr>
      <w:rPr>
        <w:rFonts w:hint="eastAsia"/>
      </w:rPr>
    </w:lvl>
    <w:lvl w:ilvl="5" w:tentative="0">
      <w:start w:val="1"/>
      <w:numFmt w:val="none"/>
      <w:lvlText w:val=""/>
      <w:lvlJc w:val="left"/>
      <w:pPr>
        <w:ind w:left="3260" w:hanging="1134"/>
      </w:pPr>
      <w:rPr>
        <w:rFonts w:hint="eastAsia"/>
      </w:rPr>
    </w:lvl>
    <w:lvl w:ilvl="6" w:tentative="0">
      <w:start w:val="1"/>
      <w:numFmt w:val="none"/>
      <w:lvlText w:val=""/>
      <w:lvlJc w:val="left"/>
      <w:pPr>
        <w:ind w:left="3827" w:hanging="1276"/>
      </w:pPr>
      <w:rPr>
        <w:rFonts w:hint="eastAsia"/>
      </w:rPr>
    </w:lvl>
    <w:lvl w:ilvl="7" w:tentative="0">
      <w:start w:val="1"/>
      <w:numFmt w:val="none"/>
      <w:lvlText w:val=""/>
      <w:lvlJc w:val="left"/>
      <w:pPr>
        <w:ind w:left="4394" w:hanging="1418"/>
      </w:pPr>
      <w:rPr>
        <w:rFonts w:hint="eastAsia"/>
      </w:rPr>
    </w:lvl>
    <w:lvl w:ilvl="8" w:tentative="0">
      <w:start w:val="1"/>
      <w:numFmt w:val="none"/>
      <w:lvlText w:val=""/>
      <w:lvlJc w:val="left"/>
      <w:pPr>
        <w:ind w:left="5102" w:hanging="1700"/>
      </w:pPr>
      <w:rPr>
        <w:rFonts w:hint="eastAsia"/>
      </w:rPr>
    </w:lvl>
  </w:abstractNum>
  <w:num w:numId="1">
    <w:abstractNumId w:val="1"/>
  </w:num>
  <w:num w:numId="2">
    <w:abstractNumId w:val="5"/>
  </w:num>
  <w:num w:numId="3">
    <w:abstractNumId w:val="3"/>
  </w:num>
  <w:num w:numId="4">
    <w:abstractNumId w:val="0"/>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E4NTNiNmE2M2NmMTFhOTFkZWU1NGUyMGU3YTExNjIifQ=="/>
  </w:docVars>
  <w:rsids>
    <w:rsidRoot w:val="0077720A"/>
    <w:rsid w:val="00000075"/>
    <w:rsid w:val="000006E6"/>
    <w:rsid w:val="00000B5E"/>
    <w:rsid w:val="00000C0A"/>
    <w:rsid w:val="00000ED0"/>
    <w:rsid w:val="000014A6"/>
    <w:rsid w:val="00001EBA"/>
    <w:rsid w:val="000023F9"/>
    <w:rsid w:val="00002A6D"/>
    <w:rsid w:val="00002A73"/>
    <w:rsid w:val="00003162"/>
    <w:rsid w:val="0000433F"/>
    <w:rsid w:val="000048B8"/>
    <w:rsid w:val="00005ED2"/>
    <w:rsid w:val="00006ACA"/>
    <w:rsid w:val="00006D1A"/>
    <w:rsid w:val="00006F6D"/>
    <w:rsid w:val="000078D2"/>
    <w:rsid w:val="00007A0D"/>
    <w:rsid w:val="000103CE"/>
    <w:rsid w:val="00010841"/>
    <w:rsid w:val="00010FDA"/>
    <w:rsid w:val="00011144"/>
    <w:rsid w:val="0001157F"/>
    <w:rsid w:val="00011912"/>
    <w:rsid w:val="00011FD2"/>
    <w:rsid w:val="00013A3F"/>
    <w:rsid w:val="00013DEB"/>
    <w:rsid w:val="00014371"/>
    <w:rsid w:val="0001444C"/>
    <w:rsid w:val="00014B28"/>
    <w:rsid w:val="00014C0C"/>
    <w:rsid w:val="00014F13"/>
    <w:rsid w:val="00015043"/>
    <w:rsid w:val="0001552C"/>
    <w:rsid w:val="00016C99"/>
    <w:rsid w:val="00016D8D"/>
    <w:rsid w:val="00017226"/>
    <w:rsid w:val="00017965"/>
    <w:rsid w:val="00017D0D"/>
    <w:rsid w:val="000200E4"/>
    <w:rsid w:val="000202A1"/>
    <w:rsid w:val="000207E9"/>
    <w:rsid w:val="000211E1"/>
    <w:rsid w:val="000218AA"/>
    <w:rsid w:val="00021A7F"/>
    <w:rsid w:val="000235FB"/>
    <w:rsid w:val="00024AAA"/>
    <w:rsid w:val="00024B9E"/>
    <w:rsid w:val="0002546F"/>
    <w:rsid w:val="00025610"/>
    <w:rsid w:val="00025C9E"/>
    <w:rsid w:val="00025DDA"/>
    <w:rsid w:val="00025EF3"/>
    <w:rsid w:val="0002610A"/>
    <w:rsid w:val="000273BA"/>
    <w:rsid w:val="00027945"/>
    <w:rsid w:val="000307AB"/>
    <w:rsid w:val="00031B33"/>
    <w:rsid w:val="00031C2C"/>
    <w:rsid w:val="00031D72"/>
    <w:rsid w:val="00032362"/>
    <w:rsid w:val="0003462F"/>
    <w:rsid w:val="00034AD0"/>
    <w:rsid w:val="00034DCC"/>
    <w:rsid w:val="00034DDA"/>
    <w:rsid w:val="00035AC5"/>
    <w:rsid w:val="00035EB5"/>
    <w:rsid w:val="00036F07"/>
    <w:rsid w:val="0003716A"/>
    <w:rsid w:val="00037266"/>
    <w:rsid w:val="00037C5C"/>
    <w:rsid w:val="00040855"/>
    <w:rsid w:val="00040E19"/>
    <w:rsid w:val="0004147F"/>
    <w:rsid w:val="00041755"/>
    <w:rsid w:val="0004272B"/>
    <w:rsid w:val="00042738"/>
    <w:rsid w:val="00042D31"/>
    <w:rsid w:val="000434F4"/>
    <w:rsid w:val="00043772"/>
    <w:rsid w:val="0004377D"/>
    <w:rsid w:val="000439DD"/>
    <w:rsid w:val="00043C3C"/>
    <w:rsid w:val="000447BD"/>
    <w:rsid w:val="00044D25"/>
    <w:rsid w:val="000452D7"/>
    <w:rsid w:val="00045304"/>
    <w:rsid w:val="0004673D"/>
    <w:rsid w:val="00046783"/>
    <w:rsid w:val="00047357"/>
    <w:rsid w:val="0005068E"/>
    <w:rsid w:val="00050B9A"/>
    <w:rsid w:val="00050F56"/>
    <w:rsid w:val="00050FCF"/>
    <w:rsid w:val="0005183D"/>
    <w:rsid w:val="00051989"/>
    <w:rsid w:val="00051C97"/>
    <w:rsid w:val="0005299A"/>
    <w:rsid w:val="00052FCC"/>
    <w:rsid w:val="00053455"/>
    <w:rsid w:val="00053EE1"/>
    <w:rsid w:val="0005474B"/>
    <w:rsid w:val="000554A6"/>
    <w:rsid w:val="00055766"/>
    <w:rsid w:val="00055905"/>
    <w:rsid w:val="0005632A"/>
    <w:rsid w:val="00056412"/>
    <w:rsid w:val="0005647E"/>
    <w:rsid w:val="0005723F"/>
    <w:rsid w:val="000573CB"/>
    <w:rsid w:val="0005747E"/>
    <w:rsid w:val="00057875"/>
    <w:rsid w:val="00061654"/>
    <w:rsid w:val="00061D6F"/>
    <w:rsid w:val="00064B27"/>
    <w:rsid w:val="000652FE"/>
    <w:rsid w:val="00065713"/>
    <w:rsid w:val="0006592A"/>
    <w:rsid w:val="000667C5"/>
    <w:rsid w:val="000668A4"/>
    <w:rsid w:val="00066A37"/>
    <w:rsid w:val="00066ADD"/>
    <w:rsid w:val="00067A22"/>
    <w:rsid w:val="00067F57"/>
    <w:rsid w:val="00070A81"/>
    <w:rsid w:val="000711E4"/>
    <w:rsid w:val="00071368"/>
    <w:rsid w:val="00071779"/>
    <w:rsid w:val="0007183E"/>
    <w:rsid w:val="00071A37"/>
    <w:rsid w:val="00072619"/>
    <w:rsid w:val="00073442"/>
    <w:rsid w:val="00073A4D"/>
    <w:rsid w:val="00073B2D"/>
    <w:rsid w:val="00074010"/>
    <w:rsid w:val="0007412D"/>
    <w:rsid w:val="00074317"/>
    <w:rsid w:val="00074D4F"/>
    <w:rsid w:val="000758A2"/>
    <w:rsid w:val="000758E5"/>
    <w:rsid w:val="000760E6"/>
    <w:rsid w:val="00077478"/>
    <w:rsid w:val="00077A0F"/>
    <w:rsid w:val="00077B46"/>
    <w:rsid w:val="00081103"/>
    <w:rsid w:val="000813EA"/>
    <w:rsid w:val="000821B2"/>
    <w:rsid w:val="000821CC"/>
    <w:rsid w:val="00082F8F"/>
    <w:rsid w:val="00083098"/>
    <w:rsid w:val="00083188"/>
    <w:rsid w:val="000847C7"/>
    <w:rsid w:val="000847F7"/>
    <w:rsid w:val="00084A07"/>
    <w:rsid w:val="00084D48"/>
    <w:rsid w:val="00084FD1"/>
    <w:rsid w:val="000858A9"/>
    <w:rsid w:val="00086637"/>
    <w:rsid w:val="00086B3D"/>
    <w:rsid w:val="000877D1"/>
    <w:rsid w:val="000900A4"/>
    <w:rsid w:val="00091929"/>
    <w:rsid w:val="00091D11"/>
    <w:rsid w:val="00091E77"/>
    <w:rsid w:val="000929AC"/>
    <w:rsid w:val="000929DD"/>
    <w:rsid w:val="0009303C"/>
    <w:rsid w:val="00093154"/>
    <w:rsid w:val="00093367"/>
    <w:rsid w:val="0009339C"/>
    <w:rsid w:val="00093FBF"/>
    <w:rsid w:val="0009484A"/>
    <w:rsid w:val="00094B96"/>
    <w:rsid w:val="00095429"/>
    <w:rsid w:val="000958BB"/>
    <w:rsid w:val="0009642A"/>
    <w:rsid w:val="000964DC"/>
    <w:rsid w:val="00096636"/>
    <w:rsid w:val="00096A4D"/>
    <w:rsid w:val="00096F5A"/>
    <w:rsid w:val="00096FC7"/>
    <w:rsid w:val="00097116"/>
    <w:rsid w:val="000971F6"/>
    <w:rsid w:val="00097315"/>
    <w:rsid w:val="00097B64"/>
    <w:rsid w:val="000A02FB"/>
    <w:rsid w:val="000A08D8"/>
    <w:rsid w:val="000A0D5F"/>
    <w:rsid w:val="000A1076"/>
    <w:rsid w:val="000A1197"/>
    <w:rsid w:val="000A12C4"/>
    <w:rsid w:val="000A1CCE"/>
    <w:rsid w:val="000A1F30"/>
    <w:rsid w:val="000A208C"/>
    <w:rsid w:val="000A2382"/>
    <w:rsid w:val="000A24F4"/>
    <w:rsid w:val="000A25BF"/>
    <w:rsid w:val="000A2AF8"/>
    <w:rsid w:val="000A4136"/>
    <w:rsid w:val="000A425F"/>
    <w:rsid w:val="000A4FF6"/>
    <w:rsid w:val="000A5070"/>
    <w:rsid w:val="000A5333"/>
    <w:rsid w:val="000A6411"/>
    <w:rsid w:val="000A6815"/>
    <w:rsid w:val="000A712F"/>
    <w:rsid w:val="000A72C8"/>
    <w:rsid w:val="000B019A"/>
    <w:rsid w:val="000B0212"/>
    <w:rsid w:val="000B1357"/>
    <w:rsid w:val="000B1E0B"/>
    <w:rsid w:val="000B2352"/>
    <w:rsid w:val="000B23A4"/>
    <w:rsid w:val="000B27ED"/>
    <w:rsid w:val="000B2BC8"/>
    <w:rsid w:val="000B2E34"/>
    <w:rsid w:val="000B47B9"/>
    <w:rsid w:val="000B4CD9"/>
    <w:rsid w:val="000B4E50"/>
    <w:rsid w:val="000B55FF"/>
    <w:rsid w:val="000B5AEB"/>
    <w:rsid w:val="000B6244"/>
    <w:rsid w:val="000B6672"/>
    <w:rsid w:val="000B6983"/>
    <w:rsid w:val="000B703E"/>
    <w:rsid w:val="000B79A0"/>
    <w:rsid w:val="000C032C"/>
    <w:rsid w:val="000C0DBD"/>
    <w:rsid w:val="000C134D"/>
    <w:rsid w:val="000C1C38"/>
    <w:rsid w:val="000C1CDA"/>
    <w:rsid w:val="000C23BE"/>
    <w:rsid w:val="000C247E"/>
    <w:rsid w:val="000C24F1"/>
    <w:rsid w:val="000C2E30"/>
    <w:rsid w:val="000C35EE"/>
    <w:rsid w:val="000C37EB"/>
    <w:rsid w:val="000C5707"/>
    <w:rsid w:val="000C5B08"/>
    <w:rsid w:val="000C5F52"/>
    <w:rsid w:val="000C6119"/>
    <w:rsid w:val="000C6D62"/>
    <w:rsid w:val="000C79F0"/>
    <w:rsid w:val="000C7FAC"/>
    <w:rsid w:val="000D021C"/>
    <w:rsid w:val="000D07FC"/>
    <w:rsid w:val="000D0ADB"/>
    <w:rsid w:val="000D0C13"/>
    <w:rsid w:val="000D0F54"/>
    <w:rsid w:val="000D10C7"/>
    <w:rsid w:val="000D14C0"/>
    <w:rsid w:val="000D1619"/>
    <w:rsid w:val="000D19D6"/>
    <w:rsid w:val="000D2472"/>
    <w:rsid w:val="000D2AAA"/>
    <w:rsid w:val="000D318F"/>
    <w:rsid w:val="000D3928"/>
    <w:rsid w:val="000D4126"/>
    <w:rsid w:val="000D46E2"/>
    <w:rsid w:val="000D4B06"/>
    <w:rsid w:val="000D50C0"/>
    <w:rsid w:val="000D5606"/>
    <w:rsid w:val="000D5765"/>
    <w:rsid w:val="000D58C2"/>
    <w:rsid w:val="000D5C5F"/>
    <w:rsid w:val="000D5D22"/>
    <w:rsid w:val="000D5E13"/>
    <w:rsid w:val="000D6D6E"/>
    <w:rsid w:val="000D70D4"/>
    <w:rsid w:val="000D7B34"/>
    <w:rsid w:val="000E0004"/>
    <w:rsid w:val="000E0373"/>
    <w:rsid w:val="000E0CBE"/>
    <w:rsid w:val="000E123F"/>
    <w:rsid w:val="000E1B22"/>
    <w:rsid w:val="000E1D09"/>
    <w:rsid w:val="000E24D9"/>
    <w:rsid w:val="000E2B9F"/>
    <w:rsid w:val="000E3687"/>
    <w:rsid w:val="000E4316"/>
    <w:rsid w:val="000E46F4"/>
    <w:rsid w:val="000E58DE"/>
    <w:rsid w:val="000E6225"/>
    <w:rsid w:val="000E6C9F"/>
    <w:rsid w:val="000E71CC"/>
    <w:rsid w:val="000E7DAC"/>
    <w:rsid w:val="000E7EF8"/>
    <w:rsid w:val="000F0104"/>
    <w:rsid w:val="000F01A4"/>
    <w:rsid w:val="000F09DF"/>
    <w:rsid w:val="000F0A3F"/>
    <w:rsid w:val="000F19ED"/>
    <w:rsid w:val="000F2090"/>
    <w:rsid w:val="000F23FA"/>
    <w:rsid w:val="000F2661"/>
    <w:rsid w:val="000F2AFB"/>
    <w:rsid w:val="000F2C6D"/>
    <w:rsid w:val="000F3B14"/>
    <w:rsid w:val="000F3CE6"/>
    <w:rsid w:val="000F4022"/>
    <w:rsid w:val="000F4DC7"/>
    <w:rsid w:val="000F5DE7"/>
    <w:rsid w:val="000F5E00"/>
    <w:rsid w:val="000F639A"/>
    <w:rsid w:val="000F7CCB"/>
    <w:rsid w:val="00100590"/>
    <w:rsid w:val="00101C0A"/>
    <w:rsid w:val="00101D10"/>
    <w:rsid w:val="00101D45"/>
    <w:rsid w:val="00101FE7"/>
    <w:rsid w:val="00102225"/>
    <w:rsid w:val="00102388"/>
    <w:rsid w:val="00103606"/>
    <w:rsid w:val="001039F8"/>
    <w:rsid w:val="00103C22"/>
    <w:rsid w:val="0010402E"/>
    <w:rsid w:val="001048E6"/>
    <w:rsid w:val="001054EA"/>
    <w:rsid w:val="0010624F"/>
    <w:rsid w:val="00106D98"/>
    <w:rsid w:val="00107266"/>
    <w:rsid w:val="00110499"/>
    <w:rsid w:val="00110740"/>
    <w:rsid w:val="00110ADB"/>
    <w:rsid w:val="00110FBF"/>
    <w:rsid w:val="00111FBC"/>
    <w:rsid w:val="00112CF4"/>
    <w:rsid w:val="001137C1"/>
    <w:rsid w:val="00113F84"/>
    <w:rsid w:val="001143F6"/>
    <w:rsid w:val="00114611"/>
    <w:rsid w:val="00114D2C"/>
    <w:rsid w:val="001154A8"/>
    <w:rsid w:val="00115880"/>
    <w:rsid w:val="00115FD8"/>
    <w:rsid w:val="001168E5"/>
    <w:rsid w:val="001169C8"/>
    <w:rsid w:val="00116C46"/>
    <w:rsid w:val="0011732D"/>
    <w:rsid w:val="00117A17"/>
    <w:rsid w:val="0012069F"/>
    <w:rsid w:val="001207E6"/>
    <w:rsid w:val="0012090B"/>
    <w:rsid w:val="00120E1C"/>
    <w:rsid w:val="00120F59"/>
    <w:rsid w:val="001214ED"/>
    <w:rsid w:val="001215F4"/>
    <w:rsid w:val="001217E4"/>
    <w:rsid w:val="00122CB0"/>
    <w:rsid w:val="00122D3B"/>
    <w:rsid w:val="00122EF3"/>
    <w:rsid w:val="00124352"/>
    <w:rsid w:val="00124738"/>
    <w:rsid w:val="001251C0"/>
    <w:rsid w:val="0012535C"/>
    <w:rsid w:val="00125696"/>
    <w:rsid w:val="001259AA"/>
    <w:rsid w:val="00125D9F"/>
    <w:rsid w:val="00125E98"/>
    <w:rsid w:val="0012683C"/>
    <w:rsid w:val="00126942"/>
    <w:rsid w:val="001270EA"/>
    <w:rsid w:val="001274C0"/>
    <w:rsid w:val="00127754"/>
    <w:rsid w:val="00127A8A"/>
    <w:rsid w:val="00127C82"/>
    <w:rsid w:val="001303A7"/>
    <w:rsid w:val="00130AAF"/>
    <w:rsid w:val="00131A04"/>
    <w:rsid w:val="0013238B"/>
    <w:rsid w:val="00132439"/>
    <w:rsid w:val="00132584"/>
    <w:rsid w:val="0013265F"/>
    <w:rsid w:val="001327DB"/>
    <w:rsid w:val="00132C14"/>
    <w:rsid w:val="00134E7B"/>
    <w:rsid w:val="00135078"/>
    <w:rsid w:val="00135DBA"/>
    <w:rsid w:val="00135DC0"/>
    <w:rsid w:val="001367D8"/>
    <w:rsid w:val="00137138"/>
    <w:rsid w:val="001378AA"/>
    <w:rsid w:val="001400B1"/>
    <w:rsid w:val="00140613"/>
    <w:rsid w:val="00141069"/>
    <w:rsid w:val="0014132C"/>
    <w:rsid w:val="00142791"/>
    <w:rsid w:val="00143010"/>
    <w:rsid w:val="001433E0"/>
    <w:rsid w:val="00144024"/>
    <w:rsid w:val="00145B98"/>
    <w:rsid w:val="00145F25"/>
    <w:rsid w:val="0014630F"/>
    <w:rsid w:val="0014739E"/>
    <w:rsid w:val="001473E9"/>
    <w:rsid w:val="001473EB"/>
    <w:rsid w:val="00147683"/>
    <w:rsid w:val="001476F1"/>
    <w:rsid w:val="0015026D"/>
    <w:rsid w:val="00151185"/>
    <w:rsid w:val="001513E8"/>
    <w:rsid w:val="001515B7"/>
    <w:rsid w:val="00151E7A"/>
    <w:rsid w:val="0015204F"/>
    <w:rsid w:val="0015240B"/>
    <w:rsid w:val="001524BB"/>
    <w:rsid w:val="00152F00"/>
    <w:rsid w:val="0015377A"/>
    <w:rsid w:val="00155390"/>
    <w:rsid w:val="001556AA"/>
    <w:rsid w:val="001556F6"/>
    <w:rsid w:val="00156281"/>
    <w:rsid w:val="00157B75"/>
    <w:rsid w:val="0016016F"/>
    <w:rsid w:val="0016045F"/>
    <w:rsid w:val="00160B0B"/>
    <w:rsid w:val="00161A8B"/>
    <w:rsid w:val="00162B9A"/>
    <w:rsid w:val="00162C48"/>
    <w:rsid w:val="00162E0F"/>
    <w:rsid w:val="0016321C"/>
    <w:rsid w:val="001634F9"/>
    <w:rsid w:val="00163990"/>
    <w:rsid w:val="0016498B"/>
    <w:rsid w:val="00164B95"/>
    <w:rsid w:val="00164BBF"/>
    <w:rsid w:val="00165EBA"/>
    <w:rsid w:val="00166183"/>
    <w:rsid w:val="0016669A"/>
    <w:rsid w:val="00166B4C"/>
    <w:rsid w:val="00167113"/>
    <w:rsid w:val="00167852"/>
    <w:rsid w:val="00167FF0"/>
    <w:rsid w:val="0017160F"/>
    <w:rsid w:val="00172388"/>
    <w:rsid w:val="00172630"/>
    <w:rsid w:val="00173501"/>
    <w:rsid w:val="00174515"/>
    <w:rsid w:val="0017455C"/>
    <w:rsid w:val="00174BBE"/>
    <w:rsid w:val="0017583B"/>
    <w:rsid w:val="00175F98"/>
    <w:rsid w:val="001761FF"/>
    <w:rsid w:val="00176491"/>
    <w:rsid w:val="00176B17"/>
    <w:rsid w:val="00177391"/>
    <w:rsid w:val="00177481"/>
    <w:rsid w:val="0017764F"/>
    <w:rsid w:val="00177D64"/>
    <w:rsid w:val="00177FCC"/>
    <w:rsid w:val="001800A3"/>
    <w:rsid w:val="00180576"/>
    <w:rsid w:val="00180850"/>
    <w:rsid w:val="00180CFD"/>
    <w:rsid w:val="00181BC4"/>
    <w:rsid w:val="00181FEA"/>
    <w:rsid w:val="00182CD4"/>
    <w:rsid w:val="00185038"/>
    <w:rsid w:val="00185663"/>
    <w:rsid w:val="00190211"/>
    <w:rsid w:val="00190C01"/>
    <w:rsid w:val="00190D5F"/>
    <w:rsid w:val="001927AB"/>
    <w:rsid w:val="00192DE0"/>
    <w:rsid w:val="00192ECE"/>
    <w:rsid w:val="0019358B"/>
    <w:rsid w:val="00193D19"/>
    <w:rsid w:val="00194D46"/>
    <w:rsid w:val="00194EAA"/>
    <w:rsid w:val="00194FBD"/>
    <w:rsid w:val="001950E3"/>
    <w:rsid w:val="001961A6"/>
    <w:rsid w:val="001963F0"/>
    <w:rsid w:val="00196F8D"/>
    <w:rsid w:val="0019760B"/>
    <w:rsid w:val="00197F59"/>
    <w:rsid w:val="001A0487"/>
    <w:rsid w:val="001A0FF0"/>
    <w:rsid w:val="001A1620"/>
    <w:rsid w:val="001A1644"/>
    <w:rsid w:val="001A4240"/>
    <w:rsid w:val="001A4563"/>
    <w:rsid w:val="001A5316"/>
    <w:rsid w:val="001A55D4"/>
    <w:rsid w:val="001A6F59"/>
    <w:rsid w:val="001A7311"/>
    <w:rsid w:val="001A74D9"/>
    <w:rsid w:val="001A7E03"/>
    <w:rsid w:val="001B0B30"/>
    <w:rsid w:val="001B12B2"/>
    <w:rsid w:val="001B13D5"/>
    <w:rsid w:val="001B15E1"/>
    <w:rsid w:val="001B1E5A"/>
    <w:rsid w:val="001B2801"/>
    <w:rsid w:val="001B2B05"/>
    <w:rsid w:val="001B2D20"/>
    <w:rsid w:val="001B3265"/>
    <w:rsid w:val="001B3BDB"/>
    <w:rsid w:val="001B3D47"/>
    <w:rsid w:val="001B430F"/>
    <w:rsid w:val="001B4F4F"/>
    <w:rsid w:val="001B5A5B"/>
    <w:rsid w:val="001B5E2A"/>
    <w:rsid w:val="001B6F59"/>
    <w:rsid w:val="001B7258"/>
    <w:rsid w:val="001B75BE"/>
    <w:rsid w:val="001B7A91"/>
    <w:rsid w:val="001C12DF"/>
    <w:rsid w:val="001C12FF"/>
    <w:rsid w:val="001C14CF"/>
    <w:rsid w:val="001C2365"/>
    <w:rsid w:val="001C30B0"/>
    <w:rsid w:val="001C3302"/>
    <w:rsid w:val="001C5180"/>
    <w:rsid w:val="001C5980"/>
    <w:rsid w:val="001C6021"/>
    <w:rsid w:val="001C606B"/>
    <w:rsid w:val="001C6610"/>
    <w:rsid w:val="001C6C59"/>
    <w:rsid w:val="001C7036"/>
    <w:rsid w:val="001D04D4"/>
    <w:rsid w:val="001D0E57"/>
    <w:rsid w:val="001D16CC"/>
    <w:rsid w:val="001D1BC2"/>
    <w:rsid w:val="001D1F8C"/>
    <w:rsid w:val="001D2028"/>
    <w:rsid w:val="001D213A"/>
    <w:rsid w:val="001D260C"/>
    <w:rsid w:val="001D3597"/>
    <w:rsid w:val="001D43CE"/>
    <w:rsid w:val="001D515D"/>
    <w:rsid w:val="001D5935"/>
    <w:rsid w:val="001D6071"/>
    <w:rsid w:val="001D6BA0"/>
    <w:rsid w:val="001D7671"/>
    <w:rsid w:val="001D7E10"/>
    <w:rsid w:val="001E0570"/>
    <w:rsid w:val="001E08E7"/>
    <w:rsid w:val="001E0ADF"/>
    <w:rsid w:val="001E10E1"/>
    <w:rsid w:val="001E190B"/>
    <w:rsid w:val="001E1EB8"/>
    <w:rsid w:val="001E2B35"/>
    <w:rsid w:val="001E2F0C"/>
    <w:rsid w:val="001E3F64"/>
    <w:rsid w:val="001E4B3B"/>
    <w:rsid w:val="001E5A40"/>
    <w:rsid w:val="001E5B0D"/>
    <w:rsid w:val="001E5E27"/>
    <w:rsid w:val="001E5F51"/>
    <w:rsid w:val="001E6B6C"/>
    <w:rsid w:val="001E7E23"/>
    <w:rsid w:val="001E7E8D"/>
    <w:rsid w:val="001F0508"/>
    <w:rsid w:val="001F208F"/>
    <w:rsid w:val="001F2AAA"/>
    <w:rsid w:val="001F4003"/>
    <w:rsid w:val="001F5082"/>
    <w:rsid w:val="001F6048"/>
    <w:rsid w:val="001F62A7"/>
    <w:rsid w:val="001F631B"/>
    <w:rsid w:val="00200439"/>
    <w:rsid w:val="00201028"/>
    <w:rsid w:val="00201289"/>
    <w:rsid w:val="00202310"/>
    <w:rsid w:val="00203606"/>
    <w:rsid w:val="00203CDC"/>
    <w:rsid w:val="00203E60"/>
    <w:rsid w:val="00204283"/>
    <w:rsid w:val="002043D6"/>
    <w:rsid w:val="00204AA1"/>
    <w:rsid w:val="00204D4C"/>
    <w:rsid w:val="0020540C"/>
    <w:rsid w:val="00205511"/>
    <w:rsid w:val="002056DF"/>
    <w:rsid w:val="002063C4"/>
    <w:rsid w:val="00207D07"/>
    <w:rsid w:val="0021038B"/>
    <w:rsid w:val="0021090C"/>
    <w:rsid w:val="00210E1B"/>
    <w:rsid w:val="00211066"/>
    <w:rsid w:val="00211387"/>
    <w:rsid w:val="00211574"/>
    <w:rsid w:val="00212532"/>
    <w:rsid w:val="00212A35"/>
    <w:rsid w:val="00212AE7"/>
    <w:rsid w:val="00212CF3"/>
    <w:rsid w:val="00213258"/>
    <w:rsid w:val="00213A11"/>
    <w:rsid w:val="00213B8B"/>
    <w:rsid w:val="00213D80"/>
    <w:rsid w:val="00214509"/>
    <w:rsid w:val="00214C78"/>
    <w:rsid w:val="00215FA3"/>
    <w:rsid w:val="00216405"/>
    <w:rsid w:val="002166A7"/>
    <w:rsid w:val="0021676F"/>
    <w:rsid w:val="00216D3A"/>
    <w:rsid w:val="00217984"/>
    <w:rsid w:val="00217D48"/>
    <w:rsid w:val="00220011"/>
    <w:rsid w:val="0022062E"/>
    <w:rsid w:val="002208B0"/>
    <w:rsid w:val="00220B98"/>
    <w:rsid w:val="00220E4E"/>
    <w:rsid w:val="0022135A"/>
    <w:rsid w:val="00221674"/>
    <w:rsid w:val="00221BE9"/>
    <w:rsid w:val="0022260A"/>
    <w:rsid w:val="00222C35"/>
    <w:rsid w:val="00223628"/>
    <w:rsid w:val="0022462F"/>
    <w:rsid w:val="002249D0"/>
    <w:rsid w:val="00224FCC"/>
    <w:rsid w:val="002254B8"/>
    <w:rsid w:val="0022656E"/>
    <w:rsid w:val="002266E1"/>
    <w:rsid w:val="00226D5D"/>
    <w:rsid w:val="00227D6D"/>
    <w:rsid w:val="00230307"/>
    <w:rsid w:val="00230E5D"/>
    <w:rsid w:val="00231D4D"/>
    <w:rsid w:val="002320C7"/>
    <w:rsid w:val="00232282"/>
    <w:rsid w:val="002329BE"/>
    <w:rsid w:val="00232C82"/>
    <w:rsid w:val="00232DD8"/>
    <w:rsid w:val="002330D6"/>
    <w:rsid w:val="002339F9"/>
    <w:rsid w:val="00233CDD"/>
    <w:rsid w:val="00234297"/>
    <w:rsid w:val="00234DE9"/>
    <w:rsid w:val="00234F4B"/>
    <w:rsid w:val="002350BB"/>
    <w:rsid w:val="00235205"/>
    <w:rsid w:val="00235BF0"/>
    <w:rsid w:val="00235C35"/>
    <w:rsid w:val="00236693"/>
    <w:rsid w:val="00236916"/>
    <w:rsid w:val="00236D7F"/>
    <w:rsid w:val="00236F89"/>
    <w:rsid w:val="00237828"/>
    <w:rsid w:val="002412AB"/>
    <w:rsid w:val="00241505"/>
    <w:rsid w:val="00241EA8"/>
    <w:rsid w:val="002424FA"/>
    <w:rsid w:val="002429D3"/>
    <w:rsid w:val="00243462"/>
    <w:rsid w:val="002444D6"/>
    <w:rsid w:val="002445A1"/>
    <w:rsid w:val="00244AA7"/>
    <w:rsid w:val="00244AAD"/>
    <w:rsid w:val="00244C42"/>
    <w:rsid w:val="002453C9"/>
    <w:rsid w:val="0024551A"/>
    <w:rsid w:val="0024662B"/>
    <w:rsid w:val="00246D7E"/>
    <w:rsid w:val="00246FCC"/>
    <w:rsid w:val="00247AFD"/>
    <w:rsid w:val="00250999"/>
    <w:rsid w:val="00250C53"/>
    <w:rsid w:val="00251B5F"/>
    <w:rsid w:val="00252432"/>
    <w:rsid w:val="002528B3"/>
    <w:rsid w:val="00252DED"/>
    <w:rsid w:val="002546FF"/>
    <w:rsid w:val="002551D2"/>
    <w:rsid w:val="0025626A"/>
    <w:rsid w:val="00256B20"/>
    <w:rsid w:val="00260192"/>
    <w:rsid w:val="002618E5"/>
    <w:rsid w:val="00261CAD"/>
    <w:rsid w:val="00261E4A"/>
    <w:rsid w:val="00262994"/>
    <w:rsid w:val="0026323D"/>
    <w:rsid w:val="00263D82"/>
    <w:rsid w:val="00264054"/>
    <w:rsid w:val="00264331"/>
    <w:rsid w:val="00264768"/>
    <w:rsid w:val="00264EEE"/>
    <w:rsid w:val="00265204"/>
    <w:rsid w:val="0026636F"/>
    <w:rsid w:val="00266B88"/>
    <w:rsid w:val="002722FF"/>
    <w:rsid w:val="0027236D"/>
    <w:rsid w:val="00272615"/>
    <w:rsid w:val="00272CF4"/>
    <w:rsid w:val="00272D3A"/>
    <w:rsid w:val="00272D47"/>
    <w:rsid w:val="002730EA"/>
    <w:rsid w:val="0027313B"/>
    <w:rsid w:val="00273AFB"/>
    <w:rsid w:val="002743E3"/>
    <w:rsid w:val="002747D7"/>
    <w:rsid w:val="00274A0C"/>
    <w:rsid w:val="00274C12"/>
    <w:rsid w:val="00274D0C"/>
    <w:rsid w:val="002751FA"/>
    <w:rsid w:val="002757CC"/>
    <w:rsid w:val="0027656B"/>
    <w:rsid w:val="00276686"/>
    <w:rsid w:val="00276A43"/>
    <w:rsid w:val="002770D7"/>
    <w:rsid w:val="002770F4"/>
    <w:rsid w:val="00280005"/>
    <w:rsid w:val="00280108"/>
    <w:rsid w:val="00280235"/>
    <w:rsid w:val="00280384"/>
    <w:rsid w:val="00280804"/>
    <w:rsid w:val="00280B47"/>
    <w:rsid w:val="00282BB1"/>
    <w:rsid w:val="00283592"/>
    <w:rsid w:val="0028399C"/>
    <w:rsid w:val="002841BD"/>
    <w:rsid w:val="00285B92"/>
    <w:rsid w:val="00285C64"/>
    <w:rsid w:val="002866F1"/>
    <w:rsid w:val="00286C77"/>
    <w:rsid w:val="00287908"/>
    <w:rsid w:val="00287AEC"/>
    <w:rsid w:val="002905DE"/>
    <w:rsid w:val="00290A60"/>
    <w:rsid w:val="00290BC4"/>
    <w:rsid w:val="00290C11"/>
    <w:rsid w:val="002915AC"/>
    <w:rsid w:val="0029160C"/>
    <w:rsid w:val="00292D49"/>
    <w:rsid w:val="00293586"/>
    <w:rsid w:val="00294482"/>
    <w:rsid w:val="0029457F"/>
    <w:rsid w:val="00294C29"/>
    <w:rsid w:val="00294FEA"/>
    <w:rsid w:val="00295469"/>
    <w:rsid w:val="002955ED"/>
    <w:rsid w:val="00295A67"/>
    <w:rsid w:val="002972BD"/>
    <w:rsid w:val="00297CBE"/>
    <w:rsid w:val="002A007A"/>
    <w:rsid w:val="002A08E1"/>
    <w:rsid w:val="002A0E89"/>
    <w:rsid w:val="002A0ED9"/>
    <w:rsid w:val="002A133F"/>
    <w:rsid w:val="002A1403"/>
    <w:rsid w:val="002A18D5"/>
    <w:rsid w:val="002A251E"/>
    <w:rsid w:val="002A2680"/>
    <w:rsid w:val="002A2756"/>
    <w:rsid w:val="002A29B6"/>
    <w:rsid w:val="002A2A02"/>
    <w:rsid w:val="002A38D3"/>
    <w:rsid w:val="002A3AB3"/>
    <w:rsid w:val="002A4A0F"/>
    <w:rsid w:val="002A4CB2"/>
    <w:rsid w:val="002A4F4B"/>
    <w:rsid w:val="002A577B"/>
    <w:rsid w:val="002A5C84"/>
    <w:rsid w:val="002A6528"/>
    <w:rsid w:val="002A6551"/>
    <w:rsid w:val="002A7DDF"/>
    <w:rsid w:val="002B0DF9"/>
    <w:rsid w:val="002B0E76"/>
    <w:rsid w:val="002B1311"/>
    <w:rsid w:val="002B201A"/>
    <w:rsid w:val="002B24B6"/>
    <w:rsid w:val="002B2C50"/>
    <w:rsid w:val="002B3289"/>
    <w:rsid w:val="002B39A6"/>
    <w:rsid w:val="002B40B3"/>
    <w:rsid w:val="002B411C"/>
    <w:rsid w:val="002B4489"/>
    <w:rsid w:val="002B44EB"/>
    <w:rsid w:val="002B4C4F"/>
    <w:rsid w:val="002B5261"/>
    <w:rsid w:val="002B65F6"/>
    <w:rsid w:val="002C0A06"/>
    <w:rsid w:val="002C0B3C"/>
    <w:rsid w:val="002C1988"/>
    <w:rsid w:val="002C2AC4"/>
    <w:rsid w:val="002C3A74"/>
    <w:rsid w:val="002C3B5D"/>
    <w:rsid w:val="002C3CE0"/>
    <w:rsid w:val="002C3F5E"/>
    <w:rsid w:val="002C415E"/>
    <w:rsid w:val="002C45DD"/>
    <w:rsid w:val="002C4B56"/>
    <w:rsid w:val="002C4E1E"/>
    <w:rsid w:val="002C4E39"/>
    <w:rsid w:val="002C4F8C"/>
    <w:rsid w:val="002C5BC6"/>
    <w:rsid w:val="002C5D05"/>
    <w:rsid w:val="002C67F1"/>
    <w:rsid w:val="002C7193"/>
    <w:rsid w:val="002D0013"/>
    <w:rsid w:val="002D0787"/>
    <w:rsid w:val="002D0FBE"/>
    <w:rsid w:val="002D172E"/>
    <w:rsid w:val="002D1B29"/>
    <w:rsid w:val="002D1BEA"/>
    <w:rsid w:val="002D2E53"/>
    <w:rsid w:val="002D2FBD"/>
    <w:rsid w:val="002D341A"/>
    <w:rsid w:val="002D4071"/>
    <w:rsid w:val="002D42E3"/>
    <w:rsid w:val="002D4951"/>
    <w:rsid w:val="002D4BC8"/>
    <w:rsid w:val="002D5439"/>
    <w:rsid w:val="002D590C"/>
    <w:rsid w:val="002D70A5"/>
    <w:rsid w:val="002D7849"/>
    <w:rsid w:val="002D79CD"/>
    <w:rsid w:val="002D7A52"/>
    <w:rsid w:val="002D7CF5"/>
    <w:rsid w:val="002D7D0A"/>
    <w:rsid w:val="002E012A"/>
    <w:rsid w:val="002E05E0"/>
    <w:rsid w:val="002E104D"/>
    <w:rsid w:val="002E16FF"/>
    <w:rsid w:val="002E1CE8"/>
    <w:rsid w:val="002E281A"/>
    <w:rsid w:val="002E29AB"/>
    <w:rsid w:val="002E301A"/>
    <w:rsid w:val="002E3580"/>
    <w:rsid w:val="002E3595"/>
    <w:rsid w:val="002E3D54"/>
    <w:rsid w:val="002E3F36"/>
    <w:rsid w:val="002E4144"/>
    <w:rsid w:val="002E512B"/>
    <w:rsid w:val="002E51FB"/>
    <w:rsid w:val="002E5228"/>
    <w:rsid w:val="002E563E"/>
    <w:rsid w:val="002E607A"/>
    <w:rsid w:val="002E639E"/>
    <w:rsid w:val="002E70A6"/>
    <w:rsid w:val="002E70EB"/>
    <w:rsid w:val="002E75C1"/>
    <w:rsid w:val="002E77C1"/>
    <w:rsid w:val="002E7838"/>
    <w:rsid w:val="002F0A21"/>
    <w:rsid w:val="002F161E"/>
    <w:rsid w:val="002F1F9C"/>
    <w:rsid w:val="002F2214"/>
    <w:rsid w:val="002F23D3"/>
    <w:rsid w:val="002F269A"/>
    <w:rsid w:val="002F29A6"/>
    <w:rsid w:val="002F32C3"/>
    <w:rsid w:val="002F3611"/>
    <w:rsid w:val="002F3F58"/>
    <w:rsid w:val="002F4A96"/>
    <w:rsid w:val="002F5A83"/>
    <w:rsid w:val="002F637F"/>
    <w:rsid w:val="002F6439"/>
    <w:rsid w:val="002F6DC8"/>
    <w:rsid w:val="002F6DD1"/>
    <w:rsid w:val="002F72C3"/>
    <w:rsid w:val="002F7D7C"/>
    <w:rsid w:val="003010D2"/>
    <w:rsid w:val="0030122C"/>
    <w:rsid w:val="0030193C"/>
    <w:rsid w:val="00301B78"/>
    <w:rsid w:val="00301DB0"/>
    <w:rsid w:val="00302271"/>
    <w:rsid w:val="0030293D"/>
    <w:rsid w:val="003029E6"/>
    <w:rsid w:val="003034DC"/>
    <w:rsid w:val="0030554E"/>
    <w:rsid w:val="00305E48"/>
    <w:rsid w:val="00306FAA"/>
    <w:rsid w:val="0030760F"/>
    <w:rsid w:val="0031020C"/>
    <w:rsid w:val="0031183F"/>
    <w:rsid w:val="003127BE"/>
    <w:rsid w:val="00312F22"/>
    <w:rsid w:val="003131A0"/>
    <w:rsid w:val="0031337C"/>
    <w:rsid w:val="00313B91"/>
    <w:rsid w:val="00313C40"/>
    <w:rsid w:val="00313D1A"/>
    <w:rsid w:val="00314144"/>
    <w:rsid w:val="00314395"/>
    <w:rsid w:val="00314BDA"/>
    <w:rsid w:val="00314FE5"/>
    <w:rsid w:val="0031630B"/>
    <w:rsid w:val="00316AC4"/>
    <w:rsid w:val="00316EBE"/>
    <w:rsid w:val="00316FCB"/>
    <w:rsid w:val="00317B4C"/>
    <w:rsid w:val="00320F8F"/>
    <w:rsid w:val="00321FB2"/>
    <w:rsid w:val="003221A7"/>
    <w:rsid w:val="003235DC"/>
    <w:rsid w:val="00323B9E"/>
    <w:rsid w:val="00323C50"/>
    <w:rsid w:val="00324706"/>
    <w:rsid w:val="003261BD"/>
    <w:rsid w:val="00330230"/>
    <w:rsid w:val="0033072E"/>
    <w:rsid w:val="00330C80"/>
    <w:rsid w:val="003311F2"/>
    <w:rsid w:val="00331682"/>
    <w:rsid w:val="003326E3"/>
    <w:rsid w:val="00332E63"/>
    <w:rsid w:val="003339E0"/>
    <w:rsid w:val="003341ED"/>
    <w:rsid w:val="00334935"/>
    <w:rsid w:val="00335716"/>
    <w:rsid w:val="00335FCB"/>
    <w:rsid w:val="003367EB"/>
    <w:rsid w:val="00336939"/>
    <w:rsid w:val="00336A9A"/>
    <w:rsid w:val="0033779A"/>
    <w:rsid w:val="00337FD8"/>
    <w:rsid w:val="003406C6"/>
    <w:rsid w:val="00340A13"/>
    <w:rsid w:val="003419A8"/>
    <w:rsid w:val="00341AF7"/>
    <w:rsid w:val="00341FB6"/>
    <w:rsid w:val="003424E2"/>
    <w:rsid w:val="003427B0"/>
    <w:rsid w:val="00342DB3"/>
    <w:rsid w:val="0034385A"/>
    <w:rsid w:val="00343B2C"/>
    <w:rsid w:val="00343D4D"/>
    <w:rsid w:val="00343F97"/>
    <w:rsid w:val="00344193"/>
    <w:rsid w:val="00344B7A"/>
    <w:rsid w:val="003466D2"/>
    <w:rsid w:val="003468EC"/>
    <w:rsid w:val="00346FB2"/>
    <w:rsid w:val="00350258"/>
    <w:rsid w:val="00350E6B"/>
    <w:rsid w:val="00351729"/>
    <w:rsid w:val="003522E6"/>
    <w:rsid w:val="0035279C"/>
    <w:rsid w:val="00352BE4"/>
    <w:rsid w:val="003539C3"/>
    <w:rsid w:val="003551B8"/>
    <w:rsid w:val="003555C9"/>
    <w:rsid w:val="00355E36"/>
    <w:rsid w:val="003561C3"/>
    <w:rsid w:val="00356B85"/>
    <w:rsid w:val="00356DF0"/>
    <w:rsid w:val="003571C6"/>
    <w:rsid w:val="003602FB"/>
    <w:rsid w:val="003608CD"/>
    <w:rsid w:val="003618A2"/>
    <w:rsid w:val="003619EF"/>
    <w:rsid w:val="00361A05"/>
    <w:rsid w:val="00361CA0"/>
    <w:rsid w:val="00362EB9"/>
    <w:rsid w:val="003635EA"/>
    <w:rsid w:val="00363B46"/>
    <w:rsid w:val="0036454D"/>
    <w:rsid w:val="00364E7A"/>
    <w:rsid w:val="0036523D"/>
    <w:rsid w:val="00365B74"/>
    <w:rsid w:val="00365B9D"/>
    <w:rsid w:val="003669E2"/>
    <w:rsid w:val="00366E0D"/>
    <w:rsid w:val="00366E22"/>
    <w:rsid w:val="00367189"/>
    <w:rsid w:val="00367216"/>
    <w:rsid w:val="00367250"/>
    <w:rsid w:val="0036774A"/>
    <w:rsid w:val="003706A4"/>
    <w:rsid w:val="00370AE5"/>
    <w:rsid w:val="00370AEB"/>
    <w:rsid w:val="0037127F"/>
    <w:rsid w:val="0037138C"/>
    <w:rsid w:val="00371BD9"/>
    <w:rsid w:val="00371D19"/>
    <w:rsid w:val="00371F9C"/>
    <w:rsid w:val="00371FAC"/>
    <w:rsid w:val="00372534"/>
    <w:rsid w:val="00372C4F"/>
    <w:rsid w:val="00373511"/>
    <w:rsid w:val="00373CD3"/>
    <w:rsid w:val="00373D5B"/>
    <w:rsid w:val="003743D7"/>
    <w:rsid w:val="003745DF"/>
    <w:rsid w:val="00374D50"/>
    <w:rsid w:val="00375980"/>
    <w:rsid w:val="00376CFB"/>
    <w:rsid w:val="0037774A"/>
    <w:rsid w:val="00377C58"/>
    <w:rsid w:val="00377FB3"/>
    <w:rsid w:val="00380E8F"/>
    <w:rsid w:val="003813EA"/>
    <w:rsid w:val="003818B6"/>
    <w:rsid w:val="00381994"/>
    <w:rsid w:val="00382C42"/>
    <w:rsid w:val="003833C7"/>
    <w:rsid w:val="0038380A"/>
    <w:rsid w:val="00383E44"/>
    <w:rsid w:val="00383EB3"/>
    <w:rsid w:val="00384295"/>
    <w:rsid w:val="0038531A"/>
    <w:rsid w:val="00385471"/>
    <w:rsid w:val="003854E5"/>
    <w:rsid w:val="00386D44"/>
    <w:rsid w:val="00386D69"/>
    <w:rsid w:val="00386E2D"/>
    <w:rsid w:val="00386E75"/>
    <w:rsid w:val="00386F79"/>
    <w:rsid w:val="00387531"/>
    <w:rsid w:val="0039009B"/>
    <w:rsid w:val="00391322"/>
    <w:rsid w:val="00391B85"/>
    <w:rsid w:val="00391C44"/>
    <w:rsid w:val="0039278F"/>
    <w:rsid w:val="003928B1"/>
    <w:rsid w:val="003930BD"/>
    <w:rsid w:val="003936F8"/>
    <w:rsid w:val="003941F3"/>
    <w:rsid w:val="00394615"/>
    <w:rsid w:val="00394B21"/>
    <w:rsid w:val="00394E7B"/>
    <w:rsid w:val="003950D0"/>
    <w:rsid w:val="00395477"/>
    <w:rsid w:val="00395626"/>
    <w:rsid w:val="00395F55"/>
    <w:rsid w:val="00396406"/>
    <w:rsid w:val="00397E89"/>
    <w:rsid w:val="003A068A"/>
    <w:rsid w:val="003A1F67"/>
    <w:rsid w:val="003A2456"/>
    <w:rsid w:val="003A249D"/>
    <w:rsid w:val="003A33C2"/>
    <w:rsid w:val="003A3E1D"/>
    <w:rsid w:val="003A47EB"/>
    <w:rsid w:val="003A4B3B"/>
    <w:rsid w:val="003A5201"/>
    <w:rsid w:val="003A59EF"/>
    <w:rsid w:val="003A7075"/>
    <w:rsid w:val="003A7449"/>
    <w:rsid w:val="003A783A"/>
    <w:rsid w:val="003B06C5"/>
    <w:rsid w:val="003B09E1"/>
    <w:rsid w:val="003B10DC"/>
    <w:rsid w:val="003B1713"/>
    <w:rsid w:val="003B1C40"/>
    <w:rsid w:val="003B2158"/>
    <w:rsid w:val="003B2D28"/>
    <w:rsid w:val="003B3930"/>
    <w:rsid w:val="003B3CA5"/>
    <w:rsid w:val="003B4310"/>
    <w:rsid w:val="003B4339"/>
    <w:rsid w:val="003B52D3"/>
    <w:rsid w:val="003B608E"/>
    <w:rsid w:val="003B6C21"/>
    <w:rsid w:val="003B6C5C"/>
    <w:rsid w:val="003B7485"/>
    <w:rsid w:val="003B75F5"/>
    <w:rsid w:val="003C01AD"/>
    <w:rsid w:val="003C0827"/>
    <w:rsid w:val="003C0B3B"/>
    <w:rsid w:val="003C0CE1"/>
    <w:rsid w:val="003C29D9"/>
    <w:rsid w:val="003C2F6B"/>
    <w:rsid w:val="003C3813"/>
    <w:rsid w:val="003C3A3A"/>
    <w:rsid w:val="003C3FB0"/>
    <w:rsid w:val="003C5732"/>
    <w:rsid w:val="003C5A0A"/>
    <w:rsid w:val="003C5C34"/>
    <w:rsid w:val="003C5DF8"/>
    <w:rsid w:val="003C7148"/>
    <w:rsid w:val="003C7F31"/>
    <w:rsid w:val="003D05B4"/>
    <w:rsid w:val="003D1281"/>
    <w:rsid w:val="003D137F"/>
    <w:rsid w:val="003D156A"/>
    <w:rsid w:val="003D1578"/>
    <w:rsid w:val="003D26CB"/>
    <w:rsid w:val="003D27F0"/>
    <w:rsid w:val="003D2B5C"/>
    <w:rsid w:val="003D3862"/>
    <w:rsid w:val="003D403F"/>
    <w:rsid w:val="003D59C4"/>
    <w:rsid w:val="003D5AFA"/>
    <w:rsid w:val="003D6101"/>
    <w:rsid w:val="003D617B"/>
    <w:rsid w:val="003D61D2"/>
    <w:rsid w:val="003D774E"/>
    <w:rsid w:val="003D7B50"/>
    <w:rsid w:val="003E043C"/>
    <w:rsid w:val="003E0CFC"/>
    <w:rsid w:val="003E0DEF"/>
    <w:rsid w:val="003E1076"/>
    <w:rsid w:val="003E1502"/>
    <w:rsid w:val="003E24E3"/>
    <w:rsid w:val="003E31B6"/>
    <w:rsid w:val="003E36CD"/>
    <w:rsid w:val="003E3BE0"/>
    <w:rsid w:val="003E4243"/>
    <w:rsid w:val="003E498C"/>
    <w:rsid w:val="003E4BA9"/>
    <w:rsid w:val="003E538E"/>
    <w:rsid w:val="003E5825"/>
    <w:rsid w:val="003E589B"/>
    <w:rsid w:val="003E592F"/>
    <w:rsid w:val="003E5A78"/>
    <w:rsid w:val="003E5DF5"/>
    <w:rsid w:val="003E5F2A"/>
    <w:rsid w:val="003E6CA1"/>
    <w:rsid w:val="003E771A"/>
    <w:rsid w:val="003F0853"/>
    <w:rsid w:val="003F1058"/>
    <w:rsid w:val="003F13C2"/>
    <w:rsid w:val="003F22CD"/>
    <w:rsid w:val="003F22DA"/>
    <w:rsid w:val="003F3314"/>
    <w:rsid w:val="003F43EA"/>
    <w:rsid w:val="003F4CCE"/>
    <w:rsid w:val="003F6133"/>
    <w:rsid w:val="003F639F"/>
    <w:rsid w:val="003F6C2C"/>
    <w:rsid w:val="003F6F8F"/>
    <w:rsid w:val="003F7072"/>
    <w:rsid w:val="003F73FD"/>
    <w:rsid w:val="00400046"/>
    <w:rsid w:val="0040037A"/>
    <w:rsid w:val="00400B49"/>
    <w:rsid w:val="00400ED9"/>
    <w:rsid w:val="00401036"/>
    <w:rsid w:val="00401876"/>
    <w:rsid w:val="00401B97"/>
    <w:rsid w:val="00402497"/>
    <w:rsid w:val="00402885"/>
    <w:rsid w:val="00402913"/>
    <w:rsid w:val="00402FBF"/>
    <w:rsid w:val="00403062"/>
    <w:rsid w:val="0040377C"/>
    <w:rsid w:val="00403839"/>
    <w:rsid w:val="00404EA1"/>
    <w:rsid w:val="0040501C"/>
    <w:rsid w:val="004053FC"/>
    <w:rsid w:val="00406C39"/>
    <w:rsid w:val="00407A6D"/>
    <w:rsid w:val="00407BF6"/>
    <w:rsid w:val="0041017A"/>
    <w:rsid w:val="0041018F"/>
    <w:rsid w:val="00410827"/>
    <w:rsid w:val="00410AB1"/>
    <w:rsid w:val="00411FBA"/>
    <w:rsid w:val="00412178"/>
    <w:rsid w:val="00412274"/>
    <w:rsid w:val="0041262E"/>
    <w:rsid w:val="004128F3"/>
    <w:rsid w:val="00413187"/>
    <w:rsid w:val="004132DF"/>
    <w:rsid w:val="00413321"/>
    <w:rsid w:val="004149D8"/>
    <w:rsid w:val="004149EF"/>
    <w:rsid w:val="004155F0"/>
    <w:rsid w:val="00415606"/>
    <w:rsid w:val="004156B3"/>
    <w:rsid w:val="00415C33"/>
    <w:rsid w:val="00417169"/>
    <w:rsid w:val="004202F6"/>
    <w:rsid w:val="00420354"/>
    <w:rsid w:val="00420465"/>
    <w:rsid w:val="00421E47"/>
    <w:rsid w:val="00421E57"/>
    <w:rsid w:val="004227BC"/>
    <w:rsid w:val="00422EAB"/>
    <w:rsid w:val="0042333C"/>
    <w:rsid w:val="00423779"/>
    <w:rsid w:val="00423C15"/>
    <w:rsid w:val="00423C5E"/>
    <w:rsid w:val="00423F72"/>
    <w:rsid w:val="004245BA"/>
    <w:rsid w:val="00424F5E"/>
    <w:rsid w:val="004250E1"/>
    <w:rsid w:val="00425235"/>
    <w:rsid w:val="00426D83"/>
    <w:rsid w:val="00426DCE"/>
    <w:rsid w:val="0042707A"/>
    <w:rsid w:val="00427BFD"/>
    <w:rsid w:val="004303F5"/>
    <w:rsid w:val="0043057A"/>
    <w:rsid w:val="00431155"/>
    <w:rsid w:val="00431361"/>
    <w:rsid w:val="00431AB9"/>
    <w:rsid w:val="00432A00"/>
    <w:rsid w:val="00432DEE"/>
    <w:rsid w:val="00432EE3"/>
    <w:rsid w:val="00432FFC"/>
    <w:rsid w:val="0043420C"/>
    <w:rsid w:val="00434665"/>
    <w:rsid w:val="00434B50"/>
    <w:rsid w:val="00435BBF"/>
    <w:rsid w:val="0043615D"/>
    <w:rsid w:val="004362F1"/>
    <w:rsid w:val="004366BD"/>
    <w:rsid w:val="00436B45"/>
    <w:rsid w:val="004376FC"/>
    <w:rsid w:val="00441FA4"/>
    <w:rsid w:val="004422AF"/>
    <w:rsid w:val="00443374"/>
    <w:rsid w:val="00443BAE"/>
    <w:rsid w:val="00443C5C"/>
    <w:rsid w:val="004452D4"/>
    <w:rsid w:val="00445940"/>
    <w:rsid w:val="00445B83"/>
    <w:rsid w:val="00445C3E"/>
    <w:rsid w:val="004468B2"/>
    <w:rsid w:val="00446AF6"/>
    <w:rsid w:val="00447692"/>
    <w:rsid w:val="004476DC"/>
    <w:rsid w:val="00447AAB"/>
    <w:rsid w:val="004506DC"/>
    <w:rsid w:val="00451499"/>
    <w:rsid w:val="00451C62"/>
    <w:rsid w:val="00452239"/>
    <w:rsid w:val="004525B4"/>
    <w:rsid w:val="0045444A"/>
    <w:rsid w:val="00455EA3"/>
    <w:rsid w:val="004562D5"/>
    <w:rsid w:val="004565C6"/>
    <w:rsid w:val="004601E9"/>
    <w:rsid w:val="004605BE"/>
    <w:rsid w:val="0046190F"/>
    <w:rsid w:val="00461DD5"/>
    <w:rsid w:val="00461E94"/>
    <w:rsid w:val="004639BC"/>
    <w:rsid w:val="00464211"/>
    <w:rsid w:val="0046523A"/>
    <w:rsid w:val="00465D23"/>
    <w:rsid w:val="00465D7D"/>
    <w:rsid w:val="00465F0C"/>
    <w:rsid w:val="004662DD"/>
    <w:rsid w:val="004665C5"/>
    <w:rsid w:val="00466ED9"/>
    <w:rsid w:val="004670E0"/>
    <w:rsid w:val="0046733F"/>
    <w:rsid w:val="004706DE"/>
    <w:rsid w:val="00470AC7"/>
    <w:rsid w:val="00470E31"/>
    <w:rsid w:val="0047101F"/>
    <w:rsid w:val="00471DB4"/>
    <w:rsid w:val="00471F4C"/>
    <w:rsid w:val="00472322"/>
    <w:rsid w:val="00472B0C"/>
    <w:rsid w:val="00473982"/>
    <w:rsid w:val="00473B53"/>
    <w:rsid w:val="00474A2C"/>
    <w:rsid w:val="00474EF9"/>
    <w:rsid w:val="004764F1"/>
    <w:rsid w:val="004766D7"/>
    <w:rsid w:val="00476797"/>
    <w:rsid w:val="00477BBE"/>
    <w:rsid w:val="0048084D"/>
    <w:rsid w:val="004810CA"/>
    <w:rsid w:val="00481647"/>
    <w:rsid w:val="00481736"/>
    <w:rsid w:val="00481C22"/>
    <w:rsid w:val="004822A8"/>
    <w:rsid w:val="00483018"/>
    <w:rsid w:val="00483320"/>
    <w:rsid w:val="0048339E"/>
    <w:rsid w:val="00483722"/>
    <w:rsid w:val="00483CDA"/>
    <w:rsid w:val="00484078"/>
    <w:rsid w:val="0048423B"/>
    <w:rsid w:val="00484254"/>
    <w:rsid w:val="0048489C"/>
    <w:rsid w:val="0048552C"/>
    <w:rsid w:val="00487046"/>
    <w:rsid w:val="00487DC4"/>
    <w:rsid w:val="00487EB8"/>
    <w:rsid w:val="00490339"/>
    <w:rsid w:val="004910CB"/>
    <w:rsid w:val="0049114D"/>
    <w:rsid w:val="004924C9"/>
    <w:rsid w:val="00492FF7"/>
    <w:rsid w:val="00493A52"/>
    <w:rsid w:val="00494365"/>
    <w:rsid w:val="00494877"/>
    <w:rsid w:val="00494982"/>
    <w:rsid w:val="004950AC"/>
    <w:rsid w:val="00495E58"/>
    <w:rsid w:val="004969E9"/>
    <w:rsid w:val="004A02CD"/>
    <w:rsid w:val="004A05A9"/>
    <w:rsid w:val="004A0782"/>
    <w:rsid w:val="004A0A90"/>
    <w:rsid w:val="004A0AD4"/>
    <w:rsid w:val="004A0E10"/>
    <w:rsid w:val="004A0F95"/>
    <w:rsid w:val="004A109D"/>
    <w:rsid w:val="004A170D"/>
    <w:rsid w:val="004A1A08"/>
    <w:rsid w:val="004A1B14"/>
    <w:rsid w:val="004A1DC9"/>
    <w:rsid w:val="004A2181"/>
    <w:rsid w:val="004A315B"/>
    <w:rsid w:val="004A332C"/>
    <w:rsid w:val="004A35F2"/>
    <w:rsid w:val="004A3CD3"/>
    <w:rsid w:val="004A3E21"/>
    <w:rsid w:val="004A3F66"/>
    <w:rsid w:val="004A4A7C"/>
    <w:rsid w:val="004A7534"/>
    <w:rsid w:val="004A774E"/>
    <w:rsid w:val="004B00E2"/>
    <w:rsid w:val="004B0B3D"/>
    <w:rsid w:val="004B0EB9"/>
    <w:rsid w:val="004B0F9E"/>
    <w:rsid w:val="004B1705"/>
    <w:rsid w:val="004B21FB"/>
    <w:rsid w:val="004B226F"/>
    <w:rsid w:val="004B3641"/>
    <w:rsid w:val="004B372C"/>
    <w:rsid w:val="004B4000"/>
    <w:rsid w:val="004B4AE3"/>
    <w:rsid w:val="004B4FCE"/>
    <w:rsid w:val="004B526B"/>
    <w:rsid w:val="004B6126"/>
    <w:rsid w:val="004B6B00"/>
    <w:rsid w:val="004B6F78"/>
    <w:rsid w:val="004B7320"/>
    <w:rsid w:val="004B7327"/>
    <w:rsid w:val="004B77FE"/>
    <w:rsid w:val="004B7C9D"/>
    <w:rsid w:val="004C005E"/>
    <w:rsid w:val="004C00CA"/>
    <w:rsid w:val="004C0E34"/>
    <w:rsid w:val="004C11EA"/>
    <w:rsid w:val="004C1A51"/>
    <w:rsid w:val="004C1B8E"/>
    <w:rsid w:val="004C2B8B"/>
    <w:rsid w:val="004C2BFA"/>
    <w:rsid w:val="004C413B"/>
    <w:rsid w:val="004C4179"/>
    <w:rsid w:val="004C4624"/>
    <w:rsid w:val="004C4788"/>
    <w:rsid w:val="004C4FA7"/>
    <w:rsid w:val="004C5182"/>
    <w:rsid w:val="004C55F1"/>
    <w:rsid w:val="004C5745"/>
    <w:rsid w:val="004C5A98"/>
    <w:rsid w:val="004C5D3A"/>
    <w:rsid w:val="004C5FD2"/>
    <w:rsid w:val="004C60A8"/>
    <w:rsid w:val="004C6507"/>
    <w:rsid w:val="004C6978"/>
    <w:rsid w:val="004C6AA2"/>
    <w:rsid w:val="004C6AB2"/>
    <w:rsid w:val="004C7650"/>
    <w:rsid w:val="004C76A8"/>
    <w:rsid w:val="004C7C05"/>
    <w:rsid w:val="004C7D36"/>
    <w:rsid w:val="004C7D9C"/>
    <w:rsid w:val="004C7FCE"/>
    <w:rsid w:val="004D00B1"/>
    <w:rsid w:val="004D0245"/>
    <w:rsid w:val="004D03EE"/>
    <w:rsid w:val="004D1190"/>
    <w:rsid w:val="004D138B"/>
    <w:rsid w:val="004D145D"/>
    <w:rsid w:val="004D211F"/>
    <w:rsid w:val="004D27AC"/>
    <w:rsid w:val="004D3CE1"/>
    <w:rsid w:val="004D4103"/>
    <w:rsid w:val="004D4470"/>
    <w:rsid w:val="004D45EC"/>
    <w:rsid w:val="004D464A"/>
    <w:rsid w:val="004D4FD5"/>
    <w:rsid w:val="004D5AA8"/>
    <w:rsid w:val="004D5C6B"/>
    <w:rsid w:val="004D5E21"/>
    <w:rsid w:val="004D66B6"/>
    <w:rsid w:val="004D6E8B"/>
    <w:rsid w:val="004D72BF"/>
    <w:rsid w:val="004D7744"/>
    <w:rsid w:val="004D787C"/>
    <w:rsid w:val="004D7F40"/>
    <w:rsid w:val="004E062B"/>
    <w:rsid w:val="004E0D32"/>
    <w:rsid w:val="004E143F"/>
    <w:rsid w:val="004E1519"/>
    <w:rsid w:val="004E1565"/>
    <w:rsid w:val="004E1EEC"/>
    <w:rsid w:val="004E225F"/>
    <w:rsid w:val="004E2F0C"/>
    <w:rsid w:val="004E33E7"/>
    <w:rsid w:val="004E3826"/>
    <w:rsid w:val="004E3838"/>
    <w:rsid w:val="004E4831"/>
    <w:rsid w:val="004E50B9"/>
    <w:rsid w:val="004E5CA2"/>
    <w:rsid w:val="004E5D12"/>
    <w:rsid w:val="004E646F"/>
    <w:rsid w:val="004E6BE8"/>
    <w:rsid w:val="004F0F28"/>
    <w:rsid w:val="004F148F"/>
    <w:rsid w:val="004F1DD2"/>
    <w:rsid w:val="004F1E5D"/>
    <w:rsid w:val="004F2483"/>
    <w:rsid w:val="004F2C44"/>
    <w:rsid w:val="004F2C49"/>
    <w:rsid w:val="004F315C"/>
    <w:rsid w:val="004F3699"/>
    <w:rsid w:val="004F3710"/>
    <w:rsid w:val="004F3C08"/>
    <w:rsid w:val="004F5C60"/>
    <w:rsid w:val="004F648E"/>
    <w:rsid w:val="004F65E9"/>
    <w:rsid w:val="004F6957"/>
    <w:rsid w:val="004F6C0E"/>
    <w:rsid w:val="004F6FBF"/>
    <w:rsid w:val="005009AE"/>
    <w:rsid w:val="00501094"/>
    <w:rsid w:val="0050114A"/>
    <w:rsid w:val="0050222A"/>
    <w:rsid w:val="005027B8"/>
    <w:rsid w:val="00503A7F"/>
    <w:rsid w:val="00504437"/>
    <w:rsid w:val="0050489C"/>
    <w:rsid w:val="00505548"/>
    <w:rsid w:val="00505B3A"/>
    <w:rsid w:val="00505B84"/>
    <w:rsid w:val="00506033"/>
    <w:rsid w:val="00506439"/>
    <w:rsid w:val="0050730E"/>
    <w:rsid w:val="0051015A"/>
    <w:rsid w:val="005104F4"/>
    <w:rsid w:val="00510A92"/>
    <w:rsid w:val="00511408"/>
    <w:rsid w:val="0051179D"/>
    <w:rsid w:val="00512063"/>
    <w:rsid w:val="005134CB"/>
    <w:rsid w:val="00513E68"/>
    <w:rsid w:val="005142B9"/>
    <w:rsid w:val="0051470C"/>
    <w:rsid w:val="005148FA"/>
    <w:rsid w:val="00514E3A"/>
    <w:rsid w:val="00515543"/>
    <w:rsid w:val="00515634"/>
    <w:rsid w:val="005168E4"/>
    <w:rsid w:val="0051691A"/>
    <w:rsid w:val="00516F05"/>
    <w:rsid w:val="00517795"/>
    <w:rsid w:val="005178E4"/>
    <w:rsid w:val="005179BA"/>
    <w:rsid w:val="00517BC6"/>
    <w:rsid w:val="00520EE7"/>
    <w:rsid w:val="00521550"/>
    <w:rsid w:val="005218F4"/>
    <w:rsid w:val="00521907"/>
    <w:rsid w:val="005226BD"/>
    <w:rsid w:val="00523A38"/>
    <w:rsid w:val="005244EB"/>
    <w:rsid w:val="00524C32"/>
    <w:rsid w:val="00524E29"/>
    <w:rsid w:val="0052503F"/>
    <w:rsid w:val="005254CE"/>
    <w:rsid w:val="00525C40"/>
    <w:rsid w:val="00526D7E"/>
    <w:rsid w:val="0052708C"/>
    <w:rsid w:val="005272E7"/>
    <w:rsid w:val="005276A7"/>
    <w:rsid w:val="0052772A"/>
    <w:rsid w:val="00530411"/>
    <w:rsid w:val="00530942"/>
    <w:rsid w:val="00531E3C"/>
    <w:rsid w:val="00531EBA"/>
    <w:rsid w:val="00532306"/>
    <w:rsid w:val="005325F9"/>
    <w:rsid w:val="005327F2"/>
    <w:rsid w:val="00532B0C"/>
    <w:rsid w:val="00532FE6"/>
    <w:rsid w:val="00533BDE"/>
    <w:rsid w:val="00533D6F"/>
    <w:rsid w:val="0053434D"/>
    <w:rsid w:val="00534E98"/>
    <w:rsid w:val="00535B2F"/>
    <w:rsid w:val="00535E76"/>
    <w:rsid w:val="005363BC"/>
    <w:rsid w:val="0053680C"/>
    <w:rsid w:val="00536BA5"/>
    <w:rsid w:val="00537843"/>
    <w:rsid w:val="00540220"/>
    <w:rsid w:val="00540F25"/>
    <w:rsid w:val="00541060"/>
    <w:rsid w:val="00541EBE"/>
    <w:rsid w:val="005424F7"/>
    <w:rsid w:val="00543EBD"/>
    <w:rsid w:val="005442E0"/>
    <w:rsid w:val="00544B6E"/>
    <w:rsid w:val="00544F82"/>
    <w:rsid w:val="005453C5"/>
    <w:rsid w:val="005457CE"/>
    <w:rsid w:val="00546012"/>
    <w:rsid w:val="00546715"/>
    <w:rsid w:val="00547161"/>
    <w:rsid w:val="00547427"/>
    <w:rsid w:val="0054788C"/>
    <w:rsid w:val="005479C7"/>
    <w:rsid w:val="005479DF"/>
    <w:rsid w:val="00550217"/>
    <w:rsid w:val="005508E0"/>
    <w:rsid w:val="00550CF5"/>
    <w:rsid w:val="005517AA"/>
    <w:rsid w:val="00551E43"/>
    <w:rsid w:val="0055285D"/>
    <w:rsid w:val="005529B1"/>
    <w:rsid w:val="00552D94"/>
    <w:rsid w:val="00552F5C"/>
    <w:rsid w:val="00553024"/>
    <w:rsid w:val="00553EDB"/>
    <w:rsid w:val="00554762"/>
    <w:rsid w:val="005547BB"/>
    <w:rsid w:val="00554A05"/>
    <w:rsid w:val="005554B4"/>
    <w:rsid w:val="005559F9"/>
    <w:rsid w:val="00555BBD"/>
    <w:rsid w:val="00555F5A"/>
    <w:rsid w:val="0055690B"/>
    <w:rsid w:val="00556BBD"/>
    <w:rsid w:val="00557FB1"/>
    <w:rsid w:val="005602CA"/>
    <w:rsid w:val="00560358"/>
    <w:rsid w:val="005609B4"/>
    <w:rsid w:val="00560A10"/>
    <w:rsid w:val="00560DB9"/>
    <w:rsid w:val="0056182D"/>
    <w:rsid w:val="005619F0"/>
    <w:rsid w:val="00562257"/>
    <w:rsid w:val="00562B46"/>
    <w:rsid w:val="00562BEA"/>
    <w:rsid w:val="00564299"/>
    <w:rsid w:val="00564560"/>
    <w:rsid w:val="00564628"/>
    <w:rsid w:val="00564B68"/>
    <w:rsid w:val="00564DAE"/>
    <w:rsid w:val="005655A8"/>
    <w:rsid w:val="00566178"/>
    <w:rsid w:val="0056664A"/>
    <w:rsid w:val="00567475"/>
    <w:rsid w:val="00567CD8"/>
    <w:rsid w:val="00567DF2"/>
    <w:rsid w:val="005703DB"/>
    <w:rsid w:val="005709DF"/>
    <w:rsid w:val="005717EE"/>
    <w:rsid w:val="00571E2D"/>
    <w:rsid w:val="00572325"/>
    <w:rsid w:val="00572A08"/>
    <w:rsid w:val="005735EF"/>
    <w:rsid w:val="0057363B"/>
    <w:rsid w:val="005739E1"/>
    <w:rsid w:val="00573CC5"/>
    <w:rsid w:val="005743A2"/>
    <w:rsid w:val="00574C59"/>
    <w:rsid w:val="00575255"/>
    <w:rsid w:val="005752A0"/>
    <w:rsid w:val="00575788"/>
    <w:rsid w:val="00576391"/>
    <w:rsid w:val="00576A54"/>
    <w:rsid w:val="00576C23"/>
    <w:rsid w:val="0057712B"/>
    <w:rsid w:val="0057775C"/>
    <w:rsid w:val="00577DB9"/>
    <w:rsid w:val="00580FF4"/>
    <w:rsid w:val="0058104D"/>
    <w:rsid w:val="0058138E"/>
    <w:rsid w:val="00581559"/>
    <w:rsid w:val="00581FA6"/>
    <w:rsid w:val="00582107"/>
    <w:rsid w:val="00582E36"/>
    <w:rsid w:val="00584F49"/>
    <w:rsid w:val="005852E4"/>
    <w:rsid w:val="005852F6"/>
    <w:rsid w:val="005855E4"/>
    <w:rsid w:val="00585684"/>
    <w:rsid w:val="0058634D"/>
    <w:rsid w:val="0058695D"/>
    <w:rsid w:val="00586FC9"/>
    <w:rsid w:val="005870EC"/>
    <w:rsid w:val="00587CE2"/>
    <w:rsid w:val="00587ECB"/>
    <w:rsid w:val="00591B73"/>
    <w:rsid w:val="00592641"/>
    <w:rsid w:val="0059323E"/>
    <w:rsid w:val="00593691"/>
    <w:rsid w:val="0059395A"/>
    <w:rsid w:val="00593ADD"/>
    <w:rsid w:val="0059439F"/>
    <w:rsid w:val="005944C9"/>
    <w:rsid w:val="00594625"/>
    <w:rsid w:val="00594F0C"/>
    <w:rsid w:val="00595AEF"/>
    <w:rsid w:val="00595CD2"/>
    <w:rsid w:val="00595FC8"/>
    <w:rsid w:val="00596333"/>
    <w:rsid w:val="005972C2"/>
    <w:rsid w:val="00597583"/>
    <w:rsid w:val="005978DA"/>
    <w:rsid w:val="005A025D"/>
    <w:rsid w:val="005A0BA1"/>
    <w:rsid w:val="005A144F"/>
    <w:rsid w:val="005A1AD4"/>
    <w:rsid w:val="005A1B14"/>
    <w:rsid w:val="005A1BA5"/>
    <w:rsid w:val="005A25E7"/>
    <w:rsid w:val="005A2769"/>
    <w:rsid w:val="005A2E4D"/>
    <w:rsid w:val="005A2F28"/>
    <w:rsid w:val="005A317E"/>
    <w:rsid w:val="005A3E20"/>
    <w:rsid w:val="005A445C"/>
    <w:rsid w:val="005A48A9"/>
    <w:rsid w:val="005A4B8C"/>
    <w:rsid w:val="005A4E8A"/>
    <w:rsid w:val="005A6E1B"/>
    <w:rsid w:val="005A77DC"/>
    <w:rsid w:val="005B00AD"/>
    <w:rsid w:val="005B054E"/>
    <w:rsid w:val="005B2668"/>
    <w:rsid w:val="005B27A5"/>
    <w:rsid w:val="005B292D"/>
    <w:rsid w:val="005B3DA0"/>
    <w:rsid w:val="005B3E5D"/>
    <w:rsid w:val="005B470A"/>
    <w:rsid w:val="005B5290"/>
    <w:rsid w:val="005B5B29"/>
    <w:rsid w:val="005B6439"/>
    <w:rsid w:val="005B6FFF"/>
    <w:rsid w:val="005B79FF"/>
    <w:rsid w:val="005C1151"/>
    <w:rsid w:val="005C1599"/>
    <w:rsid w:val="005C166D"/>
    <w:rsid w:val="005C1C03"/>
    <w:rsid w:val="005C2622"/>
    <w:rsid w:val="005C303E"/>
    <w:rsid w:val="005C3655"/>
    <w:rsid w:val="005C397D"/>
    <w:rsid w:val="005C471A"/>
    <w:rsid w:val="005C4F49"/>
    <w:rsid w:val="005C528D"/>
    <w:rsid w:val="005C54CC"/>
    <w:rsid w:val="005C57BA"/>
    <w:rsid w:val="005C5E4F"/>
    <w:rsid w:val="005C6BDA"/>
    <w:rsid w:val="005C7C93"/>
    <w:rsid w:val="005D0906"/>
    <w:rsid w:val="005D0A2D"/>
    <w:rsid w:val="005D0D49"/>
    <w:rsid w:val="005D12D2"/>
    <w:rsid w:val="005D260A"/>
    <w:rsid w:val="005D2AD4"/>
    <w:rsid w:val="005D2AF4"/>
    <w:rsid w:val="005D2DD3"/>
    <w:rsid w:val="005D3104"/>
    <w:rsid w:val="005D3229"/>
    <w:rsid w:val="005D3B5F"/>
    <w:rsid w:val="005D6871"/>
    <w:rsid w:val="005D6921"/>
    <w:rsid w:val="005D7B94"/>
    <w:rsid w:val="005D7E01"/>
    <w:rsid w:val="005E05DA"/>
    <w:rsid w:val="005E1180"/>
    <w:rsid w:val="005E1824"/>
    <w:rsid w:val="005E1826"/>
    <w:rsid w:val="005E2E89"/>
    <w:rsid w:val="005E36B0"/>
    <w:rsid w:val="005E3E58"/>
    <w:rsid w:val="005E406D"/>
    <w:rsid w:val="005E5378"/>
    <w:rsid w:val="005E5434"/>
    <w:rsid w:val="005E598D"/>
    <w:rsid w:val="005E5CCE"/>
    <w:rsid w:val="005E64D5"/>
    <w:rsid w:val="005E6FBF"/>
    <w:rsid w:val="005E75AF"/>
    <w:rsid w:val="005E7B8F"/>
    <w:rsid w:val="005E7CD6"/>
    <w:rsid w:val="005E7CF2"/>
    <w:rsid w:val="005F0576"/>
    <w:rsid w:val="005F123A"/>
    <w:rsid w:val="005F1679"/>
    <w:rsid w:val="005F17F5"/>
    <w:rsid w:val="005F18CD"/>
    <w:rsid w:val="005F23F2"/>
    <w:rsid w:val="005F24E5"/>
    <w:rsid w:val="005F3973"/>
    <w:rsid w:val="005F444C"/>
    <w:rsid w:val="005F45D7"/>
    <w:rsid w:val="005F4856"/>
    <w:rsid w:val="005F7029"/>
    <w:rsid w:val="005F7785"/>
    <w:rsid w:val="005F77F7"/>
    <w:rsid w:val="005F7A05"/>
    <w:rsid w:val="0060035F"/>
    <w:rsid w:val="006003BE"/>
    <w:rsid w:val="006008B9"/>
    <w:rsid w:val="00600E0C"/>
    <w:rsid w:val="00600EBC"/>
    <w:rsid w:val="006020D1"/>
    <w:rsid w:val="0060216D"/>
    <w:rsid w:val="0060252B"/>
    <w:rsid w:val="00602546"/>
    <w:rsid w:val="0060284B"/>
    <w:rsid w:val="006030A1"/>
    <w:rsid w:val="0060468A"/>
    <w:rsid w:val="00604A3C"/>
    <w:rsid w:val="00605625"/>
    <w:rsid w:val="00605673"/>
    <w:rsid w:val="00605700"/>
    <w:rsid w:val="006058A6"/>
    <w:rsid w:val="00605C98"/>
    <w:rsid w:val="006075B4"/>
    <w:rsid w:val="00607B00"/>
    <w:rsid w:val="00611796"/>
    <w:rsid w:val="00611A47"/>
    <w:rsid w:val="00612FD2"/>
    <w:rsid w:val="00614FB8"/>
    <w:rsid w:val="00614FE8"/>
    <w:rsid w:val="006152D2"/>
    <w:rsid w:val="0061620A"/>
    <w:rsid w:val="00616695"/>
    <w:rsid w:val="00616727"/>
    <w:rsid w:val="00616C0A"/>
    <w:rsid w:val="00616CF8"/>
    <w:rsid w:val="0061748F"/>
    <w:rsid w:val="006178BB"/>
    <w:rsid w:val="0062084B"/>
    <w:rsid w:val="00620E5E"/>
    <w:rsid w:val="00620FBE"/>
    <w:rsid w:val="00621009"/>
    <w:rsid w:val="00621121"/>
    <w:rsid w:val="006212E6"/>
    <w:rsid w:val="00621455"/>
    <w:rsid w:val="00622389"/>
    <w:rsid w:val="006235EA"/>
    <w:rsid w:val="006242EA"/>
    <w:rsid w:val="006244F0"/>
    <w:rsid w:val="0062535B"/>
    <w:rsid w:val="00625432"/>
    <w:rsid w:val="006265B5"/>
    <w:rsid w:val="00626814"/>
    <w:rsid w:val="00626EA9"/>
    <w:rsid w:val="0063036F"/>
    <w:rsid w:val="00630C61"/>
    <w:rsid w:val="00632391"/>
    <w:rsid w:val="0063251F"/>
    <w:rsid w:val="00633C6C"/>
    <w:rsid w:val="00634526"/>
    <w:rsid w:val="00634726"/>
    <w:rsid w:val="00635D10"/>
    <w:rsid w:val="00636534"/>
    <w:rsid w:val="00637142"/>
    <w:rsid w:val="006373C7"/>
    <w:rsid w:val="006409AB"/>
    <w:rsid w:val="00640F96"/>
    <w:rsid w:val="0064104D"/>
    <w:rsid w:val="0064121B"/>
    <w:rsid w:val="00641897"/>
    <w:rsid w:val="0064209F"/>
    <w:rsid w:val="006421E9"/>
    <w:rsid w:val="0064310D"/>
    <w:rsid w:val="006438F1"/>
    <w:rsid w:val="00643ABB"/>
    <w:rsid w:val="006444D8"/>
    <w:rsid w:val="00644CD5"/>
    <w:rsid w:val="006450A9"/>
    <w:rsid w:val="00645418"/>
    <w:rsid w:val="006454A2"/>
    <w:rsid w:val="006463D1"/>
    <w:rsid w:val="00646CB9"/>
    <w:rsid w:val="00647622"/>
    <w:rsid w:val="0064769B"/>
    <w:rsid w:val="0065020E"/>
    <w:rsid w:val="006506DD"/>
    <w:rsid w:val="006510E3"/>
    <w:rsid w:val="0065175C"/>
    <w:rsid w:val="006518FC"/>
    <w:rsid w:val="00651C42"/>
    <w:rsid w:val="00651E1B"/>
    <w:rsid w:val="00651E3F"/>
    <w:rsid w:val="00653025"/>
    <w:rsid w:val="006537FA"/>
    <w:rsid w:val="006541A6"/>
    <w:rsid w:val="00654F98"/>
    <w:rsid w:val="006556B4"/>
    <w:rsid w:val="00656169"/>
    <w:rsid w:val="0065718F"/>
    <w:rsid w:val="00657309"/>
    <w:rsid w:val="00657B17"/>
    <w:rsid w:val="00657DE6"/>
    <w:rsid w:val="006604AB"/>
    <w:rsid w:val="0066220C"/>
    <w:rsid w:val="006622A1"/>
    <w:rsid w:val="006625FA"/>
    <w:rsid w:val="00663279"/>
    <w:rsid w:val="0066368B"/>
    <w:rsid w:val="00663798"/>
    <w:rsid w:val="00663B75"/>
    <w:rsid w:val="00663D3F"/>
    <w:rsid w:val="00663D81"/>
    <w:rsid w:val="00665594"/>
    <w:rsid w:val="006663AE"/>
    <w:rsid w:val="00666BC4"/>
    <w:rsid w:val="00666F66"/>
    <w:rsid w:val="0066798E"/>
    <w:rsid w:val="006712DA"/>
    <w:rsid w:val="00671A60"/>
    <w:rsid w:val="00671ED3"/>
    <w:rsid w:val="006720C9"/>
    <w:rsid w:val="006724E4"/>
    <w:rsid w:val="00672523"/>
    <w:rsid w:val="0067259E"/>
    <w:rsid w:val="006725D8"/>
    <w:rsid w:val="006739C8"/>
    <w:rsid w:val="00673A58"/>
    <w:rsid w:val="00673B2E"/>
    <w:rsid w:val="00673C29"/>
    <w:rsid w:val="00673E9A"/>
    <w:rsid w:val="00674728"/>
    <w:rsid w:val="00674D55"/>
    <w:rsid w:val="0067599D"/>
    <w:rsid w:val="00675D7B"/>
    <w:rsid w:val="00675EC0"/>
    <w:rsid w:val="00675EEB"/>
    <w:rsid w:val="006761DB"/>
    <w:rsid w:val="00676500"/>
    <w:rsid w:val="00676706"/>
    <w:rsid w:val="0067695E"/>
    <w:rsid w:val="00676C6D"/>
    <w:rsid w:val="006801E8"/>
    <w:rsid w:val="006803AD"/>
    <w:rsid w:val="006818AE"/>
    <w:rsid w:val="00681D65"/>
    <w:rsid w:val="00681E44"/>
    <w:rsid w:val="00683AC2"/>
    <w:rsid w:val="00683D99"/>
    <w:rsid w:val="00683E8A"/>
    <w:rsid w:val="0068433C"/>
    <w:rsid w:val="0068496F"/>
    <w:rsid w:val="00685166"/>
    <w:rsid w:val="0068646C"/>
    <w:rsid w:val="006864E0"/>
    <w:rsid w:val="006864EF"/>
    <w:rsid w:val="00687084"/>
    <w:rsid w:val="0068709D"/>
    <w:rsid w:val="0068714E"/>
    <w:rsid w:val="0068775F"/>
    <w:rsid w:val="00687A5D"/>
    <w:rsid w:val="00690380"/>
    <w:rsid w:val="00690851"/>
    <w:rsid w:val="00690A62"/>
    <w:rsid w:val="006914B3"/>
    <w:rsid w:val="0069169D"/>
    <w:rsid w:val="0069170F"/>
    <w:rsid w:val="00691FDF"/>
    <w:rsid w:val="00692378"/>
    <w:rsid w:val="00692977"/>
    <w:rsid w:val="006929DF"/>
    <w:rsid w:val="00692F98"/>
    <w:rsid w:val="006942E3"/>
    <w:rsid w:val="006944C8"/>
    <w:rsid w:val="00695493"/>
    <w:rsid w:val="00695F04"/>
    <w:rsid w:val="0069608F"/>
    <w:rsid w:val="006963F8"/>
    <w:rsid w:val="006965AA"/>
    <w:rsid w:val="0069699F"/>
    <w:rsid w:val="0069714B"/>
    <w:rsid w:val="00697ACC"/>
    <w:rsid w:val="00697E30"/>
    <w:rsid w:val="006A0265"/>
    <w:rsid w:val="006A0C8B"/>
    <w:rsid w:val="006A1C34"/>
    <w:rsid w:val="006A1FFB"/>
    <w:rsid w:val="006A29EA"/>
    <w:rsid w:val="006A437D"/>
    <w:rsid w:val="006A449A"/>
    <w:rsid w:val="006A51D2"/>
    <w:rsid w:val="006A53B7"/>
    <w:rsid w:val="006A5852"/>
    <w:rsid w:val="006A5970"/>
    <w:rsid w:val="006A5E6B"/>
    <w:rsid w:val="006A6053"/>
    <w:rsid w:val="006A7592"/>
    <w:rsid w:val="006A7CB3"/>
    <w:rsid w:val="006B07D5"/>
    <w:rsid w:val="006B0909"/>
    <w:rsid w:val="006B0BAA"/>
    <w:rsid w:val="006B0C58"/>
    <w:rsid w:val="006B0DC3"/>
    <w:rsid w:val="006B0EF5"/>
    <w:rsid w:val="006B15C4"/>
    <w:rsid w:val="006B167C"/>
    <w:rsid w:val="006B195D"/>
    <w:rsid w:val="006B1C9C"/>
    <w:rsid w:val="006B257F"/>
    <w:rsid w:val="006B262A"/>
    <w:rsid w:val="006B264D"/>
    <w:rsid w:val="006B3A40"/>
    <w:rsid w:val="006B4D3C"/>
    <w:rsid w:val="006B4EF7"/>
    <w:rsid w:val="006B5035"/>
    <w:rsid w:val="006B593D"/>
    <w:rsid w:val="006B5EFF"/>
    <w:rsid w:val="006B6C59"/>
    <w:rsid w:val="006B6D07"/>
    <w:rsid w:val="006B7C28"/>
    <w:rsid w:val="006C1344"/>
    <w:rsid w:val="006C18CC"/>
    <w:rsid w:val="006C293C"/>
    <w:rsid w:val="006C32AB"/>
    <w:rsid w:val="006C3DDB"/>
    <w:rsid w:val="006C4134"/>
    <w:rsid w:val="006C44D4"/>
    <w:rsid w:val="006C51C9"/>
    <w:rsid w:val="006C5593"/>
    <w:rsid w:val="006C58A0"/>
    <w:rsid w:val="006C5F7A"/>
    <w:rsid w:val="006C68FE"/>
    <w:rsid w:val="006C6915"/>
    <w:rsid w:val="006C700C"/>
    <w:rsid w:val="006C7A25"/>
    <w:rsid w:val="006C7EAE"/>
    <w:rsid w:val="006D07D0"/>
    <w:rsid w:val="006D0B6B"/>
    <w:rsid w:val="006D10D1"/>
    <w:rsid w:val="006D12AC"/>
    <w:rsid w:val="006D18E7"/>
    <w:rsid w:val="006D2756"/>
    <w:rsid w:val="006D2FC2"/>
    <w:rsid w:val="006D3083"/>
    <w:rsid w:val="006D34C0"/>
    <w:rsid w:val="006D368F"/>
    <w:rsid w:val="006D4166"/>
    <w:rsid w:val="006D523A"/>
    <w:rsid w:val="006D6091"/>
    <w:rsid w:val="006D6E76"/>
    <w:rsid w:val="006D741C"/>
    <w:rsid w:val="006D75E2"/>
    <w:rsid w:val="006D775A"/>
    <w:rsid w:val="006D7773"/>
    <w:rsid w:val="006E0502"/>
    <w:rsid w:val="006E0EF3"/>
    <w:rsid w:val="006E0F01"/>
    <w:rsid w:val="006E1B95"/>
    <w:rsid w:val="006E34CE"/>
    <w:rsid w:val="006E3BAA"/>
    <w:rsid w:val="006E3E94"/>
    <w:rsid w:val="006E4641"/>
    <w:rsid w:val="006E4A3E"/>
    <w:rsid w:val="006E53AA"/>
    <w:rsid w:val="006E5926"/>
    <w:rsid w:val="006E5EC9"/>
    <w:rsid w:val="006E6FAC"/>
    <w:rsid w:val="006E7758"/>
    <w:rsid w:val="006E7797"/>
    <w:rsid w:val="006F03D3"/>
    <w:rsid w:val="006F1474"/>
    <w:rsid w:val="006F1D6D"/>
    <w:rsid w:val="006F1E1E"/>
    <w:rsid w:val="006F1FA0"/>
    <w:rsid w:val="006F2FF5"/>
    <w:rsid w:val="006F388B"/>
    <w:rsid w:val="006F3E5F"/>
    <w:rsid w:val="006F40B4"/>
    <w:rsid w:val="006F495F"/>
    <w:rsid w:val="006F4BC1"/>
    <w:rsid w:val="006F52B1"/>
    <w:rsid w:val="006F5698"/>
    <w:rsid w:val="006F569A"/>
    <w:rsid w:val="006F5856"/>
    <w:rsid w:val="006F5B7A"/>
    <w:rsid w:val="006F64D4"/>
    <w:rsid w:val="006F6BCC"/>
    <w:rsid w:val="006F6E79"/>
    <w:rsid w:val="006F74BD"/>
    <w:rsid w:val="006F757E"/>
    <w:rsid w:val="006F79BA"/>
    <w:rsid w:val="00701B08"/>
    <w:rsid w:val="00701D36"/>
    <w:rsid w:val="0070229F"/>
    <w:rsid w:val="007028B1"/>
    <w:rsid w:val="00702BC9"/>
    <w:rsid w:val="00702F3F"/>
    <w:rsid w:val="00703662"/>
    <w:rsid w:val="0070387B"/>
    <w:rsid w:val="00703B22"/>
    <w:rsid w:val="00703F42"/>
    <w:rsid w:val="0070431A"/>
    <w:rsid w:val="00704865"/>
    <w:rsid w:val="00704B22"/>
    <w:rsid w:val="00705536"/>
    <w:rsid w:val="00705544"/>
    <w:rsid w:val="007056C7"/>
    <w:rsid w:val="00706126"/>
    <w:rsid w:val="00707706"/>
    <w:rsid w:val="0071198F"/>
    <w:rsid w:val="00711CFF"/>
    <w:rsid w:val="00712718"/>
    <w:rsid w:val="007128BF"/>
    <w:rsid w:val="00712A09"/>
    <w:rsid w:val="00712A73"/>
    <w:rsid w:val="00712ADA"/>
    <w:rsid w:val="00713124"/>
    <w:rsid w:val="00714B64"/>
    <w:rsid w:val="00714C2E"/>
    <w:rsid w:val="00715040"/>
    <w:rsid w:val="00715AFE"/>
    <w:rsid w:val="00715D54"/>
    <w:rsid w:val="0071768D"/>
    <w:rsid w:val="00720184"/>
    <w:rsid w:val="00720423"/>
    <w:rsid w:val="007204F8"/>
    <w:rsid w:val="0072091A"/>
    <w:rsid w:val="0072195A"/>
    <w:rsid w:val="00722356"/>
    <w:rsid w:val="00722416"/>
    <w:rsid w:val="007227DD"/>
    <w:rsid w:val="00723D19"/>
    <w:rsid w:val="00724918"/>
    <w:rsid w:val="007250B7"/>
    <w:rsid w:val="00725381"/>
    <w:rsid w:val="00726466"/>
    <w:rsid w:val="007271C4"/>
    <w:rsid w:val="00727A0E"/>
    <w:rsid w:val="007306D1"/>
    <w:rsid w:val="00730FC5"/>
    <w:rsid w:val="00731B84"/>
    <w:rsid w:val="00732E4D"/>
    <w:rsid w:val="00733236"/>
    <w:rsid w:val="00733436"/>
    <w:rsid w:val="00733E6A"/>
    <w:rsid w:val="00734079"/>
    <w:rsid w:val="007342EF"/>
    <w:rsid w:val="00735565"/>
    <w:rsid w:val="007355EC"/>
    <w:rsid w:val="007355F0"/>
    <w:rsid w:val="00735644"/>
    <w:rsid w:val="00735747"/>
    <w:rsid w:val="0073595E"/>
    <w:rsid w:val="00735E08"/>
    <w:rsid w:val="0073680F"/>
    <w:rsid w:val="00736A3E"/>
    <w:rsid w:val="00736D9D"/>
    <w:rsid w:val="00736F53"/>
    <w:rsid w:val="00737968"/>
    <w:rsid w:val="00740279"/>
    <w:rsid w:val="00740954"/>
    <w:rsid w:val="00741348"/>
    <w:rsid w:val="007421CB"/>
    <w:rsid w:val="00742E03"/>
    <w:rsid w:val="007441BE"/>
    <w:rsid w:val="007447A7"/>
    <w:rsid w:val="00744CAE"/>
    <w:rsid w:val="00744D82"/>
    <w:rsid w:val="00744DF5"/>
    <w:rsid w:val="00744F63"/>
    <w:rsid w:val="007451C5"/>
    <w:rsid w:val="0074699B"/>
    <w:rsid w:val="00746BE3"/>
    <w:rsid w:val="00746C24"/>
    <w:rsid w:val="00747945"/>
    <w:rsid w:val="00750158"/>
    <w:rsid w:val="00751481"/>
    <w:rsid w:val="007514DC"/>
    <w:rsid w:val="00751844"/>
    <w:rsid w:val="00751993"/>
    <w:rsid w:val="007519C5"/>
    <w:rsid w:val="007521DD"/>
    <w:rsid w:val="00752CF5"/>
    <w:rsid w:val="00753190"/>
    <w:rsid w:val="007539D1"/>
    <w:rsid w:val="007539D2"/>
    <w:rsid w:val="00754885"/>
    <w:rsid w:val="00755824"/>
    <w:rsid w:val="0075615A"/>
    <w:rsid w:val="00756A5F"/>
    <w:rsid w:val="00757A0C"/>
    <w:rsid w:val="00760752"/>
    <w:rsid w:val="0076147D"/>
    <w:rsid w:val="007619CD"/>
    <w:rsid w:val="007621B8"/>
    <w:rsid w:val="007624A9"/>
    <w:rsid w:val="007628BA"/>
    <w:rsid w:val="00762BE7"/>
    <w:rsid w:val="00764756"/>
    <w:rsid w:val="0076584C"/>
    <w:rsid w:val="007660D4"/>
    <w:rsid w:val="00766C4E"/>
    <w:rsid w:val="00767079"/>
    <w:rsid w:val="0076721B"/>
    <w:rsid w:val="007675DB"/>
    <w:rsid w:val="00770BA1"/>
    <w:rsid w:val="007712D4"/>
    <w:rsid w:val="007716ED"/>
    <w:rsid w:val="00772842"/>
    <w:rsid w:val="00772B8A"/>
    <w:rsid w:val="00772CEC"/>
    <w:rsid w:val="00772FC6"/>
    <w:rsid w:val="00773707"/>
    <w:rsid w:val="00773ABB"/>
    <w:rsid w:val="00774142"/>
    <w:rsid w:val="00774A3E"/>
    <w:rsid w:val="00774B7D"/>
    <w:rsid w:val="0077500B"/>
    <w:rsid w:val="00775024"/>
    <w:rsid w:val="007751BF"/>
    <w:rsid w:val="007752E7"/>
    <w:rsid w:val="00775812"/>
    <w:rsid w:val="00775C25"/>
    <w:rsid w:val="00775EE4"/>
    <w:rsid w:val="007763CA"/>
    <w:rsid w:val="0077670C"/>
    <w:rsid w:val="00776BE7"/>
    <w:rsid w:val="00776F11"/>
    <w:rsid w:val="0077720A"/>
    <w:rsid w:val="00777D1B"/>
    <w:rsid w:val="007828F9"/>
    <w:rsid w:val="00782911"/>
    <w:rsid w:val="00783821"/>
    <w:rsid w:val="00783E57"/>
    <w:rsid w:val="00783ECB"/>
    <w:rsid w:val="00784706"/>
    <w:rsid w:val="00785A9C"/>
    <w:rsid w:val="00785B91"/>
    <w:rsid w:val="00787790"/>
    <w:rsid w:val="00787B4B"/>
    <w:rsid w:val="00787BAB"/>
    <w:rsid w:val="00790759"/>
    <w:rsid w:val="00790E3F"/>
    <w:rsid w:val="00790F19"/>
    <w:rsid w:val="0079104D"/>
    <w:rsid w:val="00791B94"/>
    <w:rsid w:val="00791BFD"/>
    <w:rsid w:val="00791F29"/>
    <w:rsid w:val="00793073"/>
    <w:rsid w:val="00793147"/>
    <w:rsid w:val="00793188"/>
    <w:rsid w:val="00793208"/>
    <w:rsid w:val="007934F3"/>
    <w:rsid w:val="007935DA"/>
    <w:rsid w:val="00793AF7"/>
    <w:rsid w:val="00793E2A"/>
    <w:rsid w:val="007955E1"/>
    <w:rsid w:val="007958D4"/>
    <w:rsid w:val="007959D6"/>
    <w:rsid w:val="00796562"/>
    <w:rsid w:val="007969FE"/>
    <w:rsid w:val="007A039B"/>
    <w:rsid w:val="007A0628"/>
    <w:rsid w:val="007A06DF"/>
    <w:rsid w:val="007A0994"/>
    <w:rsid w:val="007A10E8"/>
    <w:rsid w:val="007A351F"/>
    <w:rsid w:val="007A3E90"/>
    <w:rsid w:val="007A40A5"/>
    <w:rsid w:val="007A46F2"/>
    <w:rsid w:val="007A4DDC"/>
    <w:rsid w:val="007A5B70"/>
    <w:rsid w:val="007A6515"/>
    <w:rsid w:val="007A6F59"/>
    <w:rsid w:val="007A79A9"/>
    <w:rsid w:val="007A7B1A"/>
    <w:rsid w:val="007A7DFC"/>
    <w:rsid w:val="007A7E5D"/>
    <w:rsid w:val="007A7F9A"/>
    <w:rsid w:val="007B0116"/>
    <w:rsid w:val="007B01B4"/>
    <w:rsid w:val="007B01DD"/>
    <w:rsid w:val="007B193D"/>
    <w:rsid w:val="007B1CA5"/>
    <w:rsid w:val="007B205A"/>
    <w:rsid w:val="007B238A"/>
    <w:rsid w:val="007B3534"/>
    <w:rsid w:val="007B3CB4"/>
    <w:rsid w:val="007B4806"/>
    <w:rsid w:val="007B53C2"/>
    <w:rsid w:val="007B695D"/>
    <w:rsid w:val="007B7209"/>
    <w:rsid w:val="007B755A"/>
    <w:rsid w:val="007B7858"/>
    <w:rsid w:val="007B7A29"/>
    <w:rsid w:val="007B7C0D"/>
    <w:rsid w:val="007C07C5"/>
    <w:rsid w:val="007C0D69"/>
    <w:rsid w:val="007C1B85"/>
    <w:rsid w:val="007C2910"/>
    <w:rsid w:val="007C3C27"/>
    <w:rsid w:val="007C52BF"/>
    <w:rsid w:val="007C5820"/>
    <w:rsid w:val="007C5A54"/>
    <w:rsid w:val="007C71F2"/>
    <w:rsid w:val="007C743D"/>
    <w:rsid w:val="007C77D4"/>
    <w:rsid w:val="007D01FA"/>
    <w:rsid w:val="007D079B"/>
    <w:rsid w:val="007D080A"/>
    <w:rsid w:val="007D1011"/>
    <w:rsid w:val="007D1673"/>
    <w:rsid w:val="007D19FB"/>
    <w:rsid w:val="007D30DE"/>
    <w:rsid w:val="007D4B91"/>
    <w:rsid w:val="007D4C3C"/>
    <w:rsid w:val="007D5528"/>
    <w:rsid w:val="007D605C"/>
    <w:rsid w:val="007D6211"/>
    <w:rsid w:val="007D6EC0"/>
    <w:rsid w:val="007D7497"/>
    <w:rsid w:val="007E0496"/>
    <w:rsid w:val="007E04C6"/>
    <w:rsid w:val="007E0677"/>
    <w:rsid w:val="007E0D2C"/>
    <w:rsid w:val="007E1DA7"/>
    <w:rsid w:val="007E2A5C"/>
    <w:rsid w:val="007E3C53"/>
    <w:rsid w:val="007E43AC"/>
    <w:rsid w:val="007E452E"/>
    <w:rsid w:val="007E4BAA"/>
    <w:rsid w:val="007E4F94"/>
    <w:rsid w:val="007E4FE3"/>
    <w:rsid w:val="007E562F"/>
    <w:rsid w:val="007E58D0"/>
    <w:rsid w:val="007E664A"/>
    <w:rsid w:val="007E6E36"/>
    <w:rsid w:val="007E7343"/>
    <w:rsid w:val="007E76E5"/>
    <w:rsid w:val="007E7ED8"/>
    <w:rsid w:val="007F02D1"/>
    <w:rsid w:val="007F068A"/>
    <w:rsid w:val="007F1692"/>
    <w:rsid w:val="007F1D6E"/>
    <w:rsid w:val="007F2655"/>
    <w:rsid w:val="007F2E32"/>
    <w:rsid w:val="007F45A9"/>
    <w:rsid w:val="007F52D0"/>
    <w:rsid w:val="007F56FA"/>
    <w:rsid w:val="007F5FF0"/>
    <w:rsid w:val="007F6059"/>
    <w:rsid w:val="007F6670"/>
    <w:rsid w:val="007F67B6"/>
    <w:rsid w:val="007F706D"/>
    <w:rsid w:val="007F7835"/>
    <w:rsid w:val="007F7DC3"/>
    <w:rsid w:val="007F7E0F"/>
    <w:rsid w:val="00800D41"/>
    <w:rsid w:val="00800F41"/>
    <w:rsid w:val="0080188C"/>
    <w:rsid w:val="00801D89"/>
    <w:rsid w:val="00802127"/>
    <w:rsid w:val="0080237F"/>
    <w:rsid w:val="00802EF9"/>
    <w:rsid w:val="00802FAC"/>
    <w:rsid w:val="00804DE5"/>
    <w:rsid w:val="00805D86"/>
    <w:rsid w:val="00805EFE"/>
    <w:rsid w:val="00806127"/>
    <w:rsid w:val="00806C6F"/>
    <w:rsid w:val="00806D11"/>
    <w:rsid w:val="00806DD5"/>
    <w:rsid w:val="00806E96"/>
    <w:rsid w:val="00807395"/>
    <w:rsid w:val="00807745"/>
    <w:rsid w:val="008079D8"/>
    <w:rsid w:val="0081083F"/>
    <w:rsid w:val="00810960"/>
    <w:rsid w:val="00810D4C"/>
    <w:rsid w:val="008110D9"/>
    <w:rsid w:val="00811E55"/>
    <w:rsid w:val="00811E8F"/>
    <w:rsid w:val="0081206E"/>
    <w:rsid w:val="0081229B"/>
    <w:rsid w:val="00812361"/>
    <w:rsid w:val="00812F8E"/>
    <w:rsid w:val="008149D1"/>
    <w:rsid w:val="00814E9B"/>
    <w:rsid w:val="00814FBA"/>
    <w:rsid w:val="0081518B"/>
    <w:rsid w:val="0081587B"/>
    <w:rsid w:val="00816CF2"/>
    <w:rsid w:val="00816E6D"/>
    <w:rsid w:val="008171B9"/>
    <w:rsid w:val="00817A37"/>
    <w:rsid w:val="00820382"/>
    <w:rsid w:val="00820633"/>
    <w:rsid w:val="00820B85"/>
    <w:rsid w:val="00820BFE"/>
    <w:rsid w:val="00820C39"/>
    <w:rsid w:val="00821B69"/>
    <w:rsid w:val="00821F4E"/>
    <w:rsid w:val="00822270"/>
    <w:rsid w:val="008222B2"/>
    <w:rsid w:val="00822AFF"/>
    <w:rsid w:val="00822C87"/>
    <w:rsid w:val="00822E92"/>
    <w:rsid w:val="00823E69"/>
    <w:rsid w:val="00824405"/>
    <w:rsid w:val="0082441E"/>
    <w:rsid w:val="00825134"/>
    <w:rsid w:val="0082583B"/>
    <w:rsid w:val="00825AAD"/>
    <w:rsid w:val="00826435"/>
    <w:rsid w:val="00826446"/>
    <w:rsid w:val="00826B90"/>
    <w:rsid w:val="00830E5F"/>
    <w:rsid w:val="00831233"/>
    <w:rsid w:val="008327E0"/>
    <w:rsid w:val="00832ACE"/>
    <w:rsid w:val="00832DA4"/>
    <w:rsid w:val="0083319C"/>
    <w:rsid w:val="0083366D"/>
    <w:rsid w:val="0083397A"/>
    <w:rsid w:val="0083475E"/>
    <w:rsid w:val="00834B91"/>
    <w:rsid w:val="00835ECA"/>
    <w:rsid w:val="0083607C"/>
    <w:rsid w:val="0083636E"/>
    <w:rsid w:val="00836489"/>
    <w:rsid w:val="00836716"/>
    <w:rsid w:val="0083700F"/>
    <w:rsid w:val="008377F5"/>
    <w:rsid w:val="0084120F"/>
    <w:rsid w:val="00841989"/>
    <w:rsid w:val="00841AD1"/>
    <w:rsid w:val="00841EBE"/>
    <w:rsid w:val="0084447B"/>
    <w:rsid w:val="0084495B"/>
    <w:rsid w:val="008452CE"/>
    <w:rsid w:val="00846581"/>
    <w:rsid w:val="008468A7"/>
    <w:rsid w:val="008468C7"/>
    <w:rsid w:val="008468C8"/>
    <w:rsid w:val="00846AAA"/>
    <w:rsid w:val="00847609"/>
    <w:rsid w:val="008479E8"/>
    <w:rsid w:val="00847A29"/>
    <w:rsid w:val="00847E5D"/>
    <w:rsid w:val="00850119"/>
    <w:rsid w:val="00851615"/>
    <w:rsid w:val="00851BAB"/>
    <w:rsid w:val="008520B0"/>
    <w:rsid w:val="00853B3C"/>
    <w:rsid w:val="00854018"/>
    <w:rsid w:val="00854099"/>
    <w:rsid w:val="00855646"/>
    <w:rsid w:val="00855B30"/>
    <w:rsid w:val="008567AE"/>
    <w:rsid w:val="00856989"/>
    <w:rsid w:val="008578C3"/>
    <w:rsid w:val="008602F0"/>
    <w:rsid w:val="00860F22"/>
    <w:rsid w:val="00862A6E"/>
    <w:rsid w:val="008635A6"/>
    <w:rsid w:val="0086387E"/>
    <w:rsid w:val="008645B8"/>
    <w:rsid w:val="00864D47"/>
    <w:rsid w:val="0086535D"/>
    <w:rsid w:val="00867024"/>
    <w:rsid w:val="0086790C"/>
    <w:rsid w:val="0086794B"/>
    <w:rsid w:val="00867FE5"/>
    <w:rsid w:val="00870281"/>
    <w:rsid w:val="008704FB"/>
    <w:rsid w:val="008707EF"/>
    <w:rsid w:val="00871ADE"/>
    <w:rsid w:val="00871B4A"/>
    <w:rsid w:val="00871E93"/>
    <w:rsid w:val="00871EB1"/>
    <w:rsid w:val="00872016"/>
    <w:rsid w:val="00872BE4"/>
    <w:rsid w:val="00873927"/>
    <w:rsid w:val="00874409"/>
    <w:rsid w:val="008745A2"/>
    <w:rsid w:val="00874B6E"/>
    <w:rsid w:val="00874B82"/>
    <w:rsid w:val="008755DC"/>
    <w:rsid w:val="0087751B"/>
    <w:rsid w:val="00877B4B"/>
    <w:rsid w:val="00877E22"/>
    <w:rsid w:val="00877F2D"/>
    <w:rsid w:val="00877F49"/>
    <w:rsid w:val="00880781"/>
    <w:rsid w:val="008807AF"/>
    <w:rsid w:val="00880B57"/>
    <w:rsid w:val="00880D3F"/>
    <w:rsid w:val="00880ECE"/>
    <w:rsid w:val="00881702"/>
    <w:rsid w:val="00881910"/>
    <w:rsid w:val="00881D2A"/>
    <w:rsid w:val="00882C21"/>
    <w:rsid w:val="008831B9"/>
    <w:rsid w:val="0088422C"/>
    <w:rsid w:val="00884A54"/>
    <w:rsid w:val="00885020"/>
    <w:rsid w:val="00885352"/>
    <w:rsid w:val="00885A38"/>
    <w:rsid w:val="008863FB"/>
    <w:rsid w:val="0088698D"/>
    <w:rsid w:val="00886B90"/>
    <w:rsid w:val="00887BCD"/>
    <w:rsid w:val="00887DBC"/>
    <w:rsid w:val="00890270"/>
    <w:rsid w:val="008914BC"/>
    <w:rsid w:val="00891EC4"/>
    <w:rsid w:val="008922F5"/>
    <w:rsid w:val="008933AF"/>
    <w:rsid w:val="008934A7"/>
    <w:rsid w:val="00894087"/>
    <w:rsid w:val="008943C3"/>
    <w:rsid w:val="00894939"/>
    <w:rsid w:val="00895F36"/>
    <w:rsid w:val="00897B89"/>
    <w:rsid w:val="00897D19"/>
    <w:rsid w:val="00897E23"/>
    <w:rsid w:val="00897FB3"/>
    <w:rsid w:val="008A0D6F"/>
    <w:rsid w:val="008A1ED8"/>
    <w:rsid w:val="008A2CF8"/>
    <w:rsid w:val="008A3197"/>
    <w:rsid w:val="008A378D"/>
    <w:rsid w:val="008A3F09"/>
    <w:rsid w:val="008A4D07"/>
    <w:rsid w:val="008A501A"/>
    <w:rsid w:val="008A5145"/>
    <w:rsid w:val="008A51A8"/>
    <w:rsid w:val="008A54CE"/>
    <w:rsid w:val="008A5571"/>
    <w:rsid w:val="008A5A1E"/>
    <w:rsid w:val="008A5DE1"/>
    <w:rsid w:val="008A5F83"/>
    <w:rsid w:val="008A6622"/>
    <w:rsid w:val="008A6A8B"/>
    <w:rsid w:val="008A7EE0"/>
    <w:rsid w:val="008B0024"/>
    <w:rsid w:val="008B0979"/>
    <w:rsid w:val="008B1029"/>
    <w:rsid w:val="008B15EA"/>
    <w:rsid w:val="008B16AD"/>
    <w:rsid w:val="008B2B90"/>
    <w:rsid w:val="008B30CD"/>
    <w:rsid w:val="008B3379"/>
    <w:rsid w:val="008B34EA"/>
    <w:rsid w:val="008B3A71"/>
    <w:rsid w:val="008B4AB8"/>
    <w:rsid w:val="008B4ADF"/>
    <w:rsid w:val="008B51A4"/>
    <w:rsid w:val="008B583F"/>
    <w:rsid w:val="008B5D7B"/>
    <w:rsid w:val="008B6597"/>
    <w:rsid w:val="008B69CD"/>
    <w:rsid w:val="008B6FC3"/>
    <w:rsid w:val="008B7670"/>
    <w:rsid w:val="008B768C"/>
    <w:rsid w:val="008B793F"/>
    <w:rsid w:val="008B7B0F"/>
    <w:rsid w:val="008B7B14"/>
    <w:rsid w:val="008C1646"/>
    <w:rsid w:val="008C28E2"/>
    <w:rsid w:val="008C2DC7"/>
    <w:rsid w:val="008C2EA8"/>
    <w:rsid w:val="008C2FAA"/>
    <w:rsid w:val="008C3741"/>
    <w:rsid w:val="008C40B0"/>
    <w:rsid w:val="008C4DD8"/>
    <w:rsid w:val="008C4FE1"/>
    <w:rsid w:val="008C5287"/>
    <w:rsid w:val="008C67E6"/>
    <w:rsid w:val="008C7031"/>
    <w:rsid w:val="008C7721"/>
    <w:rsid w:val="008C79DE"/>
    <w:rsid w:val="008C7D04"/>
    <w:rsid w:val="008D0657"/>
    <w:rsid w:val="008D0C12"/>
    <w:rsid w:val="008D0C54"/>
    <w:rsid w:val="008D1826"/>
    <w:rsid w:val="008D1FF7"/>
    <w:rsid w:val="008D2671"/>
    <w:rsid w:val="008D2EDE"/>
    <w:rsid w:val="008D43A8"/>
    <w:rsid w:val="008D4660"/>
    <w:rsid w:val="008D4C79"/>
    <w:rsid w:val="008D4E11"/>
    <w:rsid w:val="008D4FEE"/>
    <w:rsid w:val="008D574C"/>
    <w:rsid w:val="008D591A"/>
    <w:rsid w:val="008D5A9B"/>
    <w:rsid w:val="008D5D02"/>
    <w:rsid w:val="008D676D"/>
    <w:rsid w:val="008D6C31"/>
    <w:rsid w:val="008D7936"/>
    <w:rsid w:val="008E0002"/>
    <w:rsid w:val="008E0A70"/>
    <w:rsid w:val="008E1368"/>
    <w:rsid w:val="008E1502"/>
    <w:rsid w:val="008E16A7"/>
    <w:rsid w:val="008E2AD9"/>
    <w:rsid w:val="008E2EF7"/>
    <w:rsid w:val="008E4390"/>
    <w:rsid w:val="008E4C70"/>
    <w:rsid w:val="008E6DCA"/>
    <w:rsid w:val="008E70B6"/>
    <w:rsid w:val="008E72C3"/>
    <w:rsid w:val="008E72FE"/>
    <w:rsid w:val="008E7D79"/>
    <w:rsid w:val="008F0040"/>
    <w:rsid w:val="008F0708"/>
    <w:rsid w:val="008F0E22"/>
    <w:rsid w:val="008F1A64"/>
    <w:rsid w:val="008F2070"/>
    <w:rsid w:val="008F28D5"/>
    <w:rsid w:val="008F2E4A"/>
    <w:rsid w:val="008F3B0E"/>
    <w:rsid w:val="008F4229"/>
    <w:rsid w:val="008F433E"/>
    <w:rsid w:val="008F49A9"/>
    <w:rsid w:val="008F5302"/>
    <w:rsid w:val="008F57F4"/>
    <w:rsid w:val="008F5815"/>
    <w:rsid w:val="008F5CA6"/>
    <w:rsid w:val="008F5CE1"/>
    <w:rsid w:val="008F6011"/>
    <w:rsid w:val="008F65B5"/>
    <w:rsid w:val="008F6B2E"/>
    <w:rsid w:val="008F7430"/>
    <w:rsid w:val="008F7BF5"/>
    <w:rsid w:val="008F7C87"/>
    <w:rsid w:val="008F7F1A"/>
    <w:rsid w:val="00900085"/>
    <w:rsid w:val="00900C8B"/>
    <w:rsid w:val="00902476"/>
    <w:rsid w:val="00902D38"/>
    <w:rsid w:val="0090342C"/>
    <w:rsid w:val="00904751"/>
    <w:rsid w:val="00904D4D"/>
    <w:rsid w:val="009052C9"/>
    <w:rsid w:val="0090628A"/>
    <w:rsid w:val="009063DD"/>
    <w:rsid w:val="00906D75"/>
    <w:rsid w:val="00906F04"/>
    <w:rsid w:val="0090761F"/>
    <w:rsid w:val="00907EE0"/>
    <w:rsid w:val="00910131"/>
    <w:rsid w:val="00910F7A"/>
    <w:rsid w:val="00911142"/>
    <w:rsid w:val="0091151C"/>
    <w:rsid w:val="0091187D"/>
    <w:rsid w:val="00911ADC"/>
    <w:rsid w:val="00912319"/>
    <w:rsid w:val="009130B6"/>
    <w:rsid w:val="0091328A"/>
    <w:rsid w:val="00913539"/>
    <w:rsid w:val="00913A18"/>
    <w:rsid w:val="0091408D"/>
    <w:rsid w:val="00914204"/>
    <w:rsid w:val="00914462"/>
    <w:rsid w:val="0091477C"/>
    <w:rsid w:val="00914DDF"/>
    <w:rsid w:val="00915FFD"/>
    <w:rsid w:val="0091717D"/>
    <w:rsid w:val="00917501"/>
    <w:rsid w:val="00917980"/>
    <w:rsid w:val="00917ACA"/>
    <w:rsid w:val="00917DBB"/>
    <w:rsid w:val="00917FD0"/>
    <w:rsid w:val="00920191"/>
    <w:rsid w:val="009205DA"/>
    <w:rsid w:val="00920616"/>
    <w:rsid w:val="009215AF"/>
    <w:rsid w:val="009221EC"/>
    <w:rsid w:val="00923636"/>
    <w:rsid w:val="0092446A"/>
    <w:rsid w:val="00925345"/>
    <w:rsid w:val="009259CB"/>
    <w:rsid w:val="00925EC7"/>
    <w:rsid w:val="00926587"/>
    <w:rsid w:val="00926706"/>
    <w:rsid w:val="00927128"/>
    <w:rsid w:val="009273B4"/>
    <w:rsid w:val="00927460"/>
    <w:rsid w:val="00930014"/>
    <w:rsid w:val="00930184"/>
    <w:rsid w:val="00930221"/>
    <w:rsid w:val="009305F6"/>
    <w:rsid w:val="0093077D"/>
    <w:rsid w:val="00931200"/>
    <w:rsid w:val="009312CB"/>
    <w:rsid w:val="00932A56"/>
    <w:rsid w:val="009339EB"/>
    <w:rsid w:val="00934700"/>
    <w:rsid w:val="00936C78"/>
    <w:rsid w:val="00940557"/>
    <w:rsid w:val="009410C0"/>
    <w:rsid w:val="00941B22"/>
    <w:rsid w:val="009423C3"/>
    <w:rsid w:val="00942E85"/>
    <w:rsid w:val="00942FA1"/>
    <w:rsid w:val="00943A94"/>
    <w:rsid w:val="00945B5D"/>
    <w:rsid w:val="00945C90"/>
    <w:rsid w:val="00945D6A"/>
    <w:rsid w:val="00946805"/>
    <w:rsid w:val="00946A68"/>
    <w:rsid w:val="00946C86"/>
    <w:rsid w:val="009475DA"/>
    <w:rsid w:val="00947738"/>
    <w:rsid w:val="00947F42"/>
    <w:rsid w:val="0095003B"/>
    <w:rsid w:val="00950412"/>
    <w:rsid w:val="00950E36"/>
    <w:rsid w:val="009513D3"/>
    <w:rsid w:val="00951805"/>
    <w:rsid w:val="009521D6"/>
    <w:rsid w:val="009521F1"/>
    <w:rsid w:val="009529D6"/>
    <w:rsid w:val="00952DC5"/>
    <w:rsid w:val="00952E22"/>
    <w:rsid w:val="00953474"/>
    <w:rsid w:val="00953A1B"/>
    <w:rsid w:val="00953C55"/>
    <w:rsid w:val="00953EDA"/>
    <w:rsid w:val="00954277"/>
    <w:rsid w:val="00954908"/>
    <w:rsid w:val="009559DD"/>
    <w:rsid w:val="00956397"/>
    <w:rsid w:val="009567CF"/>
    <w:rsid w:val="0095748D"/>
    <w:rsid w:val="00957ED6"/>
    <w:rsid w:val="00957F21"/>
    <w:rsid w:val="0096057C"/>
    <w:rsid w:val="0096070B"/>
    <w:rsid w:val="00960774"/>
    <w:rsid w:val="009607BD"/>
    <w:rsid w:val="00960ECB"/>
    <w:rsid w:val="00961A06"/>
    <w:rsid w:val="00961C53"/>
    <w:rsid w:val="00962BF7"/>
    <w:rsid w:val="00962E7C"/>
    <w:rsid w:val="00962F00"/>
    <w:rsid w:val="00963A40"/>
    <w:rsid w:val="00963F4D"/>
    <w:rsid w:val="0096478C"/>
    <w:rsid w:val="00964EA9"/>
    <w:rsid w:val="00965A5F"/>
    <w:rsid w:val="00965C6B"/>
    <w:rsid w:val="009662D2"/>
    <w:rsid w:val="009674FC"/>
    <w:rsid w:val="009707C8"/>
    <w:rsid w:val="00971283"/>
    <w:rsid w:val="009727FF"/>
    <w:rsid w:val="00973014"/>
    <w:rsid w:val="009735A5"/>
    <w:rsid w:val="00973DFD"/>
    <w:rsid w:val="00974272"/>
    <w:rsid w:val="0097480E"/>
    <w:rsid w:val="00974BCA"/>
    <w:rsid w:val="00976185"/>
    <w:rsid w:val="00977925"/>
    <w:rsid w:val="00980112"/>
    <w:rsid w:val="0098091E"/>
    <w:rsid w:val="0098132B"/>
    <w:rsid w:val="0098190A"/>
    <w:rsid w:val="00981B1F"/>
    <w:rsid w:val="00982295"/>
    <w:rsid w:val="0098385F"/>
    <w:rsid w:val="00983F63"/>
    <w:rsid w:val="00984303"/>
    <w:rsid w:val="00984816"/>
    <w:rsid w:val="009854B1"/>
    <w:rsid w:val="009855E3"/>
    <w:rsid w:val="009860E8"/>
    <w:rsid w:val="009863CA"/>
    <w:rsid w:val="009868B1"/>
    <w:rsid w:val="00987803"/>
    <w:rsid w:val="00987B2F"/>
    <w:rsid w:val="00990032"/>
    <w:rsid w:val="00991055"/>
    <w:rsid w:val="00991B63"/>
    <w:rsid w:val="009932B5"/>
    <w:rsid w:val="00993A4E"/>
    <w:rsid w:val="009941E4"/>
    <w:rsid w:val="00994A90"/>
    <w:rsid w:val="009961AC"/>
    <w:rsid w:val="0099659C"/>
    <w:rsid w:val="00996677"/>
    <w:rsid w:val="009967C9"/>
    <w:rsid w:val="00996FD7"/>
    <w:rsid w:val="009970A8"/>
    <w:rsid w:val="009975E8"/>
    <w:rsid w:val="009976C0"/>
    <w:rsid w:val="00997A54"/>
    <w:rsid w:val="00997D82"/>
    <w:rsid w:val="009A0357"/>
    <w:rsid w:val="009A1339"/>
    <w:rsid w:val="009A17B9"/>
    <w:rsid w:val="009A1A6B"/>
    <w:rsid w:val="009A207C"/>
    <w:rsid w:val="009A38EA"/>
    <w:rsid w:val="009A4905"/>
    <w:rsid w:val="009A4954"/>
    <w:rsid w:val="009A4B15"/>
    <w:rsid w:val="009A5063"/>
    <w:rsid w:val="009A605D"/>
    <w:rsid w:val="009A6FD5"/>
    <w:rsid w:val="009A7041"/>
    <w:rsid w:val="009A7A3E"/>
    <w:rsid w:val="009B0475"/>
    <w:rsid w:val="009B1276"/>
    <w:rsid w:val="009B12E5"/>
    <w:rsid w:val="009B1752"/>
    <w:rsid w:val="009B1C70"/>
    <w:rsid w:val="009B1CEE"/>
    <w:rsid w:val="009B25A1"/>
    <w:rsid w:val="009B26F0"/>
    <w:rsid w:val="009B2726"/>
    <w:rsid w:val="009B2B27"/>
    <w:rsid w:val="009B3A55"/>
    <w:rsid w:val="009B3D52"/>
    <w:rsid w:val="009B4555"/>
    <w:rsid w:val="009B4C14"/>
    <w:rsid w:val="009B5477"/>
    <w:rsid w:val="009B5738"/>
    <w:rsid w:val="009B5E0E"/>
    <w:rsid w:val="009B6CB6"/>
    <w:rsid w:val="009B6E54"/>
    <w:rsid w:val="009B7881"/>
    <w:rsid w:val="009B7AB8"/>
    <w:rsid w:val="009C0115"/>
    <w:rsid w:val="009C0529"/>
    <w:rsid w:val="009C075E"/>
    <w:rsid w:val="009C084B"/>
    <w:rsid w:val="009C0A29"/>
    <w:rsid w:val="009C0C5E"/>
    <w:rsid w:val="009C123B"/>
    <w:rsid w:val="009C1614"/>
    <w:rsid w:val="009C1BD3"/>
    <w:rsid w:val="009C1D03"/>
    <w:rsid w:val="009C1DA7"/>
    <w:rsid w:val="009C218C"/>
    <w:rsid w:val="009C2A5E"/>
    <w:rsid w:val="009C4480"/>
    <w:rsid w:val="009C44A1"/>
    <w:rsid w:val="009C44CA"/>
    <w:rsid w:val="009C4522"/>
    <w:rsid w:val="009C4CEA"/>
    <w:rsid w:val="009C57D4"/>
    <w:rsid w:val="009C7EA1"/>
    <w:rsid w:val="009D06D2"/>
    <w:rsid w:val="009D1761"/>
    <w:rsid w:val="009D1CAA"/>
    <w:rsid w:val="009D201A"/>
    <w:rsid w:val="009D34C3"/>
    <w:rsid w:val="009D35CB"/>
    <w:rsid w:val="009D3981"/>
    <w:rsid w:val="009D41A5"/>
    <w:rsid w:val="009D4F4D"/>
    <w:rsid w:val="009D51E3"/>
    <w:rsid w:val="009D56BF"/>
    <w:rsid w:val="009D600A"/>
    <w:rsid w:val="009D6152"/>
    <w:rsid w:val="009D689B"/>
    <w:rsid w:val="009D7116"/>
    <w:rsid w:val="009D7400"/>
    <w:rsid w:val="009D7F90"/>
    <w:rsid w:val="009E0E3A"/>
    <w:rsid w:val="009E1764"/>
    <w:rsid w:val="009E17E2"/>
    <w:rsid w:val="009E2C67"/>
    <w:rsid w:val="009E3DA2"/>
    <w:rsid w:val="009E43C7"/>
    <w:rsid w:val="009E5960"/>
    <w:rsid w:val="009E6086"/>
    <w:rsid w:val="009E6F48"/>
    <w:rsid w:val="009E7E43"/>
    <w:rsid w:val="009E7F1C"/>
    <w:rsid w:val="009F0087"/>
    <w:rsid w:val="009F0329"/>
    <w:rsid w:val="009F03A7"/>
    <w:rsid w:val="009F1838"/>
    <w:rsid w:val="009F1ED0"/>
    <w:rsid w:val="009F279C"/>
    <w:rsid w:val="009F3034"/>
    <w:rsid w:val="009F3EE1"/>
    <w:rsid w:val="009F410E"/>
    <w:rsid w:val="009F44B8"/>
    <w:rsid w:val="009F45B4"/>
    <w:rsid w:val="009F4FCE"/>
    <w:rsid w:val="009F76C1"/>
    <w:rsid w:val="009F79C8"/>
    <w:rsid w:val="009F7FC2"/>
    <w:rsid w:val="00A0069F"/>
    <w:rsid w:val="00A00DB4"/>
    <w:rsid w:val="00A014C3"/>
    <w:rsid w:val="00A01BFD"/>
    <w:rsid w:val="00A03045"/>
    <w:rsid w:val="00A0417B"/>
    <w:rsid w:val="00A05058"/>
    <w:rsid w:val="00A0527D"/>
    <w:rsid w:val="00A05320"/>
    <w:rsid w:val="00A055B7"/>
    <w:rsid w:val="00A056E8"/>
    <w:rsid w:val="00A05A8F"/>
    <w:rsid w:val="00A05BCB"/>
    <w:rsid w:val="00A07713"/>
    <w:rsid w:val="00A07A39"/>
    <w:rsid w:val="00A07E98"/>
    <w:rsid w:val="00A11AE6"/>
    <w:rsid w:val="00A1275F"/>
    <w:rsid w:val="00A12805"/>
    <w:rsid w:val="00A12E8E"/>
    <w:rsid w:val="00A1329A"/>
    <w:rsid w:val="00A133BD"/>
    <w:rsid w:val="00A13A46"/>
    <w:rsid w:val="00A14830"/>
    <w:rsid w:val="00A14D3A"/>
    <w:rsid w:val="00A1508A"/>
    <w:rsid w:val="00A15790"/>
    <w:rsid w:val="00A15922"/>
    <w:rsid w:val="00A171B4"/>
    <w:rsid w:val="00A172FF"/>
    <w:rsid w:val="00A17C22"/>
    <w:rsid w:val="00A20318"/>
    <w:rsid w:val="00A20618"/>
    <w:rsid w:val="00A21736"/>
    <w:rsid w:val="00A2214C"/>
    <w:rsid w:val="00A225BC"/>
    <w:rsid w:val="00A235E2"/>
    <w:rsid w:val="00A24F01"/>
    <w:rsid w:val="00A24F1D"/>
    <w:rsid w:val="00A25A4A"/>
    <w:rsid w:val="00A25C23"/>
    <w:rsid w:val="00A25EE8"/>
    <w:rsid w:val="00A260FB"/>
    <w:rsid w:val="00A26230"/>
    <w:rsid w:val="00A262C6"/>
    <w:rsid w:val="00A271C7"/>
    <w:rsid w:val="00A27432"/>
    <w:rsid w:val="00A30DC4"/>
    <w:rsid w:val="00A31DA6"/>
    <w:rsid w:val="00A3258B"/>
    <w:rsid w:val="00A331D9"/>
    <w:rsid w:val="00A34618"/>
    <w:rsid w:val="00A350E1"/>
    <w:rsid w:val="00A35194"/>
    <w:rsid w:val="00A35AB1"/>
    <w:rsid w:val="00A35E50"/>
    <w:rsid w:val="00A3632F"/>
    <w:rsid w:val="00A369E9"/>
    <w:rsid w:val="00A374DD"/>
    <w:rsid w:val="00A37598"/>
    <w:rsid w:val="00A37793"/>
    <w:rsid w:val="00A378B6"/>
    <w:rsid w:val="00A40913"/>
    <w:rsid w:val="00A41741"/>
    <w:rsid w:val="00A4189E"/>
    <w:rsid w:val="00A456F2"/>
    <w:rsid w:val="00A462B2"/>
    <w:rsid w:val="00A47357"/>
    <w:rsid w:val="00A47986"/>
    <w:rsid w:val="00A50602"/>
    <w:rsid w:val="00A50635"/>
    <w:rsid w:val="00A50F26"/>
    <w:rsid w:val="00A518BC"/>
    <w:rsid w:val="00A51C72"/>
    <w:rsid w:val="00A523F0"/>
    <w:rsid w:val="00A52409"/>
    <w:rsid w:val="00A52943"/>
    <w:rsid w:val="00A53758"/>
    <w:rsid w:val="00A53A7B"/>
    <w:rsid w:val="00A53F7B"/>
    <w:rsid w:val="00A5436B"/>
    <w:rsid w:val="00A5449E"/>
    <w:rsid w:val="00A54935"/>
    <w:rsid w:val="00A54C0E"/>
    <w:rsid w:val="00A55A86"/>
    <w:rsid w:val="00A55BBF"/>
    <w:rsid w:val="00A560D1"/>
    <w:rsid w:val="00A565EA"/>
    <w:rsid w:val="00A56ADB"/>
    <w:rsid w:val="00A575D1"/>
    <w:rsid w:val="00A5779C"/>
    <w:rsid w:val="00A57C9C"/>
    <w:rsid w:val="00A60809"/>
    <w:rsid w:val="00A614D0"/>
    <w:rsid w:val="00A61BBF"/>
    <w:rsid w:val="00A6201E"/>
    <w:rsid w:val="00A6265B"/>
    <w:rsid w:val="00A62971"/>
    <w:rsid w:val="00A62BE2"/>
    <w:rsid w:val="00A62D5C"/>
    <w:rsid w:val="00A65229"/>
    <w:rsid w:val="00A65FC2"/>
    <w:rsid w:val="00A660AC"/>
    <w:rsid w:val="00A66AA0"/>
    <w:rsid w:val="00A66EA2"/>
    <w:rsid w:val="00A67CFB"/>
    <w:rsid w:val="00A67FD5"/>
    <w:rsid w:val="00A70047"/>
    <w:rsid w:val="00A704DB"/>
    <w:rsid w:val="00A706EF"/>
    <w:rsid w:val="00A7076D"/>
    <w:rsid w:val="00A716CC"/>
    <w:rsid w:val="00A71FA3"/>
    <w:rsid w:val="00A72243"/>
    <w:rsid w:val="00A72564"/>
    <w:rsid w:val="00A729E4"/>
    <w:rsid w:val="00A72A99"/>
    <w:rsid w:val="00A72FA2"/>
    <w:rsid w:val="00A7305E"/>
    <w:rsid w:val="00A73FC7"/>
    <w:rsid w:val="00A7518E"/>
    <w:rsid w:val="00A764CC"/>
    <w:rsid w:val="00A76C52"/>
    <w:rsid w:val="00A76DA4"/>
    <w:rsid w:val="00A779D7"/>
    <w:rsid w:val="00A77D8B"/>
    <w:rsid w:val="00A77F17"/>
    <w:rsid w:val="00A80095"/>
    <w:rsid w:val="00A8131B"/>
    <w:rsid w:val="00A813AE"/>
    <w:rsid w:val="00A816A5"/>
    <w:rsid w:val="00A819C3"/>
    <w:rsid w:val="00A81A0E"/>
    <w:rsid w:val="00A81AD2"/>
    <w:rsid w:val="00A82356"/>
    <w:rsid w:val="00A8249F"/>
    <w:rsid w:val="00A82681"/>
    <w:rsid w:val="00A82904"/>
    <w:rsid w:val="00A83108"/>
    <w:rsid w:val="00A83586"/>
    <w:rsid w:val="00A8366C"/>
    <w:rsid w:val="00A84DBC"/>
    <w:rsid w:val="00A853BA"/>
    <w:rsid w:val="00A853F8"/>
    <w:rsid w:val="00A85658"/>
    <w:rsid w:val="00A857CF"/>
    <w:rsid w:val="00A85A41"/>
    <w:rsid w:val="00A86B3F"/>
    <w:rsid w:val="00A872E8"/>
    <w:rsid w:val="00A87363"/>
    <w:rsid w:val="00A9051A"/>
    <w:rsid w:val="00A92666"/>
    <w:rsid w:val="00A926CC"/>
    <w:rsid w:val="00A9280C"/>
    <w:rsid w:val="00A936A1"/>
    <w:rsid w:val="00A9399B"/>
    <w:rsid w:val="00A93B1A"/>
    <w:rsid w:val="00A93C66"/>
    <w:rsid w:val="00A94075"/>
    <w:rsid w:val="00A943B5"/>
    <w:rsid w:val="00A94525"/>
    <w:rsid w:val="00A950FB"/>
    <w:rsid w:val="00A957AB"/>
    <w:rsid w:val="00A964AC"/>
    <w:rsid w:val="00A96609"/>
    <w:rsid w:val="00A971BF"/>
    <w:rsid w:val="00A978C9"/>
    <w:rsid w:val="00A978F3"/>
    <w:rsid w:val="00A979D7"/>
    <w:rsid w:val="00AA035A"/>
    <w:rsid w:val="00AA09F8"/>
    <w:rsid w:val="00AA132A"/>
    <w:rsid w:val="00AA18FE"/>
    <w:rsid w:val="00AA1BB8"/>
    <w:rsid w:val="00AA2479"/>
    <w:rsid w:val="00AA2A9F"/>
    <w:rsid w:val="00AA2F4B"/>
    <w:rsid w:val="00AA3D56"/>
    <w:rsid w:val="00AA4398"/>
    <w:rsid w:val="00AA4547"/>
    <w:rsid w:val="00AA64CF"/>
    <w:rsid w:val="00AA64F3"/>
    <w:rsid w:val="00AA67F2"/>
    <w:rsid w:val="00AA6BFD"/>
    <w:rsid w:val="00AA7AE0"/>
    <w:rsid w:val="00AB01C4"/>
    <w:rsid w:val="00AB062D"/>
    <w:rsid w:val="00AB0B3B"/>
    <w:rsid w:val="00AB0DFF"/>
    <w:rsid w:val="00AB109C"/>
    <w:rsid w:val="00AB115B"/>
    <w:rsid w:val="00AB1216"/>
    <w:rsid w:val="00AB131B"/>
    <w:rsid w:val="00AB19FC"/>
    <w:rsid w:val="00AB229A"/>
    <w:rsid w:val="00AB23EA"/>
    <w:rsid w:val="00AB2930"/>
    <w:rsid w:val="00AB30CB"/>
    <w:rsid w:val="00AB3319"/>
    <w:rsid w:val="00AB36C1"/>
    <w:rsid w:val="00AB38AB"/>
    <w:rsid w:val="00AB3DFD"/>
    <w:rsid w:val="00AB3E7F"/>
    <w:rsid w:val="00AB3F62"/>
    <w:rsid w:val="00AB41D6"/>
    <w:rsid w:val="00AB49D0"/>
    <w:rsid w:val="00AB575B"/>
    <w:rsid w:val="00AB5A0D"/>
    <w:rsid w:val="00AB610A"/>
    <w:rsid w:val="00AB66A7"/>
    <w:rsid w:val="00AB729D"/>
    <w:rsid w:val="00AB7A33"/>
    <w:rsid w:val="00AC0189"/>
    <w:rsid w:val="00AC0AE4"/>
    <w:rsid w:val="00AC1341"/>
    <w:rsid w:val="00AC2754"/>
    <w:rsid w:val="00AC2894"/>
    <w:rsid w:val="00AC3348"/>
    <w:rsid w:val="00AC395A"/>
    <w:rsid w:val="00AC5170"/>
    <w:rsid w:val="00AC5A27"/>
    <w:rsid w:val="00AC5DC0"/>
    <w:rsid w:val="00AC6500"/>
    <w:rsid w:val="00AC66A9"/>
    <w:rsid w:val="00AC6F5A"/>
    <w:rsid w:val="00AC76D2"/>
    <w:rsid w:val="00AC78BF"/>
    <w:rsid w:val="00AD0A71"/>
    <w:rsid w:val="00AD0ABA"/>
    <w:rsid w:val="00AD14E7"/>
    <w:rsid w:val="00AD1B99"/>
    <w:rsid w:val="00AD324B"/>
    <w:rsid w:val="00AD3881"/>
    <w:rsid w:val="00AD48BF"/>
    <w:rsid w:val="00AD4AD3"/>
    <w:rsid w:val="00AD4D1A"/>
    <w:rsid w:val="00AD53E0"/>
    <w:rsid w:val="00AD5660"/>
    <w:rsid w:val="00AD585A"/>
    <w:rsid w:val="00AD60A4"/>
    <w:rsid w:val="00AD63F0"/>
    <w:rsid w:val="00AD695B"/>
    <w:rsid w:val="00AD6D37"/>
    <w:rsid w:val="00AD6EA7"/>
    <w:rsid w:val="00AD7412"/>
    <w:rsid w:val="00AD79D2"/>
    <w:rsid w:val="00AE0061"/>
    <w:rsid w:val="00AE0065"/>
    <w:rsid w:val="00AE063A"/>
    <w:rsid w:val="00AE1D5C"/>
    <w:rsid w:val="00AE3FA4"/>
    <w:rsid w:val="00AE4CD1"/>
    <w:rsid w:val="00AE6350"/>
    <w:rsid w:val="00AE768D"/>
    <w:rsid w:val="00AF1127"/>
    <w:rsid w:val="00AF14FD"/>
    <w:rsid w:val="00AF15E4"/>
    <w:rsid w:val="00AF1853"/>
    <w:rsid w:val="00AF2A5F"/>
    <w:rsid w:val="00AF3457"/>
    <w:rsid w:val="00AF3CFD"/>
    <w:rsid w:val="00AF3E62"/>
    <w:rsid w:val="00AF45FE"/>
    <w:rsid w:val="00AF4AAE"/>
    <w:rsid w:val="00AF4BA7"/>
    <w:rsid w:val="00AF5408"/>
    <w:rsid w:val="00AF55AC"/>
    <w:rsid w:val="00AF6526"/>
    <w:rsid w:val="00AF6D75"/>
    <w:rsid w:val="00AF70D2"/>
    <w:rsid w:val="00AF7DF6"/>
    <w:rsid w:val="00B003ED"/>
    <w:rsid w:val="00B0073C"/>
    <w:rsid w:val="00B0087C"/>
    <w:rsid w:val="00B00A81"/>
    <w:rsid w:val="00B011D7"/>
    <w:rsid w:val="00B012AB"/>
    <w:rsid w:val="00B01507"/>
    <w:rsid w:val="00B017E7"/>
    <w:rsid w:val="00B019D3"/>
    <w:rsid w:val="00B01EEE"/>
    <w:rsid w:val="00B01F31"/>
    <w:rsid w:val="00B02162"/>
    <w:rsid w:val="00B03581"/>
    <w:rsid w:val="00B045C2"/>
    <w:rsid w:val="00B04765"/>
    <w:rsid w:val="00B049FD"/>
    <w:rsid w:val="00B05A87"/>
    <w:rsid w:val="00B06088"/>
    <w:rsid w:val="00B06605"/>
    <w:rsid w:val="00B06DE3"/>
    <w:rsid w:val="00B0756C"/>
    <w:rsid w:val="00B107FA"/>
    <w:rsid w:val="00B112CF"/>
    <w:rsid w:val="00B11422"/>
    <w:rsid w:val="00B11E37"/>
    <w:rsid w:val="00B133A8"/>
    <w:rsid w:val="00B137AD"/>
    <w:rsid w:val="00B13A2B"/>
    <w:rsid w:val="00B13CB2"/>
    <w:rsid w:val="00B1406F"/>
    <w:rsid w:val="00B144CA"/>
    <w:rsid w:val="00B15768"/>
    <w:rsid w:val="00B15E6C"/>
    <w:rsid w:val="00B1660F"/>
    <w:rsid w:val="00B1668E"/>
    <w:rsid w:val="00B17845"/>
    <w:rsid w:val="00B17DD5"/>
    <w:rsid w:val="00B20117"/>
    <w:rsid w:val="00B20457"/>
    <w:rsid w:val="00B20C50"/>
    <w:rsid w:val="00B21540"/>
    <w:rsid w:val="00B21626"/>
    <w:rsid w:val="00B220F1"/>
    <w:rsid w:val="00B224B4"/>
    <w:rsid w:val="00B22A42"/>
    <w:rsid w:val="00B22B02"/>
    <w:rsid w:val="00B22CBB"/>
    <w:rsid w:val="00B23330"/>
    <w:rsid w:val="00B236D2"/>
    <w:rsid w:val="00B23872"/>
    <w:rsid w:val="00B23E8B"/>
    <w:rsid w:val="00B259BC"/>
    <w:rsid w:val="00B27384"/>
    <w:rsid w:val="00B2740C"/>
    <w:rsid w:val="00B2741C"/>
    <w:rsid w:val="00B276BD"/>
    <w:rsid w:val="00B27731"/>
    <w:rsid w:val="00B27767"/>
    <w:rsid w:val="00B279A7"/>
    <w:rsid w:val="00B27DC2"/>
    <w:rsid w:val="00B30543"/>
    <w:rsid w:val="00B305F8"/>
    <w:rsid w:val="00B30AAE"/>
    <w:rsid w:val="00B30ACB"/>
    <w:rsid w:val="00B31BE5"/>
    <w:rsid w:val="00B31F4A"/>
    <w:rsid w:val="00B32012"/>
    <w:rsid w:val="00B321AD"/>
    <w:rsid w:val="00B32244"/>
    <w:rsid w:val="00B324D0"/>
    <w:rsid w:val="00B329E9"/>
    <w:rsid w:val="00B32D44"/>
    <w:rsid w:val="00B33128"/>
    <w:rsid w:val="00B333E6"/>
    <w:rsid w:val="00B33520"/>
    <w:rsid w:val="00B335D0"/>
    <w:rsid w:val="00B342FC"/>
    <w:rsid w:val="00B351CB"/>
    <w:rsid w:val="00B35467"/>
    <w:rsid w:val="00B35803"/>
    <w:rsid w:val="00B37C44"/>
    <w:rsid w:val="00B37FA6"/>
    <w:rsid w:val="00B40086"/>
    <w:rsid w:val="00B40399"/>
    <w:rsid w:val="00B406E7"/>
    <w:rsid w:val="00B413EC"/>
    <w:rsid w:val="00B4158F"/>
    <w:rsid w:val="00B41D9B"/>
    <w:rsid w:val="00B41F7F"/>
    <w:rsid w:val="00B42129"/>
    <w:rsid w:val="00B428E2"/>
    <w:rsid w:val="00B43610"/>
    <w:rsid w:val="00B44165"/>
    <w:rsid w:val="00B4590C"/>
    <w:rsid w:val="00B4667F"/>
    <w:rsid w:val="00B46A81"/>
    <w:rsid w:val="00B46FB9"/>
    <w:rsid w:val="00B47A20"/>
    <w:rsid w:val="00B47B77"/>
    <w:rsid w:val="00B47D49"/>
    <w:rsid w:val="00B501D6"/>
    <w:rsid w:val="00B504F2"/>
    <w:rsid w:val="00B506F7"/>
    <w:rsid w:val="00B507D9"/>
    <w:rsid w:val="00B507F6"/>
    <w:rsid w:val="00B5133E"/>
    <w:rsid w:val="00B51FE8"/>
    <w:rsid w:val="00B52050"/>
    <w:rsid w:val="00B5206D"/>
    <w:rsid w:val="00B52090"/>
    <w:rsid w:val="00B5237B"/>
    <w:rsid w:val="00B5245F"/>
    <w:rsid w:val="00B52986"/>
    <w:rsid w:val="00B5389F"/>
    <w:rsid w:val="00B540F7"/>
    <w:rsid w:val="00B54971"/>
    <w:rsid w:val="00B54D64"/>
    <w:rsid w:val="00B55BEA"/>
    <w:rsid w:val="00B56292"/>
    <w:rsid w:val="00B56868"/>
    <w:rsid w:val="00B56990"/>
    <w:rsid w:val="00B56F91"/>
    <w:rsid w:val="00B57515"/>
    <w:rsid w:val="00B604F0"/>
    <w:rsid w:val="00B6050E"/>
    <w:rsid w:val="00B61D5C"/>
    <w:rsid w:val="00B62231"/>
    <w:rsid w:val="00B6234E"/>
    <w:rsid w:val="00B6494B"/>
    <w:rsid w:val="00B64BAB"/>
    <w:rsid w:val="00B653D1"/>
    <w:rsid w:val="00B6590F"/>
    <w:rsid w:val="00B65EF2"/>
    <w:rsid w:val="00B66A0A"/>
    <w:rsid w:val="00B670B9"/>
    <w:rsid w:val="00B679A6"/>
    <w:rsid w:val="00B701C4"/>
    <w:rsid w:val="00B70308"/>
    <w:rsid w:val="00B71E08"/>
    <w:rsid w:val="00B7291E"/>
    <w:rsid w:val="00B731FC"/>
    <w:rsid w:val="00B7436B"/>
    <w:rsid w:val="00B75019"/>
    <w:rsid w:val="00B7509B"/>
    <w:rsid w:val="00B7563C"/>
    <w:rsid w:val="00B762A4"/>
    <w:rsid w:val="00B766D1"/>
    <w:rsid w:val="00B769FA"/>
    <w:rsid w:val="00B774CF"/>
    <w:rsid w:val="00B7751F"/>
    <w:rsid w:val="00B80100"/>
    <w:rsid w:val="00B804BB"/>
    <w:rsid w:val="00B80609"/>
    <w:rsid w:val="00B80685"/>
    <w:rsid w:val="00B81860"/>
    <w:rsid w:val="00B82466"/>
    <w:rsid w:val="00B838DA"/>
    <w:rsid w:val="00B83AF6"/>
    <w:rsid w:val="00B84061"/>
    <w:rsid w:val="00B842F4"/>
    <w:rsid w:val="00B852B9"/>
    <w:rsid w:val="00B861DE"/>
    <w:rsid w:val="00B8625B"/>
    <w:rsid w:val="00B867A8"/>
    <w:rsid w:val="00B86825"/>
    <w:rsid w:val="00B86BB6"/>
    <w:rsid w:val="00B86DD7"/>
    <w:rsid w:val="00B87744"/>
    <w:rsid w:val="00B87A7C"/>
    <w:rsid w:val="00B87AB3"/>
    <w:rsid w:val="00B900AB"/>
    <w:rsid w:val="00B9081E"/>
    <w:rsid w:val="00B9101F"/>
    <w:rsid w:val="00B91A6F"/>
    <w:rsid w:val="00B92CB0"/>
    <w:rsid w:val="00B9311B"/>
    <w:rsid w:val="00B935A6"/>
    <w:rsid w:val="00B9366D"/>
    <w:rsid w:val="00B957F3"/>
    <w:rsid w:val="00B963AD"/>
    <w:rsid w:val="00B97132"/>
    <w:rsid w:val="00B97265"/>
    <w:rsid w:val="00BA0682"/>
    <w:rsid w:val="00BA0E06"/>
    <w:rsid w:val="00BA0E25"/>
    <w:rsid w:val="00BA0EBA"/>
    <w:rsid w:val="00BA123F"/>
    <w:rsid w:val="00BA1657"/>
    <w:rsid w:val="00BA1DAD"/>
    <w:rsid w:val="00BA2077"/>
    <w:rsid w:val="00BA2337"/>
    <w:rsid w:val="00BA240E"/>
    <w:rsid w:val="00BA249C"/>
    <w:rsid w:val="00BA2F25"/>
    <w:rsid w:val="00BA3580"/>
    <w:rsid w:val="00BA368D"/>
    <w:rsid w:val="00BA395E"/>
    <w:rsid w:val="00BA3B3C"/>
    <w:rsid w:val="00BA4464"/>
    <w:rsid w:val="00BA523B"/>
    <w:rsid w:val="00BA5341"/>
    <w:rsid w:val="00BA555B"/>
    <w:rsid w:val="00BA58ED"/>
    <w:rsid w:val="00BA62C0"/>
    <w:rsid w:val="00BA71AF"/>
    <w:rsid w:val="00BA7238"/>
    <w:rsid w:val="00BA74D0"/>
    <w:rsid w:val="00BA7D20"/>
    <w:rsid w:val="00BB0C97"/>
    <w:rsid w:val="00BB18A5"/>
    <w:rsid w:val="00BB21A0"/>
    <w:rsid w:val="00BB25A3"/>
    <w:rsid w:val="00BB3369"/>
    <w:rsid w:val="00BB3A1B"/>
    <w:rsid w:val="00BB3BB6"/>
    <w:rsid w:val="00BB4ED9"/>
    <w:rsid w:val="00BB4F21"/>
    <w:rsid w:val="00BB5DD5"/>
    <w:rsid w:val="00BB65C2"/>
    <w:rsid w:val="00BB6767"/>
    <w:rsid w:val="00BB67C4"/>
    <w:rsid w:val="00BB7048"/>
    <w:rsid w:val="00BC07D6"/>
    <w:rsid w:val="00BC120A"/>
    <w:rsid w:val="00BC2DF3"/>
    <w:rsid w:val="00BC37F2"/>
    <w:rsid w:val="00BC3C28"/>
    <w:rsid w:val="00BC40AC"/>
    <w:rsid w:val="00BC4173"/>
    <w:rsid w:val="00BC55AC"/>
    <w:rsid w:val="00BC55C4"/>
    <w:rsid w:val="00BC60C9"/>
    <w:rsid w:val="00BC66D2"/>
    <w:rsid w:val="00BC6FE5"/>
    <w:rsid w:val="00BC6FF0"/>
    <w:rsid w:val="00BC7D19"/>
    <w:rsid w:val="00BD02A6"/>
    <w:rsid w:val="00BD07C3"/>
    <w:rsid w:val="00BD0D5E"/>
    <w:rsid w:val="00BD0DFE"/>
    <w:rsid w:val="00BD0F2B"/>
    <w:rsid w:val="00BD12C9"/>
    <w:rsid w:val="00BD1FA5"/>
    <w:rsid w:val="00BD21F7"/>
    <w:rsid w:val="00BD36D8"/>
    <w:rsid w:val="00BD43B5"/>
    <w:rsid w:val="00BD43DC"/>
    <w:rsid w:val="00BD5C59"/>
    <w:rsid w:val="00BD5D82"/>
    <w:rsid w:val="00BD66A8"/>
    <w:rsid w:val="00BD7384"/>
    <w:rsid w:val="00BE0733"/>
    <w:rsid w:val="00BE08E5"/>
    <w:rsid w:val="00BE0A1F"/>
    <w:rsid w:val="00BE15A1"/>
    <w:rsid w:val="00BE1D00"/>
    <w:rsid w:val="00BE2914"/>
    <w:rsid w:val="00BE3095"/>
    <w:rsid w:val="00BE3272"/>
    <w:rsid w:val="00BE44E4"/>
    <w:rsid w:val="00BE4583"/>
    <w:rsid w:val="00BE4A84"/>
    <w:rsid w:val="00BE529F"/>
    <w:rsid w:val="00BE57C7"/>
    <w:rsid w:val="00BE600D"/>
    <w:rsid w:val="00BE6177"/>
    <w:rsid w:val="00BF0541"/>
    <w:rsid w:val="00BF1C08"/>
    <w:rsid w:val="00BF1CEA"/>
    <w:rsid w:val="00BF2E88"/>
    <w:rsid w:val="00BF3161"/>
    <w:rsid w:val="00BF31F5"/>
    <w:rsid w:val="00BF474E"/>
    <w:rsid w:val="00BF5101"/>
    <w:rsid w:val="00BF5269"/>
    <w:rsid w:val="00BF5FAB"/>
    <w:rsid w:val="00BF65DA"/>
    <w:rsid w:val="00BF6A60"/>
    <w:rsid w:val="00BF7450"/>
    <w:rsid w:val="00C006CD"/>
    <w:rsid w:val="00C00A66"/>
    <w:rsid w:val="00C016F5"/>
    <w:rsid w:val="00C0178B"/>
    <w:rsid w:val="00C01C91"/>
    <w:rsid w:val="00C01F86"/>
    <w:rsid w:val="00C02488"/>
    <w:rsid w:val="00C0252D"/>
    <w:rsid w:val="00C02902"/>
    <w:rsid w:val="00C02CA8"/>
    <w:rsid w:val="00C038DF"/>
    <w:rsid w:val="00C042DE"/>
    <w:rsid w:val="00C04F8B"/>
    <w:rsid w:val="00C05105"/>
    <w:rsid w:val="00C05667"/>
    <w:rsid w:val="00C068F2"/>
    <w:rsid w:val="00C06CCB"/>
    <w:rsid w:val="00C06F66"/>
    <w:rsid w:val="00C07BE8"/>
    <w:rsid w:val="00C07C5E"/>
    <w:rsid w:val="00C105EC"/>
    <w:rsid w:val="00C10DA0"/>
    <w:rsid w:val="00C10EF8"/>
    <w:rsid w:val="00C11D75"/>
    <w:rsid w:val="00C11D9B"/>
    <w:rsid w:val="00C12E09"/>
    <w:rsid w:val="00C13587"/>
    <w:rsid w:val="00C135FA"/>
    <w:rsid w:val="00C147AC"/>
    <w:rsid w:val="00C14E20"/>
    <w:rsid w:val="00C1526A"/>
    <w:rsid w:val="00C155BF"/>
    <w:rsid w:val="00C15F13"/>
    <w:rsid w:val="00C16060"/>
    <w:rsid w:val="00C16DE6"/>
    <w:rsid w:val="00C16FEE"/>
    <w:rsid w:val="00C17F37"/>
    <w:rsid w:val="00C215D2"/>
    <w:rsid w:val="00C21C55"/>
    <w:rsid w:val="00C21E79"/>
    <w:rsid w:val="00C22145"/>
    <w:rsid w:val="00C22A29"/>
    <w:rsid w:val="00C22F1A"/>
    <w:rsid w:val="00C23676"/>
    <w:rsid w:val="00C23E42"/>
    <w:rsid w:val="00C23E55"/>
    <w:rsid w:val="00C23EE6"/>
    <w:rsid w:val="00C24CC2"/>
    <w:rsid w:val="00C24E18"/>
    <w:rsid w:val="00C25189"/>
    <w:rsid w:val="00C251FE"/>
    <w:rsid w:val="00C265C2"/>
    <w:rsid w:val="00C26802"/>
    <w:rsid w:val="00C27C1F"/>
    <w:rsid w:val="00C3035E"/>
    <w:rsid w:val="00C31A5E"/>
    <w:rsid w:val="00C32201"/>
    <w:rsid w:val="00C324FB"/>
    <w:rsid w:val="00C3284F"/>
    <w:rsid w:val="00C32877"/>
    <w:rsid w:val="00C33FD4"/>
    <w:rsid w:val="00C34582"/>
    <w:rsid w:val="00C35348"/>
    <w:rsid w:val="00C360DD"/>
    <w:rsid w:val="00C36350"/>
    <w:rsid w:val="00C367D0"/>
    <w:rsid w:val="00C3717D"/>
    <w:rsid w:val="00C37C54"/>
    <w:rsid w:val="00C37D6D"/>
    <w:rsid w:val="00C40012"/>
    <w:rsid w:val="00C401EE"/>
    <w:rsid w:val="00C4098F"/>
    <w:rsid w:val="00C415D7"/>
    <w:rsid w:val="00C418B9"/>
    <w:rsid w:val="00C419C2"/>
    <w:rsid w:val="00C41A0F"/>
    <w:rsid w:val="00C433F5"/>
    <w:rsid w:val="00C440D7"/>
    <w:rsid w:val="00C44147"/>
    <w:rsid w:val="00C44451"/>
    <w:rsid w:val="00C4465B"/>
    <w:rsid w:val="00C44C61"/>
    <w:rsid w:val="00C451B7"/>
    <w:rsid w:val="00C468DA"/>
    <w:rsid w:val="00C46ED0"/>
    <w:rsid w:val="00C50872"/>
    <w:rsid w:val="00C508F9"/>
    <w:rsid w:val="00C509A4"/>
    <w:rsid w:val="00C51990"/>
    <w:rsid w:val="00C5199A"/>
    <w:rsid w:val="00C51BFC"/>
    <w:rsid w:val="00C51C6F"/>
    <w:rsid w:val="00C5207E"/>
    <w:rsid w:val="00C52604"/>
    <w:rsid w:val="00C52F3B"/>
    <w:rsid w:val="00C53432"/>
    <w:rsid w:val="00C55A96"/>
    <w:rsid w:val="00C55AF4"/>
    <w:rsid w:val="00C55C45"/>
    <w:rsid w:val="00C5675B"/>
    <w:rsid w:val="00C56CAF"/>
    <w:rsid w:val="00C575F8"/>
    <w:rsid w:val="00C5791D"/>
    <w:rsid w:val="00C57DBF"/>
    <w:rsid w:val="00C60183"/>
    <w:rsid w:val="00C60369"/>
    <w:rsid w:val="00C6090C"/>
    <w:rsid w:val="00C609DF"/>
    <w:rsid w:val="00C60D72"/>
    <w:rsid w:val="00C6163D"/>
    <w:rsid w:val="00C6242E"/>
    <w:rsid w:val="00C625EB"/>
    <w:rsid w:val="00C630E1"/>
    <w:rsid w:val="00C63977"/>
    <w:rsid w:val="00C63DF0"/>
    <w:rsid w:val="00C63E8F"/>
    <w:rsid w:val="00C6441D"/>
    <w:rsid w:val="00C66614"/>
    <w:rsid w:val="00C667D8"/>
    <w:rsid w:val="00C66E47"/>
    <w:rsid w:val="00C679D3"/>
    <w:rsid w:val="00C67A3B"/>
    <w:rsid w:val="00C7015C"/>
    <w:rsid w:val="00C70E69"/>
    <w:rsid w:val="00C713FA"/>
    <w:rsid w:val="00C7202C"/>
    <w:rsid w:val="00C722FA"/>
    <w:rsid w:val="00C72D5E"/>
    <w:rsid w:val="00C74699"/>
    <w:rsid w:val="00C74B03"/>
    <w:rsid w:val="00C74B89"/>
    <w:rsid w:val="00C74D80"/>
    <w:rsid w:val="00C74FF0"/>
    <w:rsid w:val="00C75190"/>
    <w:rsid w:val="00C7674E"/>
    <w:rsid w:val="00C767C3"/>
    <w:rsid w:val="00C772B2"/>
    <w:rsid w:val="00C778ED"/>
    <w:rsid w:val="00C80A03"/>
    <w:rsid w:val="00C8182F"/>
    <w:rsid w:val="00C83101"/>
    <w:rsid w:val="00C834CD"/>
    <w:rsid w:val="00C83B95"/>
    <w:rsid w:val="00C845DC"/>
    <w:rsid w:val="00C852BD"/>
    <w:rsid w:val="00C85302"/>
    <w:rsid w:val="00C859AC"/>
    <w:rsid w:val="00C86093"/>
    <w:rsid w:val="00C864FF"/>
    <w:rsid w:val="00C867A0"/>
    <w:rsid w:val="00C86C0F"/>
    <w:rsid w:val="00C86EB5"/>
    <w:rsid w:val="00C87243"/>
    <w:rsid w:val="00C87D7D"/>
    <w:rsid w:val="00C90118"/>
    <w:rsid w:val="00C916AE"/>
    <w:rsid w:val="00C91EF9"/>
    <w:rsid w:val="00C9207E"/>
    <w:rsid w:val="00C9227C"/>
    <w:rsid w:val="00C924D3"/>
    <w:rsid w:val="00C92699"/>
    <w:rsid w:val="00C9316F"/>
    <w:rsid w:val="00C93F96"/>
    <w:rsid w:val="00C94500"/>
    <w:rsid w:val="00C96FE5"/>
    <w:rsid w:val="00C97838"/>
    <w:rsid w:val="00C97CAE"/>
    <w:rsid w:val="00CA0BD1"/>
    <w:rsid w:val="00CA0EE7"/>
    <w:rsid w:val="00CA0F53"/>
    <w:rsid w:val="00CA208E"/>
    <w:rsid w:val="00CA2339"/>
    <w:rsid w:val="00CA27A0"/>
    <w:rsid w:val="00CA285D"/>
    <w:rsid w:val="00CA2C35"/>
    <w:rsid w:val="00CA39C1"/>
    <w:rsid w:val="00CA3A32"/>
    <w:rsid w:val="00CA3C4A"/>
    <w:rsid w:val="00CA448F"/>
    <w:rsid w:val="00CA727F"/>
    <w:rsid w:val="00CA7BD7"/>
    <w:rsid w:val="00CB037C"/>
    <w:rsid w:val="00CB05B6"/>
    <w:rsid w:val="00CB0887"/>
    <w:rsid w:val="00CB1ED4"/>
    <w:rsid w:val="00CB20B5"/>
    <w:rsid w:val="00CB2498"/>
    <w:rsid w:val="00CB24FC"/>
    <w:rsid w:val="00CB4841"/>
    <w:rsid w:val="00CB4DD9"/>
    <w:rsid w:val="00CB555F"/>
    <w:rsid w:val="00CB58C0"/>
    <w:rsid w:val="00CB78CD"/>
    <w:rsid w:val="00CB793F"/>
    <w:rsid w:val="00CB79A1"/>
    <w:rsid w:val="00CC007A"/>
    <w:rsid w:val="00CC02B9"/>
    <w:rsid w:val="00CC066D"/>
    <w:rsid w:val="00CC1029"/>
    <w:rsid w:val="00CC15CF"/>
    <w:rsid w:val="00CC1BA6"/>
    <w:rsid w:val="00CC291D"/>
    <w:rsid w:val="00CC300D"/>
    <w:rsid w:val="00CC3F90"/>
    <w:rsid w:val="00CC42D0"/>
    <w:rsid w:val="00CC4F8C"/>
    <w:rsid w:val="00CC592F"/>
    <w:rsid w:val="00CC5FA2"/>
    <w:rsid w:val="00CC5FBE"/>
    <w:rsid w:val="00CC5FF0"/>
    <w:rsid w:val="00CC6847"/>
    <w:rsid w:val="00CC6C41"/>
    <w:rsid w:val="00CC73F5"/>
    <w:rsid w:val="00CC7A57"/>
    <w:rsid w:val="00CD0062"/>
    <w:rsid w:val="00CD040C"/>
    <w:rsid w:val="00CD05C9"/>
    <w:rsid w:val="00CD0E35"/>
    <w:rsid w:val="00CD11A8"/>
    <w:rsid w:val="00CD186B"/>
    <w:rsid w:val="00CD1A30"/>
    <w:rsid w:val="00CD1C68"/>
    <w:rsid w:val="00CD1C9E"/>
    <w:rsid w:val="00CD1FA8"/>
    <w:rsid w:val="00CD272A"/>
    <w:rsid w:val="00CD3147"/>
    <w:rsid w:val="00CD3CC9"/>
    <w:rsid w:val="00CD4671"/>
    <w:rsid w:val="00CD50FA"/>
    <w:rsid w:val="00CD5104"/>
    <w:rsid w:val="00CD66E3"/>
    <w:rsid w:val="00CD6985"/>
    <w:rsid w:val="00CD710C"/>
    <w:rsid w:val="00CD71C2"/>
    <w:rsid w:val="00CE0405"/>
    <w:rsid w:val="00CE13B6"/>
    <w:rsid w:val="00CE1BFA"/>
    <w:rsid w:val="00CE2591"/>
    <w:rsid w:val="00CE2804"/>
    <w:rsid w:val="00CE2EA9"/>
    <w:rsid w:val="00CE32AC"/>
    <w:rsid w:val="00CE33AD"/>
    <w:rsid w:val="00CE3AB5"/>
    <w:rsid w:val="00CE41C7"/>
    <w:rsid w:val="00CE41F3"/>
    <w:rsid w:val="00CE4C4B"/>
    <w:rsid w:val="00CE4E80"/>
    <w:rsid w:val="00CE51B5"/>
    <w:rsid w:val="00CE5BD6"/>
    <w:rsid w:val="00CE5CA2"/>
    <w:rsid w:val="00CE691E"/>
    <w:rsid w:val="00CE7183"/>
    <w:rsid w:val="00CE77FE"/>
    <w:rsid w:val="00CE7BCD"/>
    <w:rsid w:val="00CF0175"/>
    <w:rsid w:val="00CF02D7"/>
    <w:rsid w:val="00CF0F26"/>
    <w:rsid w:val="00CF13B5"/>
    <w:rsid w:val="00CF15FD"/>
    <w:rsid w:val="00CF1ABB"/>
    <w:rsid w:val="00CF1DB2"/>
    <w:rsid w:val="00CF1EE0"/>
    <w:rsid w:val="00CF391F"/>
    <w:rsid w:val="00CF3E0C"/>
    <w:rsid w:val="00CF482E"/>
    <w:rsid w:val="00CF4B0D"/>
    <w:rsid w:val="00CF4CF8"/>
    <w:rsid w:val="00CF55FF"/>
    <w:rsid w:val="00CF5826"/>
    <w:rsid w:val="00CF5A6B"/>
    <w:rsid w:val="00CF5D8E"/>
    <w:rsid w:val="00CF6669"/>
    <w:rsid w:val="00CF6B4B"/>
    <w:rsid w:val="00CF6EF5"/>
    <w:rsid w:val="00CF767C"/>
    <w:rsid w:val="00CF793F"/>
    <w:rsid w:val="00CF7DE8"/>
    <w:rsid w:val="00D00990"/>
    <w:rsid w:val="00D014D7"/>
    <w:rsid w:val="00D01942"/>
    <w:rsid w:val="00D01962"/>
    <w:rsid w:val="00D02370"/>
    <w:rsid w:val="00D023A4"/>
    <w:rsid w:val="00D02989"/>
    <w:rsid w:val="00D03255"/>
    <w:rsid w:val="00D035E3"/>
    <w:rsid w:val="00D039A3"/>
    <w:rsid w:val="00D04564"/>
    <w:rsid w:val="00D04D86"/>
    <w:rsid w:val="00D04DB9"/>
    <w:rsid w:val="00D05B69"/>
    <w:rsid w:val="00D06651"/>
    <w:rsid w:val="00D06D96"/>
    <w:rsid w:val="00D0711E"/>
    <w:rsid w:val="00D07579"/>
    <w:rsid w:val="00D07676"/>
    <w:rsid w:val="00D07C1B"/>
    <w:rsid w:val="00D07D36"/>
    <w:rsid w:val="00D10723"/>
    <w:rsid w:val="00D10726"/>
    <w:rsid w:val="00D10C5C"/>
    <w:rsid w:val="00D10F45"/>
    <w:rsid w:val="00D11088"/>
    <w:rsid w:val="00D11294"/>
    <w:rsid w:val="00D11888"/>
    <w:rsid w:val="00D11C3A"/>
    <w:rsid w:val="00D1213E"/>
    <w:rsid w:val="00D12311"/>
    <w:rsid w:val="00D12857"/>
    <w:rsid w:val="00D128A4"/>
    <w:rsid w:val="00D12C0D"/>
    <w:rsid w:val="00D1364C"/>
    <w:rsid w:val="00D138BA"/>
    <w:rsid w:val="00D13DC2"/>
    <w:rsid w:val="00D146DA"/>
    <w:rsid w:val="00D15EDC"/>
    <w:rsid w:val="00D16E2E"/>
    <w:rsid w:val="00D176EA"/>
    <w:rsid w:val="00D2069D"/>
    <w:rsid w:val="00D208CA"/>
    <w:rsid w:val="00D2186A"/>
    <w:rsid w:val="00D223E9"/>
    <w:rsid w:val="00D2266E"/>
    <w:rsid w:val="00D22CBB"/>
    <w:rsid w:val="00D230B3"/>
    <w:rsid w:val="00D23EA4"/>
    <w:rsid w:val="00D23FAA"/>
    <w:rsid w:val="00D2425F"/>
    <w:rsid w:val="00D2471D"/>
    <w:rsid w:val="00D24DA5"/>
    <w:rsid w:val="00D25029"/>
    <w:rsid w:val="00D25965"/>
    <w:rsid w:val="00D25D01"/>
    <w:rsid w:val="00D26379"/>
    <w:rsid w:val="00D269B4"/>
    <w:rsid w:val="00D26E56"/>
    <w:rsid w:val="00D26E57"/>
    <w:rsid w:val="00D275AD"/>
    <w:rsid w:val="00D27B4E"/>
    <w:rsid w:val="00D27BB5"/>
    <w:rsid w:val="00D30B03"/>
    <w:rsid w:val="00D31003"/>
    <w:rsid w:val="00D31296"/>
    <w:rsid w:val="00D3143C"/>
    <w:rsid w:val="00D32088"/>
    <w:rsid w:val="00D32157"/>
    <w:rsid w:val="00D3240F"/>
    <w:rsid w:val="00D32720"/>
    <w:rsid w:val="00D33253"/>
    <w:rsid w:val="00D33294"/>
    <w:rsid w:val="00D34555"/>
    <w:rsid w:val="00D34623"/>
    <w:rsid w:val="00D357B6"/>
    <w:rsid w:val="00D35D91"/>
    <w:rsid w:val="00D378B8"/>
    <w:rsid w:val="00D37A75"/>
    <w:rsid w:val="00D40219"/>
    <w:rsid w:val="00D40500"/>
    <w:rsid w:val="00D4158B"/>
    <w:rsid w:val="00D4195D"/>
    <w:rsid w:val="00D41C9C"/>
    <w:rsid w:val="00D41DB2"/>
    <w:rsid w:val="00D422D2"/>
    <w:rsid w:val="00D423C1"/>
    <w:rsid w:val="00D42662"/>
    <w:rsid w:val="00D4267A"/>
    <w:rsid w:val="00D42AD0"/>
    <w:rsid w:val="00D42D1D"/>
    <w:rsid w:val="00D43B14"/>
    <w:rsid w:val="00D44263"/>
    <w:rsid w:val="00D444C4"/>
    <w:rsid w:val="00D44613"/>
    <w:rsid w:val="00D44719"/>
    <w:rsid w:val="00D454BF"/>
    <w:rsid w:val="00D456C7"/>
    <w:rsid w:val="00D45AFC"/>
    <w:rsid w:val="00D4641C"/>
    <w:rsid w:val="00D46A58"/>
    <w:rsid w:val="00D46CC8"/>
    <w:rsid w:val="00D477EB"/>
    <w:rsid w:val="00D47E7C"/>
    <w:rsid w:val="00D47FAB"/>
    <w:rsid w:val="00D501AF"/>
    <w:rsid w:val="00D504EF"/>
    <w:rsid w:val="00D509FF"/>
    <w:rsid w:val="00D50D2B"/>
    <w:rsid w:val="00D50EA8"/>
    <w:rsid w:val="00D51163"/>
    <w:rsid w:val="00D52274"/>
    <w:rsid w:val="00D526BC"/>
    <w:rsid w:val="00D52D29"/>
    <w:rsid w:val="00D533D4"/>
    <w:rsid w:val="00D5367F"/>
    <w:rsid w:val="00D538EC"/>
    <w:rsid w:val="00D53C9F"/>
    <w:rsid w:val="00D54E93"/>
    <w:rsid w:val="00D558D1"/>
    <w:rsid w:val="00D5724C"/>
    <w:rsid w:val="00D57E94"/>
    <w:rsid w:val="00D610DF"/>
    <w:rsid w:val="00D61381"/>
    <w:rsid w:val="00D62564"/>
    <w:rsid w:val="00D630D6"/>
    <w:rsid w:val="00D631EE"/>
    <w:rsid w:val="00D63792"/>
    <w:rsid w:val="00D63AA2"/>
    <w:rsid w:val="00D63C45"/>
    <w:rsid w:val="00D64117"/>
    <w:rsid w:val="00D66CC2"/>
    <w:rsid w:val="00D66E2C"/>
    <w:rsid w:val="00D7000D"/>
    <w:rsid w:val="00D702AF"/>
    <w:rsid w:val="00D729C0"/>
    <w:rsid w:val="00D73CCE"/>
    <w:rsid w:val="00D741FA"/>
    <w:rsid w:val="00D7438D"/>
    <w:rsid w:val="00D743FC"/>
    <w:rsid w:val="00D75C82"/>
    <w:rsid w:val="00D75F81"/>
    <w:rsid w:val="00D77243"/>
    <w:rsid w:val="00D777E7"/>
    <w:rsid w:val="00D77BB2"/>
    <w:rsid w:val="00D77CAD"/>
    <w:rsid w:val="00D8017F"/>
    <w:rsid w:val="00D80264"/>
    <w:rsid w:val="00D80F58"/>
    <w:rsid w:val="00D8146A"/>
    <w:rsid w:val="00D81B91"/>
    <w:rsid w:val="00D81BFE"/>
    <w:rsid w:val="00D82184"/>
    <w:rsid w:val="00D8304A"/>
    <w:rsid w:val="00D836FA"/>
    <w:rsid w:val="00D83A5B"/>
    <w:rsid w:val="00D83BF4"/>
    <w:rsid w:val="00D83F9F"/>
    <w:rsid w:val="00D84A80"/>
    <w:rsid w:val="00D856BA"/>
    <w:rsid w:val="00D861CA"/>
    <w:rsid w:val="00D866B5"/>
    <w:rsid w:val="00D86D23"/>
    <w:rsid w:val="00D87347"/>
    <w:rsid w:val="00D87CF4"/>
    <w:rsid w:val="00D907BC"/>
    <w:rsid w:val="00D90879"/>
    <w:rsid w:val="00D90CA5"/>
    <w:rsid w:val="00D91DC3"/>
    <w:rsid w:val="00D91E52"/>
    <w:rsid w:val="00D91F38"/>
    <w:rsid w:val="00D92D8E"/>
    <w:rsid w:val="00D936CA"/>
    <w:rsid w:val="00D93B7A"/>
    <w:rsid w:val="00D947D0"/>
    <w:rsid w:val="00D9598E"/>
    <w:rsid w:val="00D965B9"/>
    <w:rsid w:val="00D96807"/>
    <w:rsid w:val="00DA04BF"/>
    <w:rsid w:val="00DA161C"/>
    <w:rsid w:val="00DA1A0A"/>
    <w:rsid w:val="00DA230B"/>
    <w:rsid w:val="00DA2498"/>
    <w:rsid w:val="00DA2701"/>
    <w:rsid w:val="00DA2934"/>
    <w:rsid w:val="00DA389B"/>
    <w:rsid w:val="00DA3CF4"/>
    <w:rsid w:val="00DA3CF6"/>
    <w:rsid w:val="00DA4320"/>
    <w:rsid w:val="00DA437D"/>
    <w:rsid w:val="00DA43E3"/>
    <w:rsid w:val="00DA4483"/>
    <w:rsid w:val="00DA4506"/>
    <w:rsid w:val="00DA477F"/>
    <w:rsid w:val="00DA48C3"/>
    <w:rsid w:val="00DA4B24"/>
    <w:rsid w:val="00DA4D36"/>
    <w:rsid w:val="00DA4EAD"/>
    <w:rsid w:val="00DA5487"/>
    <w:rsid w:val="00DA58C4"/>
    <w:rsid w:val="00DA687D"/>
    <w:rsid w:val="00DA7C04"/>
    <w:rsid w:val="00DA7F1B"/>
    <w:rsid w:val="00DB063D"/>
    <w:rsid w:val="00DB0D71"/>
    <w:rsid w:val="00DB1E45"/>
    <w:rsid w:val="00DB1E8C"/>
    <w:rsid w:val="00DB3A81"/>
    <w:rsid w:val="00DB3D12"/>
    <w:rsid w:val="00DB3E04"/>
    <w:rsid w:val="00DB48F0"/>
    <w:rsid w:val="00DB54F5"/>
    <w:rsid w:val="00DB59DF"/>
    <w:rsid w:val="00DB5AD9"/>
    <w:rsid w:val="00DB679F"/>
    <w:rsid w:val="00DB6A22"/>
    <w:rsid w:val="00DB7073"/>
    <w:rsid w:val="00DC03CA"/>
    <w:rsid w:val="00DC1A05"/>
    <w:rsid w:val="00DC1D04"/>
    <w:rsid w:val="00DC270E"/>
    <w:rsid w:val="00DC364B"/>
    <w:rsid w:val="00DC3EA2"/>
    <w:rsid w:val="00DC4332"/>
    <w:rsid w:val="00DC5B9F"/>
    <w:rsid w:val="00DC61EF"/>
    <w:rsid w:val="00DC63FF"/>
    <w:rsid w:val="00DC6C5C"/>
    <w:rsid w:val="00DC6DFA"/>
    <w:rsid w:val="00DC6EEA"/>
    <w:rsid w:val="00DC6F03"/>
    <w:rsid w:val="00DC7012"/>
    <w:rsid w:val="00DC71E3"/>
    <w:rsid w:val="00DC7A75"/>
    <w:rsid w:val="00DC7FBF"/>
    <w:rsid w:val="00DD080D"/>
    <w:rsid w:val="00DD0A83"/>
    <w:rsid w:val="00DD1518"/>
    <w:rsid w:val="00DD1C39"/>
    <w:rsid w:val="00DD2C28"/>
    <w:rsid w:val="00DD2D93"/>
    <w:rsid w:val="00DD2F60"/>
    <w:rsid w:val="00DD34FD"/>
    <w:rsid w:val="00DD354D"/>
    <w:rsid w:val="00DD3574"/>
    <w:rsid w:val="00DD3666"/>
    <w:rsid w:val="00DD37DE"/>
    <w:rsid w:val="00DD38F4"/>
    <w:rsid w:val="00DD3CB9"/>
    <w:rsid w:val="00DD422C"/>
    <w:rsid w:val="00DD427E"/>
    <w:rsid w:val="00DD4EE4"/>
    <w:rsid w:val="00DD5739"/>
    <w:rsid w:val="00DD6988"/>
    <w:rsid w:val="00DD6A14"/>
    <w:rsid w:val="00DD6DE9"/>
    <w:rsid w:val="00DD7DE3"/>
    <w:rsid w:val="00DD7E12"/>
    <w:rsid w:val="00DE00FD"/>
    <w:rsid w:val="00DE078C"/>
    <w:rsid w:val="00DE0B39"/>
    <w:rsid w:val="00DE0E5D"/>
    <w:rsid w:val="00DE0F78"/>
    <w:rsid w:val="00DE22AF"/>
    <w:rsid w:val="00DE2910"/>
    <w:rsid w:val="00DE3850"/>
    <w:rsid w:val="00DE3AAD"/>
    <w:rsid w:val="00DE3B35"/>
    <w:rsid w:val="00DE4DA9"/>
    <w:rsid w:val="00DE4F01"/>
    <w:rsid w:val="00DE50D7"/>
    <w:rsid w:val="00DE560C"/>
    <w:rsid w:val="00DE6412"/>
    <w:rsid w:val="00DE65B0"/>
    <w:rsid w:val="00DE668E"/>
    <w:rsid w:val="00DE66EB"/>
    <w:rsid w:val="00DE682A"/>
    <w:rsid w:val="00DF0CC1"/>
    <w:rsid w:val="00DF1171"/>
    <w:rsid w:val="00DF158F"/>
    <w:rsid w:val="00DF1ADA"/>
    <w:rsid w:val="00DF1C6F"/>
    <w:rsid w:val="00DF4186"/>
    <w:rsid w:val="00DF5C12"/>
    <w:rsid w:val="00DF5C2F"/>
    <w:rsid w:val="00DF6B2B"/>
    <w:rsid w:val="00E016FD"/>
    <w:rsid w:val="00E01864"/>
    <w:rsid w:val="00E01AB5"/>
    <w:rsid w:val="00E01DD0"/>
    <w:rsid w:val="00E02318"/>
    <w:rsid w:val="00E02933"/>
    <w:rsid w:val="00E02A4E"/>
    <w:rsid w:val="00E0414F"/>
    <w:rsid w:val="00E041CB"/>
    <w:rsid w:val="00E049B0"/>
    <w:rsid w:val="00E04EFC"/>
    <w:rsid w:val="00E05573"/>
    <w:rsid w:val="00E055A7"/>
    <w:rsid w:val="00E056F5"/>
    <w:rsid w:val="00E05E1B"/>
    <w:rsid w:val="00E0606D"/>
    <w:rsid w:val="00E0630B"/>
    <w:rsid w:val="00E0794D"/>
    <w:rsid w:val="00E07B80"/>
    <w:rsid w:val="00E07D78"/>
    <w:rsid w:val="00E10BB1"/>
    <w:rsid w:val="00E10D0C"/>
    <w:rsid w:val="00E112FF"/>
    <w:rsid w:val="00E11BB1"/>
    <w:rsid w:val="00E1221A"/>
    <w:rsid w:val="00E131A4"/>
    <w:rsid w:val="00E13515"/>
    <w:rsid w:val="00E13862"/>
    <w:rsid w:val="00E14662"/>
    <w:rsid w:val="00E15002"/>
    <w:rsid w:val="00E1573D"/>
    <w:rsid w:val="00E164CB"/>
    <w:rsid w:val="00E16C06"/>
    <w:rsid w:val="00E16EF3"/>
    <w:rsid w:val="00E17A1C"/>
    <w:rsid w:val="00E200FE"/>
    <w:rsid w:val="00E201CF"/>
    <w:rsid w:val="00E202BC"/>
    <w:rsid w:val="00E204E2"/>
    <w:rsid w:val="00E205CB"/>
    <w:rsid w:val="00E2090D"/>
    <w:rsid w:val="00E20B49"/>
    <w:rsid w:val="00E21CCF"/>
    <w:rsid w:val="00E21D50"/>
    <w:rsid w:val="00E22B5F"/>
    <w:rsid w:val="00E22D23"/>
    <w:rsid w:val="00E23C90"/>
    <w:rsid w:val="00E24559"/>
    <w:rsid w:val="00E2570C"/>
    <w:rsid w:val="00E26A71"/>
    <w:rsid w:val="00E276CE"/>
    <w:rsid w:val="00E27FA7"/>
    <w:rsid w:val="00E30076"/>
    <w:rsid w:val="00E314D0"/>
    <w:rsid w:val="00E323C4"/>
    <w:rsid w:val="00E332E0"/>
    <w:rsid w:val="00E33486"/>
    <w:rsid w:val="00E334CA"/>
    <w:rsid w:val="00E338A9"/>
    <w:rsid w:val="00E338E4"/>
    <w:rsid w:val="00E33E15"/>
    <w:rsid w:val="00E340B1"/>
    <w:rsid w:val="00E34214"/>
    <w:rsid w:val="00E34B42"/>
    <w:rsid w:val="00E353E3"/>
    <w:rsid w:val="00E355D4"/>
    <w:rsid w:val="00E35ABD"/>
    <w:rsid w:val="00E35B46"/>
    <w:rsid w:val="00E360DC"/>
    <w:rsid w:val="00E36D23"/>
    <w:rsid w:val="00E373AF"/>
    <w:rsid w:val="00E4025A"/>
    <w:rsid w:val="00E40666"/>
    <w:rsid w:val="00E40FDF"/>
    <w:rsid w:val="00E4154C"/>
    <w:rsid w:val="00E41664"/>
    <w:rsid w:val="00E41843"/>
    <w:rsid w:val="00E41F81"/>
    <w:rsid w:val="00E421E1"/>
    <w:rsid w:val="00E42B5F"/>
    <w:rsid w:val="00E43B16"/>
    <w:rsid w:val="00E4406A"/>
    <w:rsid w:val="00E44138"/>
    <w:rsid w:val="00E44644"/>
    <w:rsid w:val="00E44EA1"/>
    <w:rsid w:val="00E45987"/>
    <w:rsid w:val="00E465B0"/>
    <w:rsid w:val="00E46CF0"/>
    <w:rsid w:val="00E471E4"/>
    <w:rsid w:val="00E474A5"/>
    <w:rsid w:val="00E47544"/>
    <w:rsid w:val="00E47B7E"/>
    <w:rsid w:val="00E501BF"/>
    <w:rsid w:val="00E50753"/>
    <w:rsid w:val="00E5091E"/>
    <w:rsid w:val="00E50F62"/>
    <w:rsid w:val="00E5129B"/>
    <w:rsid w:val="00E525FC"/>
    <w:rsid w:val="00E53030"/>
    <w:rsid w:val="00E53069"/>
    <w:rsid w:val="00E54936"/>
    <w:rsid w:val="00E55164"/>
    <w:rsid w:val="00E563E1"/>
    <w:rsid w:val="00E5698B"/>
    <w:rsid w:val="00E56ED3"/>
    <w:rsid w:val="00E600AF"/>
    <w:rsid w:val="00E61B9D"/>
    <w:rsid w:val="00E61C5E"/>
    <w:rsid w:val="00E61EC2"/>
    <w:rsid w:val="00E6214F"/>
    <w:rsid w:val="00E63D18"/>
    <w:rsid w:val="00E63D6F"/>
    <w:rsid w:val="00E643D2"/>
    <w:rsid w:val="00E648A2"/>
    <w:rsid w:val="00E6504E"/>
    <w:rsid w:val="00E66E82"/>
    <w:rsid w:val="00E67BCF"/>
    <w:rsid w:val="00E67DFE"/>
    <w:rsid w:val="00E706E2"/>
    <w:rsid w:val="00E707B2"/>
    <w:rsid w:val="00E7099D"/>
    <w:rsid w:val="00E70A39"/>
    <w:rsid w:val="00E70D50"/>
    <w:rsid w:val="00E717E2"/>
    <w:rsid w:val="00E720EF"/>
    <w:rsid w:val="00E72906"/>
    <w:rsid w:val="00E72ECF"/>
    <w:rsid w:val="00E72F8B"/>
    <w:rsid w:val="00E74999"/>
    <w:rsid w:val="00E768B2"/>
    <w:rsid w:val="00E76ACE"/>
    <w:rsid w:val="00E77683"/>
    <w:rsid w:val="00E77C8B"/>
    <w:rsid w:val="00E80145"/>
    <w:rsid w:val="00E8042C"/>
    <w:rsid w:val="00E80835"/>
    <w:rsid w:val="00E80E96"/>
    <w:rsid w:val="00E81147"/>
    <w:rsid w:val="00E8151F"/>
    <w:rsid w:val="00E81D0A"/>
    <w:rsid w:val="00E81DDD"/>
    <w:rsid w:val="00E81FA2"/>
    <w:rsid w:val="00E825D2"/>
    <w:rsid w:val="00E8276F"/>
    <w:rsid w:val="00E82805"/>
    <w:rsid w:val="00E828D2"/>
    <w:rsid w:val="00E83282"/>
    <w:rsid w:val="00E832A3"/>
    <w:rsid w:val="00E8335E"/>
    <w:rsid w:val="00E8355E"/>
    <w:rsid w:val="00E839A8"/>
    <w:rsid w:val="00E83AE8"/>
    <w:rsid w:val="00E83D8C"/>
    <w:rsid w:val="00E8519D"/>
    <w:rsid w:val="00E85790"/>
    <w:rsid w:val="00E862C4"/>
    <w:rsid w:val="00E8677C"/>
    <w:rsid w:val="00E878BD"/>
    <w:rsid w:val="00E90101"/>
    <w:rsid w:val="00E90563"/>
    <w:rsid w:val="00E91145"/>
    <w:rsid w:val="00E9181B"/>
    <w:rsid w:val="00E91D20"/>
    <w:rsid w:val="00E9288A"/>
    <w:rsid w:val="00E92AF1"/>
    <w:rsid w:val="00E93147"/>
    <w:rsid w:val="00E93CA4"/>
    <w:rsid w:val="00E94E22"/>
    <w:rsid w:val="00E9551B"/>
    <w:rsid w:val="00E9668D"/>
    <w:rsid w:val="00E96DC1"/>
    <w:rsid w:val="00E971D5"/>
    <w:rsid w:val="00E971E9"/>
    <w:rsid w:val="00E97713"/>
    <w:rsid w:val="00E97AEA"/>
    <w:rsid w:val="00E97B67"/>
    <w:rsid w:val="00E97E84"/>
    <w:rsid w:val="00EA06E7"/>
    <w:rsid w:val="00EA0E42"/>
    <w:rsid w:val="00EA1037"/>
    <w:rsid w:val="00EA155D"/>
    <w:rsid w:val="00EA1B66"/>
    <w:rsid w:val="00EA2687"/>
    <w:rsid w:val="00EA2C2D"/>
    <w:rsid w:val="00EA2CAA"/>
    <w:rsid w:val="00EA2D5A"/>
    <w:rsid w:val="00EA3A13"/>
    <w:rsid w:val="00EA40AA"/>
    <w:rsid w:val="00EA45F0"/>
    <w:rsid w:val="00EA4800"/>
    <w:rsid w:val="00EA5CBF"/>
    <w:rsid w:val="00EA6560"/>
    <w:rsid w:val="00EB0710"/>
    <w:rsid w:val="00EB0A24"/>
    <w:rsid w:val="00EB2085"/>
    <w:rsid w:val="00EB2184"/>
    <w:rsid w:val="00EB28D1"/>
    <w:rsid w:val="00EB3671"/>
    <w:rsid w:val="00EB460E"/>
    <w:rsid w:val="00EB4B09"/>
    <w:rsid w:val="00EB55B5"/>
    <w:rsid w:val="00EB5685"/>
    <w:rsid w:val="00EB5AA7"/>
    <w:rsid w:val="00EB6603"/>
    <w:rsid w:val="00EB6688"/>
    <w:rsid w:val="00EB6A21"/>
    <w:rsid w:val="00EB6BC7"/>
    <w:rsid w:val="00EB6DE2"/>
    <w:rsid w:val="00EB6EF8"/>
    <w:rsid w:val="00EB74AE"/>
    <w:rsid w:val="00EB7710"/>
    <w:rsid w:val="00EC0476"/>
    <w:rsid w:val="00EC047D"/>
    <w:rsid w:val="00EC1353"/>
    <w:rsid w:val="00EC29C1"/>
    <w:rsid w:val="00EC2B13"/>
    <w:rsid w:val="00EC2B88"/>
    <w:rsid w:val="00EC3BD3"/>
    <w:rsid w:val="00EC3E2D"/>
    <w:rsid w:val="00EC3F37"/>
    <w:rsid w:val="00EC4481"/>
    <w:rsid w:val="00EC45F9"/>
    <w:rsid w:val="00EC48A4"/>
    <w:rsid w:val="00EC4B4C"/>
    <w:rsid w:val="00EC4F8F"/>
    <w:rsid w:val="00EC5404"/>
    <w:rsid w:val="00EC5599"/>
    <w:rsid w:val="00EC6332"/>
    <w:rsid w:val="00EC6689"/>
    <w:rsid w:val="00EC6D9F"/>
    <w:rsid w:val="00EC7D92"/>
    <w:rsid w:val="00ED0146"/>
    <w:rsid w:val="00ED03E2"/>
    <w:rsid w:val="00ED04DF"/>
    <w:rsid w:val="00ED0FA3"/>
    <w:rsid w:val="00ED13AF"/>
    <w:rsid w:val="00ED1826"/>
    <w:rsid w:val="00ED2EF5"/>
    <w:rsid w:val="00ED364C"/>
    <w:rsid w:val="00ED3B8D"/>
    <w:rsid w:val="00ED3FC4"/>
    <w:rsid w:val="00ED4CD7"/>
    <w:rsid w:val="00ED4ECE"/>
    <w:rsid w:val="00ED5908"/>
    <w:rsid w:val="00ED5FF7"/>
    <w:rsid w:val="00ED6A72"/>
    <w:rsid w:val="00ED6F2C"/>
    <w:rsid w:val="00EE05D3"/>
    <w:rsid w:val="00EE0A40"/>
    <w:rsid w:val="00EE2684"/>
    <w:rsid w:val="00EE2B67"/>
    <w:rsid w:val="00EE3601"/>
    <w:rsid w:val="00EE3A3C"/>
    <w:rsid w:val="00EE3B90"/>
    <w:rsid w:val="00EE459D"/>
    <w:rsid w:val="00EE4DC3"/>
    <w:rsid w:val="00EE51E5"/>
    <w:rsid w:val="00EE5479"/>
    <w:rsid w:val="00EE5802"/>
    <w:rsid w:val="00EE5BB8"/>
    <w:rsid w:val="00EE5D60"/>
    <w:rsid w:val="00EE60D3"/>
    <w:rsid w:val="00EE6C9B"/>
    <w:rsid w:val="00EE7789"/>
    <w:rsid w:val="00EF11EB"/>
    <w:rsid w:val="00EF1D20"/>
    <w:rsid w:val="00EF221A"/>
    <w:rsid w:val="00EF2778"/>
    <w:rsid w:val="00EF2849"/>
    <w:rsid w:val="00EF2DB0"/>
    <w:rsid w:val="00EF32B8"/>
    <w:rsid w:val="00EF442A"/>
    <w:rsid w:val="00EF5B3B"/>
    <w:rsid w:val="00EF5C17"/>
    <w:rsid w:val="00EF6385"/>
    <w:rsid w:val="00EF64AB"/>
    <w:rsid w:val="00EF6C02"/>
    <w:rsid w:val="00EF7BCE"/>
    <w:rsid w:val="00F00086"/>
    <w:rsid w:val="00F000BC"/>
    <w:rsid w:val="00F00916"/>
    <w:rsid w:val="00F00E03"/>
    <w:rsid w:val="00F01269"/>
    <w:rsid w:val="00F01542"/>
    <w:rsid w:val="00F0185C"/>
    <w:rsid w:val="00F0192C"/>
    <w:rsid w:val="00F02304"/>
    <w:rsid w:val="00F024AD"/>
    <w:rsid w:val="00F02572"/>
    <w:rsid w:val="00F028C4"/>
    <w:rsid w:val="00F02B36"/>
    <w:rsid w:val="00F031B9"/>
    <w:rsid w:val="00F03585"/>
    <w:rsid w:val="00F03D33"/>
    <w:rsid w:val="00F0547D"/>
    <w:rsid w:val="00F071FF"/>
    <w:rsid w:val="00F07A24"/>
    <w:rsid w:val="00F100CA"/>
    <w:rsid w:val="00F101C4"/>
    <w:rsid w:val="00F1073A"/>
    <w:rsid w:val="00F109ED"/>
    <w:rsid w:val="00F10E86"/>
    <w:rsid w:val="00F11D4E"/>
    <w:rsid w:val="00F12BF7"/>
    <w:rsid w:val="00F14082"/>
    <w:rsid w:val="00F141D2"/>
    <w:rsid w:val="00F146C3"/>
    <w:rsid w:val="00F1480B"/>
    <w:rsid w:val="00F15E3B"/>
    <w:rsid w:val="00F16026"/>
    <w:rsid w:val="00F16216"/>
    <w:rsid w:val="00F167CB"/>
    <w:rsid w:val="00F16F5E"/>
    <w:rsid w:val="00F1791C"/>
    <w:rsid w:val="00F17F36"/>
    <w:rsid w:val="00F2071B"/>
    <w:rsid w:val="00F21331"/>
    <w:rsid w:val="00F22668"/>
    <w:rsid w:val="00F22C56"/>
    <w:rsid w:val="00F22E5A"/>
    <w:rsid w:val="00F23225"/>
    <w:rsid w:val="00F23226"/>
    <w:rsid w:val="00F23B32"/>
    <w:rsid w:val="00F23BC5"/>
    <w:rsid w:val="00F2513A"/>
    <w:rsid w:val="00F251E9"/>
    <w:rsid w:val="00F25582"/>
    <w:rsid w:val="00F25AEF"/>
    <w:rsid w:val="00F25D63"/>
    <w:rsid w:val="00F26BED"/>
    <w:rsid w:val="00F26F89"/>
    <w:rsid w:val="00F275A2"/>
    <w:rsid w:val="00F2786C"/>
    <w:rsid w:val="00F278ED"/>
    <w:rsid w:val="00F30151"/>
    <w:rsid w:val="00F30532"/>
    <w:rsid w:val="00F30828"/>
    <w:rsid w:val="00F309F2"/>
    <w:rsid w:val="00F317B3"/>
    <w:rsid w:val="00F32AF0"/>
    <w:rsid w:val="00F3305B"/>
    <w:rsid w:val="00F3331E"/>
    <w:rsid w:val="00F33CCA"/>
    <w:rsid w:val="00F33E45"/>
    <w:rsid w:val="00F341EA"/>
    <w:rsid w:val="00F343E4"/>
    <w:rsid w:val="00F35BDA"/>
    <w:rsid w:val="00F3687F"/>
    <w:rsid w:val="00F36953"/>
    <w:rsid w:val="00F370B4"/>
    <w:rsid w:val="00F37419"/>
    <w:rsid w:val="00F379F9"/>
    <w:rsid w:val="00F37D02"/>
    <w:rsid w:val="00F37D6A"/>
    <w:rsid w:val="00F37DD8"/>
    <w:rsid w:val="00F40454"/>
    <w:rsid w:val="00F404AE"/>
    <w:rsid w:val="00F40A4E"/>
    <w:rsid w:val="00F40ADF"/>
    <w:rsid w:val="00F40BD6"/>
    <w:rsid w:val="00F4124E"/>
    <w:rsid w:val="00F41761"/>
    <w:rsid w:val="00F41F95"/>
    <w:rsid w:val="00F41FAA"/>
    <w:rsid w:val="00F426FE"/>
    <w:rsid w:val="00F42CCA"/>
    <w:rsid w:val="00F43D05"/>
    <w:rsid w:val="00F449FB"/>
    <w:rsid w:val="00F44AE7"/>
    <w:rsid w:val="00F44CE1"/>
    <w:rsid w:val="00F45739"/>
    <w:rsid w:val="00F47643"/>
    <w:rsid w:val="00F47B2E"/>
    <w:rsid w:val="00F47C5B"/>
    <w:rsid w:val="00F5027B"/>
    <w:rsid w:val="00F51ABF"/>
    <w:rsid w:val="00F51AC2"/>
    <w:rsid w:val="00F51B45"/>
    <w:rsid w:val="00F51F5D"/>
    <w:rsid w:val="00F52777"/>
    <w:rsid w:val="00F5287D"/>
    <w:rsid w:val="00F53324"/>
    <w:rsid w:val="00F55320"/>
    <w:rsid w:val="00F5556A"/>
    <w:rsid w:val="00F55629"/>
    <w:rsid w:val="00F5644E"/>
    <w:rsid w:val="00F56B99"/>
    <w:rsid w:val="00F57419"/>
    <w:rsid w:val="00F57DE5"/>
    <w:rsid w:val="00F6008B"/>
    <w:rsid w:val="00F60352"/>
    <w:rsid w:val="00F610F4"/>
    <w:rsid w:val="00F61B3F"/>
    <w:rsid w:val="00F61B60"/>
    <w:rsid w:val="00F622BE"/>
    <w:rsid w:val="00F62745"/>
    <w:rsid w:val="00F63D25"/>
    <w:rsid w:val="00F640EF"/>
    <w:rsid w:val="00F64582"/>
    <w:rsid w:val="00F64F62"/>
    <w:rsid w:val="00F65822"/>
    <w:rsid w:val="00F65B26"/>
    <w:rsid w:val="00F6610F"/>
    <w:rsid w:val="00F66807"/>
    <w:rsid w:val="00F66EF9"/>
    <w:rsid w:val="00F66EFE"/>
    <w:rsid w:val="00F67021"/>
    <w:rsid w:val="00F67970"/>
    <w:rsid w:val="00F67A67"/>
    <w:rsid w:val="00F67F2F"/>
    <w:rsid w:val="00F704A8"/>
    <w:rsid w:val="00F70522"/>
    <w:rsid w:val="00F70AA3"/>
    <w:rsid w:val="00F71340"/>
    <w:rsid w:val="00F718FF"/>
    <w:rsid w:val="00F72186"/>
    <w:rsid w:val="00F725D9"/>
    <w:rsid w:val="00F731C2"/>
    <w:rsid w:val="00F73B17"/>
    <w:rsid w:val="00F74B5D"/>
    <w:rsid w:val="00F74F0B"/>
    <w:rsid w:val="00F74FC4"/>
    <w:rsid w:val="00F76A15"/>
    <w:rsid w:val="00F77115"/>
    <w:rsid w:val="00F778E2"/>
    <w:rsid w:val="00F77DE3"/>
    <w:rsid w:val="00F8004F"/>
    <w:rsid w:val="00F80FCC"/>
    <w:rsid w:val="00F81061"/>
    <w:rsid w:val="00F8160A"/>
    <w:rsid w:val="00F827B6"/>
    <w:rsid w:val="00F82FBA"/>
    <w:rsid w:val="00F83B78"/>
    <w:rsid w:val="00F84033"/>
    <w:rsid w:val="00F8464A"/>
    <w:rsid w:val="00F86A4B"/>
    <w:rsid w:val="00F86B66"/>
    <w:rsid w:val="00F871E7"/>
    <w:rsid w:val="00F87430"/>
    <w:rsid w:val="00F87A85"/>
    <w:rsid w:val="00F900D7"/>
    <w:rsid w:val="00F902AC"/>
    <w:rsid w:val="00F903E6"/>
    <w:rsid w:val="00F91157"/>
    <w:rsid w:val="00F911C7"/>
    <w:rsid w:val="00F91AD9"/>
    <w:rsid w:val="00F91C71"/>
    <w:rsid w:val="00F92931"/>
    <w:rsid w:val="00F92C6B"/>
    <w:rsid w:val="00F94217"/>
    <w:rsid w:val="00F943DB"/>
    <w:rsid w:val="00F94B7E"/>
    <w:rsid w:val="00F95073"/>
    <w:rsid w:val="00F962D9"/>
    <w:rsid w:val="00F96547"/>
    <w:rsid w:val="00F96D30"/>
    <w:rsid w:val="00F9773D"/>
    <w:rsid w:val="00F97A19"/>
    <w:rsid w:val="00F97B6C"/>
    <w:rsid w:val="00F97E56"/>
    <w:rsid w:val="00FA0014"/>
    <w:rsid w:val="00FA0563"/>
    <w:rsid w:val="00FA10CC"/>
    <w:rsid w:val="00FA157E"/>
    <w:rsid w:val="00FA1EC0"/>
    <w:rsid w:val="00FA1FBC"/>
    <w:rsid w:val="00FA23D2"/>
    <w:rsid w:val="00FA274E"/>
    <w:rsid w:val="00FA2A17"/>
    <w:rsid w:val="00FA328A"/>
    <w:rsid w:val="00FA35A5"/>
    <w:rsid w:val="00FA3899"/>
    <w:rsid w:val="00FA4206"/>
    <w:rsid w:val="00FA424B"/>
    <w:rsid w:val="00FA44DA"/>
    <w:rsid w:val="00FA4836"/>
    <w:rsid w:val="00FA4E76"/>
    <w:rsid w:val="00FA50A3"/>
    <w:rsid w:val="00FA6DDB"/>
    <w:rsid w:val="00FA734C"/>
    <w:rsid w:val="00FA780A"/>
    <w:rsid w:val="00FA7A22"/>
    <w:rsid w:val="00FA7C56"/>
    <w:rsid w:val="00FB06AB"/>
    <w:rsid w:val="00FB0B4D"/>
    <w:rsid w:val="00FB20FA"/>
    <w:rsid w:val="00FB2CAB"/>
    <w:rsid w:val="00FB2F40"/>
    <w:rsid w:val="00FB4430"/>
    <w:rsid w:val="00FB4BBF"/>
    <w:rsid w:val="00FB56D9"/>
    <w:rsid w:val="00FB591F"/>
    <w:rsid w:val="00FB59B6"/>
    <w:rsid w:val="00FB6910"/>
    <w:rsid w:val="00FB6D3C"/>
    <w:rsid w:val="00FB6DBB"/>
    <w:rsid w:val="00FB7226"/>
    <w:rsid w:val="00FB74D7"/>
    <w:rsid w:val="00FB7740"/>
    <w:rsid w:val="00FB7B1E"/>
    <w:rsid w:val="00FB7F5D"/>
    <w:rsid w:val="00FC0316"/>
    <w:rsid w:val="00FC0428"/>
    <w:rsid w:val="00FC05C6"/>
    <w:rsid w:val="00FC07DB"/>
    <w:rsid w:val="00FC080C"/>
    <w:rsid w:val="00FC134D"/>
    <w:rsid w:val="00FC1C6D"/>
    <w:rsid w:val="00FC2120"/>
    <w:rsid w:val="00FC239F"/>
    <w:rsid w:val="00FC3280"/>
    <w:rsid w:val="00FC35E8"/>
    <w:rsid w:val="00FC3C88"/>
    <w:rsid w:val="00FC3D7E"/>
    <w:rsid w:val="00FC3F26"/>
    <w:rsid w:val="00FC4574"/>
    <w:rsid w:val="00FC463B"/>
    <w:rsid w:val="00FC4D60"/>
    <w:rsid w:val="00FC5737"/>
    <w:rsid w:val="00FC58DA"/>
    <w:rsid w:val="00FC5A7E"/>
    <w:rsid w:val="00FC633A"/>
    <w:rsid w:val="00FC663B"/>
    <w:rsid w:val="00FC6C25"/>
    <w:rsid w:val="00FC6CB6"/>
    <w:rsid w:val="00FC6F0D"/>
    <w:rsid w:val="00FC770A"/>
    <w:rsid w:val="00FC7CC0"/>
    <w:rsid w:val="00FD02C1"/>
    <w:rsid w:val="00FD0746"/>
    <w:rsid w:val="00FD0BED"/>
    <w:rsid w:val="00FD221A"/>
    <w:rsid w:val="00FD2727"/>
    <w:rsid w:val="00FD2EA8"/>
    <w:rsid w:val="00FD3756"/>
    <w:rsid w:val="00FD3E1B"/>
    <w:rsid w:val="00FD47FB"/>
    <w:rsid w:val="00FD54E4"/>
    <w:rsid w:val="00FD57BE"/>
    <w:rsid w:val="00FD58DF"/>
    <w:rsid w:val="00FD658F"/>
    <w:rsid w:val="00FD677B"/>
    <w:rsid w:val="00FD698D"/>
    <w:rsid w:val="00FD6F23"/>
    <w:rsid w:val="00FD75CF"/>
    <w:rsid w:val="00FD7AF2"/>
    <w:rsid w:val="00FE029B"/>
    <w:rsid w:val="00FE03C8"/>
    <w:rsid w:val="00FE1917"/>
    <w:rsid w:val="00FE1D7E"/>
    <w:rsid w:val="00FE25C4"/>
    <w:rsid w:val="00FE2D96"/>
    <w:rsid w:val="00FE38F0"/>
    <w:rsid w:val="00FE42DB"/>
    <w:rsid w:val="00FE6077"/>
    <w:rsid w:val="00FE696D"/>
    <w:rsid w:val="00FE7175"/>
    <w:rsid w:val="00FE7625"/>
    <w:rsid w:val="00FE7D6A"/>
    <w:rsid w:val="00FF0101"/>
    <w:rsid w:val="00FF0919"/>
    <w:rsid w:val="00FF097F"/>
    <w:rsid w:val="00FF1181"/>
    <w:rsid w:val="00FF1D54"/>
    <w:rsid w:val="00FF3AB1"/>
    <w:rsid w:val="00FF43D4"/>
    <w:rsid w:val="00FF45BD"/>
    <w:rsid w:val="00FF5670"/>
    <w:rsid w:val="00FF6070"/>
    <w:rsid w:val="00FF6128"/>
    <w:rsid w:val="00FF62BC"/>
    <w:rsid w:val="00FF66C3"/>
    <w:rsid w:val="00FF67B0"/>
    <w:rsid w:val="00FF680E"/>
    <w:rsid w:val="00FF6B0A"/>
    <w:rsid w:val="00FF6B55"/>
    <w:rsid w:val="00FF6F60"/>
    <w:rsid w:val="06106499"/>
    <w:rsid w:val="068D2B15"/>
    <w:rsid w:val="07F64C58"/>
    <w:rsid w:val="08161CD1"/>
    <w:rsid w:val="0FD521C6"/>
    <w:rsid w:val="11C0052E"/>
    <w:rsid w:val="17400010"/>
    <w:rsid w:val="1AE20571"/>
    <w:rsid w:val="1AEF2E90"/>
    <w:rsid w:val="1E122C2F"/>
    <w:rsid w:val="1E1C1FB6"/>
    <w:rsid w:val="23377EE9"/>
    <w:rsid w:val="313C0AA1"/>
    <w:rsid w:val="3DC30D7D"/>
    <w:rsid w:val="3F503942"/>
    <w:rsid w:val="41B17125"/>
    <w:rsid w:val="438C2802"/>
    <w:rsid w:val="467F1F57"/>
    <w:rsid w:val="4A260A4B"/>
    <w:rsid w:val="4C226976"/>
    <w:rsid w:val="4C334438"/>
    <w:rsid w:val="51293641"/>
    <w:rsid w:val="54FD6B73"/>
    <w:rsid w:val="57392849"/>
    <w:rsid w:val="5DE03D0B"/>
    <w:rsid w:val="5F3913F3"/>
    <w:rsid w:val="5F9C50D6"/>
    <w:rsid w:val="67C57AA3"/>
    <w:rsid w:val="682F47C8"/>
    <w:rsid w:val="68C3483B"/>
    <w:rsid w:val="6B5862AA"/>
    <w:rsid w:val="727E6DCB"/>
    <w:rsid w:val="73780C9A"/>
    <w:rsid w:val="74094B42"/>
    <w:rsid w:val="75AA2B81"/>
    <w:rsid w:val="78627E71"/>
    <w:rsid w:val="79591B94"/>
    <w:rsid w:val="7CB835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nhideWhenUsed="0" w:uiPriority="0" w:semiHidden="0" w:name="Body Text"/>
    <w:lsdException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0" w:semiHidden="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黑体"/>
      <w:kern w:val="2"/>
      <w:sz w:val="21"/>
      <w:szCs w:val="22"/>
      <w:lang w:val="en-US" w:eastAsia="zh-CN" w:bidi="ar-SA"/>
    </w:rPr>
  </w:style>
  <w:style w:type="paragraph" w:styleId="2">
    <w:name w:val="heading 1"/>
    <w:basedOn w:val="1"/>
    <w:next w:val="1"/>
    <w:link w:val="68"/>
    <w:qFormat/>
    <w:uiPriority w:val="9"/>
    <w:pPr>
      <w:keepNext/>
      <w:keepLines/>
      <w:spacing w:before="340" w:after="330" w:line="578" w:lineRule="auto"/>
      <w:outlineLvl w:val="0"/>
    </w:pPr>
    <w:rPr>
      <w:b/>
      <w:bCs/>
      <w:kern w:val="44"/>
      <w:sz w:val="44"/>
      <w:szCs w:val="44"/>
    </w:rPr>
  </w:style>
  <w:style w:type="character" w:default="1" w:styleId="18">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3">
    <w:name w:val="Normal Indent"/>
    <w:basedOn w:val="1"/>
    <w:link w:val="52"/>
    <w:qFormat/>
    <w:uiPriority w:val="0"/>
    <w:pPr>
      <w:adjustRightInd w:val="0"/>
      <w:spacing w:line="312" w:lineRule="atLeast"/>
      <w:ind w:firstLine="420" w:firstLineChars="200"/>
      <w:textAlignment w:val="baseline"/>
    </w:pPr>
    <w:rPr>
      <w:rFonts w:cs="Times New Roman"/>
      <w:kern w:val="0"/>
      <w:sz w:val="20"/>
      <w:szCs w:val="20"/>
    </w:rPr>
  </w:style>
  <w:style w:type="paragraph" w:styleId="4">
    <w:name w:val="Document Map"/>
    <w:basedOn w:val="1"/>
    <w:link w:val="23"/>
    <w:unhideWhenUsed/>
    <w:qFormat/>
    <w:uiPriority w:val="99"/>
    <w:rPr>
      <w:rFonts w:ascii="宋体"/>
      <w:sz w:val="18"/>
      <w:szCs w:val="18"/>
    </w:rPr>
  </w:style>
  <w:style w:type="paragraph" w:styleId="5">
    <w:name w:val="annotation text"/>
    <w:basedOn w:val="1"/>
    <w:link w:val="21"/>
    <w:unhideWhenUsed/>
    <w:qFormat/>
    <w:uiPriority w:val="99"/>
    <w:pPr>
      <w:jc w:val="left"/>
    </w:pPr>
  </w:style>
  <w:style w:type="paragraph" w:styleId="6">
    <w:name w:val="Body Text"/>
    <w:basedOn w:val="1"/>
    <w:link w:val="24"/>
    <w:uiPriority w:val="0"/>
    <w:pPr>
      <w:spacing w:after="120"/>
    </w:pPr>
    <w:rPr>
      <w:rFonts w:cs="Times New Roman"/>
      <w:kern w:val="0"/>
      <w:sz w:val="20"/>
      <w:szCs w:val="24"/>
    </w:rPr>
  </w:style>
  <w:style w:type="paragraph" w:styleId="7">
    <w:name w:val="Body Text Indent"/>
    <w:basedOn w:val="1"/>
    <w:link w:val="25"/>
    <w:unhideWhenUsed/>
    <w:uiPriority w:val="99"/>
    <w:pPr>
      <w:spacing w:after="120"/>
      <w:ind w:left="420" w:leftChars="200"/>
    </w:pPr>
  </w:style>
  <w:style w:type="paragraph" w:styleId="8">
    <w:name w:val="Plain Text"/>
    <w:basedOn w:val="1"/>
    <w:link w:val="39"/>
    <w:semiHidden/>
    <w:unhideWhenUsed/>
    <w:qFormat/>
    <w:uiPriority w:val="99"/>
    <w:rPr>
      <w:rFonts w:ascii="宋体" w:hAnsi="Courier New" w:cs="Courier New"/>
      <w:szCs w:val="21"/>
    </w:rPr>
  </w:style>
  <w:style w:type="paragraph" w:styleId="9">
    <w:name w:val="Balloon Text"/>
    <w:basedOn w:val="1"/>
    <w:link w:val="26"/>
    <w:unhideWhenUsed/>
    <w:qFormat/>
    <w:uiPriority w:val="99"/>
    <w:rPr>
      <w:sz w:val="18"/>
      <w:szCs w:val="18"/>
    </w:rPr>
  </w:style>
  <w:style w:type="paragraph" w:styleId="10">
    <w:name w:val="footer"/>
    <w:basedOn w:val="1"/>
    <w:link w:val="27"/>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Body Text Indent 3"/>
    <w:basedOn w:val="1"/>
    <w:link w:val="45"/>
    <w:unhideWhenUsed/>
    <w:qFormat/>
    <w:uiPriority w:val="0"/>
    <w:pPr>
      <w:spacing w:after="120"/>
      <w:ind w:left="420" w:leftChars="200"/>
    </w:pPr>
    <w:rPr>
      <w:rFonts w:cs="Times New Roman"/>
      <w:sz w:val="16"/>
      <w:szCs w:val="16"/>
      <w:lang w:val="zh-CN"/>
    </w:rPr>
  </w:style>
  <w:style w:type="paragraph" w:styleId="14">
    <w:name w:val="toc 2"/>
    <w:basedOn w:val="1"/>
    <w:next w:val="1"/>
    <w:unhideWhenUsed/>
    <w:qFormat/>
    <w:uiPriority w:val="39"/>
    <w:pPr>
      <w:ind w:left="420" w:leftChars="200"/>
    </w:pPr>
    <w:rPr>
      <w:rFonts w:cstheme="minorBidi"/>
    </w:rPr>
  </w:style>
  <w:style w:type="paragraph" w:styleId="15">
    <w:name w:val="annotation subject"/>
    <w:basedOn w:val="5"/>
    <w:next w:val="5"/>
    <w:link w:val="22"/>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000FF" w:themeColor="hyperlink"/>
      <w:u w:val="single"/>
      <w14:textFill>
        <w14:solidFill>
          <w14:schemeClr w14:val="hlink"/>
        </w14:solidFill>
      </w14:textFill>
    </w:rPr>
  </w:style>
  <w:style w:type="character" w:styleId="20">
    <w:name w:val="annotation reference"/>
    <w:unhideWhenUsed/>
    <w:qFormat/>
    <w:uiPriority w:val="99"/>
    <w:rPr>
      <w:sz w:val="21"/>
      <w:szCs w:val="21"/>
    </w:rPr>
  </w:style>
  <w:style w:type="character" w:customStyle="1" w:styleId="21">
    <w:name w:val="批注文字 字符"/>
    <w:basedOn w:val="18"/>
    <w:link w:val="5"/>
    <w:qFormat/>
    <w:uiPriority w:val="99"/>
  </w:style>
  <w:style w:type="character" w:customStyle="1" w:styleId="22">
    <w:name w:val="批注主题 字符"/>
    <w:link w:val="15"/>
    <w:qFormat/>
    <w:uiPriority w:val="99"/>
    <w:rPr>
      <w:b/>
      <w:bCs/>
    </w:rPr>
  </w:style>
  <w:style w:type="character" w:customStyle="1" w:styleId="23">
    <w:name w:val="文档结构图 字符"/>
    <w:link w:val="4"/>
    <w:qFormat/>
    <w:uiPriority w:val="99"/>
    <w:rPr>
      <w:rFonts w:ascii="宋体" w:eastAsia="宋体"/>
      <w:sz w:val="18"/>
      <w:szCs w:val="18"/>
    </w:rPr>
  </w:style>
  <w:style w:type="character" w:customStyle="1" w:styleId="24">
    <w:name w:val="正文文本 字符"/>
    <w:link w:val="6"/>
    <w:qFormat/>
    <w:uiPriority w:val="0"/>
    <w:rPr>
      <w:szCs w:val="24"/>
    </w:rPr>
  </w:style>
  <w:style w:type="character" w:customStyle="1" w:styleId="25">
    <w:name w:val="正文文本缩进 字符"/>
    <w:basedOn w:val="18"/>
    <w:link w:val="7"/>
    <w:qFormat/>
    <w:uiPriority w:val="99"/>
  </w:style>
  <w:style w:type="character" w:customStyle="1" w:styleId="26">
    <w:name w:val="批注框文本 字符"/>
    <w:link w:val="9"/>
    <w:qFormat/>
    <w:uiPriority w:val="99"/>
    <w:rPr>
      <w:sz w:val="18"/>
      <w:szCs w:val="18"/>
    </w:rPr>
  </w:style>
  <w:style w:type="character" w:customStyle="1" w:styleId="27">
    <w:name w:val="页脚 字符"/>
    <w:link w:val="10"/>
    <w:qFormat/>
    <w:uiPriority w:val="99"/>
    <w:rPr>
      <w:sz w:val="18"/>
      <w:szCs w:val="18"/>
    </w:rPr>
  </w:style>
  <w:style w:type="character" w:customStyle="1" w:styleId="28">
    <w:name w:val="页眉 字符"/>
    <w:link w:val="11"/>
    <w:qFormat/>
    <w:uiPriority w:val="99"/>
    <w:rPr>
      <w:sz w:val="18"/>
      <w:szCs w:val="18"/>
    </w:rPr>
  </w:style>
  <w:style w:type="paragraph" w:customStyle="1" w:styleId="29">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30">
    <w:name w:val="表"/>
    <w:basedOn w:val="1"/>
    <w:qFormat/>
    <w:uiPriority w:val="0"/>
    <w:pPr>
      <w:spacing w:line="240" w:lineRule="exact"/>
    </w:pPr>
    <w:rPr>
      <w:rFonts w:ascii="仿宋_GB2312" w:hAnsi="宋体" w:eastAsia="仿宋_GB2312" w:cs="Times New Roman"/>
      <w:sz w:val="18"/>
      <w:szCs w:val="20"/>
    </w:rPr>
  </w:style>
  <w:style w:type="paragraph" w:customStyle="1" w:styleId="31">
    <w:name w:val="表格内容"/>
    <w:basedOn w:val="1"/>
    <w:link w:val="32"/>
    <w:qFormat/>
    <w:uiPriority w:val="0"/>
    <w:pPr>
      <w:jc w:val="center"/>
    </w:pPr>
    <w:rPr>
      <w:rFonts w:cs="Times New Roman"/>
      <w:kern w:val="0"/>
      <w:szCs w:val="21"/>
    </w:rPr>
  </w:style>
  <w:style w:type="character" w:customStyle="1" w:styleId="32">
    <w:name w:val="表格内容 Char"/>
    <w:link w:val="31"/>
    <w:qFormat/>
    <w:uiPriority w:val="0"/>
    <w:rPr>
      <w:sz w:val="21"/>
      <w:szCs w:val="21"/>
    </w:rPr>
  </w:style>
  <w:style w:type="paragraph" w:customStyle="1" w:styleId="33">
    <w:name w:val="表格首行"/>
    <w:basedOn w:val="1"/>
    <w:next w:val="1"/>
    <w:qFormat/>
    <w:uiPriority w:val="0"/>
    <w:pPr>
      <w:jc w:val="center"/>
    </w:pPr>
    <w:rPr>
      <w:rFonts w:cs="宋体"/>
      <w:b/>
      <w:szCs w:val="20"/>
    </w:rPr>
  </w:style>
  <w:style w:type="paragraph" w:customStyle="1" w:styleId="34">
    <w:name w:val="正文-欣欣"/>
    <w:basedOn w:val="1"/>
    <w:qFormat/>
    <w:uiPriority w:val="0"/>
    <w:pPr>
      <w:adjustRightInd w:val="0"/>
      <w:spacing w:line="360" w:lineRule="auto"/>
      <w:ind w:firstLine="200" w:firstLineChars="200"/>
    </w:pPr>
    <w:rPr>
      <w:rFonts w:cs="Times New Roman"/>
      <w:sz w:val="24"/>
      <w:szCs w:val="30"/>
    </w:rPr>
  </w:style>
  <w:style w:type="character" w:customStyle="1" w:styleId="35">
    <w:name w:val="正文文本 Char1"/>
    <w:basedOn w:val="18"/>
    <w:semiHidden/>
    <w:qFormat/>
    <w:uiPriority w:val="99"/>
  </w:style>
  <w:style w:type="character" w:customStyle="1" w:styleId="36">
    <w:name w:val="占位符文本1"/>
    <w:semiHidden/>
    <w:qFormat/>
    <w:uiPriority w:val="99"/>
    <w:rPr>
      <w:color w:val="808080"/>
    </w:rPr>
  </w:style>
  <w:style w:type="table" w:customStyle="1" w:styleId="37">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2"/>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
    <w:name w:val="纯文本 字符"/>
    <w:link w:val="8"/>
    <w:semiHidden/>
    <w:qFormat/>
    <w:uiPriority w:val="99"/>
    <w:rPr>
      <w:rFonts w:ascii="宋体" w:hAnsi="Courier New" w:cs="Courier New"/>
      <w:kern w:val="2"/>
      <w:sz w:val="21"/>
      <w:szCs w:val="21"/>
    </w:rPr>
  </w:style>
  <w:style w:type="paragraph" w:customStyle="1" w:styleId="40">
    <w:name w:val="章节目录"/>
    <w:basedOn w:val="1"/>
    <w:link w:val="41"/>
    <w:qFormat/>
    <w:uiPriority w:val="0"/>
    <w:pPr>
      <w:spacing w:line="360" w:lineRule="auto"/>
      <w:outlineLvl w:val="0"/>
    </w:pPr>
    <w:rPr>
      <w:b/>
      <w:sz w:val="28"/>
      <w:szCs w:val="28"/>
    </w:rPr>
  </w:style>
  <w:style w:type="character" w:customStyle="1" w:styleId="41">
    <w:name w:val="章节目录 Char"/>
    <w:link w:val="40"/>
    <w:qFormat/>
    <w:uiPriority w:val="0"/>
    <w:rPr>
      <w:rFonts w:cs="黑体"/>
      <w:b/>
      <w:kern w:val="2"/>
      <w:sz w:val="28"/>
      <w:szCs w:val="28"/>
    </w:rPr>
  </w:style>
  <w:style w:type="paragraph" w:customStyle="1" w:styleId="42">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43">
    <w:name w:val="表头"/>
    <w:basedOn w:val="1"/>
    <w:link w:val="44"/>
    <w:qFormat/>
    <w:uiPriority w:val="0"/>
    <w:pPr>
      <w:spacing w:line="360" w:lineRule="auto"/>
      <w:jc w:val="center"/>
    </w:pPr>
    <w:rPr>
      <w:rFonts w:eastAsia="黑体" w:cs="Times New Roman"/>
      <w:color w:val="FF0000"/>
      <w:szCs w:val="21"/>
    </w:rPr>
  </w:style>
  <w:style w:type="character" w:customStyle="1" w:styleId="44">
    <w:name w:val="表头 Char"/>
    <w:link w:val="43"/>
    <w:qFormat/>
    <w:uiPriority w:val="0"/>
    <w:rPr>
      <w:rFonts w:eastAsia="黑体"/>
      <w:color w:val="FF0000"/>
      <w:kern w:val="2"/>
      <w:sz w:val="21"/>
      <w:szCs w:val="21"/>
    </w:rPr>
  </w:style>
  <w:style w:type="character" w:customStyle="1" w:styleId="45">
    <w:name w:val="正文文本缩进 3 字符"/>
    <w:link w:val="13"/>
    <w:qFormat/>
    <w:uiPriority w:val="0"/>
    <w:rPr>
      <w:kern w:val="2"/>
      <w:sz w:val="16"/>
      <w:szCs w:val="16"/>
      <w:lang w:val="zh-CN" w:eastAsia="zh-CN"/>
    </w:rPr>
  </w:style>
  <w:style w:type="paragraph" w:customStyle="1" w:styleId="46">
    <w:name w:val="四级标题"/>
    <w:basedOn w:val="1"/>
    <w:link w:val="47"/>
    <w:qFormat/>
    <w:uiPriority w:val="0"/>
    <w:pPr>
      <w:spacing w:line="360" w:lineRule="auto"/>
      <w:ind w:firstLine="200" w:firstLineChars="200"/>
      <w:outlineLvl w:val="3"/>
    </w:pPr>
    <w:rPr>
      <w:rFonts w:cs="Times New Roman"/>
      <w:b/>
      <w:sz w:val="24"/>
      <w:szCs w:val="24"/>
    </w:rPr>
  </w:style>
  <w:style w:type="character" w:customStyle="1" w:styleId="47">
    <w:name w:val="四级标题 Char"/>
    <w:link w:val="46"/>
    <w:qFormat/>
    <w:uiPriority w:val="0"/>
    <w:rPr>
      <w:b/>
      <w:kern w:val="2"/>
      <w:sz w:val="24"/>
      <w:szCs w:val="24"/>
    </w:rPr>
  </w:style>
  <w:style w:type="paragraph" w:customStyle="1" w:styleId="48">
    <w:name w:val="报告表格"/>
    <w:basedOn w:val="1"/>
    <w:link w:val="49"/>
    <w:uiPriority w:val="0"/>
    <w:pPr>
      <w:autoSpaceDE w:val="0"/>
      <w:autoSpaceDN w:val="0"/>
      <w:adjustRightInd w:val="0"/>
      <w:spacing w:before="40" w:after="40"/>
      <w:jc w:val="center"/>
      <w:textAlignment w:val="bottom"/>
    </w:pPr>
    <w:rPr>
      <w:rFonts w:cs="Times New Roman"/>
      <w:kern w:val="0"/>
      <w:szCs w:val="20"/>
    </w:rPr>
  </w:style>
  <w:style w:type="character" w:customStyle="1" w:styleId="49">
    <w:name w:val="报告表格 Char"/>
    <w:link w:val="48"/>
    <w:qFormat/>
    <w:uiPriority w:val="0"/>
    <w:rPr>
      <w:sz w:val="21"/>
    </w:rPr>
  </w:style>
  <w:style w:type="paragraph" w:customStyle="1" w:styleId="50">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51">
    <w:name w:val="List Paragraph"/>
    <w:basedOn w:val="1"/>
    <w:qFormat/>
    <w:uiPriority w:val="34"/>
    <w:pPr>
      <w:ind w:firstLine="420" w:firstLineChars="200"/>
    </w:pPr>
  </w:style>
  <w:style w:type="character" w:customStyle="1" w:styleId="52">
    <w:name w:val="正文缩进 字符"/>
    <w:basedOn w:val="18"/>
    <w:link w:val="3"/>
    <w:qFormat/>
    <w:uiPriority w:val="0"/>
  </w:style>
  <w:style w:type="paragraph" w:customStyle="1" w:styleId="53">
    <w:name w:val="二级标题"/>
    <w:basedOn w:val="1"/>
    <w:link w:val="54"/>
    <w:qFormat/>
    <w:uiPriority w:val="0"/>
    <w:pPr>
      <w:outlineLvl w:val="1"/>
    </w:pPr>
    <w:rPr>
      <w:rFonts w:eastAsia="黑体" w:asciiTheme="minorHAnsi" w:hAnsiTheme="minorHAnsi" w:cstheme="minorBidi"/>
      <w:sz w:val="30"/>
    </w:rPr>
  </w:style>
  <w:style w:type="character" w:customStyle="1" w:styleId="54">
    <w:name w:val="二级标题 Char"/>
    <w:basedOn w:val="18"/>
    <w:link w:val="53"/>
    <w:qFormat/>
    <w:uiPriority w:val="0"/>
    <w:rPr>
      <w:rFonts w:eastAsia="黑体" w:asciiTheme="minorHAnsi" w:hAnsiTheme="minorHAnsi" w:cstheme="minorBidi"/>
      <w:kern w:val="2"/>
      <w:sz w:val="30"/>
      <w:szCs w:val="22"/>
    </w:rPr>
  </w:style>
  <w:style w:type="paragraph" w:customStyle="1" w:styleId="55">
    <w:name w:val="图表标题"/>
    <w:basedOn w:val="1"/>
    <w:link w:val="56"/>
    <w:uiPriority w:val="0"/>
    <w:pPr>
      <w:spacing w:line="360" w:lineRule="auto"/>
      <w:jc w:val="center"/>
    </w:pPr>
    <w:rPr>
      <w:rFonts w:eastAsia="黑体" w:cs="Times New Roman"/>
      <w:szCs w:val="21"/>
    </w:rPr>
  </w:style>
  <w:style w:type="character" w:customStyle="1" w:styleId="56">
    <w:name w:val="图表标题 Char"/>
    <w:basedOn w:val="18"/>
    <w:link w:val="55"/>
    <w:qFormat/>
    <w:uiPriority w:val="0"/>
    <w:rPr>
      <w:rFonts w:eastAsia="黑体"/>
      <w:kern w:val="2"/>
      <w:sz w:val="21"/>
      <w:szCs w:val="21"/>
    </w:rPr>
  </w:style>
  <w:style w:type="paragraph" w:customStyle="1" w:styleId="57">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cs="Times New Roman"/>
      <w:kern w:val="0"/>
      <w:sz w:val="24"/>
      <w:szCs w:val="24"/>
    </w:rPr>
  </w:style>
  <w:style w:type="paragraph" w:customStyle="1" w:styleId="58">
    <w:name w:val="正文标题"/>
    <w:basedOn w:val="1"/>
    <w:link w:val="59"/>
    <w:qFormat/>
    <w:uiPriority w:val="0"/>
    <w:pPr>
      <w:spacing w:line="360" w:lineRule="auto"/>
      <w:ind w:firstLine="200" w:firstLineChars="200"/>
      <w:outlineLvl w:val="4"/>
    </w:pPr>
    <w:rPr>
      <w:rFonts w:cs="Times New Roman" w:eastAsiaTheme="minorEastAsia"/>
      <w:b/>
      <w:sz w:val="24"/>
      <w:szCs w:val="24"/>
    </w:rPr>
  </w:style>
  <w:style w:type="character" w:customStyle="1" w:styleId="59">
    <w:name w:val="正文标题 Char"/>
    <w:link w:val="58"/>
    <w:qFormat/>
    <w:uiPriority w:val="0"/>
    <w:rPr>
      <w:rFonts w:eastAsiaTheme="minorEastAsia"/>
      <w:b/>
      <w:kern w:val="2"/>
      <w:sz w:val="24"/>
      <w:szCs w:val="24"/>
    </w:rPr>
  </w:style>
  <w:style w:type="paragraph" w:customStyle="1" w:styleId="60">
    <w:name w:val="一级标题"/>
    <w:basedOn w:val="1"/>
    <w:link w:val="61"/>
    <w:qFormat/>
    <w:uiPriority w:val="0"/>
    <w:pPr>
      <w:spacing w:line="360" w:lineRule="auto"/>
      <w:ind w:left="425" w:hanging="425"/>
      <w:outlineLvl w:val="0"/>
    </w:pPr>
    <w:rPr>
      <w:rFonts w:eastAsia="黑体" w:cstheme="minorBidi"/>
      <w:sz w:val="32"/>
      <w:szCs w:val="24"/>
    </w:rPr>
  </w:style>
  <w:style w:type="character" w:customStyle="1" w:styleId="61">
    <w:name w:val="一级标题 Char"/>
    <w:basedOn w:val="18"/>
    <w:link w:val="60"/>
    <w:qFormat/>
    <w:uiPriority w:val="0"/>
    <w:rPr>
      <w:rFonts w:eastAsia="黑体" w:cstheme="minorBidi"/>
      <w:kern w:val="2"/>
      <w:sz w:val="32"/>
      <w:szCs w:val="24"/>
    </w:rPr>
  </w:style>
  <w:style w:type="paragraph" w:customStyle="1" w:styleId="62">
    <w:name w:val="三级标题"/>
    <w:basedOn w:val="1"/>
    <w:link w:val="63"/>
    <w:qFormat/>
    <w:uiPriority w:val="0"/>
    <w:pPr>
      <w:spacing w:line="360" w:lineRule="auto"/>
      <w:ind w:left="425" w:hanging="425"/>
      <w:outlineLvl w:val="2"/>
    </w:pPr>
    <w:rPr>
      <w:rFonts w:eastAsia="黑体" w:cstheme="minorBidi"/>
      <w:sz w:val="28"/>
      <w:szCs w:val="24"/>
    </w:rPr>
  </w:style>
  <w:style w:type="character" w:customStyle="1" w:styleId="63">
    <w:name w:val="三级标题 Char"/>
    <w:basedOn w:val="18"/>
    <w:link w:val="62"/>
    <w:qFormat/>
    <w:uiPriority w:val="0"/>
    <w:rPr>
      <w:rFonts w:eastAsia="黑体" w:cstheme="minorBidi"/>
      <w:kern w:val="2"/>
      <w:sz w:val="28"/>
      <w:szCs w:val="24"/>
    </w:rPr>
  </w:style>
  <w:style w:type="paragraph" w:customStyle="1" w:styleId="64">
    <w:name w:val="表格"/>
    <w:basedOn w:val="1"/>
    <w:link w:val="65"/>
    <w:qFormat/>
    <w:uiPriority w:val="0"/>
    <w:pPr>
      <w:jc w:val="center"/>
    </w:pPr>
    <w:rPr>
      <w:rFonts w:asciiTheme="minorHAnsi" w:hAnsiTheme="minorHAnsi" w:eastAsiaTheme="minorEastAsia" w:cstheme="minorHAnsi"/>
      <w:color w:val="FF0000"/>
      <w:szCs w:val="21"/>
    </w:rPr>
  </w:style>
  <w:style w:type="character" w:customStyle="1" w:styleId="65">
    <w:name w:val="表格 Char"/>
    <w:basedOn w:val="18"/>
    <w:link w:val="64"/>
    <w:qFormat/>
    <w:uiPriority w:val="0"/>
    <w:rPr>
      <w:rFonts w:asciiTheme="minorHAnsi" w:hAnsiTheme="minorHAnsi" w:eastAsiaTheme="minorEastAsia" w:cstheme="minorHAnsi"/>
      <w:color w:val="FF0000"/>
      <w:kern w:val="2"/>
      <w:sz w:val="21"/>
      <w:szCs w:val="21"/>
    </w:rPr>
  </w:style>
  <w:style w:type="paragraph" w:customStyle="1" w:styleId="66">
    <w:name w:val="Other|1"/>
    <w:basedOn w:val="1"/>
    <w:qFormat/>
    <w:uiPriority w:val="0"/>
    <w:pPr>
      <w:spacing w:line="259" w:lineRule="exact"/>
      <w:jc w:val="center"/>
    </w:pPr>
    <w:rPr>
      <w:rFonts w:ascii="宋体" w:hAnsi="宋体" w:cs="宋体"/>
      <w:sz w:val="19"/>
      <w:szCs w:val="19"/>
      <w:lang w:val="zh-TW" w:eastAsia="zh-TW" w:bidi="zh-TW"/>
    </w:rPr>
  </w:style>
  <w:style w:type="paragraph" w:customStyle="1" w:styleId="67">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4"/>
      <w:lang w:eastAsia="en-US"/>
    </w:rPr>
  </w:style>
  <w:style w:type="character" w:customStyle="1" w:styleId="68">
    <w:name w:val="标题 1 字符"/>
    <w:basedOn w:val="18"/>
    <w:link w:val="2"/>
    <w:qFormat/>
    <w:uiPriority w:val="9"/>
    <w:rPr>
      <w:rFonts w:cs="黑体"/>
      <w:b/>
      <w:bCs/>
      <w:kern w:val="44"/>
      <w:sz w:val="44"/>
      <w:szCs w:val="44"/>
    </w:rPr>
  </w:style>
  <w:style w:type="paragraph" w:customStyle="1" w:styleId="69">
    <w:name w:val="表格内容lh"/>
    <w:basedOn w:val="1"/>
    <w:qFormat/>
    <w:uiPriority w:val="0"/>
    <w:pPr>
      <w:adjustRightInd w:val="0"/>
      <w:snapToGrid w:val="0"/>
    </w:pPr>
    <w:rPr>
      <w:rFonts w:cs="Times New Roman"/>
      <w:bCs/>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9.wmf"/><Relationship Id="rId5" Type="http://schemas.openxmlformats.org/officeDocument/2006/relationships/image" Target="media/image1.png"/><Relationship Id="rId49" Type="http://schemas.openxmlformats.org/officeDocument/2006/relationships/oleObject" Target="embeddings/oleObject7.bin"/><Relationship Id="rId48" Type="http://schemas.openxmlformats.org/officeDocument/2006/relationships/image" Target="media/image28.png"/><Relationship Id="rId47" Type="http://schemas.openxmlformats.org/officeDocument/2006/relationships/image" Target="media/image27.wmf"/><Relationship Id="rId46" Type="http://schemas.openxmlformats.org/officeDocument/2006/relationships/oleObject" Target="embeddings/oleObject6.bin"/><Relationship Id="rId45" Type="http://schemas.openxmlformats.org/officeDocument/2006/relationships/image" Target="media/image26.wmf"/><Relationship Id="rId44" Type="http://schemas.openxmlformats.org/officeDocument/2006/relationships/oleObject" Target="embeddings/oleObject5.bin"/><Relationship Id="rId43" Type="http://schemas.openxmlformats.org/officeDocument/2006/relationships/image" Target="media/image25.wmf"/><Relationship Id="rId42" Type="http://schemas.openxmlformats.org/officeDocument/2006/relationships/oleObject" Target="embeddings/oleObject4.bin"/><Relationship Id="rId41" Type="http://schemas.openxmlformats.org/officeDocument/2006/relationships/image" Target="media/image24.wmf"/><Relationship Id="rId40" Type="http://schemas.openxmlformats.org/officeDocument/2006/relationships/oleObject" Target="embeddings/oleObject3.bin"/><Relationship Id="rId4" Type="http://schemas.openxmlformats.org/officeDocument/2006/relationships/theme" Target="theme/theme1.xml"/><Relationship Id="rId39" Type="http://schemas.openxmlformats.org/officeDocument/2006/relationships/image" Target="media/image23.png"/><Relationship Id="rId38" Type="http://schemas.openxmlformats.org/officeDocument/2006/relationships/image" Target="media/image22.wmf"/><Relationship Id="rId37" Type="http://schemas.openxmlformats.org/officeDocument/2006/relationships/oleObject" Target="embeddings/oleObject2.bin"/><Relationship Id="rId36" Type="http://schemas.openxmlformats.org/officeDocument/2006/relationships/image" Target="media/image21.wmf"/><Relationship Id="rId35" Type="http://schemas.openxmlformats.org/officeDocument/2006/relationships/oleObject" Target="embeddings/oleObject1.bin"/><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emf"/><Relationship Id="rId28" Type="http://schemas.openxmlformats.org/officeDocument/2006/relationships/package" Target="embeddings/Microsoft_Visio___10.vsdx"/><Relationship Id="rId27" Type="http://schemas.openxmlformats.org/officeDocument/2006/relationships/image" Target="media/image14.emf"/><Relationship Id="rId26" Type="http://schemas.openxmlformats.org/officeDocument/2006/relationships/package" Target="embeddings/Microsoft_Visio___9.vsdx"/><Relationship Id="rId25" Type="http://schemas.openxmlformats.org/officeDocument/2006/relationships/image" Target="media/image13.emf"/><Relationship Id="rId24" Type="http://schemas.openxmlformats.org/officeDocument/2006/relationships/package" Target="embeddings/Microsoft_Visio___8.vsdx"/><Relationship Id="rId23" Type="http://schemas.openxmlformats.org/officeDocument/2006/relationships/image" Target="media/image12.emf"/><Relationship Id="rId22" Type="http://schemas.openxmlformats.org/officeDocument/2006/relationships/package" Target="embeddings/Microsoft_Visio___7.vsdx"/><Relationship Id="rId21" Type="http://schemas.openxmlformats.org/officeDocument/2006/relationships/image" Target="media/image11.emf"/><Relationship Id="rId20" Type="http://schemas.openxmlformats.org/officeDocument/2006/relationships/package" Target="embeddings/Microsoft_Visio___6.vsdx"/><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package" Target="embeddings/Microsoft_Visio___5.vsdx"/><Relationship Id="rId17" Type="http://schemas.openxmlformats.org/officeDocument/2006/relationships/image" Target="media/image9.emf"/><Relationship Id="rId16" Type="http://schemas.openxmlformats.org/officeDocument/2006/relationships/package" Target="embeddings/Microsoft_Visio___4.vsdx"/><Relationship Id="rId15" Type="http://schemas.openxmlformats.org/officeDocument/2006/relationships/image" Target="media/image8.emf"/><Relationship Id="rId14" Type="http://schemas.openxmlformats.org/officeDocument/2006/relationships/package" Target="embeddings/Microsoft_Visio___3.vsdx"/><Relationship Id="rId13" Type="http://schemas.openxmlformats.org/officeDocument/2006/relationships/image" Target="media/image7.emf"/><Relationship Id="rId12" Type="http://schemas.openxmlformats.org/officeDocument/2006/relationships/package" Target="embeddings/Microsoft_Visio___2.vsdx"/><Relationship Id="rId11" Type="http://schemas.openxmlformats.org/officeDocument/2006/relationships/image" Target="media/image6.emf"/><Relationship Id="rId10" Type="http://schemas.openxmlformats.org/officeDocument/2006/relationships/package" Target="embeddings/Microsoft_Visio___1.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D54BA0-B431-4FD2-B025-6BC24D202B4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102</Pages>
  <Words>61228</Words>
  <Characters>72405</Characters>
  <Lines>573</Lines>
  <Paragraphs>161</Paragraphs>
  <TotalTime>395</TotalTime>
  <ScaleCrop>false</ScaleCrop>
  <LinksUpToDate>false</LinksUpToDate>
  <CharactersWithSpaces>72542</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姚丽华</cp:lastModifiedBy>
  <cp:lastPrinted>2024-10-11T02:10:00Z</cp:lastPrinted>
  <dcterms:modified xsi:type="dcterms:W3CDTF">2024-10-21T02:31:05Z</dcterms:modified>
  <dc:title>建设项目环境影响报告表</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1F42194F328C4FFEA7DDC873D3ED83D3</vt:lpwstr>
  </property>
</Properties>
</file>