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textAlignment w:val="auto"/>
        <w:rPr>
          <w:rFonts w:hint="default" w:ascii="Times New Roman" w:hAnsi="Times New Roman" w:eastAsia="仿宋_GB2312" w:cs="Times New Roman"/>
          <w:b/>
          <w:color w:val="000000"/>
          <w:sz w:val="32"/>
          <w:szCs w:val="32"/>
        </w:rPr>
      </w:pPr>
      <w:bookmarkStart w:id="0" w:name="bt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cs="Times New Roman"/>
        </w:rPr>
        <w:pict>
          <v:shape id="_x0000_s1026" o:spid="_x0000_s1026" o:spt="136" type="#_x0000_t136" style="position:absolute;left:0pt;margin-left:20.2pt;margin-top:4pt;height:59.55pt;width:413.85pt;z-index:251660288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大英县文化广播电视和旅游局文件" style="font-family:方正小标宋简体;font-size:36pt;v-rotate-letters:f;v-same-letter-heights:f;v-text-align:center;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210"/>
          <w:tab w:val="left" w:pos="420"/>
          <w:tab w:val="left" w:pos="8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bookmarkStart w:id="1" w:name="remove_shape_2"/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15240</wp:posOffset>
                </wp:positionV>
                <wp:extent cx="5600700" cy="0"/>
                <wp:effectExtent l="0" t="17145" r="0" b="2095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49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.05pt;margin-top:1.2pt;height:0pt;width:441pt;z-index:251661312;mso-width-relative:page;mso-height-relative:page;" filled="f" stroked="t" coordsize="21600,21600" o:gfxdata="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xhg5TUAAAABQEAAA8AAAAAAAAAAQAgAAAAIgAAAGRycy9kb3ducmV2Lnht&#10;bFBLAQIUABQAAAAIAIdO4kCp/pwb/QEAAPMDAAAOAAAAAAAAAAEAIAAAACMBAABkcnMvZTJvRG9j&#10;LnhtbFBLBQYAAAAABgAGAFkBAACSBQAAAAA=&#10;">
                <v:fill on="f" focussize="0,0"/>
                <v:stroke weight="2.75pt" color="#FF0000" joinstyle="round"/>
                <v:imagedata o:title=""/>
                <o:lock v:ext="edit" aspectratio="f"/>
              </v:line>
            </w:pict>
          </mc:Fallback>
        </mc:AlternateConten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大英县文化广播电视和旅游局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专项预算项目支出绩效自评报告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（大英县网络视听与影视拍摄基地创建项目）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为进一步促进我县文化产业的快速发展，提升我县文化软实力，打造具有地方特色的影视拍摄基地。项目内容包括建设影视拍摄场地、配套设施、后期制作中心等，以满足影视拍摄、制作、发布等全链条需求。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根据财务管理相关规定和制度进行专项资金管理，根据预算安排分配资金。资金主要用于大英县网络视听与影视拍摄基地创建。支持方式为资金支持。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项目主要内容。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深入贯彻四川省政府报告中提出“四川文化强省战略，文化产业将成为支柱产业，积极推动四川文化产业繁荣发展，振兴四川影视、推动文化创意、数字娱乐、网络文化等创新发展”。深入贯彻四川“一核多极、棚景结合”影视发展规划，加快中国大英网络视听和影视拍摄基地建设，推进大美大英建设加快成势，打造独具大英特色的网络视听和影视拍摄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绩效目标。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计划使用县财政资金24.8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，用于大英县网络视听与影视基地创建。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第一阶段完成规划纲要1份，第二阶段完成项目第一轮方案初稿1份，第三阶段完成专家论证稿5份，第四阶段完成最终方案（申报材料）2份。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该经费项目申报内容与具体实施内容相符，并由局党组进行审核通过，其申报目标合理可行。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（三）项目自评步骤及方法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按照2023年县级项目支出绩效评价指标体系，开展大英县网络视听与影视基地创建项目绩效逐项、分指标进行全面系统自查和评价。自评报告由业务股室经办人员、财务人员结合本年度资金使用实际情况共同草拟，分别报分管领导、主要领导审阅后再报送上级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二、项目资金申报及使用情况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（一）项目资金申报及批复情况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项目资金申报24.8万元，批复24.8万元，实际下达24.8万元，实际支付24.8万元。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（二）资金计划、到位及使用情况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资金计划。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根据采购合同，该项目预算经费24.8万元，其中财政资金24.8万元。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资金到位。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到位24.8万元，全部保障到位且高效运行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充分发挥资金使用效益，无截留、挪用项目资金行为。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资金使用。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截止评价时点，项目已完结。24.8万已全部用于大英县网络视听与影视基地创建项目。程序合规合法。使用率100%。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（三）项目财务管理情况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经费严格按照财务管理制度进行管理，保证专款专用，不存在截留、滞留、挤占、挪用、套取、虚报、冒领的问题，资金发放复查由财务人员按照财务制度进行资金的审核、支付和核算，所有支出均以银行转账及财政直接支付的方式进行。在具体支付时，具备了资金发票、合同、验收清单等相关材料，手续完善，不存在虚假会计凭证的情况，会计严格执行财务管理制度，财务处理及时，核算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（一）项目组织架构及实施流程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项目由县文化广电旅游局宣传传媒机构管理工作组、项目工作组、财务工作组共同实施。业务股室年初上报预算，拟定项目方案，上报局党组审定。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县文化广电旅游局对下属事业单位实行“财务统一管理、工作统一安排、绩效统一考核、人员统一调配”四个统一管理办法，因此由县文化广电旅游局统一管理。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（三）项目监管情况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资金的合理、合规、合法使用，由县文化广电旅游局统一管理，严格按照《财政部关于印发＜中央对地方专项转移支付绩效目标管理暂行办法＞的通知》（财预〔2015〕163号）的要求，加强对资金使用的监控，确保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1.数量指标。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完成规划纲要1份、项目第一轮方案初稿1份、专家论证稿5份、最终方案（申报材料）2份。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2.质量指标。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规划纲要、项目第一轮方案初稿、专家论证稿、最终方案（申报材料）合格率达100%。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3.时效指标。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规划纲要、项目第一轮方案初稿、专家论证稿、最终方案（申报材料）及时率100%。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4.成本指标。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大英县网络视听与影视拍摄基地创建成本24.8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1.社会效益。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加快中国大英网络视听和影视拍摄基地建设，推进大美大英建设加快成势100%，打造独具大英特色的网络视听和影视拍摄基地100%。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2.满意度指标完成情况分析。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普查满意度95%。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五、评价结论及建议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门项目支出绩效自我评价结果是优秀。在资金分配、使用、监管等方面都取得了良好效果，该项目进一步促进我县文化产业的快速发展，提升我县文化软实力，打造具有地方特色的影视拍摄基地。取得了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（二）存在的问题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项目进行过程中要加大监督巡察力度，确保进度。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（三）相关建议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加大财政的倾斜力度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争取创作更好的产品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进一步提升大英城市影响力。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2"/>
        <w:ind w:left="0" w:leftChars="0"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附件：2024年县级专项预算项目支出绩效评价指标体系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7980"/>
          <w:tab w:val="lef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4160" w:firstLineChars="13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大英县文化广播电视和旅游局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5001" w:firstLineChars="1563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2024年5月10日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  <w:sectPr>
          <w:footerReference r:id="rId3" w:type="default"/>
          <w:pgSz w:w="11906" w:h="16838"/>
          <w:pgMar w:top="1871" w:right="1474" w:bottom="1361" w:left="1531" w:header="851" w:footer="1134" w:gutter="0"/>
          <w:pgNumType w:fmt="decimal"/>
          <w:cols w:space="0" w:num="1"/>
          <w:rtlGutter w:val="0"/>
          <w:docGrid w:type="lines" w:linePitch="316" w:charSpace="0"/>
        </w:sectPr>
      </w:pPr>
    </w:p>
    <w:p>
      <w:pPr>
        <w:widowControl w:val="0"/>
        <w:spacing w:before="29"/>
        <w:ind w:left="0" w:leftChars="0" w:firstLine="0" w:firstLineChars="0"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 w:bidi="ar-SA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60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kern w:val="0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kern w:val="0"/>
          <w:sz w:val="36"/>
          <w:szCs w:val="36"/>
          <w:lang w:val="en-US" w:eastAsia="zh-CN" w:bidi="ar-SA"/>
        </w:rPr>
        <w:t>2024年县级专项预算项目支出绩效评价指标体系</w:t>
      </w:r>
    </w:p>
    <w:tbl>
      <w:tblPr>
        <w:tblStyle w:val="5"/>
        <w:tblW w:w="158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"/>
        <w:gridCol w:w="700"/>
        <w:gridCol w:w="667"/>
        <w:gridCol w:w="883"/>
        <w:gridCol w:w="605"/>
        <w:gridCol w:w="3576"/>
        <w:gridCol w:w="3269"/>
        <w:gridCol w:w="4100"/>
        <w:gridCol w:w="1067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评价对象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评价内容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依据材料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评价过程（只写扣分项的原因）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3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购买主体</w:t>
            </w: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决策管理（10分）</w:t>
            </w:r>
          </w:p>
        </w:tc>
        <w:tc>
          <w:tcPr>
            <w:tcW w:w="6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项目决策（5分）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决策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依据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实行购买的服务项目是否符合中央、省、市、县决策部署；符合当前经济社会发展需求；是否属于购买服务范畴；是否属于购买主体职能职责。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符合中央、省、市、县决策部署；符合当前经济社会发展需求；属于购买服务范畴；属于购买主体职能职责的得2分。一项不符合不得分。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1.中央、省、市、县政府制定的国民经济与社会发展规划和方针政策等。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2.部门（单位）年度工作计划+中长期发展规划。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3.上级或本级关于本项目的通知、规划、方案等。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决策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程序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项目是否经过集体决策、可行性论证等程序。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有集体决策、可行性论证等程序的得1分，否则不得分。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1.集体决策的会议纪要。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2.可行性论证报告。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购买的必要性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项目是否具有现实需求；是否有确定的服务对象和受益对象。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具有现实需求，有确定的服务对象和受益对象的得2分，否则不得分。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1.中央、省、市、县政府制定的国民经济与社会发展规划和方针政策等。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2.部门（单位）年度工作计划+中长期发展规划。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3.上级或本级关于本项目的通知、规划、方案等。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4.集体决策的会议纪要。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5.可行性论证报告。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绩效目标（5分）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是否制定明确合理的服务绩效目标，比如服务数量、频次、质量及相关技术要求、质保措施、违约责任等。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绩效目标完整明确的得5分；欠完整明确的酌情得1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4分；没有不得分。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1.项目绩效目标申报表。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项目购买与监管（20分）</w:t>
            </w:r>
          </w:p>
        </w:tc>
        <w:tc>
          <w:tcPr>
            <w:tcW w:w="6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项目管理（15分）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购买主体是否建立购买服务绩效管理相关制度（包括购买服务项目、预算、财务、绩效、监督等管理及保障措施等）。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相关制度健全得3分；不够健全的酌情得0.5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2.5分（以0.5分的倍数打分）；没有制度不得分。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1.购买服务项目、预算、财务、绩效、监督等管理制度。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购买需求是否明确、完整、合规，公共服务项目是否征求服务对象的意见建议。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购买需求明确、完整、合规的得2分，存在不足的酌情得0.5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1.5分（以0.5分的倍数打分）；公共服务项目征求服务对象意见建议的得1分，否则不得分（不属于公共服务的项目不评价此内容，分值调整至“购买需求是否明确、完整、合规”）。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1.中央、省、市、县政府制定的国民经济与社会发展规划和方针政策等。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2.部门（单位）年度工作计划+中长期发展规划。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3.上级或本级关于本项目的通知、规划、方案等。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4.集体决策的会议纪要。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5.可行性论证报告。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6.公共服务项目征求服务对象意见建议记录。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测算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依据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项目预算金额是否经过市场价格摸底和认真测算比较、是否在合理区间。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项目预算金额经过市场价格摸底和认真测算比较且合理得3分；欠合理得0.5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2.5分（以0.5分的倍数打分）；未摸底和认真测算不得分。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1.项目预算金额经过市场价格摸底和认真测算比较的数据。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购买程序的规范性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选择承接主体是否按照竞争择优原则；若不具备竞争性购买条件的，通过直接委托等方式购买的理由是否合理充分；是否体现公平、公正的原则；购买程序是否符合购买服务相关要求。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选择承接主体未按照竞争择优原则，无理由通过直接委托等方式购买服务，不符合体现公平、公正原则的不得分；购买程序不符合购买服务相关要求，发现一处扣1分，直至扣完。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需以下招投标流程的证明材料：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1.受理申请表。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2.确定采购方式（公开招标、邀请招标、竞争性谈判、单一来源采购、询价采购、其他采购方式）。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3.编制招标文件。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4.招标办审核招标文件，采购人对招标文件进行确认。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5.发布招标公告。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6.投标报名，资格预审，发售招标文件。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7.组织答疑，对招标文件进行必要的补遗（发布变更公告）。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8.组织召开招标会。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9.中标公示。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10.签发中标通知（成交确认）书。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11.未中标供应商退还投标保证金。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12.签订合同，即中标供应商和业主单位在招标文件规定的时间内签订合同。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13.中标供应商退还投标保证金，并按招标文件规定缴纳履约保证金。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14、将招标文件资料经整理后统一装订编号归档。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是否签订购买服务合同，合同内容是否规范、合理、公平、完备、详实，合同内容是否约定项目实施后应实现的绩效目标，是否约定履约验收标准，履约验收结果是否与资金支付挂钩。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服务合同规范、完备、详实得3分；欠规范酌情得0.5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2.5分（以0.5分的倍数打分）；无合同不得分。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1.购买服务合同。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资金管理（2分）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拨付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资金拨付是否按照合同约定执行，有无提前拨付、超额拨付、拖欠资金等违规现象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有提前拨付、超额拨付、拖欠资金等问题，发现一处扣1分，直至扣完。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1.资金支付明细表。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项目监管（3分）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购买主体是否在项目实施过程中对承接主体提供服务的数量、质量情况进行监管，发现问题是否及时纠正；是否按规定进行项目履约验收。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购买主体未按规、及时履行监管职责，发现一起扣1分，直至扣完。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1.购买主体对本项目监督管理的相关记录。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3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承接主体</w:t>
            </w: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组织管理（10分）</w:t>
            </w:r>
          </w:p>
        </w:tc>
        <w:tc>
          <w:tcPr>
            <w:tcW w:w="6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项目实施（10分）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承接主体是否具有提供服务的专门内设机构和人员；人数是否合理，分工是否明确；是否对服务人员进行培训，服务人员资格、资质是否符合要求，服务人员对服务内容质量流程等是否清楚掌握。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提供专门的内设机构和人员、人数合理、资格资质符合要求、分工明确、开展培训、服务人员业务熟练得5分（具体内容应结合项目实际确定）；欠缺一项内容的扣1分，直至扣完。没有发现问题，直接得5分。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1.承接主体资格资质证书。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2.承接主体人员分配、具体分工、服务人员业务内容等相关数据。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过程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承接主体对服务中出现的问题是否及时研究措施解决，对服务数量质量品质时效等是否实行痕迹管理，相关档案资料是否及时规范齐备。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及时响应购买主体要求、研究解决问题、实行痕迹管理、档案资料规范齐备等得5分；欠缺一项内容的扣1分，直至扣完；无措施无档案不得分。没有发现问题，直接得5分。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1.承接主体对服务中出现问题的解决措施证明资料。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2.承接主体对该项目的相关档案资料。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项目绩效（60分）</w:t>
            </w:r>
          </w:p>
        </w:tc>
        <w:tc>
          <w:tcPr>
            <w:tcW w:w="6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服务效果（40分）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主要反映为服务人次、服务频次等。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服务人次、服务频次达到或超过合同约定得5分；每低于5%则扣减1分，直至扣完。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1.通过访谈、实地核查项目完成情况，获取承接主体服务人次、服务频次的数据。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主要反映承接主体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服务单次时长、总时长、服务周期、服务准时率、服务延时率等。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服务时效达到或超过合同约定得5分；单次时效低于合同标准，每1次扣减1分，直至扣完。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1.通过访谈、实地核查项目完成情况，获取承接主体提供服务单次时长、总时长、服务周期、服务准时率、服务延时率的数据。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品质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主要反映承接主体提供服务品质情况，如服务合格率、优质率、不合格率、投诉率，以及服务水平、服务态度等。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提供服务达到合同约定得5分；出现服务不合格、服务标准不够、服务态度被投诉等影响服务品质情况，每出现一次扣1分，直至扣完。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1.通过访谈、实地核查项目完成情况、问卷调查，获取如服务合格率、优质率、不合格率、投诉率，以及服务水平、服务态度等的数据。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服务成本（两个三级指标由评价工作组根据现场情况2选1进行评价，如无法取得对比成本数据或无需进行成本指标评价，本指标10分全部调整至项目效益三级指标）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反映购买服务支出相比政府以往自身提供服务3年平均支出成本费用节约程度；或比以往自身提供服务3年平均支出成本费用相同或增长的情况下，承接主体提供服务数量或质量增长率与资金增长率对比情况。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节约率≧10%得5分；＜10%至≧8%得4分；＜8%至≧5%得3分；＜5%至≧3%得2分；＜3%至＞0得1分；小于或等于0不得分。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承接主体提供服务数量或质量增长率与资金增长率对比，≧5%得10分；＜5%至≧4%得8分；＜4%至≧3%得6分；＜3%至≧2%得4分；＜2%至＞0得2分；小于或等于0不得分。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1.项目实际支付总金额。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2.政府以往自身提供服务3年平均支出成本费用。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3.承接主体提供的服务数量或者质量增长率数据。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与市场同类服务平均价格相比资金节约率；或在与平均价格相同或增长的情况下，承接主体提供服务数量或质量增长率与资金增长率对比情况。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节约率≧10%得5分；＜10%至≧8%得4分；＜8%至≧5%得3分；＜5%至≧3%得2分；＜3%至＞0得1分；小于或等于0不得分。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承接主体提供服务数量或质量增长率与资金增长率对比，≧5%得10分；＜5%至≧4%得8分；＜4%至≧3%得6分；＜3%至≧2%得4分；＜2%至＞0得2分；小于或等于0不得分。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1.项目实际支付总金额。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2.市场同类服务平均价格。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3.承接主体提供的服务数量或者质量增长率数据。</w:t>
            </w:r>
            <w:bookmarkStart w:id="2" w:name="_GoBack"/>
            <w:bookmarkEnd w:id="2"/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由评价工作组根据项目绩效目标、实施目的，制定出项目实施对社会或民生带来的影响效果方面的项目效益指标（主要指经济、社会、生态效益，不少于3个）。通过现场评价，得出项目完成后的实际效果较设定的效果指标的实现程度。按单个效果指标单独打分，多个指标取算数平均数后为本指标得分。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实际效果达到设定的绩效目标得20分；超出设定绩效目标5%，每次加2分，最多加5分；低于设定绩效目标5%，每1次扣减2分，直至扣完。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1.根据项目的绩效指标，包括经济、社会、生态效益等，通过访谈、实地核查项目完成情况、问卷调查等方式获取相关数据。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满意度（20分）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受益对象、服务对象、购买主体满意度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主要侧重反映对受益对象、服务对象、购买主体的需求满足程度及满意度。（根据项目实际，针对不同主体分别设置问卷调查表（百分制），不同问卷得分算数平均后换算出本指标得分）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根据问卷调查满意率分级打分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1.满意度调查问卷。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</w:tr>
    </w:tbl>
    <w:p>
      <w:pPr>
        <w:rPr>
          <w:rFonts w:ascii="Calibri" w:hAnsi="Calibri" w:eastAsia="宋体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6840" w:h="11910" w:orient="landscape"/>
      <w:pgMar w:top="1417" w:right="1417" w:bottom="1417" w:left="1417" w:header="850" w:footer="1134" w:gutter="0"/>
      <w:pgNumType w:fmt="decimal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1N2UxNjcyNTQ3MTZhMmM0YWUyYTZmYmU1ZTA2ZTMifQ=="/>
  </w:docVars>
  <w:rsids>
    <w:rsidRoot w:val="616F2F38"/>
    <w:rsid w:val="09CB082F"/>
    <w:rsid w:val="0F702DF1"/>
    <w:rsid w:val="12633CFA"/>
    <w:rsid w:val="206155F1"/>
    <w:rsid w:val="2CD31625"/>
    <w:rsid w:val="3B984165"/>
    <w:rsid w:val="42EB2656"/>
    <w:rsid w:val="44F85C75"/>
    <w:rsid w:val="46EE37D3"/>
    <w:rsid w:val="4C3902EA"/>
    <w:rsid w:val="616F2F38"/>
    <w:rsid w:val="7CDD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29"/>
      <w:ind w:left="220"/>
      <w:jc w:val="left"/>
    </w:pPr>
    <w:rPr>
      <w:rFonts w:ascii="宋体" w:hAnsi="宋体" w:eastAsia="宋体"/>
      <w:kern w:val="0"/>
      <w:sz w:val="24"/>
      <w:lang w:eastAsia="en-US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2024-05-11T10:08:00Z</dcterms:created>
  <dc:creator>恒阳文化传播有限公司</dc:creator>
  <cp:lastModifiedBy>恒阳文化传播有限公司</cp:lastModifiedBy>
  <dcterms:modified xsi:type="dcterms:W3CDTF">2024-05-13T01:44:41Z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E865C393F04045BCB2E06B7A2F2A69A3_11</vt:lpwstr>
  </property>
</Properties>
</file>