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480" w:lineRule="exact"/>
        <w:textAlignment w:val="auto"/>
        <w:rPr>
          <w:rFonts w:hint="default" w:ascii="Times New Roman" w:hAnsi="Times New Roman" w:eastAsia="仿宋_GB2312" w:cs="Times New Roman"/>
          <w:b/>
          <w:color w:val="000000"/>
          <w:sz w:val="32"/>
          <w:szCs w:val="32"/>
        </w:rPr>
      </w:pPr>
      <w:bookmarkStart w:id="0" w:name="bt"/>
      <w:bookmarkEnd w:id="0"/>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cs="Times New Roman"/>
        </w:rPr>
        <w:pict>
          <v:shape id="_x0000_s1026" o:spid="_x0000_s1026" o:spt="136" type="#_x0000_t136" style="position:absolute;left:0pt;margin-left:20.2pt;margin-top:4pt;height:59.55pt;width:413.85pt;z-index:251660288;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 style="font-family:方正小标宋简体;font-size:36pt;v-rotate-letters:f;v-same-letter-heights:f;v-text-align:center;"/>
          </v:shape>
        </w:pict>
      </w: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color w:val="000000"/>
          <w:sz w:val="32"/>
          <w:szCs w:val="32"/>
        </w:rPr>
      </w:pPr>
      <w:bookmarkStart w:id="1" w:name="remove_shape_2"/>
      <w:r>
        <w:rPr>
          <w:rFonts w:hint="default"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26035</wp:posOffset>
                </wp:positionH>
                <wp:positionV relativeFrom="paragraph">
                  <wp:posOffset>15240</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5pt;margin-top:1.2pt;height:0pt;width:441pt;z-index:251661312;mso-width-relative:page;mso-height-relative:page;" filled="f" stroked="t" coordsize="21600,21600" o:gfxdata="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xhg5TUAAAABQEAAA8AAAAAAAAAAQAgAAAAIgAAAGRycy9kb3ducmV2Lnht&#10;bFBLAQIUABQAAAAIAIdO4kCp/pwb/QEAAPMDAAAOAAAAAAAAAAEAIAAAACMBAABkcnMvZTJvRG9j&#10;LnhtbFBLBQYAAAAABgAGAFkBAACSBQAAAAA=&#10;">
                <v:fill on="f" focussize="0,0"/>
                <v:stroke weight="2.75pt" color="#FF0000" joinstyle="round"/>
                <v:imagedata o:title=""/>
                <o:lock v:ext="edit" aspectratio="f"/>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专项预算项目支出绩效自评报告</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（四川曲剧《卓筒小井》原创剧目创排演）</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default" w:ascii="Times New Roman" w:hAnsi="Times New Roman" w:eastAsia="仿宋_GB2312" w:cs="Times New Roman"/>
          <w:sz w:val="28"/>
          <w:szCs w:val="28"/>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一、项目概况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大英县文化广播电视旅游局作为该项目的主管部门，负责该项目的规划、设计、建设和管理，确保该项目规划设计合理、日常管理到位、建设质量过硬、资金支付及时，顺利推进项目建设圆满完成。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国务院办公厅印发关于支持戏曲传承发展若干政策的通知》（国办发〔2015〕52号）和《中共四川省委办公厅、四川省人民政府办公厅印发＜关于做好乡镇行政区划和村级建制调整改革“后半篇”文章的责任分工方案＞的通知》（川委厅〔2021〕6号）《省财政厅、省委宣传部、文化和旅游厅、省广电局、省体育局、省文物局关于下达2021年中央支持地方公共文化服务体系建设补助资金预算的通知》（川财教〔2021〕132号）文件精神，戏曲具有悠久的历史、独特的魅力和深厚的群众基础，是表现和传承中华优秀传统文化的重要载体；积极开发戏曲、曲艺、杂技等民间艺术、民俗表演项目，推动文化与其他产业深度融合发展；救濒临灭绝剧种，保护传承优秀传统戏曲。大英县文化广播电视和旅游局向县政府请示开展四川曲剧《卓筒小井》原创剧目创排演，把传统文化转化成“大美大英”建设的有力支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传承大英本土非遗文化，为大英“全国先进文化县”注入新内涵，有助于打造大英地域文化品牌，提高大英传统文化的知名度和影响力，切实推动我县本土特色文化繁荣发展。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大英县四川曲剧《卓筒小井》原创剧目创排演项目严格依据《政府采购法》和政府购买服务的相关要求，采取单一来源方式购买目前全省唯一一支熟悉该剧剧情、熟练掌握该剧演出技巧和能够演唱四川曲剧的大英县金元川剧团，以合同方式约定双方职责、项目任务、成果质量</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以及项目进度要求等。在项目创排演过程中，严格按照国家、省、市要求，通过多方意见征集、专家审查、规委会审查等方式把控规划成果的质量。</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四川曲剧《卓筒小井》原创剧目方案由县文化广播电视和旅游局逐级审查同意后，由大英县人民政府、中共大英县委宣传部审批。审批通过后，进入排练期并主动接受社会各界的监督。</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由县财政专项拨款139万元投入该剧的创排演经费保障，作全力保障。项目资金按照大文广旅〔2023〕11号文件支出。</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项目主要内容。开展四川曲剧《卓筒小井》原创剧目创排演。</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项目应实现的具体绩效目标。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川曲剧《卓筒小井》将作为精品艺术剧目在宋井桃源常态化展演，并作为大英县第四届桃花美食节、四川省第三届（春季）乡村旅游节、“一带一路”文化旅游与经济环境国际合作峰会和2023遂宁市文化旅游发展大会文旅周等系列文旅活动表演剧目之一，有利于进一步激活本土文化旅游资源，丰富宋井桃源文化内核，推动相关产业、生态环境、公共服务等资源要素向文旅业集聚，实现农文旅融合发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2023年四川曲剧《卓筒小井》原创剧目创排演项目，预算测算标准为139万元用于支付该剧的创作、排练、制作、演出等费用。</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项目实施进度计划：创排演按照剧目研讨、创作采风、组团编排、对外公演步骤实施进度。</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2023年，通过项目实施四川曲剧《卓筒小井》创排演，建立了大英县戏曲演出班子，实现了大英县大型舞台艺术首次参加省级政府文化赛事比赛，通过展演，四川曲剧《卓筒小井》荣获第五届四川文华音乐奖，不断提升大英县文化艺术水平和影响力，达到了濒临灭绝剧种——四川曲剧的拯救和传承，助力大英县卓筒井申报世界文化遗产名单，弘扬了卓筒井文化的良好效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四川曲剧《卓筒小井》原创剧目方案由县文化广播电视和旅游局逐级审查同意后，由大英县人民政府、中共大英县委宣传部审批。审批通过后，进入排练期并主动接受社会各界的监督，申报目标合理可行。</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（三）项目自评步骤及方法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2023年县级项目支出绩效评价指标体系开展，《关于四川曲剧＜卓筒小井＞原创剧目创排演的请示》（大文广旅〔2023〕11号）项目绩效逐项、分指标进行全面系统自查和评价。自评报告由业务股室经办人员、财务人员结合本年度资金使用实际情况共同草拟，分别报分管领导、主要领导审阅后再报送上级部门。</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二、项目资金申报及使用情况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（一）项目资金申报及批复情况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经大英县文化广播电视和旅游局党组研究决定，以大文广旅〔2023〕11号文件形式向大英县人民政府提交请示报告，经县委县政府层层审批，预算费用139万元，据实解决。</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（二）资金计划、到位及使用情况（可用表格形式反映）</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b/>
          <w:bCs/>
          <w:sz w:val="28"/>
          <w:szCs w:val="28"/>
        </w:rPr>
        <w:t>1.资金计划。</w:t>
      </w:r>
      <w:r>
        <w:rPr>
          <w:rFonts w:hint="default" w:ascii="Times New Roman" w:hAnsi="Times New Roman" w:eastAsia="仿宋_GB2312" w:cs="Times New Roman"/>
          <w:sz w:val="32"/>
          <w:szCs w:val="32"/>
        </w:rPr>
        <w:t>四川曲剧《卓筒小井》创排演资金计划139万元。</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b/>
          <w:bCs/>
          <w:sz w:val="28"/>
          <w:szCs w:val="28"/>
        </w:rPr>
        <w:t>2.资金到位。</w:t>
      </w:r>
      <w:r>
        <w:rPr>
          <w:rFonts w:hint="default" w:ascii="Times New Roman" w:hAnsi="Times New Roman" w:eastAsia="仿宋_GB2312" w:cs="Times New Roman"/>
          <w:sz w:val="32"/>
          <w:szCs w:val="32"/>
        </w:rPr>
        <w:t>汇总统计截止评价时点，该项目县财政资金到位139万元。</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b/>
          <w:bCs/>
          <w:sz w:val="28"/>
          <w:szCs w:val="28"/>
        </w:rPr>
        <w:t>3.资金使用。</w:t>
      </w:r>
      <w:r>
        <w:rPr>
          <w:rFonts w:hint="default" w:ascii="Times New Roman" w:hAnsi="Times New Roman" w:eastAsia="仿宋_GB2312" w:cs="Times New Roman"/>
          <w:sz w:val="32"/>
          <w:szCs w:val="32"/>
        </w:rPr>
        <w:t>截止评价时点该项目县级资金支出139万元。</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（三）项目财务管理情况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总体评价各项目实施单位财务管理制度健全，严格执行财务管理制度，账务处理比较及时，会计核算规范。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三、项目实施及管理情况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（一）项目组织架构及实施流程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1.制定了《大英县四川曲剧《卓筒小井》原创剧目创排演专项规划工作方案》。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2.制定了解决四川曲剧《卓筒小井》原创剧目创排演和旅发大会展演的请示报告。</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3.协调财政部门，落实剧目创排演和旅发大会经费。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4.组织专业人员配合挖掘、收集、采风、创作、研讨剧目、艺术指导等工作。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5.组织邀请省市专家、部门对剧目成果进行艺术审查。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6.根据最终方案制定近期项目库和实施计划。</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（二）项目管理情况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大英县四川曲剧《卓筒小井》原创剧目创排演项目和旅发大会展演项目严格依据《政府采购法》和政府购买服务的相关要求，采取单一来源方式购买目前全省唯一一支熟悉该剧剧情、熟练掌握该剧演出技巧和能够演唱四川曲剧的大英县金元川剧团，以合同方式约定双方职责、项目任务、成果质量</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以及项目进度要求等。在项目创排演过程中，严格按照国家、省、市要求，通过多方意见征集、专家审查、规委会审查等方式把控规划成果的质量。</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（三）项目监管情况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川曲剧《卓筒小井》原创剧目方案由县文化广播电视和旅游局逐级审查同意后，由大英县人民政府、中共大英县委宣传部审批。审批通过后，由县财政提供经费保障，县文化广播电视和旅游局进行意识形态把关和业务指导，进入排练期并主动接受社会各界的监督，取得良好社会效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（一）项目完成情况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剧目于2023年9-11月，在第三届四川艺术节和大英县举办的遂宁市文旅发展大会中完整呈现，预演首演2场，旅发大会展演4场，进一步叫响、擦亮“天府旅游名县”金字招牌，为大英“全国先进文化县”注入新内涵，助力加快推进卓筒井入列中国世界文化遗产预备名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对照项目计划超额完成目标，对截止评价时点的任务量完成、质量标准、进度计划均已完成。</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（二）项目效益情况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参加第三届四川艺术节，荣获第五届四川文华音乐奖，开展戏曲进乡村巡回展演20场；预计参加遂宁市第四届涪江文化艺术节“剧美遂宁”剧目类展演，</w:t>
      </w:r>
      <w:r>
        <w:rPr>
          <w:rFonts w:hint="default" w:ascii="Times New Roman" w:hAnsi="Times New Roman" w:eastAsia="仿宋_GB2312" w:cs="Times New Roman"/>
          <w:sz w:val="32"/>
          <w:szCs w:val="32"/>
          <w:lang w:eastAsia="zh-CN"/>
        </w:rPr>
        <w:t>积极</w:t>
      </w:r>
      <w:r>
        <w:rPr>
          <w:rFonts w:hint="default" w:ascii="Times New Roman" w:hAnsi="Times New Roman" w:eastAsia="仿宋_GB2312" w:cs="Times New Roman"/>
          <w:sz w:val="32"/>
          <w:szCs w:val="32"/>
        </w:rPr>
        <w:t>申报四川省“五个一工程”奖评选；积极申报巴蜀文艺奖评选；申报四川艺术基金扶持项目，力争全省巡演；传播卓筒井文化和拯救、传承四川地方剧种。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五、评价结论及建议</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（一）评价结论</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打造四川曲剧《卓筒小井》，荣获了第五届四川文华音乐奖，拯救了濒危剧种，弘扬了卓筒井文化，提升了大英知名度和影响力。</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（二）存在的问题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戏曲人才匮乏，资金短缺。</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（三）相关建议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希望县财政每年将该项目纳入年初资金预算，用于培养戏曲人才，传承优秀传统文化，繁荣大英舞台艺术。</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p>
    <w:p>
      <w:pPr>
        <w:pStyle w:val="2"/>
        <w:ind w:left="0" w:leftChars="0"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附件：2024年县级专项预算项目支出绩效评价指标体系</w:t>
      </w:r>
    </w:p>
    <w:p>
      <w:pPr>
        <w:pStyle w:val="2"/>
        <w:keepNext w:val="0"/>
        <w:keepLines w:val="0"/>
        <w:pageBreakBefore w:val="0"/>
        <w:widowControl w:val="0"/>
        <w:kinsoku/>
        <w:wordWrap/>
        <w:overflowPunct/>
        <w:topLinePunct w:val="0"/>
        <w:autoSpaceDE/>
        <w:autoSpaceDN/>
        <w:bidi w:val="0"/>
        <w:adjustRightInd/>
        <w:snapToGrid/>
        <w:spacing w:before="0" w:line="57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before="0" w:line="57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p>
    <w:p>
      <w:pPr>
        <w:keepNext w:val="0"/>
        <w:keepLines w:val="0"/>
        <w:pageBreakBefore w:val="0"/>
        <w:widowControl w:val="0"/>
        <w:tabs>
          <w:tab w:val="left" w:pos="7980"/>
          <w:tab w:val="left" w:pos="8190"/>
        </w:tabs>
        <w:kinsoku/>
        <w:wordWrap/>
        <w:overflowPunct/>
        <w:topLinePunct w:val="0"/>
        <w:autoSpaceDE/>
        <w:autoSpaceDN/>
        <w:bidi w:val="0"/>
        <w:adjustRightInd/>
        <w:snapToGrid/>
        <w:spacing w:line="570" w:lineRule="exact"/>
        <w:ind w:firstLine="4160" w:firstLineChars="13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大英县文化广播电视和旅游局</w:t>
      </w:r>
    </w:p>
    <w:p>
      <w:pPr>
        <w:keepNext w:val="0"/>
        <w:keepLines w:val="0"/>
        <w:pageBreakBefore w:val="0"/>
        <w:widowControl w:val="0"/>
        <w:kinsoku/>
        <w:wordWrap/>
        <w:overflowPunct/>
        <w:topLinePunct w:val="0"/>
        <w:autoSpaceDE/>
        <w:autoSpaceDN/>
        <w:bidi w:val="0"/>
        <w:adjustRightInd/>
        <w:snapToGrid/>
        <w:spacing w:line="570" w:lineRule="exact"/>
        <w:ind w:left="0" w:leftChars="0" w:firstLine="5001" w:firstLineChars="1563"/>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2024年5月10日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sectPr>
          <w:footerReference r:id="rId3" w:type="default"/>
          <w:pgSz w:w="11906" w:h="16838"/>
          <w:pgMar w:top="1871" w:right="1474" w:bottom="1361" w:left="1531" w:header="851" w:footer="1134" w:gutter="0"/>
          <w:pgNumType w:fmt="decimal"/>
          <w:cols w:space="0" w:num="1"/>
          <w:rtlGutter w:val="0"/>
          <w:docGrid w:type="lines" w:linePitch="316" w:charSpace="0"/>
        </w:sectPr>
      </w:pPr>
    </w:p>
    <w:p>
      <w:pPr>
        <w:widowControl w:val="0"/>
        <w:spacing w:before="29"/>
        <w:ind w:left="0"/>
        <w:jc w:val="left"/>
        <w:rPr>
          <w:rFonts w:hint="default" w:ascii="Times New Roman" w:hAnsi="Times New Roman" w:eastAsia="黑体" w:cs="Times New Roman"/>
          <w:kern w:val="0"/>
          <w:sz w:val="32"/>
          <w:szCs w:val="32"/>
          <w:lang w:val="en-US" w:eastAsia="zh-CN" w:bidi="ar-SA"/>
        </w:rPr>
      </w:pPr>
      <w:r>
        <w:rPr>
          <w:rFonts w:hint="default" w:ascii="Times New Roman" w:hAnsi="Times New Roman" w:eastAsia="黑体" w:cs="Times New Roman"/>
          <w:kern w:val="0"/>
          <w:sz w:val="32"/>
          <w:szCs w:val="32"/>
          <w:lang w:val="en-US" w:eastAsia="zh-CN" w:bidi="ar-SA"/>
        </w:rPr>
        <w:t>附件</w:t>
      </w:r>
    </w:p>
    <w:p>
      <w:pPr>
        <w:widowControl w:val="0"/>
        <w:spacing w:before="0" w:line="600" w:lineRule="exact"/>
        <w:ind w:left="0"/>
        <w:jc w:val="center"/>
        <w:rPr>
          <w:rFonts w:hint="default" w:ascii="Times New Roman" w:hAnsi="Times New Roman" w:eastAsia="方正小标宋简体" w:cs="Times New Roman"/>
          <w:kern w:val="0"/>
          <w:sz w:val="36"/>
          <w:szCs w:val="36"/>
          <w:lang w:val="en-US" w:eastAsia="zh-CN" w:bidi="ar-SA"/>
        </w:rPr>
      </w:pPr>
      <w:r>
        <w:rPr>
          <w:rFonts w:hint="default" w:ascii="Times New Roman" w:hAnsi="Times New Roman" w:eastAsia="方正小标宋简体" w:cs="Times New Roman"/>
          <w:kern w:val="0"/>
          <w:sz w:val="36"/>
          <w:szCs w:val="36"/>
          <w:lang w:val="en-US" w:eastAsia="zh-CN" w:bidi="ar-SA"/>
        </w:rPr>
        <w:t>2024年县级专项预算项目支出绩效评价指标体系</w:t>
      </w:r>
    </w:p>
    <w:tbl>
      <w:tblPr>
        <w:tblStyle w:val="5"/>
        <w:tblW w:w="159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8"/>
        <w:gridCol w:w="682"/>
        <w:gridCol w:w="666"/>
        <w:gridCol w:w="2251"/>
        <w:gridCol w:w="553"/>
        <w:gridCol w:w="3071"/>
        <w:gridCol w:w="2756"/>
        <w:gridCol w:w="3925"/>
        <w:gridCol w:w="1018"/>
        <w:gridCol w:w="5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blHeader/>
          <w:jc w:val="center"/>
        </w:trPr>
        <w:tc>
          <w:tcPr>
            <w:tcW w:w="44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评价对象</w:t>
            </w:r>
          </w:p>
        </w:tc>
        <w:tc>
          <w:tcPr>
            <w:tcW w:w="682"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一级指标</w:t>
            </w:r>
          </w:p>
        </w:tc>
        <w:tc>
          <w:tcPr>
            <w:tcW w:w="666"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二级指标</w:t>
            </w:r>
          </w:p>
        </w:tc>
        <w:tc>
          <w:tcPr>
            <w:tcW w:w="2251"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三级指标</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分值</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评价内容</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评分标准</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依据材料</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评价过程（只写扣分项的原因）</w:t>
            </w:r>
          </w:p>
        </w:tc>
        <w:tc>
          <w:tcPr>
            <w:tcW w:w="5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5" w:hRule="atLeast"/>
          <w:jc w:val="center"/>
        </w:trPr>
        <w:tc>
          <w:tcPr>
            <w:tcW w:w="448"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购买主体</w:t>
            </w:r>
          </w:p>
        </w:tc>
        <w:tc>
          <w:tcPr>
            <w:tcW w:w="682"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决策管理（10分）</w:t>
            </w:r>
          </w:p>
        </w:tc>
        <w:tc>
          <w:tcPr>
            <w:tcW w:w="666"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项目决策（5分）</w:t>
            </w: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决策依据</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2</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实行购买的服务项目符合县决策部署；符合当前经济社会发展需求；属于购买服务范畴；属于购买主体职能职责。</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符合县决策部署；符合当前经济社会发展需求；属于购买服务范畴；属于购买主体职能职责。</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1.县政府制定的国民经济与社会发展规划和方针政策等。</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2.部门（单位）年度工作计划+中长期发展规划。</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3.大文广旅</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2023</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11号文件，大文广旅</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2023</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223号文件。</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决策程序</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项目是经过集体决策、可行性论证等程序。</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有集体决策、可行性论证等程序。</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1.集体决策的会议纪要。</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2.可行性论证报告。</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0"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购买的必要性</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2</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项目具有现实需求；有确定的服务对象和受益对象。</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具有现实需求，有确定的服务对象和受益对象。</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1.县政府制定的国民经济与社会发展规划和方针政策等。</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2.部门（单位）年度工作计划+中长期发展规划。</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3.大文广旅</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2023</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11号文件，大文广旅</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2023</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223号文件。</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4.集体决策的会议纪要。</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5.可行性论证报告。</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0"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绩效目标（5分）</w:t>
            </w: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目标内容</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制定有明确合理的服务绩效目标，第三届四川艺术节展演和第五届四川文华奖评选，遂宁市旅发大会展演。</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绩效目标完整明确。</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1.项目绩效目标申报表。</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280" w:lineRule="exact"/>
              <w:jc w:val="center"/>
              <w:rPr>
                <w:rFonts w:hint="default" w:ascii="Times New Roman" w:hAnsi="Times New Roman" w:eastAsia="宋体" w:cs="Times New Roman"/>
                <w:sz w:val="21"/>
                <w:szCs w:val="24"/>
              </w:rPr>
            </w:pPr>
          </w:p>
        </w:tc>
        <w:tc>
          <w:tcPr>
            <w:tcW w:w="682"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项目购买与监管（20分）</w:t>
            </w:r>
          </w:p>
        </w:tc>
        <w:tc>
          <w:tcPr>
            <w:tcW w:w="666"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项目管理（15分）</w:t>
            </w: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管理制度</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购买主体建立购买服务绩效管理相关制度（包括购买服务项目、预算、财务、绩效、监督等管理及保障措施等）。</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相关制度健全。</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1.购买服务项目、预算、财务、绩效、监督等管理制度。</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28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购买需求</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购买需求明确、完整、合规。</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购买需求明确、完整、合规。</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1.县政府制定的国民经济与社会发展规划和方针政策等。</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2.部门（单位）年度工作计划+中长期发展规划。</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3.大文广旅</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2023</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11号文件，大文广旅</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2023</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223号文件。</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4.集体决策的会议纪要。</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5.可行性论证报告。</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28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测算依据</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项目预算金额经过市场价格摸底和认真测算比较、在合理区间。</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项目预算金额经过市场价格摸底和认真测算比较且合理。</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1.项目预算金额经过市场价格摸底和认真测算比较的数据。</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21"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28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购买程序的规范性</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选择承接主体按照单一来源采购原则；购买程序符合购买服务相关要求。</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选择承接主体按照单一来源采购原则，购买程序符合购买服务相关要求。</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需以下招投标流程的证明材料：</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1.受理申请表。</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2.确定采购方式（公开招标、邀请招标、竞争性谈判、单一来源采购、询价采购、其他采购方式）。</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3.编制招标文件。</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4.招标办审核招标文件，采购人对招标文件进行确认。</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5.发布招标公告。</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6.投标报名，资格预审，发售招标文件。</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7.组织答疑，对招标文件进行必要的补遗</w:t>
            </w:r>
            <w:r>
              <w:rPr>
                <w:rFonts w:hint="eastAsia" w:ascii="Times New Roman" w:hAnsi="Times New Roman" w:eastAsia="宋体" w:cs="Times New Roman"/>
                <w:sz w:val="21"/>
                <w:szCs w:val="24"/>
                <w:lang w:eastAsia="zh-CN"/>
              </w:rPr>
              <w:t>（</w:t>
            </w:r>
            <w:r>
              <w:rPr>
                <w:rFonts w:hint="default" w:ascii="Times New Roman" w:hAnsi="Times New Roman" w:eastAsia="宋体" w:cs="Times New Roman"/>
                <w:sz w:val="21"/>
                <w:szCs w:val="24"/>
              </w:rPr>
              <w:t>发布变更公告）。</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8.组织召开招标会。</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9.中标公示。</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10.签发中标通知（成交确认）书。</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11.未中标供应商退还投标保证金。</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12.签订合同，即中标供应商和业主单位在招标文件规定的时间内签订合同。</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13.中标供应商退还投标保证金，并按招标文件规定缴纳履约保证金。</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14.将招标文件资料经整理后统一装订编号归档。</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20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200" w:lineRule="exact"/>
              <w:jc w:val="center"/>
              <w:rPr>
                <w:rFonts w:hint="default" w:ascii="Times New Roman" w:hAnsi="Times New Roman" w:eastAsia="宋体" w:cs="Times New Roman"/>
                <w:sz w:val="21"/>
                <w:szCs w:val="24"/>
              </w:rPr>
            </w:pP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服务合同</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28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28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签订购买服务合同，合同内容规范、合理、公平、完备、详实，合同内容约定项目实施后应实现的绩效目标，约定履约验收标准，履约验收结果与资金支付挂钩。</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28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服务合同规范、完备、详实。</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28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1.购买服务合同。</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20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20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资金管理（2分）</w:t>
            </w: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资金拨付</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2</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资金拨付是按照合同约定执行，无提前拨付、超额拨付、拖欠资金等违规现象</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无提前拨付、超额拨付、拖欠资金等问题。</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1.资金支付明细表。</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项目监管（3分）</w:t>
            </w: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监管执行</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购买主体在项目实施过程中对承接主体提供服务的数量、质量情况进行监管，发现问题及时纠正；按规定进行项目履约验收。</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购买主体按规、及时履行监管职责。</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1.购买主体对本项目监督管理的相关记录。</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jc w:val="center"/>
        </w:trPr>
        <w:tc>
          <w:tcPr>
            <w:tcW w:w="448"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承接主体</w:t>
            </w:r>
          </w:p>
        </w:tc>
        <w:tc>
          <w:tcPr>
            <w:tcW w:w="682"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组织管理（10分）</w:t>
            </w:r>
          </w:p>
        </w:tc>
        <w:tc>
          <w:tcPr>
            <w:tcW w:w="666"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项目实施（10分）</w:t>
            </w: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组织管理</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承接主体具有提供服务的专门内设机构和人员；人数合理，分工明确；对服务人员进行培训，服务人员资格、资质符合要求，服务人员对服务内容质量流程等清楚掌握。</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提供专门的内设机构和人员、人数合理、资格资质符合要求、分工明确、开展培训、服务人员业务熟练。</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1.承接主体资格资质证书。</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2.承接主体人员分配、具体分工、服务人员业务内容等相关数据。</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过程控制</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承接主体对服务中出现的问题及时研究措施解决，对服务数量质量品质时效等实行痕迹管理，相关档案资料及时规范齐备。</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及时响应购买主体要求、研究解决问题、实行痕迹管理、档案资料规范齐备等。</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1.承接主体对服务中出现问题的解决措施证明资料。</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2.承接主体对该项目的相关档案资料。</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项目绩效（60分）</w:t>
            </w:r>
          </w:p>
        </w:tc>
        <w:tc>
          <w:tcPr>
            <w:tcW w:w="666"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服务效果（40分）</w:t>
            </w: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服务数量</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服务人次3000人次、服务场次6场次。</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服务人次、服务频次达到或超过合同约定。</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1.服务3000人次，服务6场次。</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服务时效</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承接主体提供服务单次时长70分钟。</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服务时效达到或超过合同约定。</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1.承接主体提供服务单次时长70分钟，总时长420分钟。</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服务品质</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承接主体提供服务品质情况：服务合格率98%、优质率95%、不合格率0、投诉率0，以及服务水平100%、服务态度100%。</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提供服务达到合同约定。</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1.通过访谈、实地核查项目完成情况、问卷调查，获取服务合格率98%、优质率95%、不合格率0、投诉率0，以及服务水平100%、服务态度100%。</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2251"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服务成本（两个三级指标由评价工作组根据现场情况2选1进行评价，如无法取得对比成本数据或无需进行成本指标评价，本指标10分全部调整至项目效益三级指标）</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购买服务支出相比政府以往自身提供服务3年平均支出成本费用节约二分之一，比以往自身提供服务3年平均支出成本费用增长的情况下，承接主体提供服务数量为2倍，质量增长率2倍，资金增长率2倍。</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节约率≧10%。</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承接主体提供服务数量或质量增长率与资金增长率对比，≧5%。</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1.项目实际支付总金额191.6267万元。</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2.政府以往自身提供服务3年平均支出成本费用104.9万元。</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3.承接主体提供的服务数量2倍，质量增长率2倍。</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5"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2251"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与市场同类服务平均价格相比资金节约率50%；与平均价格相同或增长的情况下，承接主体提供服务数量或质量增长率与资金增长率对比情况2倍。</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节约率≧10%。</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承接主体提供服务数量或质量增长率与资金增长率对比，≧5%。</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1.项目实际支付总金额191.6267万元。</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2.市场同类服务平均价格400万</w:t>
            </w:r>
            <w:r>
              <w:rPr>
                <w:rFonts w:hint="eastAsia" w:ascii="Times New Roman" w:hAnsi="Times New Roman" w:eastAsia="宋体" w:cs="Times New Roman"/>
                <w:sz w:val="21"/>
                <w:szCs w:val="24"/>
                <w:lang w:eastAsia="zh-CN"/>
              </w:rPr>
              <w:t>元</w:t>
            </w:r>
            <w:r>
              <w:rPr>
                <w:rFonts w:hint="default" w:ascii="Times New Roman" w:hAnsi="Times New Roman" w:eastAsia="宋体" w:cs="Times New Roman"/>
                <w:sz w:val="21"/>
                <w:szCs w:val="24"/>
              </w:rPr>
              <w:t>左右。</w:t>
            </w:r>
            <w:r>
              <w:rPr>
                <w:rFonts w:hint="default" w:ascii="Times New Roman" w:hAnsi="Times New Roman" w:eastAsia="宋体" w:cs="Times New Roman"/>
                <w:sz w:val="21"/>
                <w:szCs w:val="24"/>
              </w:rPr>
              <w:br w:type="textWrapping"/>
            </w:r>
            <w:r>
              <w:rPr>
                <w:rFonts w:hint="default" w:ascii="Times New Roman" w:hAnsi="Times New Roman" w:eastAsia="宋体" w:cs="Times New Roman"/>
                <w:sz w:val="21"/>
                <w:szCs w:val="24"/>
              </w:rPr>
              <w:t>3.承接主体提供的服务数量或者质量增长2倍。</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项目效益</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20</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由评价工作组根据项目绩效目标、实施目的，制定出项目实施对社会或民生带来的影响效果方面的项目效益指标（主要指经济、社会、生态效益，不少于3个）98%。</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实际效果达到设定的绩效目标得20分。</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1.根据项目的绩效指标，包括经济、社会、生态效益等，通过访谈、实地核查项目完成情况、问卷调查等方式获取相关</w:t>
            </w:r>
            <w:r>
              <w:rPr>
                <w:rFonts w:hint="eastAsia" w:ascii="Times New Roman" w:hAnsi="Times New Roman" w:eastAsia="宋体" w:cs="Times New Roman"/>
                <w:sz w:val="21"/>
                <w:szCs w:val="24"/>
                <w:lang w:eastAsia="zh-CN"/>
              </w:rPr>
              <w:t>数据</w:t>
            </w:r>
            <w:r>
              <w:rPr>
                <w:rFonts w:hint="default" w:ascii="Times New Roman" w:hAnsi="Times New Roman" w:eastAsia="宋体" w:cs="Times New Roman"/>
                <w:sz w:val="21"/>
                <w:szCs w:val="24"/>
              </w:rPr>
              <w:t>98%。</w:t>
            </w:r>
            <w:bookmarkStart w:id="2" w:name="_GoBack"/>
            <w:bookmarkEnd w:id="2"/>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682"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666" w:type="dxa"/>
            <w:tcBorders>
              <w:top w:val="single" w:color="000000" w:sz="4" w:space="0"/>
              <w:left w:val="single" w:color="000000" w:sz="4" w:space="0"/>
              <w:bottom w:val="nil"/>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满意度（20分）</w:t>
            </w:r>
          </w:p>
        </w:tc>
        <w:tc>
          <w:tcPr>
            <w:tcW w:w="225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受益对象、服务对象、购买主体满意度</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20</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主要侧重反映对受益对象、服务对象、购买主体的需求满足程度及满意度95%。</w:t>
            </w:r>
          </w:p>
        </w:tc>
        <w:tc>
          <w:tcPr>
            <w:tcW w:w="2756"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根据问卷调查满意率95%</w:t>
            </w: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1.满意度调查问卷95%。</w:t>
            </w: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jc w:val="center"/>
        </w:trPr>
        <w:tc>
          <w:tcPr>
            <w:tcW w:w="448" w:type="dxa"/>
            <w:vMerge w:val="continue"/>
            <w:tcBorders>
              <w:top w:val="single" w:color="000000" w:sz="4" w:space="0"/>
              <w:left w:val="single" w:color="000000" w:sz="4" w:space="0"/>
              <w:bottom w:val="single" w:color="000000" w:sz="4" w:space="0"/>
              <w:right w:val="single" w:color="000000" w:sz="4" w:space="0"/>
              <w:tl2br w:val="nil"/>
              <w:tr2bl w:val="nil"/>
            </w:tcBorders>
            <w:noWrap w:val="0"/>
            <w:textDirection w:val="tbRlV"/>
            <w:vAlign w:val="center"/>
          </w:tcPr>
          <w:p>
            <w:pPr>
              <w:spacing w:line="320" w:lineRule="exact"/>
              <w:jc w:val="center"/>
              <w:rPr>
                <w:rFonts w:hint="default" w:ascii="Times New Roman" w:hAnsi="Times New Roman" w:eastAsia="宋体" w:cs="Times New Roman"/>
                <w:sz w:val="21"/>
                <w:szCs w:val="24"/>
              </w:rPr>
            </w:pPr>
          </w:p>
        </w:tc>
        <w:tc>
          <w:tcPr>
            <w:tcW w:w="3599" w:type="dxa"/>
            <w:gridSpan w:val="3"/>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合计</w:t>
            </w:r>
          </w:p>
        </w:tc>
        <w:tc>
          <w:tcPr>
            <w:tcW w:w="553"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100</w:t>
            </w:r>
          </w:p>
        </w:tc>
        <w:tc>
          <w:tcPr>
            <w:tcW w:w="3071"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p>
        </w:tc>
        <w:tc>
          <w:tcPr>
            <w:tcW w:w="2756"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p>
        </w:tc>
        <w:tc>
          <w:tcPr>
            <w:tcW w:w="39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10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20" w:lineRule="exact"/>
              <w:jc w:val="center"/>
              <w:rPr>
                <w:rFonts w:hint="default" w:ascii="Times New Roman" w:hAnsi="Times New Roman" w:eastAsia="宋体" w:cs="Times New Roman"/>
                <w:sz w:val="21"/>
                <w:szCs w:val="24"/>
              </w:rPr>
            </w:pPr>
          </w:p>
        </w:tc>
        <w:tc>
          <w:tcPr>
            <w:tcW w:w="585" w:type="dxa"/>
            <w:tcBorders>
              <w:top w:val="single" w:color="000000" w:sz="4" w:space="0"/>
              <w:left w:val="single" w:color="000000" w:sz="4" w:space="0"/>
              <w:bottom w:val="single" w:color="000000" w:sz="4" w:space="0"/>
              <w:right w:val="single" w:color="000000" w:sz="4" w:space="0"/>
              <w:tl2br w:val="nil"/>
              <w:tr2bl w:val="nil"/>
            </w:tcBorders>
            <w:noWrap/>
            <w:vAlign w:val="center"/>
          </w:tcPr>
          <w:p>
            <w:pPr>
              <w:spacing w:line="320" w:lineRule="exact"/>
              <w:jc w:val="center"/>
              <w:rPr>
                <w:rFonts w:hint="default" w:ascii="Times New Roman" w:hAnsi="Times New Roman" w:eastAsia="宋体" w:cs="Times New Roman"/>
                <w:sz w:val="21"/>
                <w:szCs w:val="24"/>
              </w:rPr>
            </w:pPr>
            <w:r>
              <w:rPr>
                <w:rFonts w:hint="default" w:ascii="Times New Roman" w:hAnsi="Times New Roman" w:eastAsia="宋体" w:cs="Times New Roman"/>
                <w:sz w:val="21"/>
                <w:szCs w:val="24"/>
              </w:rPr>
              <w:t>98</w:t>
            </w:r>
          </w:p>
        </w:tc>
      </w:tr>
    </w:tbl>
    <w:p>
      <w:pPr>
        <w:rPr>
          <w:rFonts w:hint="default" w:ascii="Times New Roman" w:hAnsi="Times New Roman" w:eastAsia="宋体" w:cs="Times New Roman"/>
          <w:sz w:val="21"/>
          <w:szCs w:val="24"/>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p>
    <w:sectPr>
      <w:pgSz w:w="16840" w:h="11910" w:orient="landscape"/>
      <w:pgMar w:top="1417" w:right="1417" w:bottom="1417" w:left="1417" w:header="850" w:footer="1134" w:gutter="0"/>
      <w:lnNumType w:countBy="0" w:distance="36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770450C8"/>
    <w:rsid w:val="16D8458B"/>
    <w:rsid w:val="1ED1023E"/>
    <w:rsid w:val="2A8645D2"/>
    <w:rsid w:val="2D6F134E"/>
    <w:rsid w:val="4D4E28D6"/>
    <w:rsid w:val="4E323FA5"/>
    <w:rsid w:val="54B6568B"/>
    <w:rsid w:val="6FA61F2D"/>
    <w:rsid w:val="6FC566E6"/>
    <w:rsid w:val="70D06BC2"/>
    <w:rsid w:val="77045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before="29"/>
      <w:ind w:left="220"/>
      <w:jc w:val="left"/>
    </w:pPr>
    <w:rPr>
      <w:rFonts w:ascii="宋体" w:hAnsi="宋体" w:eastAsia="宋体"/>
      <w:kern w:val="0"/>
      <w:sz w:val="24"/>
      <w:lang w:eastAsia="en-US"/>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2024-05-11T10:17:00Z</dcterms:created>
  <dc:creator>恒阳文化传播有限公司</dc:creator>
  <cp:lastModifiedBy>恒阳文化传播有限公司</cp:lastModifiedBy>
  <dcterms:modified xsi:type="dcterms:W3CDTF">2024-05-13T01:47:28Z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430F26821E424A7AAD1B57CDC284CD20_11</vt:lpwstr>
  </property>
</Properties>
</file>