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0288;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1312;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专项预算项目支出绩效自评报告</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（县级文物保护单位“朱家祠堂”抢救性维修）</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一、项目概况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县文化广电旅游局牵头负责该项目的实施方案编制、资金争取、项目招标、组织实施、过程监督、项目验收等相关工作。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根据大英县文化广播电视和旅游局《关于请求解决县级文物保护单位朱家祠堂抢救性维修经费的请示》（大文广旅〔2021〕157号）文件，确定项目资金来源。</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县文化广电旅游局设立用于政府投资项目的资金管理办法，项目严格按照该办法实施。资金主要支持用于县级文物保护单位“朱家祠堂”抢救性维修。</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资金分配的原则及考虑因素。</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依据大英县文化广播电视和旅游局《关于请求解决县级文物保护单位朱家祠堂抢救性维修经费的请示》（大文广旅〔2021〕157号）文件，开展县级文物保护单位“朱家祠堂”抢救性维修工作，由县文化广电旅游局主要负责该项目具体实施。</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2023年县文化广电旅游局根据后勤管理等制度，制定了《财务管理制度》对项目资金进行管理，文件内容覆盖资金申请、资金管理、资金拨付等内容，财务管理、监督等必要管理制度健全完善、管理办法明确。</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级文物保护单位“朱家祠堂”抢救性维修项目主要包括更换檀梁椽皮、屋瓦、柱头、修复柱础、院坝，维修两边配房及水系疏通等。完成了县级文物保护单位“朱家祠堂”抢救性维修工作，通过对县级文物保护单位“朱家祠堂”进行抢救性维修，完成文保单位排危抢险工作，保护我县文物遗产资源。</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（三）费用及支付方式</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级文物保护单位“朱家祠堂”抢救性维修项目应实现的具体绩效目标为：朱家祠堂维修面积数、朱家祠堂院坝维修数；朱家祠堂维修成本、朱家祠堂院坝维修成本。2023年完成朱家祠堂抢救性维修项目，资金由县财政保障，通过国库集中支付平台支付。</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通过项目的实施，完成文保单位排危抢险工作，保护了我县文物遗产资源。</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（四）项目自评步骤及方法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完成本次绩效自评工作，县文化广电旅游局组织成立了项目自评小组。结合评价内容，按照县级专项预算项目支出绩效评价指标体系，自评小组针对申报内容、实施情况、资金使用、项目管理、社会效益、受益对象满意度等方面进行评价。</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1.前期评价准备</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收集并查阅项目政策文件、申报资料，加强同类提升建设的调研，设定项目绩效评价指标体系。</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2.业务股室调研</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开展座谈会，与申报项目的相关业务股室进行沟通和研究，查看项目资金使用情况、项目完成情况、项目管理资料和项目效果资料，收集相关数据，广泛听取业务股室的意见和建议，为进一步优化项目管理提供依据。</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3.满意度调查</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在项目执行过程中，及时对相关受益对象和参与人员进行满意度询问，了解其对项目实施的满意度情况和评价，并收集相关意见和建议。</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4.综合分析</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根据项目整套资料和实际执行情况对比分析，该项目的绩效目标与执行的绩效目标完成契合程度基本一致，结合定量和定性分析后，该项目绩效目标完成情况合格。</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（一）项目资金申报及批复情况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12月，依据大英县文化广播电视和旅游局《关于请求解决县级文物保护单位朱家祠堂抢救性维修经费的请示》（大文广旅〔2021〕157号）文件，申报县级文物保护单位朱家祠堂抢救性维修项目专项经费18万元。经县财政批复，最终批复本项目预算资金18万元，资金来源为县级财政资金。</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（二）资金计划、到位及使用情况（可用表格形式反映）</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资金计划。</w:t>
      </w:r>
      <w:r>
        <w:rPr>
          <w:rFonts w:hint="default" w:ascii="Times New Roman" w:hAnsi="Times New Roman" w:eastAsia="仿宋_GB2312" w:cs="Times New Roman"/>
          <w:sz w:val="32"/>
          <w:szCs w:val="32"/>
        </w:rPr>
        <w:t>该项目资金为大英县财政统筹安排，下达资金18万元。</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资金到位。</w:t>
      </w:r>
      <w:r>
        <w:rPr>
          <w:rFonts w:hint="default" w:ascii="Times New Roman" w:hAnsi="Times New Roman" w:eastAsia="仿宋_GB2312" w:cs="Times New Roman"/>
          <w:sz w:val="32"/>
          <w:szCs w:val="32"/>
        </w:rPr>
        <w:t>该项目资金属于县级财政资金，各项应付款项全部下达到位，下达到位率100%，到位及时。</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资金使用。</w:t>
      </w:r>
      <w:r>
        <w:rPr>
          <w:rFonts w:hint="default" w:ascii="Times New Roman" w:hAnsi="Times New Roman" w:eastAsia="仿宋_GB2312" w:cs="Times New Roman"/>
          <w:sz w:val="32"/>
          <w:szCs w:val="32"/>
        </w:rPr>
        <w:t>目前该项目资金使用18万元，资金使用过程合法合规，符合相关政策，资金使用严格按照合同要求支付，对项目的推动和进行起到重要作用。资金支付范围仅限于供应商，支付标准合理，支付进度及时，支付依据充分且合法合规，并与预算相符。</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（三）项目财务管理情况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单位制定了财务管理制度、项目招投标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结合项目组织实施管理办法，重点围绕以下内容进行分析评价，并对自评中发现的问题分析说明。</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（一）项目组织架构及实施流程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文化广电旅游局下属事业单位大英县文物管理所负责整个工作筹备的资金争取等，牵头开展县级文物保护单位朱家祠堂抢救性维修项目实施工作，项目工作组做好各类项目招投标和实施监督，牵头组织项目实施和验收工作；财务管理工作组负责做好资金监管和资金拨付审批等工作。</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该项目的招投标工作严格按照招投标管理办法进行，按照规定，委托代理公司合法合规进行政府采购公示、专家评标，最终确定项目中标单位，整套流程合法合规。</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（三）项目监管情况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项目工作组对项目招投标过程进行监督；项目实施过程中，安排相关人员去定期和不定期去现场进行查看，确保项目推动严格按照时间节点进行，保证项目按时完成。</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（一）项目完成情况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项目整体完成情况较好，数量指标完成率为100%，质量达标率为100%，成本控制在预算内，不存在违规记录。项目整体完成进度和完成内容情况如下：</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1.项目完成数量方面</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（1）朱家祠堂维修面积≥910平方；</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（2）朱家祠堂院坝维修数量=1处；</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2.项目完成质量方面</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（1）朱家祠堂维修完成率≥100%；</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（2）朱家祠堂院坝维修完成率≥100%；</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3.项目完成时间</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（1）朱家祠堂维修执行及时率≥100%；</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（2）朱家祠堂院坝维修执行及时率≥100%；</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4.项目成本控制方面</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（1）朱家祠堂维修成本≥14万元；</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（2）朱家祠堂院坝维修成本≥4万元；</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（二）项目效益情况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朱家祠堂基本结构完好率≥95%；</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群众满意度≥98%。</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该项目严格按照时间节点和合同约定服务内容完成，资金严格按照合同约定和法律法规进行拨付，参照指标体系该项目得分为99.5分。</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（二）存在的问题</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（三）相关建议</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附件：2024年县级专项预算项目支出绩效评价指标体系</w:t>
      </w:r>
    </w:p>
    <w:p>
      <w:pPr>
        <w:pStyle w:val="2"/>
        <w:keepNext w:val="0"/>
        <w:keepLines w:val="0"/>
        <w:pageBreakBefore w:val="0"/>
        <w:widowControl w:val="0"/>
        <w:kinsoku/>
        <w:wordWrap/>
        <w:overflowPunct/>
        <w:topLinePunct w:val="0"/>
        <w:autoSpaceDE/>
        <w:autoSpaceDN/>
        <w:bidi w:val="0"/>
        <w:adjustRightInd/>
        <w:snapToGrid/>
        <w:spacing w:before="0" w:line="55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before="0" w:line="55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50" w:lineRule="exact"/>
        <w:ind w:firstLine="4160" w:firstLineChars="13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大英县文化广播电视和旅游局</w:t>
      </w:r>
    </w:p>
    <w:p>
      <w:pPr>
        <w:keepNext w:val="0"/>
        <w:keepLines w:val="0"/>
        <w:pageBreakBefore w:val="0"/>
        <w:widowControl w:val="0"/>
        <w:kinsoku/>
        <w:wordWrap/>
        <w:overflowPunct/>
        <w:topLinePunct w:val="0"/>
        <w:autoSpaceDE/>
        <w:autoSpaceDN/>
        <w:bidi w:val="0"/>
        <w:adjustRightInd/>
        <w:snapToGrid/>
        <w:spacing w:line="550" w:lineRule="exact"/>
        <w:ind w:left="0" w:leftChars="0" w:firstLine="5001" w:firstLineChars="1563"/>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2024年5月10日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sectPr>
          <w:footerReference r:id="rId3" w:type="default"/>
          <w:pgSz w:w="11906" w:h="16838"/>
          <w:pgMar w:top="1871" w:right="1474" w:bottom="1361" w:left="1531" w:header="851" w:footer="1134" w:gutter="0"/>
          <w:pgNumType w:fmt="decimal"/>
          <w:cols w:space="0" w:num="1"/>
          <w:rtlGutter w:val="0"/>
          <w:docGrid w:type="lines" w:linePitch="316" w:charSpace="0"/>
        </w:sectPr>
      </w:pPr>
    </w:p>
    <w:p>
      <w:pPr>
        <w:pStyle w:val="2"/>
        <w:ind w:left="0" w:leftChars="0"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pStyle w:val="2"/>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2024年县级专项预算项目支出绩效评价指标体系</w:t>
      </w:r>
    </w:p>
    <w:tbl>
      <w:tblPr>
        <w:tblStyle w:val="5"/>
        <w:tblW w:w="159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6"/>
        <w:gridCol w:w="684"/>
        <w:gridCol w:w="731"/>
        <w:gridCol w:w="2407"/>
        <w:gridCol w:w="601"/>
        <w:gridCol w:w="3293"/>
        <w:gridCol w:w="3082"/>
        <w:gridCol w:w="2999"/>
        <w:gridCol w:w="1052"/>
        <w:gridCol w:w="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jc w:val="center"/>
        </w:trPr>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评价对象</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2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3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评价内容</w:t>
            </w:r>
          </w:p>
        </w:tc>
        <w:tc>
          <w:tcPr>
            <w:tcW w:w="3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评分标准</w:t>
            </w:r>
          </w:p>
        </w:tc>
        <w:tc>
          <w:tcPr>
            <w:tcW w:w="2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依据材料</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评价过程（只写扣分项的原因）</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0"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购买主体</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决策管理（10分）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项目决策（5分）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决策依据</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实行购买的服务项目是否符合中央、省、市、县决策部署；符合当前经济社会发展需求；是否属于购买服务范畴；是否属于购买主体职能职责。</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符合中央、省、市、县决策部署；符合当前经济社会发展需求；属于购买服务范畴；属于购买主体职能职责的得2分。一项不符合不得分。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1.中央、省、市、县政府制定的国民经济与社会发展规划和方针政策等。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2.部门（单位）年度工作计划+中长期发展规划。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3.上级或本级关于本项目的通知、规划、方案等。</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决策程序</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项目是否经过集体决策、可行性论证等程序。</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有集体决策、可行性论证等程序的得1分，否则不得分。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1.集体决策的会议纪要。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2.可行性论证报告。</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购买的必要性</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项目是否具有现实需求；是否有确定的服务对象和受益对象。</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具有现实需求，有确定的服务对象和受益对象的得2分，否则不得分。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1.中央、省、市、县政府制定的国民经济与社会发展规划和方针政策等。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2.部门（单位）年度工作计划+中长期发展规划。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3.上级或本级关于本项目的通知、规划、方案等。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4.集体决策的会议纪要。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5.可行性论证报告。</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绩效目标（5分）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目标内容</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是否制定明确合理的服务绩效目标，比如服务数量、频次、质量及相关技术要求、质保措施、违约责任等。</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绩效目标完整明确的得5分；欠完整明确的酌情得1—4分；没有不得分。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1.项目绩效目标申报表。</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项目购买与监管（20分）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项目管理（15分）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管理制度</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购买主体是否建立购买服务绩效管理相关制度（包括购买服务项目、预算、财务、绩效、监督等管理及保障措施等）。</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相关制度健全得3分；不够健全的酌情得0.5—2.5分（以0.5分的倍数打分）；没有制度不得分。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1.购买服务项目、预算、财务、绩效、监督等管理制度。</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购买需求</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购买需求是否明确、完整、合规，公共服务项目是否征求服务对象的意见建议。</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需求明确、完整、合规的得2分，存在不足的酌情得0.5—1.5分（以0.5分的倍数打分）；公共服务项目征求服务对象意见建议的得1分，否则不得分（不属于公共服务的项目不评价此内容，分值调整至“购买需求是否明确、完整、合规”）。</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1.中央、省、市、县政府制定的国民经济与社会发展规划和方针政策等。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2.部门（单位）年度工作计划+中长期发展规划。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3.上级或本级关于本项目的通知、规划、方案等。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4.集体决策的会议纪要。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5.可行性论证报告。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6.公共服务项目征求服务对象意见建议记录。</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测算依据</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项目预算金额是否经过市场价格摸底和认真测算比较、是否在合理区间。</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项目预算金额经过市场价格摸底和认真测算比较且合理得3分；欠合理得0.5—2.5分（以0.5分的倍数打分）；未摸底和认真测算不得分。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1.项目预算金额经过市场价格摸底和认真测算比较的数据。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购买程序的规范性</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选择承接主体是否按照竞争择优原则；若不具备竞争性购买条件的，通过直接委托等方式购买的理由是否合理充分；是否体现公平、公正的原则；购买程序是否符合购买服务相关要求。</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选择承接主体未按照竞争择优原则，无理由通过直接委托等方式购买服务，不符合体现公平、公正原则的不得分；购买程序不符合购买服务相关要求，发现一处扣1分，直至扣完。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需以下招投标流程的证明材料：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1.受理申请表。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2.确定采购方式（公开招标、邀请招标、竞争性谈判、单一来源采购、询价采购、其他采购方式）。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3.编制招标文件。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4.招标办审核招标文件，采购人对招标文件进行确认。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5.发布招标公告。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6.投标报名，资格预审，发售招标文件。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7.组织答疑，对招标文件进行必要的补遗（发布变更公告）。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8.组织召开招标会。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9.中标公示。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10.签发中标通知（成交确认）书。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11.未中标供应商退还投标保证金。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12.签订合同，即中标供应商和业主单位在招标文件规定的时间内签订合同。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13.中标供应商退还投标保证金，并按招标文件规定缴纳履约保证金。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14.将招标文件资料经整理后统一装订编号归档。</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服务合同</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是否签订购买服务合同，合同内容是否规范、合理、公平、完备、详实，合同内容是否约定项目实施后应实现的绩效目标，是否约定履约验收标准，履约验收结果是否与资金支付挂钩。</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服务合同规范、完备、详实得3分；欠规范酌情得0.5—2.5分（以0.5分的倍数打分）；无合同不得分。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1.购买服务合同。</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资金管理（2分）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资金拨付</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资金拨付是否按照合同约定执行，有无提前拨付、超额拨付、拖欠资金等违规现象</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有提前拨付、超额拨付、拖欠资金等问题，发现一处扣1分，直至扣完。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1.资金支付明细表。</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项目监管（3分）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监管执行</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购买主体是否在项目实施过程中对承接主体提供服务的数量、质量情况进行监管，发现问题是否及时纠正；是否按规定进行项目履约验收。</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购买主体未按规、及时履行监管职责，发现一起扣1分，直至扣完。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1.购买主体对本项目监督管理的相关记录。</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5"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承接主体</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组织管理（10分）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项目实施（10分）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组织管理</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承接主体是否具有提供服务的专门内设机构和人员；人数是否合理，分工是否明确；是否对服务人员进行培训，服务人员资格、资质是否符合要求，服务人员对服务内容质量流程等是否清楚掌握。</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提供专门的内设机构和人员、人数合理、资格资质符合要求、分工明确、开展培训、服务人员业务熟练得5分（具体内容应结合项目实际确定）；欠缺一项内容的扣1分，直至扣完。没有发现问题，直接得5分。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1.承接主体资格资质证书。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2.承接主体人员分配、具体分工、服务人员业务内容等相关数据。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过程控制</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承接主体对服务中出现的问题是否及时研究措施解决，对服务数量质量品质时效等是否实行痕迹管理，相关档案资料是否及时规范齐备。</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及时响应购买主体要求、研究解决问题、实行痕迹管理、档案资料规范齐备等得5分；欠缺一项内容的扣1分，直至扣完；无措施无档案不得分。没有发现问题，直接得5分。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1.承接主体对服务中出现问题的解决措施证明资料。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2.承接主体对该项目的相关档案资料。</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项目绩效（60分）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服务效果（40分）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服务数量</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主要反映为服务人次、服务频次等。</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服务人次、服务频次达到或超过合同约定得5分；每低于5%则扣减1分，直至扣完。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1.通过访谈、实地核查项目完成情况，获取承接主体服务人次、服务频次的数据。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服务时效</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主要反映承接主体提供服务单次时长、总时长、服务周期、服务准时率、服务延时率等。</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服务时效达到或超过合同约定得5分；单次时效低于合同标准，每1次扣减1分，直至扣完。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1.通过访谈、实地核查项目完成情况，获取承接主体提供服务单次时长、总时长、服务周期、服务准时率、服务延时率的数据。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服务品质</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主要反映承接主体提供服务品质情况，如服务合格率、优质率、不合格率、投诉率，以及服务水平、服务态度等。</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提供服务达到合同约定得</w:t>
            </w:r>
            <w:bookmarkStart w:id="2" w:name="_GoBack"/>
            <w:bookmarkEnd w:id="2"/>
            <w:r>
              <w:rPr>
                <w:rFonts w:hint="eastAsia" w:ascii="宋体" w:hAnsi="宋体" w:eastAsia="宋体" w:cs="宋体"/>
                <w:i w:val="0"/>
                <w:iCs w:val="0"/>
                <w:color w:val="000000"/>
                <w:kern w:val="0"/>
                <w:sz w:val="21"/>
                <w:szCs w:val="21"/>
                <w:u w:val="none"/>
                <w:lang w:val="en-US" w:eastAsia="zh-CN" w:bidi="ar"/>
              </w:rPr>
              <w:t>5分；出现服务不合格、服务标准不够、服务态度被投诉等影响服务品质情况，每出现一次扣1分，直至扣完。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1.通过访谈、实地核查项目完成情况、问卷调查，获取如服务合格率、优质率、不合格率、投诉率，以及服务水平、服务态度等的数据。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服务成本</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（两个三级指标由评价工作组根据现场情况2选1进行评价，如无法取得对比成本数据或无需进行成本指标评价，本指标10分全部调整至项目效益三级指标）</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节约率≧10%得5分；＜10%至≧8%得4分；＜8%至≧5%得3分；＜5%至≧3%得2分；＜3%至＞0得1分；小于或等于0不得分。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1.项目实际支付总金额。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2.政府以往自身提供服务3年平均支出成本费用。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3.承接主体提供的服务数量或者质量增长率数据。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与市场同类服务平均价格相比资金节约率；或在与平均价格相同或增长的情况下，承接主体提供服务数量或质量增长率与资金增长率对比情况。</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节约率≧10%得5分；＜10%至≧8%得4分；＜8%至≧5%得3分；＜5%至≧3%得2分；＜3%至＞0得1分；小于或等于0不得分。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1.项目实际支付总金额。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2.市场同类服务平均价格。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3.承接主体提供的服务数量或者质量增长率数据。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项目效益</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3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实际效果达到设定的绩效目标得20分；超出设定绩效目标5%，每次加2分，最多加5分；低于设定绩效目标5%，每1次扣减2分，直至扣完。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1.根据项目的绩效指标，包括经济、社会、生态效益等，通过访谈、实地核查项目完成情况、问卷调查等方式获取相关数据。</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满意度（20分）</w:t>
            </w:r>
          </w:p>
        </w:tc>
        <w:tc>
          <w:tcPr>
            <w:tcW w:w="24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受益对象、服务对象、购买主体满意度</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主要侧重反映对受益对象、服务对象、购买主体的需求满足程度及满意度。（根据项目实际，针对不同主体分别设置问卷调查表（百分制），不同问卷得分算数平均后换算出本指标得分）</w:t>
            </w:r>
          </w:p>
        </w:tc>
        <w:tc>
          <w:tcPr>
            <w:tcW w:w="3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根据问卷调查满意率分级打分</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1.满意度调查问卷。</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38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3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3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000000"/>
                <w:sz w:val="21"/>
                <w:szCs w:val="21"/>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99.5</w:t>
            </w:r>
          </w:p>
        </w:tc>
      </w:tr>
    </w:tbl>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p>
    <w:sectPr>
      <w:pgSz w:w="16840" w:h="11910" w:orient="landscape"/>
      <w:pgMar w:top="1417" w:right="1417" w:bottom="1417" w:left="1417" w:header="850" w:footer="1134"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60AD5CC5"/>
    <w:rsid w:val="231578C3"/>
    <w:rsid w:val="45B102F6"/>
    <w:rsid w:val="60AD5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29"/>
      <w:ind w:left="220"/>
      <w:jc w:val="left"/>
    </w:pPr>
    <w:rPr>
      <w:rFonts w:ascii="宋体" w:hAnsi="宋体" w:eastAsia="宋体"/>
      <w:kern w:val="0"/>
      <w:sz w:val="24"/>
      <w:lang w:eastAsia="en-US"/>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2024-05-11T10:30:00Z</dcterms:created>
  <dc:creator>恒阳文化传播有限公司</dc:creator>
  <cp:lastModifiedBy>恒阳文化传播有限公司</cp:lastModifiedBy>
  <dcterms:modified xsi:type="dcterms:W3CDTF">2024-05-13T01:48:36Z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7E4A95743A32491CA40848C1616A0D6B_11</vt:lpwstr>
  </property>
</Properties>
</file>