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0288;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1312;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专项预算项目支出绩效自评报告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（大英县文旅宣传片拍摄制作项目经费）</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贯彻落实党的二十大和习近平总书记对四川工作系列重要指示精神，更好的展示我县文旅资源。拟实施大英县文旅宣传片拍摄制作项目，聘请第三方公司拍摄制作高质量的大英文旅宣传片，全方位、立体式展示大英文旅魅力，进一步提升我县文旅市场曝光率，提高我县知名度、美誉度和影响力。</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根据财务管理相关规定和制度进行专项资金管理，根据预算安排分配资金。资金主要用于大英县文旅宣传片拍摄制作。支持方式为资金支持。</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项目主要内容。</w:t>
      </w:r>
      <w:r>
        <w:rPr>
          <w:rFonts w:hint="default" w:ascii="Times New Roman" w:hAnsi="Times New Roman" w:eastAsia="仿宋_GB2312" w:cs="Times New Roman"/>
          <w:sz w:val="32"/>
          <w:szCs w:val="32"/>
        </w:rPr>
        <w:t>聘请第三方公司拍摄制作高品质的大英文旅宣传片。</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绩效目标。</w:t>
      </w:r>
      <w:r>
        <w:rPr>
          <w:rFonts w:hint="default" w:ascii="Times New Roman" w:hAnsi="Times New Roman" w:eastAsia="仿宋_GB2312" w:cs="Times New Roman"/>
          <w:sz w:val="32"/>
          <w:szCs w:val="32"/>
        </w:rPr>
        <w:t>计划使用县财政资金60万元，用于大英县文旅宣传片拍摄制作。2023年计划使用财政资金60万，聘请第三方公司拍摄制作高品质的大英文旅宣传片，全方位、立体式展示大英文旅魅力，进一步提升我县文旅市场曝光率，提升我县知名度、美誉度和影响力。</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该经费项目申报内容与具体实施内容相符，并由局党组进行审核通过，其申报目标合理可行。</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（三）项目自评步骤及方法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2023年县级项目支出绩效评价指标体系开展，大英县文旅宣传片拍摄制作项目绩效逐项、分指标进行全面系统自查和评价。自评报告由业务股室经办人员、财务人员结合本年度资金使用实际情况共同草拟，分别报分管领导、主要领导审阅后再报送上级部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（一）项目资金申报及批复情况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项目资金申报60万元，批复55万元，实际下达55万元，实际支付55万元。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（二）资金计划、到位及使用情况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资金计划。</w:t>
      </w:r>
      <w:r>
        <w:rPr>
          <w:rFonts w:hint="default" w:ascii="Times New Roman" w:hAnsi="Times New Roman" w:eastAsia="仿宋_GB2312" w:cs="Times New Roman"/>
          <w:sz w:val="32"/>
          <w:szCs w:val="32"/>
        </w:rPr>
        <w:t>根据活动方案，该项目预算经费55万元，其中财政资金55万元。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资金到位。</w:t>
      </w:r>
      <w:r>
        <w:rPr>
          <w:rFonts w:hint="default" w:ascii="Times New Roman" w:hAnsi="Times New Roman" w:eastAsia="仿宋_GB2312" w:cs="Times New Roman"/>
          <w:sz w:val="32"/>
          <w:szCs w:val="32"/>
        </w:rPr>
        <w:t>全部保障到位且高效运行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充分发挥资金使用效益，无截留、挪用项目资金行为，2023年到位55万。</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资金使用。</w:t>
      </w:r>
      <w:r>
        <w:rPr>
          <w:rFonts w:hint="default" w:ascii="Times New Roman" w:hAnsi="Times New Roman" w:eastAsia="仿宋_GB2312" w:cs="Times New Roman"/>
          <w:sz w:val="32"/>
          <w:szCs w:val="32"/>
        </w:rPr>
        <w:t>截止评价时点，项目已完结。55万已全部用于大英县文旅宣传片拍摄制作，程序合法合规。使用率100%。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（三）项目财务管理情况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经费严格按照财务管理制度进行管理，保证专款专用，不存在截留、滞留、挤占、挪用、套取、虚报、冒领的问题，资金发放复查由财务人员按照财务制度进行资金的审核、支付和核算，所有支出均以银行转账及财政直接支付的方式进行。在具体支付时，具备了资金发票、合同、验收清单等相关材料，手续完善，不存在虚假会计凭证的情况，会计严格执行财务管理制度，财务处理及时，核算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（一）项目组织架构及实施流程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项目由县文化广电旅游局宣传传媒机构管理工作组、项目工作组、财务工作组共同实施。业务股室年初上报预算，拟定项目方案，上报局党组审定。</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县文化广电旅游局对下属事业单位实行“财务统一管理、工作统一安排、绩效统一考核、人员统一调配”四个统一管理办法，因此由县文化广电旅游局统一管理。</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（三）项目监管情况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资金的合理、合规、合法使用，由县文化广电旅游局统一管理，严格按照《财政部关于印发＜中央对地方专项转移支付绩效目标管理暂行办法＞的通知》（财预〔2015〕163号）的要求，加强对资金使用的监控，确保专款专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（一）项目完成情况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1.数量指标。</w:t>
      </w:r>
      <w:r>
        <w:rPr>
          <w:rFonts w:hint="default" w:ascii="Times New Roman" w:hAnsi="Times New Roman" w:eastAsia="仿宋_GB2312" w:cs="Times New Roman"/>
          <w:sz w:val="32"/>
          <w:szCs w:val="32"/>
        </w:rPr>
        <w:t>完成大英城市宣传片《大美大英 有你更美》一则。</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2.质量指标。</w:t>
      </w:r>
      <w:r>
        <w:rPr>
          <w:rFonts w:hint="default" w:ascii="Times New Roman" w:hAnsi="Times New Roman" w:eastAsia="仿宋_GB2312" w:cs="Times New Roman"/>
          <w:sz w:val="32"/>
          <w:szCs w:val="32"/>
        </w:rPr>
        <w:t>大英城市宣传片《大美大英 有你更美》拍摄合格率达100%。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3.时效指标。</w:t>
      </w:r>
      <w:r>
        <w:rPr>
          <w:rFonts w:hint="default" w:ascii="Times New Roman" w:hAnsi="Times New Roman" w:eastAsia="仿宋_GB2312" w:cs="Times New Roman"/>
          <w:sz w:val="32"/>
          <w:szCs w:val="32"/>
        </w:rPr>
        <w:t>大英城市宣传片《大美大英 有你更美》拍摄及时率达100%。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4.成本指标。</w:t>
      </w:r>
      <w:r>
        <w:rPr>
          <w:rFonts w:hint="default" w:ascii="Times New Roman" w:hAnsi="Times New Roman" w:eastAsia="仿宋_GB2312" w:cs="Times New Roman"/>
          <w:sz w:val="32"/>
          <w:szCs w:val="32"/>
        </w:rPr>
        <w:t>大英县文旅宣传片拍摄制作项目成本55万。</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（二）项目效益情况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1.社会效益。</w:t>
      </w:r>
      <w:r>
        <w:rPr>
          <w:rFonts w:hint="default" w:ascii="Times New Roman" w:hAnsi="Times New Roman" w:eastAsia="仿宋_GB2312" w:cs="Times New Roman"/>
          <w:sz w:val="32"/>
          <w:szCs w:val="32"/>
        </w:rPr>
        <w:t>此次大英县文旅宣传片拍摄制作正常运转率100%，文化知晓率95%。</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2.满意度指标完成情况分析。</w:t>
      </w:r>
      <w:r>
        <w:rPr>
          <w:rFonts w:hint="default" w:ascii="Times New Roman" w:hAnsi="Times New Roman" w:eastAsia="仿宋_GB2312" w:cs="Times New Roman"/>
          <w:sz w:val="32"/>
          <w:szCs w:val="32"/>
        </w:rPr>
        <w:t>项目实施方对本次大英县文旅宣传片拍摄制作项目的满意度98%。</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部门项目支出绩效自我评价结果是优秀。在资金分配、使用、监管等方面都取得了良好效果，拍摄制作了高质量的大英文旅宣传片，全方位、立体式展示大英文旅魅力，进一步提升我县文旅市场曝光率，提高我县知名度、美誉度和影响力。</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（二）存在的问题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宣传片制作质量可以进一步加强。</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（三）相关建议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加大财政倾斜力度，进一步拍摄制作更多高质量视频宣传展示大英。</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附件：2024年县级专项预算项目支出绩效评价指标体系</w:t>
      </w:r>
    </w:p>
    <w:p>
      <w:pPr>
        <w:pStyle w:val="2"/>
        <w:keepNext w:val="0"/>
        <w:keepLines w:val="0"/>
        <w:pageBreakBefore w:val="0"/>
        <w:widowControl w:val="0"/>
        <w:kinsoku/>
        <w:wordWrap/>
        <w:overflowPunct/>
        <w:topLinePunct w:val="0"/>
        <w:autoSpaceDE/>
        <w:autoSpaceDN/>
        <w:bidi w:val="0"/>
        <w:adjustRightInd/>
        <w:snapToGrid/>
        <w:spacing w:before="0"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0"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50" w:lineRule="exact"/>
        <w:ind w:firstLine="4160" w:firstLineChars="13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5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2024年5月10日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widowControl w:val="0"/>
        <w:spacing w:before="29"/>
        <w:ind w:left="0" w:leftChars="0" w:firstLine="0" w:firstLineChars="0"/>
        <w:jc w:val="left"/>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附件</w:t>
      </w:r>
    </w:p>
    <w:p>
      <w:pPr>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kern w:val="0"/>
          <w:sz w:val="36"/>
          <w:szCs w:val="36"/>
          <w:lang w:val="en-US" w:eastAsia="zh-CN" w:bidi="ar-SA"/>
        </w:rPr>
      </w:pPr>
      <w:r>
        <w:rPr>
          <w:rFonts w:hint="default" w:ascii="Times New Roman" w:hAnsi="Times New Roman" w:eastAsia="方正小标宋简体" w:cs="Times New Roman"/>
          <w:kern w:val="0"/>
          <w:sz w:val="36"/>
          <w:szCs w:val="36"/>
          <w:lang w:val="en-US" w:eastAsia="zh-CN" w:bidi="ar-SA"/>
        </w:rPr>
        <w:t>2024年县级专项预算项目支出绩效评价指标体系</w:t>
      </w:r>
    </w:p>
    <w:tbl>
      <w:tblPr>
        <w:tblStyle w:val="5"/>
        <w:tblW w:w="158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5"/>
        <w:gridCol w:w="561"/>
        <w:gridCol w:w="616"/>
        <w:gridCol w:w="915"/>
        <w:gridCol w:w="604"/>
        <w:gridCol w:w="3572"/>
        <w:gridCol w:w="3265"/>
        <w:gridCol w:w="4097"/>
        <w:gridCol w:w="1049"/>
        <w:gridCol w:w="6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blHeader/>
          <w:jc w:val="center"/>
        </w:trPr>
        <w:tc>
          <w:tcPr>
            <w:tcW w:w="53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评价对象</w:t>
            </w:r>
          </w:p>
        </w:tc>
        <w:tc>
          <w:tcPr>
            <w:tcW w:w="5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一级指标</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二级指标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kern w:val="0"/>
                <w:sz w:val="21"/>
                <w:szCs w:val="21"/>
                <w:u w:val="none"/>
                <w:lang w:val="en-US" w:eastAsia="zh-CN" w:bidi="ar"/>
              </w:rPr>
            </w:pPr>
            <w:r>
              <w:rPr>
                <w:rFonts w:hint="default" w:ascii="Times New Roman" w:hAnsi="Times New Roman" w:eastAsia="宋体" w:cs="Times New Roman"/>
                <w:b/>
                <w:bCs/>
                <w:i w:val="0"/>
                <w:iCs w:val="0"/>
                <w:color w:val="000000"/>
                <w:kern w:val="0"/>
                <w:sz w:val="21"/>
                <w:szCs w:val="21"/>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指标</w:t>
            </w:r>
          </w:p>
        </w:tc>
        <w:tc>
          <w:tcPr>
            <w:tcW w:w="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分值</w:t>
            </w:r>
          </w:p>
        </w:tc>
        <w:tc>
          <w:tcPr>
            <w:tcW w:w="3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评价内容</w:t>
            </w:r>
          </w:p>
        </w:tc>
        <w:tc>
          <w:tcPr>
            <w:tcW w:w="3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评分标准</w:t>
            </w:r>
          </w:p>
        </w:tc>
        <w:tc>
          <w:tcPr>
            <w:tcW w:w="4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依据材料</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评价过程（只写扣分项的原因）</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5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w:t>
            </w:r>
          </w:p>
        </w:tc>
        <w:tc>
          <w:tcPr>
            <w:tcW w:w="5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决策管理（10分）</w:t>
            </w:r>
          </w:p>
        </w:tc>
        <w:tc>
          <w:tcPr>
            <w:tcW w:w="6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项目决策（5分）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决策</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依据</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b/>
                <w:bCs/>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决策</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程序</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项目是否经过集体决策、可行性论证等程序。</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有集体决策、可行性论证等程序的得1分，否则不得分。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2.可行性论证报告。</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6"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购买的必要性</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项目是否具有现实需求；是否有确定的服务对象和受益对象。</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具有现实需求，有确定的服务对象和受益对象的得2分，否则不得分。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绩效目标（5分）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目标</w:t>
            </w:r>
          </w:p>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内容</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绩效目标完整明确的得5分；欠完整明确的酌情得1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4分；没有不得分。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1.项目绩效目标申报表。</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9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9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项目购买与监管（20分）</w:t>
            </w:r>
          </w:p>
        </w:tc>
        <w:tc>
          <w:tcPr>
            <w:tcW w:w="6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项目管理（15分）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管理</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制度</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相关制度健全得3分；不够健全的酌情得0.5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2.5分（以0.5分的倍数打分）；没有制度不得分。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1.购买服务项目、预算、财务、绩效、监督等管理制度。</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购买</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需求</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购买需求是否明确、完整、合规，公共服务项目是否征求服务对象的意见建议。</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购买需求明确、完整、合规的得2分，存在不足的酌情得0.5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1.5分（以0.5分的倍数打分）；公共服务项目征求服务对象意见建议的得1分，否则不得分（不属于公共服务的项目不评价此内容，分值调整至“购买需求是否明确、完整、合规”）。</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6.公共服务项目征求服务对象意见建议记录。</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测算</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依据</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项目预算金额是否经过市场价格摸底和认真测算比较、是否在合理区间。</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项目预算金额经过市场价格摸底和认真测算比较且合理得3分；欠合理得0.5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2.5分（以0.5分的倍数打分）；未摸底和认真测算不得分。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1.项目预算金额经过市场价格摸底和认真测算比较的数据。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购买程序的规范性</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选择承接主体是否按照竞争择优原则</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若不具备竞争性购买条件的，通过直接委托等方式购买的理由是否合理充分</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是否体现公平、公正的原则；购买程序是否符合购买服务相关要求。</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需以下招投标流程的证明材料：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1.受理申请表。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2.确定采购方式（公开招标、邀请招标、竞争性谈判、单一来源采购、询价采购、其他采购方式）。</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3.编制招标文件。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4.招标办审核招标文件，采购人对招标文件进行确认。</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5.发布招标公告。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6.投标报名，资格预审，发售招标文件。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7.组织答疑，对招标文件进行必要的补遗</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发布变更公告）。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8.组织召开招标会。</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9.中标公示。</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10.签发中标通知（成交确认）书。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11.未中标供应商退还投标保证金。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12.签订合同，即中标供应商和业主单位在招标文件规定的时间内签订合同。</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13.中标供应商退还投标保证金，并按招标文件规定缴纳履约保证金。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14.将招标文件资料经整理后统一装订编号归档。</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合同</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服务合同规范、完备、详实得3分；欠规范酌情得0.5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2.5分（以0.5分的倍数打分）；无合同不得分。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1.购买服务合同。</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资金管理（2分）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资金</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拨付</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资金拨付是否按照合同约定执行，有无提前拨付、超额拨付、拖欠资金等违规现象</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有提前拨付、超额拨付、拖欠资金等问题，发现一处扣1分，直至扣完。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1.资金支付明细表。</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项目监管（3分）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监管</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执行</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购买主体未按规、及时履行监管职责，发现一起扣1分，直至扣完。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1.购买主体对本项目监督管理的相关记录。</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9" w:hRule="atLeast"/>
          <w:jc w:val="center"/>
        </w:trPr>
        <w:tc>
          <w:tcPr>
            <w:tcW w:w="5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w:t>
            </w:r>
          </w:p>
        </w:tc>
        <w:tc>
          <w:tcPr>
            <w:tcW w:w="5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组织管理（10分）</w:t>
            </w:r>
          </w:p>
        </w:tc>
        <w:tc>
          <w:tcPr>
            <w:tcW w:w="6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项目实施（10分）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组织</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管理</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1.承接主体资格资质证书。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2.承接主体人员分配、具体分工、服务人员业务内容等相关数据。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控制</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1.承接主体对服务中出现问题的解决措施证明资料。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2.承接主体对该项目的相关档案资料。</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p>
        </w:tc>
        <w:tc>
          <w:tcPr>
            <w:tcW w:w="5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项目绩效（60分）</w:t>
            </w:r>
          </w:p>
        </w:tc>
        <w:tc>
          <w:tcPr>
            <w:tcW w:w="6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服务效果（40分）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数量</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主要反映为服务人次、服务频次等。</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服务人次、服务频次达到或超过合同约定得5分；每低于5%则扣减1分，直至扣完。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1.通过访谈、实地核查项目完成情况，获取承接主体服务人次、服务频次的数据。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时效</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w:t>
            </w:r>
            <w:r>
              <w:rPr>
                <w:rFonts w:hint="eastAsia" w:ascii="Times New Roman" w:hAnsi="Times New Roman" w:eastAsia="宋体" w:cs="Times New Roman"/>
                <w:i w:val="0"/>
                <w:iCs w:val="0"/>
                <w:color w:val="000000"/>
                <w:kern w:val="0"/>
                <w:sz w:val="21"/>
                <w:szCs w:val="21"/>
                <w:u w:val="none"/>
                <w:lang w:val="en-US" w:eastAsia="zh-CN" w:bidi="ar"/>
              </w:rPr>
              <w:t>提供</w:t>
            </w:r>
            <w:r>
              <w:rPr>
                <w:rFonts w:hint="default" w:ascii="Times New Roman" w:hAnsi="Times New Roman" w:eastAsia="宋体" w:cs="Times New Roman"/>
                <w:i w:val="0"/>
                <w:iCs w:val="0"/>
                <w:color w:val="000000"/>
                <w:kern w:val="0"/>
                <w:sz w:val="21"/>
                <w:szCs w:val="21"/>
                <w:u w:val="none"/>
                <w:lang w:val="en-US" w:eastAsia="zh-CN" w:bidi="ar"/>
              </w:rPr>
              <w:t>服务单次时长、总时长、服务周期、服务准时率、服务延时率等。</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服务时效达到或超过合同约定得</w:t>
            </w:r>
            <w:bookmarkStart w:id="2" w:name="_GoBack"/>
            <w:bookmarkEnd w:id="2"/>
            <w:r>
              <w:rPr>
                <w:rFonts w:hint="default" w:ascii="Times New Roman" w:hAnsi="Times New Roman" w:eastAsia="宋体" w:cs="Times New Roman"/>
                <w:i w:val="0"/>
                <w:iCs w:val="0"/>
                <w:color w:val="000000"/>
                <w:kern w:val="0"/>
                <w:sz w:val="21"/>
                <w:szCs w:val="21"/>
                <w:u w:val="none"/>
                <w:lang w:val="en-US" w:eastAsia="zh-CN" w:bidi="ar"/>
              </w:rPr>
              <w:t>5分；单次时效低于合同标准，每1次扣减1分，直至扣完。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1.通过访谈、实地核查项目完成情况，获取承接主体提供服务单次时长、总时长、服务周期、服务准时率、服务延时率的数据。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品质</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提供服务达到合同约定得5分；出现服务不合格、服务标准不够、服务态度被投诉等影响服务品质情况，每出现一次扣1分，直至扣完。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1.通过访谈、实地核查项目完成情况、问卷调查，获取如服务合格率、优质率、不合格率、投诉率，以及服务水平、服务态度等的数据。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2"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服务成本（两个三级指标由评价工作组根据现场情况2选1进行评价，如无法取得对比成本数据或无需进行成本指标评价，本指标10分全部调整至项目效益三级指标）</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2.政府以往自身提供服务3年平均支出成本费用。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2.市场同类服务平均价格。</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5"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效益</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1.根据项目的绩效指标，包括经济、社会、生态效益等，通过访谈、实地核查项目完成情况、问卷调查等方式获取相关数据。</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5"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5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6" w:type="dxa"/>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满意度（20分）</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受益对象、服务对象、购买主体满意度</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32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根据问卷调查满意率分级打分</w:t>
            </w: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1.满意度调查问卷。</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535"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09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合计</w:t>
            </w:r>
          </w:p>
        </w:tc>
        <w:tc>
          <w:tcPr>
            <w:tcW w:w="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357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iCs w:val="0"/>
                <w:color w:val="000000"/>
                <w:sz w:val="21"/>
                <w:szCs w:val="21"/>
                <w:u w:val="none"/>
              </w:rPr>
            </w:pPr>
          </w:p>
        </w:tc>
        <w:tc>
          <w:tcPr>
            <w:tcW w:w="32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iCs w:val="0"/>
                <w:color w:val="000000"/>
                <w:sz w:val="21"/>
                <w:szCs w:val="21"/>
                <w:u w:val="none"/>
              </w:rPr>
            </w:pPr>
          </w:p>
        </w:tc>
        <w:tc>
          <w:tcPr>
            <w:tcW w:w="40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iCs w:val="0"/>
                <w:color w:val="000000"/>
                <w:sz w:val="21"/>
                <w:szCs w:val="21"/>
                <w:u w:val="none"/>
              </w:rPr>
            </w:pP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98</w:t>
            </w:r>
          </w:p>
        </w:tc>
      </w:tr>
    </w:tbl>
    <w:p>
      <w:pPr>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p>
    <w:sectPr>
      <w:pgSz w:w="16840" w:h="11910" w:orient="landscape"/>
      <w:pgMar w:top="1417" w:right="1417" w:bottom="1417" w:left="1417" w:header="850" w:footer="1134"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33B03AFA"/>
    <w:rsid w:val="096552BF"/>
    <w:rsid w:val="31C3435E"/>
    <w:rsid w:val="33B03AFA"/>
    <w:rsid w:val="38523D46"/>
    <w:rsid w:val="5EBA1FF9"/>
    <w:rsid w:val="61AA0A16"/>
    <w:rsid w:val="67896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2024-05-11T10:35:00Z</dcterms:created>
  <dc:creator>恒阳文化传播有限公司</dc:creator>
  <cp:lastModifiedBy>恒阳文化传播有限公司</cp:lastModifiedBy>
  <dcterms:modified xsi:type="dcterms:W3CDTF">2024-05-13T01:52:34Z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C73474C4770546C2A04B63AE1DBF104D_11</vt:lpwstr>
  </property>
</Properties>
</file>