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1312;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2336;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hint="eastAsia" w:ascii="方正小标宋简体" w:hAnsi="方正小标宋简体" w:eastAsia="方正小标宋简体" w:cs="方正小标宋简体"/>
          <w:color w:val="auto"/>
          <w:spacing w:val="0"/>
          <w:w w:val="100"/>
          <w:kern w:val="0"/>
          <w:position w:val="0"/>
          <w:sz w:val="44"/>
          <w:szCs w:val="44"/>
          <w:shd w:val="clear" w:color="auto" w:fill="auto"/>
          <w:lang w:eastAsia="en-US" w:bidi="en-US"/>
        </w:rPr>
      </w:pPr>
      <w:r>
        <w:rPr>
          <w:rFonts w:hint="eastAsia" w:ascii="方正小标宋简体" w:hAnsi="方正小标宋简体" w:eastAsia="方正小标宋简体" w:cs="方正小标宋简体"/>
          <w:color w:val="auto"/>
          <w:spacing w:val="0"/>
          <w:w w:val="100"/>
          <w:kern w:val="0"/>
          <w:position w:val="0"/>
          <w:sz w:val="44"/>
          <w:szCs w:val="44"/>
          <w:shd w:val="clear" w:color="auto" w:fill="auto"/>
          <w:lang w:eastAsia="en-US"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eastAsia" w:ascii="方正小标宋简体" w:hAnsi="方正小标宋简体" w:eastAsia="方正小标宋简体" w:cs="方正小标宋简体"/>
          <w:color w:val="auto"/>
          <w:spacing w:val="0"/>
          <w:w w:val="100"/>
          <w:kern w:val="0"/>
          <w:position w:val="0"/>
          <w:sz w:val="44"/>
          <w:szCs w:val="44"/>
          <w:shd w:val="clear" w:color="auto" w:fill="auto"/>
          <w:lang w:eastAsia="zh-CN" w:bidi="en-US"/>
        </w:rPr>
      </w:pPr>
      <w:r>
        <w:rPr>
          <w:rFonts w:hint="eastAsia" w:ascii="楷体_GB2312" w:hAnsi="楷体_GB2312" w:eastAsia="楷体_GB2312" w:cs="楷体_GB2312"/>
          <w:b/>
          <w:bCs/>
          <w:color w:val="auto"/>
          <w:spacing w:val="0"/>
          <w:w w:val="100"/>
          <w:kern w:val="0"/>
          <w:position w:val="0"/>
          <w:sz w:val="32"/>
          <w:szCs w:val="32"/>
          <w:shd w:val="clear" w:color="auto" w:fill="auto"/>
          <w:lang w:eastAsia="zh-CN" w:bidi="en-US"/>
        </w:rPr>
        <w:t>（</w:t>
      </w:r>
      <w:r>
        <w:rPr>
          <w:rFonts w:hint="eastAsia" w:ascii="楷体_GB2312" w:hAnsi="楷体_GB2312" w:eastAsia="楷体_GB2312" w:cs="楷体_GB2312"/>
          <w:b/>
          <w:bCs/>
          <w:color w:val="auto"/>
          <w:spacing w:val="0"/>
          <w:w w:val="100"/>
          <w:kern w:val="0"/>
          <w:position w:val="0"/>
          <w:sz w:val="32"/>
          <w:szCs w:val="32"/>
          <w:shd w:val="clear" w:color="auto" w:fill="auto"/>
          <w:lang w:eastAsia="en-US" w:bidi="en-US"/>
        </w:rPr>
        <w:t>中国死海提档升级项目重大文旅项目产业扶持奖补资金</w:t>
      </w:r>
      <w:r>
        <w:rPr>
          <w:rFonts w:hint="eastAsia" w:ascii="楷体_GB2312" w:hAnsi="楷体_GB2312" w:eastAsia="楷体_GB2312" w:cs="楷体_GB2312"/>
          <w:b/>
          <w:bCs/>
          <w:color w:val="auto"/>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1.县文化广电旅游局牵头负责该项目的实施方案编制、资金争取、组织实施、过程监督、项目验收等相关工作。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2.2019年至2022年，中国死海自筹资金约10654.6万元完成了空中花园及基础设施、太阳城酒店提档升级项目；基本完成了游客中心及游客广场改造提升；影剧院、盐疗馆的外立面提升；礼宴中心、室外婚礼广场打造；室内漂浮区、漂流河等基础设施提升改造；室外排水系统整治及地面维护维修。2020年、2021年和2022年，该项目均被纳入县级重点建设项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3.2023年5月16日，死海旅游度假公司向遂宁市中国死海旅游度假区管委会、县文化广电旅游局提交了《关于请求兑现产业扶持资金支持的报告》。根据《大英县文旅产业发展资金使用管理办法（试行）》（大委办发〔2019〕16号）第七条第一款重大文旅项目建设（重大文化、旅游、教育类项目投资总额5亿元以上或纳入当年县级以上重点项目建设的，可予以扶持。扶持资金按照“一事一议”原则由县政府研究决定。）。经“一事一议”文旅专项工作会议、县委财经委员会2023年第五次会议和县政府六届50次常务会议研究，同意给予中国死海产业发展扶持资金768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4.资金分配的原则及考虑因素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依据《大英县文旅产业发展资金使用管理办法（试行）》（大委办发〔2019〕16号）中重大文旅项目建设扶持资金按照“一事一议”原则决定和《大英县文化和旅游发展专项资金管理办法》（大文广旅发〔2023〕13号）等文件精神，中国死海提档升级符合补助标准。扶持标准参考2020年10月9日，度假区与盐疗大健康公司签订的《中国死海旅游度假区提档升级项目投资协议书》中约定，给予第一阶段两个项目产业扶持，即：完成空中花园项目产业扶持资金310万元，完成太阳城酒店提档升级项目建设给予产业扶持资金650万元，合计960万元的80%进行扶持。</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2023年县文化广电旅游局根据后勤管理等制度，制定了《财务管理制度》对项目资金进行管理，文件内容覆盖资金申请、资金管理、资金拨付等内容，财务管理、监督等必要管理制度健全完善、管理办法明确。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中国死海提档升级项目主要包括，空中花园及基础设施、太阳城酒店提档升级项目；游客中心及游客广场改造提升；影剧院、盐疗馆的外立面提升；礼宴中心、室外婚礼广场打造；室内漂浮区、漂流河等基础设施提升改造；室外排水系统整治及地面维护维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（三）费用及支付方式</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项目应实现的具体绩效目标。中国死海提档升级项目应实现的具体绩效目标为：室外提升项目数和室内提升项目数；费用为工程建设中材料费、人工费。其中，室外项目的空中花园及基础设施、游客中心及游客广场改造提升；影剧院、盐疗馆的外立面提升；礼宴中心、室外婚礼广场打造；室外排水系统整治及地面维护维修已于2020年底完成并投入使用；室内项目太阳城酒店提档升级、室内漂浮区、漂流河等基础设施提升改造已于2022年1月完成并投入使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2.根据《大英县文旅产业发展资金使用管理办法（试行）》（大委办发〔2019〕16号），中国死海提档升级项目申报目标合理可行。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（四）项目自评步骤及方法</w:t>
      </w:r>
      <w:bookmarkStart w:id="2" w:name="_GoBack"/>
      <w:bookmarkEnd w:id="2"/>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为完成本次绩效自评工作，县文化广电旅游局组织成立了项目自评小组。结合评价内容，按照县级专项预算项目支出绩效评价指标体系，自评小组针对申报内容、实施情况、资金使用、项目管理、社会效益、受益对象满意度等方面进行评价。</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1.前期评价准备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收集并查阅项目政策文件、申报资料和上级批示，加强同类活动的调研，设定项目绩效评价指标体系。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2.业务股室调研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开展座谈会，与该项目的相关业务股室进行沟通和研究，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3.满意度调查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在各项目执行过程中，及时对相关受益对象和参会人员进行满意度询问，了解其对项目实施的满意度情况和评价，并收集了解相关意见和建议。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4.综合分析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根据项目整套资料和筹备执行全过程的比对分析，该项目申报的绩效目标与执行的绩效目标完成契合程度基本一致，结合定量和定性分析后，该项目绩效目标完成情况合格。</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2023年5月16日，死海旅游度假公司向遂宁市中国死海旅游度假区管委会、县文化广电旅游局提交了《关于请求兑现产业扶持资金支持的报告》。2023年6月8日，中国死海旅游度假区、县文化广电旅游局在研究成熟后，分别组织召开党工委和党组会议，原则同意按政策给予中国死海提档升级项目文旅产业资金扶持。经县政府“一事一议”文旅专项工作会议、县委财经委员会2023年第五次会议和县政府六届50次常务会议研究，同意给予中国死海产业发展扶持资金768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（二）资金计划、到位及使用情况（可用表格形式反映）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1.资金计划。</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该项目资金为大英县级财政统筹安排，已下达资金768万元。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2.资金到位。</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该项目资金属于县级财政资金，各项应付款项全部下达到位，下达到位率100%，到位及时。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3.资金使用。</w:t>
      </w: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目前该项目资金使用768万元，资金使用过程合法合规，符合相关政策，资金使用严格按照合同要求支付，对项目的推动和进行起到重要作用。资金支付范围仅限于供应商，支付标准合理，支付进度及时，支付依据充分且合法合规，并与预算相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实施单位制定了财务管理制度、项目招投标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（一）项目组织架构及实施流程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中国死海提档升级项目由死海旅游度假服务公司组织实施，工程发包商为死海旅游度假服务公司，承包商为四川贝越建筑有限公司。工程由死海旅游度假有限公司编制建设项目，四川贝越建筑有限公司采取包工包料的方式实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（二）项目监管情况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项目实施过程中，县文化广电旅游局指派项目秘书，定期和不定期去现场进行查看，确保项目推动严格按照时间节点进行，保证项目按时完成。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Times New Roman" w:hAnsi="Times New Roman" w:eastAsia="仿宋_GB2312" w:cs="Times New Roman"/>
          <w:color w:val="auto"/>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项目整体完成情况较好，数量指标完成率为100%，质量达标率为≥98%，均在2023年1及时完成，成本控制在预算内，项目无资金结余，不存在违规记录。项目整体完成进度和完成内容情况如下</w:t>
      </w:r>
      <w:r>
        <w:rPr>
          <w:rFonts w:hint="eastAsia" w:ascii="Times New Roman" w:hAnsi="Times New Roman" w:eastAsia="仿宋_GB2312" w:cs="Times New Roman"/>
          <w:color w:val="auto"/>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1.项目完成数量方面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（1）室外提升建设项目数=1项；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（2）室内提升建设项目数=1项</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2.项目完成质量方面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（1）室外提升建设项目核实合格率=100%；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（2）室内提升建设项目核实合格率=100%</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3.项目完成时间</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（1）提升建设补助资金到位及时率=100%</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auto"/>
          <w:spacing w:val="0"/>
          <w:w w:val="100"/>
          <w:kern w:val="0"/>
          <w:position w:val="0"/>
          <w:sz w:val="32"/>
          <w:szCs w:val="32"/>
          <w:shd w:val="clear" w:color="auto" w:fill="auto"/>
          <w:lang w:eastAsia="en-US" w:bidi="en-US"/>
        </w:rPr>
        <w:t>4.项目成本控制方面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（1）室外提升建设补助资金≤480万元；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（2）室内提升建设补助资金≤288万元</w:t>
      </w:r>
      <w:r>
        <w:rPr>
          <w:rFonts w:hint="default" w:ascii="Times New Roman" w:hAnsi="Times New Roman" w:eastAsia="仿宋_GB2312" w:cs="Times New Roman"/>
          <w:color w:val="auto"/>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社会对大英文化旅游和景区景点的关注度、好感度≥98%；对大英文旅行业发展带动性≥95%。</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该项目严格按照时间节点和合同约定服务内容完成，资金严格按照合同约定和法律法规进行拨付，参照指标体系该项目得分为98.5分。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项目在实施过程中，部分项目建设设计有小幅变更，导致未能提前完工。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auto"/>
          <w:spacing w:val="0"/>
          <w:w w:val="100"/>
          <w:kern w:val="0"/>
          <w:position w:val="0"/>
          <w:sz w:val="32"/>
          <w:szCs w:val="32"/>
          <w:shd w:val="clear" w:color="auto" w:fill="auto"/>
          <w:lang w:eastAsia="en-US" w:bidi="en-US"/>
        </w:rPr>
        <w:t>下一步，在同类项目的实施过程中，要进一步细化项目完成时间节点等内容，全面思考、多方统筹、按时推进，根据项目完成时间，对项目开展情况进行严格监督。</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60" w:lineRule="exact"/>
        <w:ind w:left="0" w:right="0" w:firstLine="4160" w:firstLineChars="13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大英县文化广播电视和旅游局</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5059" w:firstLineChars="1581"/>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2024年</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5</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月</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10</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日</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5059" w:firstLineChars="1581"/>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pStyle w:val="11"/>
        <w:ind w:left="0" w:leftChars="0" w:firstLine="0" w:firstLineChars="0"/>
        <w:rPr>
          <w:rFonts w:hint="default" w:ascii="Times New Roman" w:hAnsi="Times New Roman" w:eastAsia="黑体" w:cs="Times New Roman"/>
          <w:color w:val="auto"/>
          <w:sz w:val="32"/>
          <w:szCs w:val="32"/>
          <w:lang w:val="en-US" w:eastAsia="zh-CN"/>
        </w:rPr>
        <w:sectPr>
          <w:footerReference r:id="rId3" w:type="default"/>
          <w:pgSz w:w="11910" w:h="16840"/>
          <w:pgMar w:top="1871" w:right="1474" w:bottom="1361" w:left="1531" w:header="850" w:footer="1134" w:gutter="0"/>
          <w:pgNumType w:fmt="decimal" w:start="1"/>
          <w:cols w:space="0" w:num="1"/>
          <w:rtlGutter w:val="0"/>
          <w:docGrid w:linePitch="312" w:charSpace="0"/>
        </w:sectPr>
      </w:pPr>
    </w:p>
    <w:p>
      <w:pPr>
        <w:pStyle w:val="11"/>
        <w:ind w:left="0" w:leftChars="0" w:firstLine="0" w:firstLineChars="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w:t>
      </w:r>
    </w:p>
    <w:p>
      <w:pPr>
        <w:pStyle w:val="11"/>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color w:val="auto"/>
          <w:sz w:val="36"/>
          <w:szCs w:val="36"/>
          <w:lang w:val="en-US" w:eastAsia="zh-CN"/>
        </w:rPr>
      </w:pPr>
      <w:r>
        <w:rPr>
          <w:rFonts w:hint="default" w:ascii="Times New Roman" w:hAnsi="Times New Roman" w:eastAsia="方正小标宋简体" w:cs="Times New Roman"/>
          <w:color w:val="auto"/>
          <w:sz w:val="36"/>
          <w:szCs w:val="36"/>
          <w:lang w:val="en-US" w:eastAsia="zh-CN"/>
        </w:rPr>
        <w:t>2024年县级专项预算项目支出绩效评价指标体系</w:t>
      </w:r>
    </w:p>
    <w:tbl>
      <w:tblPr>
        <w:tblStyle w:val="14"/>
        <w:tblW w:w="152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8"/>
        <w:gridCol w:w="388"/>
        <w:gridCol w:w="468"/>
        <w:gridCol w:w="1245"/>
        <w:gridCol w:w="450"/>
        <w:gridCol w:w="615"/>
        <w:gridCol w:w="615"/>
        <w:gridCol w:w="1081"/>
        <w:gridCol w:w="487"/>
        <w:gridCol w:w="388"/>
        <w:gridCol w:w="582"/>
        <w:gridCol w:w="567"/>
        <w:gridCol w:w="552"/>
        <w:gridCol w:w="396"/>
        <w:gridCol w:w="1861"/>
        <w:gridCol w:w="441"/>
        <w:gridCol w:w="374"/>
        <w:gridCol w:w="418"/>
        <w:gridCol w:w="374"/>
        <w:gridCol w:w="388"/>
        <w:gridCol w:w="358"/>
        <w:gridCol w:w="343"/>
        <w:gridCol w:w="418"/>
        <w:gridCol w:w="422"/>
        <w:gridCol w:w="1046"/>
        <w:gridCol w:w="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jc w:val="center"/>
        </w:trPr>
        <w:tc>
          <w:tcPr>
            <w:tcW w:w="25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分层分类指标</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分值</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目标值</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完成值</w:t>
            </w: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指标解释</w:t>
            </w:r>
          </w:p>
        </w:tc>
        <w:tc>
          <w:tcPr>
            <w:tcW w:w="29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评分方法</w:t>
            </w:r>
          </w:p>
        </w:tc>
        <w:tc>
          <w:tcPr>
            <w:tcW w:w="1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评价要点及说明</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评价方式</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评价属性</w:t>
            </w:r>
          </w:p>
        </w:tc>
        <w:tc>
          <w:tcPr>
            <w:tcW w:w="19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定量评价标准</w:t>
            </w: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kern w:val="0"/>
                <w:sz w:val="21"/>
                <w:szCs w:val="21"/>
                <w:u w:val="none"/>
                <w:lang w:val="en-US" w:eastAsia="zh-CN" w:bidi="ar"/>
              </w:rPr>
            </w:pPr>
            <w:r>
              <w:rPr>
                <w:rFonts w:hint="default" w:ascii="Times New Roman" w:hAnsi="Times New Roman" w:cs="Times New Roman" w:eastAsiaTheme="minorEastAsia"/>
                <w:b/>
                <w:bCs/>
                <w:i w:val="0"/>
                <w:iCs w:val="0"/>
                <w:color w:val="auto"/>
                <w:kern w:val="0"/>
                <w:sz w:val="21"/>
                <w:szCs w:val="21"/>
                <w:u w:val="none"/>
                <w:lang w:val="en-US" w:eastAsia="zh-CN" w:bidi="ar"/>
              </w:rPr>
              <w:t>评价</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过程</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（只写扣分项的原因）</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自评</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0" w:hRule="atLeast"/>
          <w:tblHeader/>
          <w:jc w:val="center"/>
        </w:trPr>
        <w:tc>
          <w:tcPr>
            <w:tcW w:w="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分层指标</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适用</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范围</w:t>
            </w: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一级指标</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二级指标</w:t>
            </w: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方法归类</w:t>
            </w: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计算公式</w:t>
            </w:r>
          </w:p>
        </w:tc>
        <w:tc>
          <w:tcPr>
            <w:tcW w:w="1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整体评价</w:t>
            </w:r>
          </w:p>
        </w:tc>
        <w:tc>
          <w:tcPr>
            <w:tcW w:w="3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样本评价</w:t>
            </w:r>
          </w:p>
        </w:tc>
        <w:tc>
          <w:tcPr>
            <w:tcW w:w="4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定性评价</w:t>
            </w:r>
          </w:p>
        </w:tc>
        <w:tc>
          <w:tcPr>
            <w:tcW w:w="3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定量评价</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国家</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3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行业</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3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地方</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4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申报</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标准</w:t>
            </w:r>
          </w:p>
        </w:tc>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历史</w:t>
            </w:r>
            <w:r>
              <w:rPr>
                <w:rFonts w:hint="default" w:ascii="Times New Roman" w:hAnsi="Times New Roman" w:cs="Times New Roman" w:eastAsiaTheme="minorEastAsia"/>
                <w:b/>
                <w:bCs/>
                <w:i w:val="0"/>
                <w:iCs w:val="0"/>
                <w:color w:val="auto"/>
                <w:kern w:val="0"/>
                <w:sz w:val="21"/>
                <w:szCs w:val="21"/>
                <w:u w:val="none"/>
                <w:lang w:val="en-US" w:eastAsia="zh-CN" w:bidi="ar"/>
              </w:rPr>
              <w:br w:type="textWrapping"/>
            </w:r>
            <w:r>
              <w:rPr>
                <w:rFonts w:hint="default" w:ascii="Times New Roman" w:hAnsi="Times New Roman" w:cs="Times New Roman" w:eastAsiaTheme="minorEastAsia"/>
                <w:b/>
                <w:bCs/>
                <w:i w:val="0"/>
                <w:iCs w:val="0"/>
                <w:color w:val="auto"/>
                <w:kern w:val="0"/>
                <w:sz w:val="21"/>
                <w:szCs w:val="21"/>
                <w:u w:val="none"/>
                <w:lang w:val="en-US" w:eastAsia="zh-CN" w:bidi="ar"/>
              </w:rPr>
              <w:t>均值</w:t>
            </w: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0.3</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0.6</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0.8</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1</w:t>
            </w:r>
          </w:p>
        </w:tc>
        <w:tc>
          <w:tcPr>
            <w:tcW w:w="1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通用指标（20分）不能修改</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所有项目</w:t>
            </w: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项目决策</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程序严密</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严密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项目设立是否经过严格评估论证，管理制度是否健全完善</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不严密</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3处及以上不严密</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2处不严密</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1处不严密</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严密</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主要查看项目设立时是否经过事前评估或可行性论证，专项资金管理办法是否健全完善</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规划合理</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项目规划是否符合县委、县政府重大决策部署，是否与项目年度目标一致</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不合理</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3处及以上不合理</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2处不合理</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1处不合理</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合理</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主要查看项目设立依据是否充分，符合县委、县政府重大决策部署和宏观政策规划，项目年度绩效目标与中长期规划是否一致</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b/>
                <w:bCs/>
                <w:i w:val="0"/>
                <w:iCs w:val="0"/>
                <w:color w:val="auto"/>
                <w:sz w:val="21"/>
                <w:szCs w:val="21"/>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结果符合</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符合</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项目实施结果是否与规划计划一致</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比率分值法</w:t>
            </w: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指标得分=项目实施结果符合规划的金额/项目总金额×100%*指标分值</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按项目法分配的项目，以所有项目点实施完成情况与规划计划情况进行对比。按因素法分配的项目和据实据效分配的项目，将资金分配方向与规划计划支持方向进行对比</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目标制定</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完整</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是否制定完整合理的绩效目标，比如数量、质量、效益及相关要求等。</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不完整</w:t>
            </w:r>
          </w:p>
        </w:tc>
        <w:tc>
          <w:tcPr>
            <w:tcW w:w="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3处及以上不完整</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2处不完整</w:t>
            </w:r>
          </w:p>
        </w:tc>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1处不完整</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完整</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绩效目标完整、合理的得2分；未设置绩效目标不得分。</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项目实施</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执行有效</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有效</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项目实施是否符合相关管理制度规定</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缺（错）项扣分法</w:t>
            </w: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kern w:val="0"/>
                <w:sz w:val="21"/>
                <w:szCs w:val="21"/>
                <w:u w:val="none"/>
                <w:lang w:val="en-US" w:eastAsia="zh-CN" w:bidi="ar"/>
              </w:rPr>
            </w:pPr>
            <w:r>
              <w:rPr>
                <w:rFonts w:hint="default" w:ascii="Times New Roman" w:hAnsi="Times New Roman" w:cs="Times New Roman" w:eastAsiaTheme="minorEastAsia"/>
                <w:i w:val="0"/>
                <w:iCs w:val="0"/>
                <w:color w:val="auto"/>
                <w:kern w:val="0"/>
                <w:sz w:val="21"/>
                <w:szCs w:val="21"/>
                <w:u w:val="none"/>
                <w:lang w:val="en-US" w:eastAsia="zh-CN" w:bidi="ar"/>
              </w:rPr>
              <w:t>发现一处扣0.5分，</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直至扣完</w:t>
            </w: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项目实施是否遵守相关法律法规；项目调整手续是否完备；项目合同、验收报告、技术鉴定等资料是否齐全并及时归档；项目实施的人员条件、场地设备、信息支撑等是否落实到位</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使用合规</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合规</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项目资金使用是否符合相关的财务管理制度规定</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缺（错）项扣分法</w:t>
            </w: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kern w:val="0"/>
                <w:sz w:val="21"/>
                <w:szCs w:val="21"/>
                <w:u w:val="none"/>
                <w:lang w:val="en-US" w:eastAsia="zh-CN" w:bidi="ar"/>
              </w:rPr>
            </w:pPr>
            <w:r>
              <w:rPr>
                <w:rFonts w:hint="default" w:ascii="Times New Roman" w:hAnsi="Times New Roman" w:cs="Times New Roman" w:eastAsiaTheme="minorEastAsia"/>
                <w:i w:val="0"/>
                <w:iCs w:val="0"/>
                <w:color w:val="auto"/>
                <w:kern w:val="0"/>
                <w:sz w:val="21"/>
                <w:szCs w:val="21"/>
                <w:u w:val="none"/>
                <w:lang w:val="en-US" w:eastAsia="zh-CN" w:bidi="ar"/>
              </w:rPr>
              <w:t>发现一处扣0.5分，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直至扣完</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预算执行</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预算执行率</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反映项目资金整体预算执行情况</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比率分值法</w:t>
            </w: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指标得分=实际拨付下达资金/预算安排资金总额×100%*指标分值（预算安排资金总额一般采用年初预算数，若存在政策变化等因素可采用调整预算数）</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both"/>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资金使用率</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3</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反映项目点获得资金的使用情况</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分级评分法</w:t>
            </w: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指标得分=项目点实际使用资金/获得补助资金总额×100%*指标分值（后补助资金可不考核本指标）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如果不涉及的将此考核指标分数调整到预算执行率</w:t>
            </w: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0" w:hRule="atLeast"/>
          <w:jc w:val="center"/>
        </w:trPr>
        <w:tc>
          <w:tcPr>
            <w:tcW w:w="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产出指标（40分）</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所有项目</w:t>
            </w:r>
          </w:p>
        </w:tc>
        <w:tc>
          <w:tcPr>
            <w:tcW w:w="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数量指标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中国死海提档升级项目重大文旅项目产业扶持奖补资金项目数量</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1项</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1项</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中国死海提档升级项目重大文旅项目产业扶持奖补资金项目数量等于1项</w:t>
            </w: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95"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质量指标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中国死海提档升级项目重大文旅项目产业扶持奖补资金发放准确率</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中国死海提档升级项目重大文旅项目产业扶持奖补资金发放准确率100%</w:t>
            </w: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成本指标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768万元</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768万元</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中国死海提档升级项目重大文旅项目产业扶持奖补资金768万元</w:t>
            </w: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5"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时效指标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中国死海提档升级项目重大文旅项目产业扶持奖补资金发放及时率</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100%</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中国死海提档升级项目重大文旅项目产业扶持奖补资金发放及时率100%</w:t>
            </w: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5" w:hRule="atLeast"/>
          <w:jc w:val="center"/>
        </w:trPr>
        <w:tc>
          <w:tcPr>
            <w:tcW w:w="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效益指标（30分）</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至少填写一栏效益</w:t>
            </w:r>
          </w:p>
        </w:tc>
        <w:tc>
          <w:tcPr>
            <w:tcW w:w="46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社会效益</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中国死海景区市场核心竞争率</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≥98%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≥98%</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中国死海景区市场核心竞争率≥98%</w:t>
            </w:r>
          </w:p>
        </w:tc>
        <w:tc>
          <w:tcPr>
            <w:tcW w:w="48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0"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文旅产业发展资金奖补工作机制健全性</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好</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好</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文旅产业发展资金奖补工作机制健全性好</w:t>
            </w:r>
          </w:p>
        </w:tc>
        <w:tc>
          <w:tcPr>
            <w:tcW w:w="48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5"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经济效益</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0" w:hRule="atLeast"/>
          <w:jc w:val="center"/>
        </w:trPr>
        <w:tc>
          <w:tcPr>
            <w:tcW w:w="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生态效益</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满意度（10分）</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所有项目</w:t>
            </w:r>
          </w:p>
        </w:tc>
        <w:tc>
          <w:tcPr>
            <w:tcW w:w="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满意度</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中国死海景区游客满意度</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≥98%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≥98%</w:t>
            </w:r>
          </w:p>
        </w:tc>
        <w:tc>
          <w:tcPr>
            <w:tcW w:w="10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中国死海景区游客满意度≥98%</w:t>
            </w:r>
          </w:p>
        </w:tc>
        <w:tc>
          <w:tcPr>
            <w:tcW w:w="4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24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b/>
                <w:bCs/>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auto"/>
                <w:sz w:val="21"/>
                <w:szCs w:val="21"/>
                <w:u w:val="none"/>
              </w:rPr>
            </w:pPr>
            <w:r>
              <w:rPr>
                <w:rFonts w:hint="default" w:ascii="Times New Roman" w:hAnsi="Times New Roman" w:cs="Times New Roman" w:eastAsiaTheme="minorEastAsia"/>
                <w:i w:val="0"/>
                <w:iCs w:val="0"/>
                <w:color w:val="auto"/>
                <w:kern w:val="0"/>
                <w:sz w:val="21"/>
                <w:szCs w:val="21"/>
                <w:u w:val="none"/>
                <w:lang w:val="en-US" w:eastAsia="zh-CN" w:bidi="ar"/>
              </w:rPr>
              <w:t>√</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auto"/>
                <w:sz w:val="21"/>
                <w:szCs w:val="21"/>
                <w:u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b/>
                <w:bCs/>
                <w:i w:val="0"/>
                <w:iCs w:val="0"/>
                <w:color w:val="auto"/>
                <w:sz w:val="21"/>
                <w:szCs w:val="21"/>
                <w:u w:val="none"/>
              </w:rPr>
            </w:pPr>
            <w:r>
              <w:rPr>
                <w:rFonts w:hint="default" w:ascii="Times New Roman" w:hAnsi="Times New Roman" w:cs="Times New Roman" w:eastAsiaTheme="minorEastAsia"/>
                <w:b/>
                <w:bCs/>
                <w:i w:val="0"/>
                <w:iCs w:val="0"/>
                <w:color w:val="auto"/>
                <w:kern w:val="0"/>
                <w:sz w:val="21"/>
                <w:szCs w:val="21"/>
                <w:u w:val="none"/>
                <w:lang w:val="en-US" w:eastAsia="zh-CN" w:bidi="ar"/>
              </w:rPr>
              <w:t>10</w:t>
            </w:r>
          </w:p>
        </w:tc>
      </w:tr>
    </w:tbl>
    <w:p>
      <w:pPr>
        <w:rPr>
          <w:rFonts w:hint="default" w:ascii="Times New Roman" w:hAnsi="Times New Roman" w:cs="Times New Roman"/>
          <w:color w:val="auto"/>
        </w:rPr>
      </w:pPr>
    </w:p>
    <w:sectPr>
      <w:footerReference r:id="rId4" w:type="default"/>
      <w:pgSz w:w="16840" w:h="11910" w:orient="landscape"/>
      <w:pgMar w:top="1417" w:right="1417" w:bottom="1417" w:left="1417" w:header="850" w:footer="1134" w:gutter="0"/>
      <w:pgNumType w:fmt="decimal" w:start="8"/>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F83BA"/>
    <w:multiLevelType w:val="multilevel"/>
    <w:tmpl w:val="116F83BA"/>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0000000"/>
    <w:rsid w:val="01D44F54"/>
    <w:rsid w:val="09131F43"/>
    <w:rsid w:val="09C3197A"/>
    <w:rsid w:val="0CFF0F1B"/>
    <w:rsid w:val="13C870B0"/>
    <w:rsid w:val="1B00167C"/>
    <w:rsid w:val="1B3605B4"/>
    <w:rsid w:val="202754DE"/>
    <w:rsid w:val="21672D9D"/>
    <w:rsid w:val="22A633B6"/>
    <w:rsid w:val="241926D2"/>
    <w:rsid w:val="2420775E"/>
    <w:rsid w:val="258B7398"/>
    <w:rsid w:val="28171F55"/>
    <w:rsid w:val="2C372028"/>
    <w:rsid w:val="2FD61B58"/>
    <w:rsid w:val="30B26121"/>
    <w:rsid w:val="31BF543B"/>
    <w:rsid w:val="32244DFC"/>
    <w:rsid w:val="33181158"/>
    <w:rsid w:val="43F5103F"/>
    <w:rsid w:val="4CE4720A"/>
    <w:rsid w:val="564069E5"/>
    <w:rsid w:val="5DD21850"/>
    <w:rsid w:val="66FB3677"/>
    <w:rsid w:val="6E850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numPr>
        <w:ilvl w:val="0"/>
        <w:numId w:val="1"/>
      </w:numPr>
      <w:spacing w:line="570" w:lineRule="exact"/>
      <w:ind w:firstLine="880" w:firstLineChars="200"/>
      <w:jc w:val="left"/>
      <w:outlineLvl w:val="0"/>
    </w:pPr>
    <w:rPr>
      <w:rFonts w:ascii="宋体" w:hAnsi="宋体" w:eastAsia="黑体"/>
      <w:bCs/>
      <w:kern w:val="44"/>
      <w:szCs w:val="44"/>
    </w:rPr>
  </w:style>
  <w:style w:type="paragraph" w:styleId="3">
    <w:name w:val="heading 2"/>
    <w:basedOn w:val="1"/>
    <w:next w:val="1"/>
    <w:link w:val="17"/>
    <w:semiHidden/>
    <w:unhideWhenUsed/>
    <w:qFormat/>
    <w:uiPriority w:val="0"/>
    <w:pPr>
      <w:numPr>
        <w:ilvl w:val="1"/>
        <w:numId w:val="1"/>
      </w:numPr>
      <w:spacing w:line="500" w:lineRule="exact"/>
      <w:jc w:val="center"/>
      <w:outlineLvl w:val="1"/>
    </w:pPr>
    <w:rPr>
      <w:rFonts w:ascii="宋体" w:hAnsi="宋体" w:eastAsia="宋体"/>
      <w:b/>
      <w:bCs/>
      <w:sz w:val="28"/>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before="29"/>
      <w:ind w:left="220"/>
      <w:jc w:val="left"/>
    </w:pPr>
    <w:rPr>
      <w:rFonts w:ascii="宋体" w:hAnsi="宋体" w:eastAsia="宋体"/>
      <w:kern w:val="0"/>
      <w:sz w:val="24"/>
      <w:lang w:eastAsia="en-US"/>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6">
    <w:name w:val="标题 1 Char"/>
    <w:link w:val="2"/>
    <w:qFormat/>
    <w:uiPriority w:val="0"/>
    <w:rPr>
      <w:rFonts w:ascii="宋体" w:hAnsi="宋体" w:eastAsia="黑体"/>
      <w:bCs/>
      <w:kern w:val="44"/>
      <w:sz w:val="32"/>
      <w:szCs w:val="44"/>
    </w:rPr>
  </w:style>
  <w:style w:type="character" w:customStyle="1" w:styleId="17">
    <w:name w:val="标题 2 字符"/>
    <w:link w:val="3"/>
    <w:qFormat/>
    <w:uiPriority w:val="0"/>
    <w:rPr>
      <w:rFonts w:ascii="宋体" w:hAnsi="宋体" w:eastAsia="宋体"/>
      <w:b/>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2022-03-01T02:46:00Z</dcterms:created>
  <dc:creator>Administrator</dc:creator>
  <cp:lastModifiedBy>恒阳文化传播有限公司</cp:lastModifiedBy>
  <dcterms:modified xsi:type="dcterms:W3CDTF">2024-05-13T02:50:36Z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68CAD4523D1B415BBFBB93A291781990</vt:lpwstr>
  </property>
</Properties>
</file>