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</w:pPr>
      <w:bookmarkStart w:id="0" w:name="bt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</w:rPr>
        <w:pict>
          <v:shape id="_x0000_s1026" o:spid="_x0000_s1026" o:spt="136" type="#_x0000_t136" style="position:absolute;left:0pt;margin-left:20.2pt;margin-top:4pt;height:59.55pt;width:413.85pt;z-index:251661312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大英县文化广播电视和旅游局文件" style="font-family:方正小标宋简体;font-size:36pt;v-rotate-letters:f;v-same-letter-heights:f;v-text-align:center;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  <w:tab w:val="left" w:pos="420"/>
          <w:tab w:val="left" w:pos="8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bookmarkStart w:id="1" w:name="remove_shape_2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15240</wp:posOffset>
                </wp:positionV>
                <wp:extent cx="5600700" cy="0"/>
                <wp:effectExtent l="0" t="17145" r="0" b="209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05pt;margin-top:1.2pt;height:0pt;width:441pt;z-index:251662336;mso-width-relative:page;mso-height-relative:page;" filled="f" stroked="t" coordsize="21600,21600" o:gfxdata="UEsDBAoAAAAAAIdO4kAAAAAAAAAAAAAAAAAEAAAAZHJzL1BLAwQUAAAACACHTuJATGGDlNQAAAAF&#10;AQAADwAAAGRycy9kb3ducmV2LnhtbE2OwUoDMRRF94L/EJ7gRmxmSinDOJkuBEFRRFtddJcmz8nQ&#10;ycuQpJ3273260eXhXu49zerkB3HEmPpACspZAQLJBNtTp+Bj83BbgUhZk9VDIFRwxgSr9vKi0bUN&#10;E73jcZ07wSOUaq3A5TzWUibj0Os0CyMSZ18hep0ZYydt1BOP+0HOi2Ipve6JH5we8d6h2a8PXsHj&#10;zX6cXp/PT5ut+XQvb9GUclspdX1VFncgMp7yXxl+9FkdWnbahQPZJAYFi5KLCuYLEJxW1ZJ598uy&#10;beR/+/YbUEsDBBQAAAAIAIdO4kCp/pwb/QEAAPMDAAAOAAAAZHJzL2Uyb0RvYy54bWytU82O0zAQ&#10;viPxDpbvNGlhtxA13cOWckGwEvAAU9tJLPlPHrdpX4IXQOIGJ47ceRuWx2CcdMuyXHogB2fsmflm&#10;vs/jxdXeGrZTEbV3NZ9OSs6UE15q19b8w/v1k+ecYQInwXinan5QyK+Wjx8t+lCpme+8kSoyAnFY&#10;9aHmXUqhKgoUnbKAEx+UI2fjo4VE29gWMkJP6NYUs7K8LHofZYheKEQ6XY1OfkSM5wD6ptFCrbzY&#10;WuXSiBqVgUSUsNMB+XLotmmUSG+bBlVipubENA0rFSF7k9diuYCqjRA6LY4twDktPOBkQTsqeoJa&#10;QQK2jfofKKtF9OibNBHeFiORQRFiMS0faPOug6AGLiQ1hpPo+P9gxZvdTWRa1nzOmQNLF3776fvP&#10;j19+/fhM6+23r2yeReoDVhR77W7icYfhJmbG+yba/CcubD8IezgJq/aJCTq8uCzLeUmaiztf8Scx&#10;REyvlLcsGzU32mXOUMHuNSYqRqF3IfnYONbX/OmzF7MLwgOawIZunkwbiAW6dkhGb7Rca2NyCsZ2&#10;c20i2wFNwXpd0pc5EfBfYbnKCrAb4wbXOB+dAvnSSZYOgfRx9Cx47sEqyZlR9IqyRYBQJdDmnEgq&#10;bVxOUMOMHolmkUdZs7Xx8kB3sw1Rtx0JMx16zh6ahaH749zmYbu/J/v+W13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xhg5TUAAAABQEAAA8AAAAAAAAAAQAgAAAAIgAAAGRycy9kb3ducmV2Lnht&#10;bFBLAQIUABQAAAAIAIdO4kCp/pwb/QEAAPMDAAAOAAAAAAAAAAEAIAAAACMBAABkcnMvZTJvRG9j&#10;LnhtbFBLBQYAAAAABgAGAFkBAACSBQAAAAA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大英县文化广播电视和旅游局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w w:val="100"/>
          <w:kern w:val="0"/>
          <w:position w:val="0"/>
          <w:sz w:val="44"/>
          <w:szCs w:val="44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方正小标宋简体" w:cs="Times New Roman"/>
          <w:color w:val="auto"/>
          <w:spacing w:val="0"/>
          <w:w w:val="100"/>
          <w:kern w:val="0"/>
          <w:position w:val="0"/>
          <w:sz w:val="44"/>
          <w:szCs w:val="44"/>
          <w:shd w:val="clear" w:color="auto" w:fill="auto"/>
          <w:lang w:eastAsia="en-US" w:bidi="en-US"/>
        </w:rPr>
        <w:t>专项预算项目支出绩效自评报告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0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（2022-2023年度文旅宣传营销经费）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一、项目概况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（一）项目基本情况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县文化广电旅游局贯彻落实党中央关于文化、文物、广播电视和旅游工作的方针政策和省委、市委、县委的决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策部署，负责管理全县文化、广播电视、旅游、文物对外及对港澳台交流合作与宣传推广工作，组织文化、广播电视、旅游、文物对外及对港澳台交流活动，推动大英文化旅游品牌建设。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为高质量开展我县文化和旅游宣传营销工作，叫响“大美大英 有你更美”宣传口号，擦亮天府旅游名县“金字招牌”，确保天府旅游名县提升建设取得新成效，全面提升大英对外知名度和影响力，扎实做好2022—2023年我县文旅线上线下媒体营销、品牌节会活动宣传等相关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根据财务管理相关规定和制度进行专项资金管理，根据预算安排分配资金，资金主要用于参加文旅展会、彩铃视频推送、宣传资料制作、举办文旅节会，媒体合作等方面。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（二）项目绩效目标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1.项目主要内容。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完成文旅宣传营销相关指标，例如线下媒体推广点位、宣传次数、宣传时间等方面。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2.绩效目标。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计划使用县财政资金162.6万元，用于大英县文旅宣传营销经费项目，高质量开展我县文化和旅游宣传营销工作，擦亮天府旅游名县“金字招牌”，确保天府旅游名县提升建设取得新成效，全面提升大英对外知名度和影响力，扎实做好2023年我县文旅线上媒体营销相关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该经费项目申报内容与具体实施内容相符，并由局党组进行审核通过，其申报目标合理可行。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（三）项目自评步骤及方法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按照2023年县级项目支出绩效评价指标体系开展，2022—2023年度文旅宣传营销经费项目绩效逐项、分指标进行全面系统自查和评价。自评报告由业务股室经办人员结合本年度资金使用实际情况草拟，分别报分管领导、主要领导审阅后再报送上级部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二、项目资金申报及使用情况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（一）项目资金申报及批复情况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项目资金申报162.6万元，批复162.6万元，实际下达162.6万元，实际支付162.6万元。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（二）资金计划、到位及使用情况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资金计划。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根据活动方案，该项目预算经费162.6万元，其中财政资金162.6万元。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资金到位。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2023年到位162.6万元。全部保障到位且高效运行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充分发挥资金使用效益，无截留、挪用项目资金行为。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资金使用。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截止评价时点，162.6万元已全部用于2022—2023年度文旅宣传营销经费大文广旅〔2023〕201号项目。程序合规合法。使用率100%。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（三）项目财务管理情况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严格按照规定，加强资金管理，提高资金使用效益，并按照《中共中央国务院关于全面实施预算绩效管理的意见》的要求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完善绩效目标管理，做好绩效运行监控绩效评价，确保资金规范使用。财务管理制度健全，严格执行财务管理制度，账务处理及时，会计核算规范。保证专款专用，不存在截留、滞留、挤占、挪用、套取、虚报、冒领的问题，资金发放复查由财务人员按照财务制度进行资金的审核、支付和核算，所有支出均以银行转账及财政直接支付的方式进行。在具体支付时，具备了资金发票、合同、验收清单等相关材料，手续完善，不存在虚假会计凭证的情况，会计严格执行财务管理制度，财务处理及时，核算规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三、项目实施及管理情况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（一）项目组织架构及实施流程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项目由县文化广电旅游局宣传传媒机构管理工作组、项目工作组共同实施。业务股室年初上报预算，拟定项目方案，上报局党组审定。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（二）项目管理情况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县文化广电旅游局对下属事业单位实行“财务统一管理、工作统一安排、绩效统一考核、人员统一调配”四个统一管理办法，因此由县文化广电旅游局统一管理。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（三）项目监管情况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为确保资金的合理、合规、合法使用，由县文化广电旅游局统一管理，严格按照《财政部关于印发＜中央对地方专项转移支付绩效目标管理暂行办法＞的通知》（财预〔2015〕163号）的要求，加强对资金使用的监控，确保专款专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四、项目绩效情况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（一）项目完成情况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1.质量指标。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完成宣传资料准确率、宣传次数准确率、宣传时间准确率等指标达100%。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2.时效指标。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参展及时率100%，宣传及时率100%。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3.成本指标。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2022—2023年度文旅宣传营销成本162.6万。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（二）项目效益情况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1.社会效益。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大英文化名片对外传播和展示，提升大英文旅的知名度和美誉度95%，不断增强大英县全域旅游的核心竞争力95%，扩大城市影响力95%。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2.满意度指标完成情况分析。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普查满意度95%。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黑体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五、评价结论及建议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（一）评价结论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部门项目支出绩效自我评价结果是优秀。在资金分配、使用、监管等方面都取得了良好效果，高质量开展了我县文化和旅游宣传营销工作，叫响“大美大英 有你更美”宣传口号，擦亮天府旅游名县“金字招牌”，确保天府旅游名县提升建设取得新成效，全面提升大英对外知名度和影响力，有助于扎实做好2022—2023年我县文旅线上线下媒体营销、品牌节会活动宣传等相关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（二）存在的问题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节会类型丰富度有待进一步加强，需要推进的内容多，过程应更加有序。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（三）相关建议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加大财政倾斜力度，进一步细化全县文旅线上线下媒体营销、品牌节会活动宣传。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附件：2024年县级专项预算项目支出绩效评价指标体系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zh-CN" w:bidi="en-US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大英县文化广播电视和旅游局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059" w:firstLineChars="1581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2024年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val="en-US" w:eastAsia="zh-CN" w:bidi="en-US"/>
        </w:rPr>
        <w:t>5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月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val="en-US" w:eastAsia="zh-CN" w:bidi="en-US"/>
        </w:rPr>
        <w:t>10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  <w:t>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32"/>
          <w:szCs w:val="32"/>
          <w:shd w:val="clear" w:color="auto" w:fill="auto"/>
          <w:lang w:eastAsia="en-US" w:bidi="en-US"/>
        </w:rPr>
      </w:pPr>
    </w:p>
    <w:p>
      <w:pPr>
        <w:bidi w:val="0"/>
        <w:rPr>
          <w:rFonts w:hint="default" w:ascii="Times New Roman" w:hAnsi="Times New Roman" w:cs="Times New Roman"/>
          <w:color w:val="auto"/>
          <w:lang w:val="en-US" w:eastAsia="zh-CN"/>
        </w:rPr>
        <w:sectPr>
          <w:footerReference r:id="rId3" w:type="default"/>
          <w:pgSz w:w="11910" w:h="16840"/>
          <w:pgMar w:top="1871" w:right="1474" w:bottom="1361" w:left="1531" w:header="850" w:footer="1134" w:gutter="0"/>
          <w:pgNumType w:fmt="decimal" w:start="1"/>
          <w:cols w:space="0" w:num="1"/>
          <w:rtlGutter w:val="0"/>
          <w:docGrid w:linePitch="312" w:charSpace="0"/>
        </w:sectPr>
      </w:pPr>
    </w:p>
    <w:p>
      <w:pPr>
        <w:pStyle w:val="11"/>
        <w:ind w:left="0" w:leftChars="0" w:firstLine="0" w:firstLineChars="0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2024年县级专项预算项目支出绩效评价指标体系</w:t>
      </w:r>
    </w:p>
    <w:tbl>
      <w:tblPr>
        <w:tblStyle w:val="14"/>
        <w:tblW w:w="158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674"/>
        <w:gridCol w:w="774"/>
        <w:gridCol w:w="2219"/>
        <w:gridCol w:w="569"/>
        <w:gridCol w:w="3193"/>
        <w:gridCol w:w="3223"/>
        <w:gridCol w:w="2988"/>
        <w:gridCol w:w="1034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tblHeader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评价对象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评价内容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依据材料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评价过程（只写扣分项的原因）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购买主体</w:t>
            </w: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决策管理（10分）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项目决策（5分）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决策依据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实行购买的服务项目是否符合中央、省、市、县决策部署；符合当前经济社会发展需求；是否属于购买服务范畴；是否属于购买主体职能职责。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符合中央、省、市、县决策部署；符合当前经济社会发展需求；属于购买服务范畴；属于购买主体职能职责的得2分。一项不符合不得分。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上级或本级关于本项目的通知、规划、方案等。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决策程序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项目是否经过集体决策、可行性论证等程序。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有集体决策、可行性论证等程序的得1分，否则不得分。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可行性论证报告。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购买的必要性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项目是否具有现实需求；是否有确定的服务对象和受益对象。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具有现实需求，有确定的服务对象和受益对象的得2分，否则不得分。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上级或本级关于本项目的通知、规划、方案等。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可行性论证报告。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绩效目标（5分）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目标内容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是否制定明确合理的服务绩效目标，比如服务数量、频次、质量及相关技术要求、质保措施、违约责任等。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绩效目标完整明确的得5分；欠完整明确的酌情得1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4分；没有不得分。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项目绩效目标申报表。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项目购买与监管（20分）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项目管理（15分）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管理制度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购买主体是否建立购买服务绩效管理相关制度（包括购买服务项目、预算、财务、绩效、监督等管理及保障措施等）。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相关制度健全得3分；不够健全的酌情得0.5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2.5分（以0.5分的倍数打分）；没有制度不得分。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购买服务项目、预算、财务、绩效、监督等管理制度。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购买需求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购买需求是否明确、完整、合规，公共服务项目是否征求服务对象的意见建议。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购买需求明确、完整、合规的得2分，存在不足的酌情得0.5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1.5分（以0.5分的倍数打分）；公共服务项目征求服务对象意见建议的得1分，否则不得分（不属于公共服务的项目不评价此内容，分值调整至“购买需求是否明确、完整、合规”）。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上级或本级关于本项目的通知、规划、方案等。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可行性论证报告。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公共服务项目征求服务对象意见建议记录。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测算依据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项目预算金额是否经过市场价格摸底和认真测算比较、是否在合理区间。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项目预算金额经过市场价格摸底和认真测算比较且合理得3分；欠合理得0.5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2.5分（以0.5分的倍数打分）；未摸底和认真测算不得分。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项目预算金额经过市场价格摸底和认真测算比较的数据。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购买程序的规范性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选择承接主体是否按照竞争择优原则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若不具备竞争性购买条件的，通过直接委托等方式购买的理由是否合理充分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是否体现公平、公正的原则；购买程序是否符合购买服务相关要求。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选择承接主体未按照竞争择优原则，无理由通过直接委托等方式购买服务，不符合体现公平、公正原则的不得分；购买程序不符合购买服务相关要求，发现一处扣1分，直至扣完。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需以下招投标流程的证明材料：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受理申请表。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确定采购方式（公开招标、邀请招标、竞争性谈判、单一来源采购、询价采购、其他采购方式）。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编制招标文件。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招标办审核招标文件，采购人对招标文件进行确认。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发布招标公告。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投标报名，资格预审，发售招标文件。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组织答疑，对招标文件进行必要的补遗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发布变更公告）。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组织召开招标会。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9、中标公示。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签发中标通知（成交确认）书。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未中标供应商退还投标保证金。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签订合同，即中标供应商和业主单位在招标文件规定的时间内签订合同。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中标供应商退还投标保证金，并按招标文件规定缴纳履约保证金。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将招标文件资料经整理后统一装订编号归档。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服务合同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是否签订购买服务合同，合同内容是否规范、合理、公平、完备、详实，合同内容是否约定项目实施后应实现的绩效目标，是否约定履约验收标准，履约验收结果是否与资金支付挂钩。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服务合同规范、完备、详实得3分；欠规范酌情得0.5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2.5分（以0.5分的倍数打分）；无合同不得分。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购买服务合同。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资金管理（2分）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资金拨付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资金拨付是否按照合同约定执行，有无提前拨付、超额拨付、拖欠资金等违规现象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有提前拨付、超额拨付、拖欠资金等问题，发现一处扣1分，直至扣完。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资金支付明细表。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项目监管（3分）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监管执行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购买主体是否在项目实施过程中对承接主体提供服务的数量、质量情况进行监管，发现问题是否及时纠正；是否按规定进行项目履约验收。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购买主体未按规、及时履行监管职责，发现一起扣1分，直至扣完。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购买主体对本项目监督管理的相关记录。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</w:t>
            </w: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组织管理（10分）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项目实施（10分）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组织管理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承接主体是否具有提供服务的专门内设机构和人员；人数是否合理，分工是否明确；是否对服务人员进行培训，服务人员资格、资质是否符合要求，服务人员对服务内容质量流程等是否清楚掌握。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提供专门的内设机构和人员、人数合理、资格资质符合要求、分工明确、开展培训、服务人员业务熟练得5分（具体内容应结合项目实际确定）；欠缺一项内容的扣1分，直至扣完。没有发现问题，直接得5分。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承接主体资格资质证书。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承接主体人员分配、具体分工、服务人员业务内容等相关数据。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过程控制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承接主体对服务中出现的问题是否及时研究措施解决，对服务数量质量品质时效等是否实行痕迹管理，相关档案资料是否及时规范齐备。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及时响应购买主体要求、研究解决问题、实行痕迹管理、档案资料规范齐备等得5分；欠缺一项内容的扣1分，直至扣完；无措施无档案不得分。没有发现问题，直接得5分。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承接主体对服务中出现问题的解决措施证明资料。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承接主体对该项目的相关档案资料。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项目绩效（60分）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服务效果（40分）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服务数量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主要反映为服务人次、服务频次等。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服务人次、服务频次达到或超过合同约定得5分；每低于5%则扣减1分，直至扣完。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通过访谈、实地核查项目完成情况，获取承接主体服务人次、服务频次的数据。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服务时效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服务单次时长、总时长、服务周期、服务准时率、服务延时率等。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服务时效达到或超过合同约定得5分；单次时效低于合同标准，每1次扣减1分，直至扣完。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通过访谈、实地核查项目完成情况，获取承接主体提供服务单次时长、总时长、服务周期、服务准时率、服务延时率的数据。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服务品质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主要反映承接主体提供服务品质情况，如服务合格率、优质率、不合格率、投诉率，以及服务水平、服务态度等。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提供服务达到合同约定得5分；出现服务不合格、服务标准不够、服务态度被投诉等影响服务品质情况，每出现一次扣1分，直至扣完。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通过访谈、实地核查项目完成情况、问卷调查，获取如服务合格率、优质率、不合格率、投诉率，以及服务水平、服务态度等的数据。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服务成本（两个三级指标由评价工作组根据现场情况2选1进行评价，如无法取得对比成本数据或无需进行成本指标评价，本指标10分全部调整至项目效益三级指标）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反映购买服务支出相比政府以往自身提供服务3年平均支出成本费用节约程度；或比以往自身提供服务3年平均支出成本费用相同或增长的情况下，承接主体提供服务数量或质量增长率与资金增长率对比情况。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项目实际支付总金额。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政府以往自身提供服务3年平均支出成本费用。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承接主体提供的服务数量或者质量增长率数据。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与市场同类服务平均价格相比资金节约率；或在与平均价格相同或增长的情况下，承接主体提供服务数量或质量增长率与资金增长率对比情况。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项目实际支付总金额。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市场同类服务平均价格。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承接主体提供的服务数量或者质量增长率数据。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由评价工作组根据项目绩效目标、实施目的，制定出项目实施对社会或民生带来的影响效果方面的项目效益指标（主要指经济、社会、生态效益，不少于3个）。通过现场评价，得出项目完成后的实际效果较设定的效果指标的实现程度。按单个效果指标单独打分，多个指标取算数平均数后为本指标得分。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实际效果达到设定的绩效目标得20分；超出设定绩效目标5%，每次加2分，最多加5分；低于设定绩效目标5%，每1次扣减2分，直至扣完。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根据项目的绩效指标，包括经济、社会、生态效益等，通过访谈、实地核查项目完成情况、问卷调查等方式获取相关数据。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满意度（20分）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受益对象、服务对象、购买主体满意度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主要侧重反映对受益对象、服务对象、购买主体的需求满足程度及满意度。（根据项目实际，针对不同主体分别设置问卷调查表（百分制），不同问卷得分算数平均后换算出本指标得分）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根据问卷调查满意率分级打分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满意度调查问卷。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footerReference r:id="rId4" w:type="default"/>
      <w:pgSz w:w="16840" w:h="11910" w:orient="landscape"/>
      <w:pgMar w:top="1417" w:right="1417" w:bottom="1417" w:left="1417" w:header="850" w:footer="1134" w:gutter="0"/>
      <w:pgNumType w:fmt="decimal" w:start="6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6F83BA"/>
    <w:multiLevelType w:val="multilevel"/>
    <w:tmpl w:val="116F83BA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1N2UxNjcyNTQ3MTZhMmM0YWUyYTZmYmU1ZTA2ZTMifQ=="/>
  </w:docVars>
  <w:rsids>
    <w:rsidRoot w:val="00000000"/>
    <w:rsid w:val="01D44F54"/>
    <w:rsid w:val="07536155"/>
    <w:rsid w:val="09131F43"/>
    <w:rsid w:val="0EBD108E"/>
    <w:rsid w:val="0F0A1DF9"/>
    <w:rsid w:val="139B20B6"/>
    <w:rsid w:val="13C870B0"/>
    <w:rsid w:val="195C14A3"/>
    <w:rsid w:val="19614D0C"/>
    <w:rsid w:val="19D21766"/>
    <w:rsid w:val="1E3E1C48"/>
    <w:rsid w:val="202754DE"/>
    <w:rsid w:val="212E5E1B"/>
    <w:rsid w:val="241926D2"/>
    <w:rsid w:val="2420775E"/>
    <w:rsid w:val="28171F55"/>
    <w:rsid w:val="2C73502A"/>
    <w:rsid w:val="43F5103F"/>
    <w:rsid w:val="45196317"/>
    <w:rsid w:val="483D231C"/>
    <w:rsid w:val="4A38723F"/>
    <w:rsid w:val="4AE271AB"/>
    <w:rsid w:val="4AE72A13"/>
    <w:rsid w:val="4AF55130"/>
    <w:rsid w:val="51F20F33"/>
    <w:rsid w:val="564069E5"/>
    <w:rsid w:val="56F512CE"/>
    <w:rsid w:val="61FC630D"/>
    <w:rsid w:val="67011E45"/>
    <w:rsid w:val="6BB40298"/>
    <w:rsid w:val="6E850DAA"/>
    <w:rsid w:val="73087F27"/>
    <w:rsid w:val="775748F9"/>
    <w:rsid w:val="7BC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numPr>
        <w:ilvl w:val="0"/>
        <w:numId w:val="1"/>
      </w:numPr>
      <w:spacing w:line="570" w:lineRule="exact"/>
      <w:ind w:firstLine="880" w:firstLineChars="200"/>
      <w:jc w:val="left"/>
      <w:outlineLvl w:val="0"/>
    </w:pPr>
    <w:rPr>
      <w:rFonts w:ascii="宋体" w:hAnsi="宋体" w:eastAsia="黑体"/>
      <w:bCs/>
      <w:kern w:val="44"/>
      <w:szCs w:val="4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numPr>
        <w:ilvl w:val="1"/>
        <w:numId w:val="1"/>
      </w:numPr>
      <w:spacing w:line="500" w:lineRule="exact"/>
      <w:jc w:val="center"/>
      <w:outlineLvl w:val="1"/>
    </w:pPr>
    <w:rPr>
      <w:rFonts w:ascii="宋体" w:hAnsi="宋体" w:eastAsia="宋体"/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firstLine="40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before="29"/>
      <w:ind w:left="220"/>
      <w:jc w:val="left"/>
    </w:pPr>
    <w:rPr>
      <w:rFonts w:ascii="宋体" w:hAnsi="宋体" w:eastAsia="宋体"/>
      <w:kern w:val="0"/>
      <w:sz w:val="24"/>
      <w:lang w:eastAsia="en-US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6">
    <w:name w:val="标题 1 Char"/>
    <w:link w:val="2"/>
    <w:qFormat/>
    <w:uiPriority w:val="0"/>
    <w:rPr>
      <w:rFonts w:ascii="宋体" w:hAnsi="宋体" w:eastAsia="黑体"/>
      <w:bCs/>
      <w:kern w:val="44"/>
      <w:sz w:val="32"/>
      <w:szCs w:val="44"/>
    </w:rPr>
  </w:style>
  <w:style w:type="character" w:customStyle="1" w:styleId="17">
    <w:name w:val="标题 2 字符"/>
    <w:link w:val="3"/>
    <w:qFormat/>
    <w:uiPriority w:val="0"/>
    <w:rPr>
      <w:rFonts w:ascii="宋体" w:hAnsi="宋体" w:eastAsia="宋体"/>
      <w:b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2022-03-01T02:46:00Z</dcterms:created>
  <dc:creator>Administrator</dc:creator>
  <cp:lastModifiedBy>恒阳文化传播有限公司</cp:lastModifiedBy>
  <cp:lastPrinted>2024-05-13T03:19:35Z</cp:lastPrinted>
  <dcterms:modified xsi:type="dcterms:W3CDTF">2024-05-13T03:19:44Z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68CAD4523D1B415BBFBB93A291781990</vt:lpwstr>
  </property>
</Properties>
</file>