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480" w:lineRule="exact"/>
        <w:textAlignment w:val="auto"/>
        <w:rPr>
          <w:rFonts w:hint="default" w:ascii="Times New Roman" w:hAnsi="Times New Roman" w:eastAsia="仿宋_GB2312" w:cs="Times New Roman"/>
          <w:b/>
          <w:color w:val="000000"/>
          <w:sz w:val="32"/>
          <w:szCs w:val="32"/>
        </w:rPr>
      </w:pPr>
      <w:bookmarkStart w:id="0" w:name="bt"/>
      <w:bookmarkEnd w:id="0"/>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cs="Times New Roman"/>
        </w:rPr>
        <w:pict>
          <v:shape id="_x0000_s1026" o:spid="_x0000_s1026" o:spt="136" type="#_x0000_t136" style="position:absolute;left:0pt;margin-left:20.2pt;margin-top:4pt;height:59.55pt;width:413.85pt;z-index:251661312;mso-width-relative:page;mso-height-relative:page;" fillcolor="#FF0000" filled="t" stroked="t" coordsize="21600,21600" adj="10800">
            <v:path/>
            <v:fill on="t" color2="#FFFFFF" focussize="0,0"/>
            <v:stroke color="#FF0000"/>
            <v:imagedata o:title=""/>
            <o:lock v:ext="edit" aspectratio="f"/>
            <v:textpath on="t" fitshape="t" fitpath="t" trim="t" xscale="f" string="大英县文化广播电视和旅游局文件" style="font-family:方正小标宋简体;font-size:36pt;v-rotate-letters:f;v-same-letter-heights:f;v-text-align:center;"/>
          </v:shape>
        </w:pict>
      </w: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仿宋_GB2312" w:cs="Times New Roman"/>
          <w:color w:val="000000"/>
          <w:sz w:val="32"/>
          <w:szCs w:val="32"/>
        </w:rPr>
      </w:pPr>
      <w:bookmarkStart w:id="1" w:name="remove_shape_2"/>
      <w:r>
        <w:rPr>
          <w:rFonts w:hint="default"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26035</wp:posOffset>
                </wp:positionH>
                <wp:positionV relativeFrom="paragraph">
                  <wp:posOffset>15240</wp:posOffset>
                </wp:positionV>
                <wp:extent cx="5600700" cy="0"/>
                <wp:effectExtent l="0" t="17145" r="0" b="20955"/>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349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05pt;margin-top:1.2pt;height:0pt;width:441pt;z-index:251662336;mso-width-relative:page;mso-height-relative:page;" filled="f" stroked="t" coordsize="21600,21600" o:gfxdata="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xhg5TUAAAABQEAAA8AAAAAAAAAAQAgAAAAIgAAAGRycy9kb3ducmV2Lnht&#10;bFBLAQIUABQAAAAIAIdO4kCp/pwb/QEAAPMDAAAOAAAAAAAAAAEAIAAAACMBAABkcnMvZTJvRG9j&#10;LnhtbFBLBQYAAAAABgAGAFkBAACSBQAAAAA=&#10;">
                <v:fill on="f" focussize="0,0"/>
                <v:stroke weight="2.75pt" color="#FF0000" joinstyle="round"/>
                <v:imagedata o:title=""/>
                <o:lock v:ext="edit" aspectratio="f"/>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大英县文化广播电视和旅游局</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660" w:lineRule="exact"/>
        <w:ind w:left="0" w:right="0" w:firstLine="0"/>
        <w:jc w:val="center"/>
        <w:textAlignment w:val="auto"/>
        <w:rPr>
          <w:rFonts w:hint="default" w:ascii="Times New Roman" w:hAnsi="Times New Roman" w:eastAsia="方正小标宋简体" w:cs="Times New Roman"/>
          <w:color w:val="auto"/>
          <w:spacing w:val="0"/>
          <w:w w:val="100"/>
          <w:kern w:val="0"/>
          <w:position w:val="0"/>
          <w:sz w:val="44"/>
          <w:szCs w:val="44"/>
          <w:shd w:val="clear" w:color="auto" w:fill="auto"/>
          <w:lang w:eastAsia="en-US" w:bidi="en-US"/>
        </w:rPr>
      </w:pPr>
      <w:r>
        <w:rPr>
          <w:rFonts w:hint="default" w:ascii="Times New Roman" w:hAnsi="Times New Roman" w:eastAsia="方正小标宋简体" w:cs="Times New Roman"/>
          <w:color w:val="auto"/>
          <w:spacing w:val="0"/>
          <w:w w:val="100"/>
          <w:kern w:val="0"/>
          <w:position w:val="0"/>
          <w:sz w:val="44"/>
          <w:szCs w:val="44"/>
          <w:shd w:val="clear" w:color="auto" w:fill="auto"/>
          <w:lang w:eastAsia="en-US" w:bidi="en-US"/>
        </w:rPr>
        <w:t>专项预算项目支出绩效自评报告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0"/>
        <w:jc w:val="center"/>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（2023年退役军人优惠）</w:t>
      </w:r>
      <w:bookmarkStart w:id="2" w:name="_GoBack"/>
      <w:bookmarkEnd w:id="2"/>
    </w:p>
    <w:p>
      <w:pPr>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一、项目概况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（一）项目基本情况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1</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为贯彻落实习近平总书记关于退役军人工作重要论述和给四川省革命伤残军人休养院全体同志重要回信精神，进一步做好军人军属、退役军人和其他优抚对象优待工作，努力让优抚对象受到全社会尊重，让军人成为全社会尊崇的职业，根据《军人地位和权益保障法》《退役军人保障法》《退役军人事务部等20部门关于加强军人军属、退役军人和其他优抚对象优待工作的意见》等有关规定。</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2</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根据四川省退役军人事务厅等21部门《关于加强军人军属、退役军人和其他优抚对象优待工作的实施意见》要求，结合我县景区实际，为切实保障军人军属的权益，让军人军属得到更多的尊崇、优待和实惠。中国死海景区在2023年4月29日—10月8日期间，对持优待证退役军人和三属（烈士遗属、因公牺牲军人遗属、病故军人遗属）实行景区门票全免政策。</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val="0"/>
          <w:bCs w:val="0"/>
          <w:color w:val="auto"/>
          <w:spacing w:val="0"/>
          <w:w w:val="100"/>
          <w:kern w:val="0"/>
          <w:position w:val="0"/>
          <w:sz w:val="32"/>
          <w:szCs w:val="32"/>
          <w:shd w:val="clear" w:color="auto" w:fill="auto"/>
          <w:lang w:eastAsia="en-US" w:bidi="en-US"/>
        </w:rPr>
        <w:t>3</w:t>
      </w:r>
      <w:r>
        <w:rPr>
          <w:rFonts w:hint="default" w:ascii="Times New Roman" w:hAnsi="Times New Roman" w:eastAsia="仿宋_GB2312" w:cs="Times New Roman"/>
          <w:b w:val="0"/>
          <w:bCs w:val="0"/>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一是严格议事制度。</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由分管领导组织相关部门制订工作方案，并报局党组会议讨论通过。</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二是规范经费使用制度。</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要求相关部门严格遵守经费使用程序，对专项资金进行合理规范使用。</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三是健全考核机制。</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制定了相关的专项资金使用管理措施，做到专款专用。</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4</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活动期间，中国死海景区共优惠3194人次，补助金额为15.97万元。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（二）项目绩效目标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1</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项目主要内容。根据四川省退役军人事务厅等21部门《关于加强军人军属、退役军人和其他优抚对象优待工作的实施意见》要求，结合我县景区实际，为切实保障军人军属的权益，让军人军属得到更多的尊崇、优待和实惠。中国死海景区在2023年4月29日—10月8日期间，对持优待证退役军人和三属（烈士遗属、因公牺牲军人遗属、病故军人遗属）实行景区门票全免政策，共优惠3194人次。</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2</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项目应实现的具体绩效目标，包括目标的量化、细化情况以及项目实施进度计划等。按照要求，在对持优待证退役军人和三属（烈士遗属、因公牺牲军人遗属、病故军人遗属）实行景区门票全免政策中，优惠3194人次，准确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3</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该经费项目申报内容与具体实施内容相符，并由县文化广电旅游局、县财政局进行审核，报县政府通过，其申报目标合理可行。</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（三）项目自评步骤及方法</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1.前期评价准备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收集并查阅项目政策文件和申报资料，设定项目绩效评价指标体系。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2.业务股室调研</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开展座谈会，与申报项目的相关业务股室进行沟通，查阅项目资金使用情况、项目完成情况、项目管理资料和项目效果资料，收集相关数据，广泛听取业务股室的意见和建议，为进一步优化项目管理提供依据。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3.满意度调查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向项目相关受益对象发放满意度调查问卷，了解其对项目实施的满意度情况，收集相关意见和建议。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4.综合分析</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该项目绩效目标的申报情况与实际执行情况相符，绩效目标的实现程度100%，项目完成度良好。</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二、项目资金申报及使用情况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（一）项目资金申报及批复情况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由我局向县政府申请资金，《关于兑付中国死海对军人军属优惠补助资金的请示》（大文广旅〔2023〕198号），预算项目资金申报15.97万元，批复15.97万元。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（二）资金计划、到位及使用情况（可用表格形式反映）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1</w:t>
      </w:r>
      <w:r>
        <w:rPr>
          <w:rFonts w:hint="default" w:ascii="Times New Roman" w:hAnsi="Times New Roman" w:eastAsia="仿宋_GB2312" w:cs="Times New Roman"/>
          <w:b/>
          <w:bCs/>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资金计划。</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根据《关于兑付中国死海对军人军属优惠补助资金的请示》要求，由县财政拨付15.97万元。目前，项目资金已全部拨付。</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2</w:t>
      </w:r>
      <w:r>
        <w:rPr>
          <w:rFonts w:hint="default" w:ascii="Times New Roman" w:hAnsi="Times New Roman" w:eastAsia="仿宋_GB2312" w:cs="Times New Roman"/>
          <w:b/>
          <w:bCs/>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资金到位。</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由县财政从文旅产业发展专项资金中拨付15.97万元。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3</w:t>
      </w:r>
      <w:r>
        <w:rPr>
          <w:rFonts w:hint="default" w:ascii="Times New Roman" w:hAnsi="Times New Roman" w:eastAsia="仿宋_GB2312" w:cs="Times New Roman"/>
          <w:b/>
          <w:bCs/>
          <w:color w:val="auto"/>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资金使用。</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截止自评时间节点，已拨付15.97万元，完成率100%。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（三）项目财务管理情况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我局财务管理制度健全，严格执行财务管理制度，账务处理及时，会计核算规范。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三、项目实施及管理情况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（一）项目组织架构及实施流程</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按照《关于兑付中国死海对军人军属优惠补助资金的请示》要求，支付项目总费用15.97万元，一次性拨付。</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（二）项目管理情况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我局实行“财务统一管理、工作统一安排、绩效统一考核、人员统一调配”四个统一管理办法，因此该项目由县文化广电旅游局统一管理。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（三）项目监管情况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县财政局负责资金预算安排，会同我局参与项目审核及下达项目资金预算计划，办理资金拨付手续，对资金使用情况进行监督检查和绩效评价。</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四、项目绩效情况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（一）项目完成情况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1.目标任务量完成情况：</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中国死海景区在2023年4月29日—10月8日期间，对持优待证退役军人和三属（烈士遗属、因公牺牲军人遗属、病故军人遗属）实行景区门票全免政策，共优惠3194人次。</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2.目标质量完成情况：</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按照要求，在对持优待证退役军人和三属（烈士遗属、因公牺牲军人遗属、病故军人遗属）实行景区门票全免政策中，优惠准确率100%。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3.目标进度完成情况：</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2023年10月8日，中国死海景区完成对持优待证退役军人和三属（烈士遗属、因公牺牲军人遗属、病故军人遗属）实行景区门票全免政策。</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（二）项目效益情况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1</w:t>
      </w:r>
      <w:r>
        <w:rPr>
          <w:rFonts w:hint="default" w:ascii="Times New Roman" w:hAnsi="Times New Roman" w:eastAsia="仿宋_GB2312" w:cs="Times New Roman"/>
          <w:b/>
          <w:bCs/>
          <w:color w:val="auto"/>
          <w:spacing w:val="0"/>
          <w:w w:val="100"/>
          <w:kern w:val="0"/>
          <w:position w:val="0"/>
          <w:sz w:val="32"/>
          <w:szCs w:val="32"/>
          <w:shd w:val="clear" w:color="auto" w:fill="auto"/>
          <w:lang w:val="en-US" w:eastAsia="zh-CN" w:bidi="en-US"/>
        </w:rPr>
        <w:t>.</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社会效益。</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对持优待证退役军人和三属（烈士遗属、因公牺牲军人遗属、病故军人遗属）实行景区免门票政策共优惠3194人次，优惠准确率100%。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2</w:t>
      </w:r>
      <w:r>
        <w:rPr>
          <w:rFonts w:hint="default" w:ascii="Times New Roman" w:hAnsi="Times New Roman" w:eastAsia="仿宋_GB2312" w:cs="Times New Roman"/>
          <w:b/>
          <w:bCs/>
          <w:color w:val="auto"/>
          <w:spacing w:val="0"/>
          <w:w w:val="100"/>
          <w:kern w:val="0"/>
          <w:position w:val="0"/>
          <w:sz w:val="32"/>
          <w:szCs w:val="32"/>
          <w:shd w:val="clear" w:color="auto" w:fill="auto"/>
          <w:lang w:val="en-US" w:eastAsia="zh-CN" w:bidi="en-US"/>
        </w:rPr>
        <w:t>.</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可持续影响。</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《关于兑付中国死海对军人军属优惠补助资金的请示》，推动重点文旅项目建设、产业发展，进一步提升了大英知名度和影响力。</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3</w:t>
      </w:r>
      <w:r>
        <w:rPr>
          <w:rFonts w:hint="default" w:ascii="Times New Roman" w:hAnsi="Times New Roman" w:eastAsia="仿宋_GB2312" w:cs="Times New Roman"/>
          <w:b/>
          <w:bCs/>
          <w:color w:val="auto"/>
          <w:spacing w:val="0"/>
          <w:w w:val="100"/>
          <w:kern w:val="0"/>
          <w:position w:val="0"/>
          <w:sz w:val="32"/>
          <w:szCs w:val="32"/>
          <w:shd w:val="clear" w:color="auto" w:fill="auto"/>
          <w:lang w:val="en-US" w:eastAsia="zh-CN" w:bidi="en-US"/>
        </w:rPr>
        <w:t>.</w:t>
      </w: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服务对象满意度。</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退役军人和三属（烈士遗属、因公牺牲军人遗属、病故军人遗属）满意度100%，县辖区内群众满意度100%。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五、评价结论及建议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（一）评价结论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按照绩效评价工作相关要求，通过对各项指标的评价，较好的完成了该项目，得到全县人民群众的好评。</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（二）存在的问题</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（三）相关建议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附件：2024年县级专项预算项目支出绩效评价指标体系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val="en-US" w:eastAsia="zh-CN" w:bidi="en-US"/>
        </w:rPr>
      </w:pPr>
    </w:p>
    <w:p>
      <w:pPr>
        <w:keepNext w:val="0"/>
        <w:keepLines w:val="0"/>
        <w:pageBreakBefore w:val="0"/>
        <w:widowControl w:val="0"/>
        <w:shd w:val="clear" w:color="auto" w:fill="auto"/>
        <w:tabs>
          <w:tab w:val="left" w:pos="8190"/>
        </w:tabs>
        <w:kinsoku/>
        <w:wordWrap/>
        <w:overflowPunct/>
        <w:topLinePunct w:val="0"/>
        <w:autoSpaceDE/>
        <w:autoSpaceDN/>
        <w:bidi w:val="0"/>
        <w:adjustRightInd/>
        <w:snapToGrid/>
        <w:spacing w:before="0" w:after="0" w:line="560" w:lineRule="exact"/>
        <w:ind w:left="0" w:right="0" w:firstLine="4160" w:firstLineChars="13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大英县文化广播电视和旅游局</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5059" w:firstLineChars="1581"/>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2024年</w:t>
      </w:r>
      <w:r>
        <w:rPr>
          <w:rFonts w:hint="default" w:ascii="Times New Roman" w:hAnsi="Times New Roman" w:eastAsia="仿宋_GB2312" w:cs="Times New Roman"/>
          <w:color w:val="000000"/>
          <w:spacing w:val="0"/>
          <w:w w:val="100"/>
          <w:kern w:val="0"/>
          <w:position w:val="0"/>
          <w:sz w:val="32"/>
          <w:szCs w:val="32"/>
          <w:shd w:val="clear" w:color="auto" w:fill="auto"/>
          <w:lang w:val="en-US" w:eastAsia="zh-CN" w:bidi="en-US"/>
        </w:rPr>
        <w:t>5</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月</w:t>
      </w:r>
      <w:r>
        <w:rPr>
          <w:rFonts w:hint="default" w:ascii="Times New Roman" w:hAnsi="Times New Roman" w:eastAsia="仿宋_GB2312" w:cs="Times New Roman"/>
          <w:color w:val="000000"/>
          <w:spacing w:val="0"/>
          <w:w w:val="100"/>
          <w:kern w:val="0"/>
          <w:position w:val="0"/>
          <w:sz w:val="32"/>
          <w:szCs w:val="32"/>
          <w:shd w:val="clear" w:color="auto" w:fill="auto"/>
          <w:lang w:val="en-US" w:eastAsia="zh-CN" w:bidi="en-US"/>
        </w:rPr>
        <w:t>10</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p>
    <w:p>
      <w:pPr>
        <w:bidi w:val="0"/>
        <w:rPr>
          <w:rFonts w:hint="default" w:ascii="Times New Roman" w:hAnsi="Times New Roman" w:cs="Times New Roman"/>
          <w:color w:val="auto"/>
          <w:lang w:val="en-US" w:eastAsia="zh-CN"/>
        </w:rPr>
        <w:sectPr>
          <w:footerReference r:id="rId3" w:type="default"/>
          <w:pgSz w:w="11910" w:h="16840"/>
          <w:pgMar w:top="1871" w:right="1474" w:bottom="1361" w:left="1531" w:header="850" w:footer="1134" w:gutter="0"/>
          <w:pgNumType w:fmt="decimal" w:start="1"/>
          <w:cols w:space="0" w:num="1"/>
          <w:rtlGutter w:val="0"/>
          <w:docGrid w:linePitch="312" w:charSpace="0"/>
        </w:sectPr>
      </w:pPr>
    </w:p>
    <w:p>
      <w:pPr>
        <w:pStyle w:val="11"/>
        <w:ind w:left="0" w:leftChars="0" w:firstLine="0" w:firstLineChars="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附件</w:t>
      </w:r>
    </w:p>
    <w:p>
      <w:pPr>
        <w:pStyle w:val="11"/>
        <w:keepNext w:val="0"/>
        <w:keepLines w:val="0"/>
        <w:pageBreakBefore w:val="0"/>
        <w:widowControl w:val="0"/>
        <w:kinsoku/>
        <w:wordWrap/>
        <w:overflowPunct/>
        <w:topLinePunct w:val="0"/>
        <w:autoSpaceDE/>
        <w:autoSpaceDN/>
        <w:bidi w:val="0"/>
        <w:adjustRightInd/>
        <w:snapToGrid/>
        <w:spacing w:before="0" w:line="600" w:lineRule="exact"/>
        <w:ind w:left="0" w:leftChars="0" w:firstLine="0" w:firstLineChars="0"/>
        <w:jc w:val="center"/>
        <w:textAlignment w:val="auto"/>
        <w:rPr>
          <w:rFonts w:hint="default" w:ascii="Times New Roman" w:hAnsi="Times New Roman" w:eastAsia="方正小标宋简体" w:cs="Times New Roman"/>
          <w:color w:val="auto"/>
          <w:sz w:val="36"/>
          <w:szCs w:val="36"/>
          <w:lang w:val="en-US" w:eastAsia="zh-CN"/>
        </w:rPr>
      </w:pPr>
      <w:r>
        <w:rPr>
          <w:rFonts w:hint="default" w:ascii="Times New Roman" w:hAnsi="Times New Roman" w:eastAsia="方正小标宋简体" w:cs="Times New Roman"/>
          <w:color w:val="auto"/>
          <w:sz w:val="36"/>
          <w:szCs w:val="36"/>
          <w:lang w:val="en-US" w:eastAsia="zh-CN"/>
        </w:rPr>
        <w:t>2024年县级专项预算项目支出绩效评价指标体系</w:t>
      </w:r>
    </w:p>
    <w:tbl>
      <w:tblPr>
        <w:tblStyle w:val="14"/>
        <w:tblW w:w="1593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1"/>
        <w:gridCol w:w="401"/>
        <w:gridCol w:w="446"/>
        <w:gridCol w:w="760"/>
        <w:gridCol w:w="446"/>
        <w:gridCol w:w="713"/>
        <w:gridCol w:w="653"/>
        <w:gridCol w:w="1457"/>
        <w:gridCol w:w="593"/>
        <w:gridCol w:w="371"/>
        <w:gridCol w:w="549"/>
        <w:gridCol w:w="579"/>
        <w:gridCol w:w="608"/>
        <w:gridCol w:w="395"/>
        <w:gridCol w:w="2598"/>
        <w:gridCol w:w="431"/>
        <w:gridCol w:w="402"/>
        <w:gridCol w:w="416"/>
        <w:gridCol w:w="372"/>
        <w:gridCol w:w="386"/>
        <w:gridCol w:w="371"/>
        <w:gridCol w:w="356"/>
        <w:gridCol w:w="386"/>
        <w:gridCol w:w="422"/>
        <w:gridCol w:w="951"/>
        <w:gridCol w:w="4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blHeader/>
          <w:jc w:val="center"/>
        </w:trPr>
        <w:tc>
          <w:tcPr>
            <w:tcW w:w="20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分层分类指标</w:t>
            </w:r>
          </w:p>
        </w:tc>
        <w:tc>
          <w:tcPr>
            <w:tcW w:w="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分值</w:t>
            </w:r>
          </w:p>
        </w:tc>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kern w:val="0"/>
                <w:sz w:val="21"/>
                <w:szCs w:val="21"/>
                <w:u w:val="none"/>
                <w:lang w:val="en-US" w:eastAsia="zh-CN" w:bidi="ar"/>
              </w:rPr>
            </w:pPr>
            <w:r>
              <w:rPr>
                <w:rFonts w:hint="default" w:ascii="Times New Roman" w:hAnsi="Times New Roman" w:cs="Times New Roman" w:eastAsiaTheme="minorEastAsia"/>
                <w:b/>
                <w:bCs/>
                <w:i w:val="0"/>
                <w:iCs w:val="0"/>
                <w:color w:val="auto"/>
                <w:kern w:val="0"/>
                <w:sz w:val="21"/>
                <w:szCs w:val="21"/>
                <w:u w:val="none"/>
                <w:lang w:val="en-US" w:eastAsia="zh-CN" w:bidi="ar"/>
              </w:rPr>
              <w:t>目</w:t>
            </w:r>
          </w:p>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kern w:val="0"/>
                <w:sz w:val="21"/>
                <w:szCs w:val="21"/>
                <w:u w:val="none"/>
                <w:lang w:val="en-US" w:eastAsia="zh-CN" w:bidi="ar"/>
              </w:rPr>
            </w:pPr>
            <w:r>
              <w:rPr>
                <w:rFonts w:hint="default" w:ascii="Times New Roman" w:hAnsi="Times New Roman" w:cs="Times New Roman" w:eastAsiaTheme="minorEastAsia"/>
                <w:b/>
                <w:bCs/>
                <w:i w:val="0"/>
                <w:iCs w:val="0"/>
                <w:color w:val="auto"/>
                <w:kern w:val="0"/>
                <w:sz w:val="21"/>
                <w:szCs w:val="21"/>
                <w:u w:val="none"/>
                <w:lang w:val="en-US" w:eastAsia="zh-CN" w:bidi="ar"/>
              </w:rPr>
              <w:t>标</w:t>
            </w:r>
          </w:p>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值</w:t>
            </w:r>
          </w:p>
        </w:tc>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kern w:val="0"/>
                <w:sz w:val="21"/>
                <w:szCs w:val="21"/>
                <w:u w:val="none"/>
                <w:lang w:val="en-US" w:eastAsia="zh-CN" w:bidi="ar"/>
              </w:rPr>
            </w:pPr>
            <w:r>
              <w:rPr>
                <w:rFonts w:hint="default" w:ascii="Times New Roman" w:hAnsi="Times New Roman" w:cs="Times New Roman" w:eastAsiaTheme="minorEastAsia"/>
                <w:b/>
                <w:bCs/>
                <w:i w:val="0"/>
                <w:iCs w:val="0"/>
                <w:color w:val="auto"/>
                <w:kern w:val="0"/>
                <w:sz w:val="21"/>
                <w:szCs w:val="21"/>
                <w:u w:val="none"/>
                <w:lang w:val="en-US" w:eastAsia="zh-CN" w:bidi="ar"/>
              </w:rPr>
              <w:t>完</w:t>
            </w:r>
          </w:p>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kern w:val="0"/>
                <w:sz w:val="21"/>
                <w:szCs w:val="21"/>
                <w:u w:val="none"/>
                <w:lang w:val="en-US" w:eastAsia="zh-CN" w:bidi="ar"/>
              </w:rPr>
            </w:pPr>
            <w:r>
              <w:rPr>
                <w:rFonts w:hint="default" w:ascii="Times New Roman" w:hAnsi="Times New Roman" w:cs="Times New Roman" w:eastAsiaTheme="minorEastAsia"/>
                <w:b/>
                <w:bCs/>
                <w:i w:val="0"/>
                <w:iCs w:val="0"/>
                <w:color w:val="auto"/>
                <w:kern w:val="0"/>
                <w:sz w:val="21"/>
                <w:szCs w:val="21"/>
                <w:u w:val="none"/>
                <w:lang w:val="en-US" w:eastAsia="zh-CN" w:bidi="ar"/>
              </w:rPr>
              <w:t>成</w:t>
            </w:r>
          </w:p>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值</w:t>
            </w:r>
          </w:p>
        </w:tc>
        <w:tc>
          <w:tcPr>
            <w:tcW w:w="1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指标解释</w:t>
            </w:r>
          </w:p>
        </w:tc>
        <w:tc>
          <w:tcPr>
            <w:tcW w:w="30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评分方法</w:t>
            </w:r>
          </w:p>
        </w:tc>
        <w:tc>
          <w:tcPr>
            <w:tcW w:w="25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评价要点及说明</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kern w:val="0"/>
                <w:sz w:val="21"/>
                <w:szCs w:val="21"/>
                <w:u w:val="none"/>
                <w:lang w:val="en-US" w:eastAsia="zh-CN" w:bidi="ar"/>
              </w:rPr>
            </w:pPr>
            <w:r>
              <w:rPr>
                <w:rFonts w:hint="default" w:ascii="Times New Roman" w:hAnsi="Times New Roman" w:cs="Times New Roman" w:eastAsiaTheme="minorEastAsia"/>
                <w:b/>
                <w:bCs/>
                <w:i w:val="0"/>
                <w:iCs w:val="0"/>
                <w:color w:val="auto"/>
                <w:kern w:val="0"/>
                <w:sz w:val="21"/>
                <w:szCs w:val="21"/>
                <w:u w:val="none"/>
                <w:lang w:val="en-US" w:eastAsia="zh-CN" w:bidi="ar"/>
              </w:rPr>
              <w:t>评价</w:t>
            </w:r>
          </w:p>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方式</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评价属性</w:t>
            </w:r>
          </w:p>
        </w:tc>
        <w:tc>
          <w:tcPr>
            <w:tcW w:w="192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bottom"/>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定量评价标准</w:t>
            </w:r>
          </w:p>
        </w:tc>
        <w:tc>
          <w:tcPr>
            <w:tcW w:w="9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kern w:val="0"/>
                <w:sz w:val="21"/>
                <w:szCs w:val="21"/>
                <w:u w:val="none"/>
                <w:lang w:val="en-US" w:eastAsia="zh-CN" w:bidi="ar"/>
              </w:rPr>
            </w:pPr>
            <w:r>
              <w:rPr>
                <w:rFonts w:hint="default" w:ascii="Times New Roman" w:hAnsi="Times New Roman" w:cs="Times New Roman" w:eastAsiaTheme="minorEastAsia"/>
                <w:b/>
                <w:bCs/>
                <w:i w:val="0"/>
                <w:iCs w:val="0"/>
                <w:color w:val="auto"/>
                <w:kern w:val="0"/>
                <w:sz w:val="21"/>
                <w:szCs w:val="21"/>
                <w:u w:val="none"/>
                <w:lang w:val="en-US" w:eastAsia="zh-CN" w:bidi="ar"/>
              </w:rPr>
              <w:t>评价</w:t>
            </w:r>
          </w:p>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过程</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（只写扣分项的原因）</w:t>
            </w:r>
          </w:p>
        </w:tc>
        <w:tc>
          <w:tcPr>
            <w:tcW w:w="4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自评</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blHeader/>
          <w:jc w:val="center"/>
        </w:trPr>
        <w:tc>
          <w:tcPr>
            <w:tcW w:w="4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分层指标</w:t>
            </w:r>
          </w:p>
        </w:tc>
        <w:tc>
          <w:tcPr>
            <w:tcW w:w="4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适用</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范围</w:t>
            </w:r>
          </w:p>
        </w:tc>
        <w:tc>
          <w:tcPr>
            <w:tcW w:w="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一级指标</w:t>
            </w:r>
          </w:p>
        </w:tc>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二级指标</w:t>
            </w: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方法归类</w:t>
            </w: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计算公式</w:t>
            </w:r>
          </w:p>
        </w:tc>
        <w:tc>
          <w:tcPr>
            <w:tcW w:w="2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整体评价</w:t>
            </w:r>
          </w:p>
        </w:tc>
        <w:tc>
          <w:tcPr>
            <w:tcW w:w="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样本评价</w:t>
            </w: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定性评价</w:t>
            </w:r>
          </w:p>
        </w:tc>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定量评价</w:t>
            </w:r>
          </w:p>
        </w:tc>
        <w:tc>
          <w:tcPr>
            <w:tcW w:w="3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国家</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标准</w:t>
            </w:r>
          </w:p>
        </w:tc>
        <w:tc>
          <w:tcPr>
            <w:tcW w:w="3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行业</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标准</w:t>
            </w:r>
          </w:p>
        </w:tc>
        <w:tc>
          <w:tcPr>
            <w:tcW w:w="3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地方</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标准</w:t>
            </w:r>
          </w:p>
        </w:tc>
        <w:tc>
          <w:tcPr>
            <w:tcW w:w="3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申报</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标准</w:t>
            </w:r>
          </w:p>
        </w:tc>
        <w:tc>
          <w:tcPr>
            <w:tcW w:w="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历史</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均值</w:t>
            </w: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blHeader/>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0.3</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0.6</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0.8</w:t>
            </w: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1</w:t>
            </w:r>
          </w:p>
        </w:tc>
        <w:tc>
          <w:tcPr>
            <w:tcW w:w="2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 w:hRule="atLeast"/>
          <w:jc w:val="center"/>
        </w:trPr>
        <w:tc>
          <w:tcPr>
            <w:tcW w:w="4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通用指标（20分）不能修改</w:t>
            </w:r>
          </w:p>
        </w:tc>
        <w:tc>
          <w:tcPr>
            <w:tcW w:w="4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所有项目</w:t>
            </w:r>
          </w:p>
        </w:tc>
        <w:tc>
          <w:tcPr>
            <w:tcW w:w="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项目决策</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程序严密</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严密</w:t>
            </w: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严密</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项目设立是否经过严格评估论证，管理制度是否健全完善</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分级评分法</w:t>
            </w: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不严密</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3处及以上不严密</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2处不严密</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1处不严密</w:t>
            </w: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严密</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主要查看项目设立时是否经过事前评估或可行性论证，专项资金管理办法是否健全完善</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规划合理</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合理</w:t>
            </w: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合理</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项目规划是否符合县委、县政府重大决策部署，是否与项目年度目标一致</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分级评分法</w:t>
            </w: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不合理</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3处及以上不合理</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2处不合理</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1处不合理</w:t>
            </w: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合理</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主要查看项目设立依据是否充分，符合县委、县政府重大决策部署和宏观政策规划，项目年度绩效目标与中长期规划是否一致</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结果符合</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符合</w:t>
            </w: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符合</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项目实施结果是否与规划计划一致</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比率分值法</w:t>
            </w: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指标得分=项目实施结果符合规划的金额/项目总金额×100%*指标分值</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按项目法分配的项目，以所有项目点实施完成情况与规划计划情况进行对比。按因素法分配的项目和据实据效分配的项目，将资金分配方向与规划计划支持方向进行对比</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目标制定</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完整</w:t>
            </w: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完整</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是否制定完整合理的绩效目标，比如数量、质量、效益及相关要求等。</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分级评分法</w:t>
            </w: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不完整</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3处及以上不完整</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2处不完整</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1处不完整</w:t>
            </w:r>
          </w:p>
        </w:tc>
        <w:tc>
          <w:tcPr>
            <w:tcW w:w="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完整</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绩效目标完整、合理的得2分；未设置绩效目标不得分。</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项目实施</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执行有效</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有效</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有效</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项目实施是否符合相关管理制度规定</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缺（错）项扣分法</w:t>
            </w: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发现一处扣0.5分，直至扣完</w:t>
            </w:r>
          </w:p>
        </w:tc>
        <w:tc>
          <w:tcPr>
            <w:tcW w:w="25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项目实施是否遵守相关法律法规；项目调整手续是否完备；项目合同、验收报告、技术鉴定等资料是否齐全并及时归档；项目实施的人员条件、场地设备、信息支撑等是否落实到位</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使用合规</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合规</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合规</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项目资金使用是否符合相关的财务管理制度规定</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缺（错）项扣分法</w:t>
            </w: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kern w:val="0"/>
                <w:sz w:val="21"/>
                <w:szCs w:val="21"/>
                <w:u w:val="none"/>
                <w:lang w:val="en-US" w:eastAsia="zh-CN" w:bidi="ar"/>
              </w:rPr>
            </w:pPr>
            <w:r>
              <w:rPr>
                <w:rFonts w:hint="default" w:ascii="Times New Roman" w:hAnsi="Times New Roman" w:cs="Times New Roman" w:eastAsiaTheme="minorEastAsia"/>
                <w:i w:val="0"/>
                <w:iCs w:val="0"/>
                <w:color w:val="auto"/>
                <w:kern w:val="0"/>
                <w:sz w:val="21"/>
                <w:szCs w:val="21"/>
                <w:u w:val="none"/>
                <w:lang w:val="en-US" w:eastAsia="zh-CN" w:bidi="ar"/>
              </w:rPr>
              <w:t>发现一处扣0.5分，</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直至扣完</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项目资金是否符合国家财经法规和财务管理制度及有关专项资金管理办法规定；资金拨付是否有完整的审批程序和手续；是否符合项目预算批复或合同规定用途；是否存在截留、挤占、挪用、虚列支出等情况</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预算执行</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预算执行率</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反映项目资金整体预算执行情况</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比率分值法</w:t>
            </w: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指标得分=实际拨付下达资金/预算安排资金总额×100%*指标分值（预算安排资金总额一般采用年初预算数，若存在政策变化等因素可采用调整预算数）</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资金使用率</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反映项目点获得资金的使用情况</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分级评分法</w:t>
            </w: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指标得分=项目点实际使用资金/获得补助资金总额×100%*指标分值（后补助资金可不考核本指标）</w:t>
            </w:r>
          </w:p>
        </w:tc>
        <w:tc>
          <w:tcPr>
            <w:tcW w:w="2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如果不涉及的将此考核指标分数调整到预算执行率</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4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产出指标（40分）</w:t>
            </w:r>
          </w:p>
        </w:tc>
        <w:tc>
          <w:tcPr>
            <w:tcW w:w="4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所有项目</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数量指标</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对持优待证退役军人和三属（烈士遗属、因公牺牲军人遗属、病故军人遗属）实行景区门票全免，优惠3194人次</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优惠3194人次</w:t>
            </w: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优惠3194人次</w:t>
            </w:r>
          </w:p>
        </w:tc>
        <w:tc>
          <w:tcPr>
            <w:tcW w:w="1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对持优待证退役军人和三属（烈士遗属、因公牺牲军人遗属、病故军人遗属）实行景区门票全免，优惠3194人次</w:t>
            </w: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25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b/>
                <w:bCs/>
                <w:i w:val="0"/>
                <w:iCs w:val="0"/>
                <w:color w:val="auto"/>
                <w:sz w:val="21"/>
                <w:szCs w:val="21"/>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质量指标</w:t>
            </w:r>
          </w:p>
        </w:tc>
        <w:tc>
          <w:tcPr>
            <w:tcW w:w="76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优惠准确率100%</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1457"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优惠准确率100%</w:t>
            </w: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25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0"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b/>
                <w:bCs/>
                <w:i w:val="0"/>
                <w:iCs w:val="0"/>
                <w:color w:val="auto"/>
                <w:sz w:val="21"/>
                <w:szCs w:val="21"/>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成本指标</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优惠补助标准50元/人次</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50元/人次</w:t>
            </w: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50元/人次</w:t>
            </w:r>
          </w:p>
        </w:tc>
        <w:tc>
          <w:tcPr>
            <w:tcW w:w="1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优惠补助标准50元/人次</w:t>
            </w: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25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b/>
                <w:bCs/>
                <w:i w:val="0"/>
                <w:iCs w:val="0"/>
                <w:color w:val="auto"/>
                <w:sz w:val="21"/>
                <w:szCs w:val="21"/>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时效指标</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补助发放及时率100%</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1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补助发放及时率100%</w:t>
            </w: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25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5" w:hRule="atLeast"/>
          <w:jc w:val="center"/>
        </w:trPr>
        <w:tc>
          <w:tcPr>
            <w:tcW w:w="4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效益指标（30分）</w:t>
            </w:r>
          </w:p>
        </w:tc>
        <w:tc>
          <w:tcPr>
            <w:tcW w:w="4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至少填写一栏效益</w:t>
            </w:r>
          </w:p>
        </w:tc>
        <w:tc>
          <w:tcPr>
            <w:tcW w:w="44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社会效益</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全国退役军人优惠影响率100%</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5</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1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25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760"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全国退役军人优惠覆盖率100%</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5</w:t>
            </w: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1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25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经济效益</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25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25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生态效益</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25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71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25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jc w:val="center"/>
        </w:trPr>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满意度（10分）</w:t>
            </w:r>
          </w:p>
        </w:tc>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所有项目</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满意度</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县辖区内军属、社会、企业满意度≥98%</w:t>
            </w:r>
          </w:p>
        </w:tc>
        <w:tc>
          <w:tcPr>
            <w:tcW w:w="446"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10</w:t>
            </w: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≥98%</w:t>
            </w:r>
          </w:p>
        </w:tc>
        <w:tc>
          <w:tcPr>
            <w:tcW w:w="653"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≥98%</w:t>
            </w:r>
          </w:p>
        </w:tc>
        <w:tc>
          <w:tcPr>
            <w:tcW w:w="14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2502"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25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auto"/>
                <w:sz w:val="21"/>
                <w:szCs w:val="21"/>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auto"/>
                <w:sz w:val="21"/>
                <w:szCs w:val="21"/>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r>
    </w:tbl>
    <w:p>
      <w:pPr>
        <w:rPr>
          <w:rFonts w:hint="default" w:ascii="Times New Roman" w:hAnsi="Times New Roman" w:cs="Times New Roman"/>
          <w:color w:val="auto"/>
        </w:rPr>
      </w:pPr>
    </w:p>
    <w:sectPr>
      <w:footerReference r:id="rId4" w:type="default"/>
      <w:pgSz w:w="16840" w:h="11910" w:orient="landscape"/>
      <w:pgMar w:top="1417" w:right="1417" w:bottom="1417" w:left="1417" w:header="850" w:footer="1134" w:gutter="0"/>
      <w:pgNumType w:fmt="decimal" w:start="7"/>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6F83BA"/>
    <w:multiLevelType w:val="multilevel"/>
    <w:tmpl w:val="116F83BA"/>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N2UxNjcyNTQ3MTZhMmM0YWUyYTZmYmU1ZTA2ZTMifQ=="/>
  </w:docVars>
  <w:rsids>
    <w:rsidRoot w:val="00000000"/>
    <w:rsid w:val="01D44F54"/>
    <w:rsid w:val="09131F43"/>
    <w:rsid w:val="0EBC4BEA"/>
    <w:rsid w:val="11E931B7"/>
    <w:rsid w:val="13C870B0"/>
    <w:rsid w:val="1E5F5CBE"/>
    <w:rsid w:val="202754DE"/>
    <w:rsid w:val="241926D2"/>
    <w:rsid w:val="2420775E"/>
    <w:rsid w:val="28171F55"/>
    <w:rsid w:val="363D28C0"/>
    <w:rsid w:val="41987BB9"/>
    <w:rsid w:val="43F5103F"/>
    <w:rsid w:val="564069E5"/>
    <w:rsid w:val="5E1C64DA"/>
    <w:rsid w:val="5E8F0BC1"/>
    <w:rsid w:val="69C8300D"/>
    <w:rsid w:val="6C0C0C6D"/>
    <w:rsid w:val="6E850DAA"/>
    <w:rsid w:val="727147ED"/>
    <w:rsid w:val="76C21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6"/>
    <w:qFormat/>
    <w:uiPriority w:val="0"/>
    <w:pPr>
      <w:keepNext/>
      <w:keepLines/>
      <w:numPr>
        <w:ilvl w:val="0"/>
        <w:numId w:val="1"/>
      </w:numPr>
      <w:spacing w:line="570" w:lineRule="exact"/>
      <w:ind w:firstLine="880" w:firstLineChars="200"/>
      <w:jc w:val="left"/>
      <w:outlineLvl w:val="0"/>
    </w:pPr>
    <w:rPr>
      <w:rFonts w:ascii="宋体" w:hAnsi="宋体" w:eastAsia="黑体"/>
      <w:bCs/>
      <w:kern w:val="44"/>
      <w:szCs w:val="44"/>
    </w:rPr>
  </w:style>
  <w:style w:type="paragraph" w:styleId="3">
    <w:name w:val="heading 2"/>
    <w:basedOn w:val="1"/>
    <w:next w:val="1"/>
    <w:link w:val="17"/>
    <w:semiHidden/>
    <w:unhideWhenUsed/>
    <w:qFormat/>
    <w:uiPriority w:val="0"/>
    <w:pPr>
      <w:numPr>
        <w:ilvl w:val="1"/>
        <w:numId w:val="1"/>
      </w:numPr>
      <w:spacing w:line="500" w:lineRule="exact"/>
      <w:jc w:val="center"/>
      <w:outlineLvl w:val="1"/>
    </w:pPr>
    <w:rPr>
      <w:rFonts w:ascii="宋体" w:hAnsi="宋体" w:eastAsia="宋体"/>
      <w:b/>
      <w:bCs/>
      <w:sz w:val="28"/>
      <w:szCs w:val="32"/>
    </w:rPr>
  </w:style>
  <w:style w:type="paragraph" w:styleId="4">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firstLine="400"/>
      <w:outlineLvl w:val="2"/>
    </w:pPr>
    <w:rPr>
      <w:b/>
      <w:sz w:val="32"/>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firstLine="402"/>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402"/>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402"/>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11">
    <w:name w:val="Body Text"/>
    <w:basedOn w:val="1"/>
    <w:qFormat/>
    <w:uiPriority w:val="0"/>
    <w:pPr>
      <w:spacing w:before="29"/>
      <w:ind w:left="220"/>
      <w:jc w:val="left"/>
    </w:pPr>
    <w:rPr>
      <w:rFonts w:ascii="宋体" w:hAnsi="宋体" w:eastAsia="宋体"/>
      <w:kern w:val="0"/>
      <w:sz w:val="24"/>
      <w:lang w:eastAsia="en-US"/>
    </w:rPr>
  </w:style>
  <w:style w:type="paragraph" w:styleId="12">
    <w:name w:val="footer"/>
    <w:basedOn w:val="1"/>
    <w:uiPriority w:val="0"/>
    <w:pPr>
      <w:tabs>
        <w:tab w:val="center" w:pos="4153"/>
        <w:tab w:val="right" w:pos="8306"/>
      </w:tabs>
      <w:snapToGrid w:val="0"/>
      <w:jc w:val="left"/>
    </w:pPr>
    <w:rPr>
      <w:sz w:val="18"/>
    </w:rPr>
  </w:style>
  <w:style w:type="paragraph" w:styleId="1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6">
    <w:name w:val="标题 1 Char"/>
    <w:link w:val="2"/>
    <w:qFormat/>
    <w:uiPriority w:val="0"/>
    <w:rPr>
      <w:rFonts w:ascii="宋体" w:hAnsi="宋体" w:eastAsia="黑体"/>
      <w:bCs/>
      <w:kern w:val="44"/>
      <w:sz w:val="32"/>
      <w:szCs w:val="44"/>
    </w:rPr>
  </w:style>
  <w:style w:type="character" w:customStyle="1" w:styleId="17">
    <w:name w:val="标题 2 字符"/>
    <w:link w:val="3"/>
    <w:qFormat/>
    <w:uiPriority w:val="0"/>
    <w:rPr>
      <w:rFonts w:ascii="宋体" w:hAnsi="宋体" w:eastAsia="宋体"/>
      <w:b/>
      <w:bCs/>
      <w:kern w:val="2"/>
      <w:sz w:val="28"/>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2022-03-01T02:46:00Z</dcterms:created>
  <dc:creator>Administrator</dc:creator>
  <cp:lastModifiedBy>恒阳文化传播有限公司</cp:lastModifiedBy>
  <cp:lastPrinted>2024-05-13T02:58:13Z</cp:lastPrinted>
  <dcterms:modified xsi:type="dcterms:W3CDTF">2024-05-13T03:02:56Z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68CAD4523D1B415BBFBB93A291781990</vt:lpwstr>
  </property>
</Properties>
</file>