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1312;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2336;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shd w:val="clear" w:color="auto"/>
        <w:kinsoku/>
        <w:wordWrap/>
        <w:overflowPunct/>
        <w:topLinePunct w:val="0"/>
        <w:autoSpaceDE/>
        <w:autoSpaceDN/>
        <w:bidi w:val="0"/>
        <w:adjustRightInd/>
        <w:snapToGrid/>
        <w:spacing w:before="0" w:after="0" w:line="660" w:lineRule="exact"/>
        <w:ind w:left="0" w:right="0" w:firstLine="0"/>
        <w:jc w:val="center"/>
        <w:textAlignment w:val="auto"/>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pPr>
      <w:r>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t>专项预算项目支出绩效自评报告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default" w:ascii="楷体_GB2312" w:hAnsi="楷体_GB2312" w:eastAsia="楷体_GB2312" w:cs="楷体_GB2312"/>
          <w:b/>
          <w:bCs/>
          <w:color w:val="auto"/>
          <w:spacing w:val="0"/>
          <w:w w:val="100"/>
          <w:kern w:val="0"/>
          <w:position w:val="0"/>
          <w:sz w:val="32"/>
          <w:szCs w:val="32"/>
          <w:shd w:val="clear" w:color="auto" w:fill="auto"/>
          <w:lang w:eastAsia="en-US" w:bidi="en-US"/>
        </w:rPr>
      </w:pPr>
      <w:r>
        <w:rPr>
          <w:rFonts w:hint="default" w:ascii="楷体_GB2312" w:hAnsi="楷体_GB2312" w:eastAsia="楷体_GB2312" w:cs="楷体_GB2312"/>
          <w:b/>
          <w:bCs/>
          <w:color w:val="auto"/>
          <w:spacing w:val="0"/>
          <w:w w:val="100"/>
          <w:kern w:val="0"/>
          <w:position w:val="0"/>
          <w:sz w:val="32"/>
          <w:szCs w:val="32"/>
          <w:shd w:val="clear" w:color="auto" w:fill="auto"/>
          <w:lang w:eastAsia="en-US" w:bidi="en-US"/>
        </w:rPr>
        <w:t>（补助文旅行业纾困资金）</w:t>
      </w:r>
    </w:p>
    <w:p>
      <w:pPr>
        <w:keepNext w:val="0"/>
        <w:keepLines w:val="0"/>
        <w:pageBreakBefore w:val="0"/>
        <w:widowControl w:val="0"/>
        <w:shd w:val="clear" w:color="auto"/>
        <w:kinsoku/>
        <w:wordWrap/>
        <w:overflowPunct/>
        <w:topLinePunct w:val="0"/>
        <w:autoSpaceDE/>
        <w:autoSpaceDN/>
        <w:bidi w:val="0"/>
        <w:adjustRightInd/>
        <w:snapToGrid/>
        <w:spacing w:before="0" w:after="0" w:line="40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一、项目概况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（一）项目基本情况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根据《大英县人民政府关于印发＜大英县2022年稳住经济增长若干政策措施＞的通知》（大府发〔2022〕6号）文件精神，我局研究制定了《大英县文旅行业稳增长措施实施细则》，分别从支持民营旅游景区发展、纾解文化和旅游市场主体经营困难、刺激文化和旅游消费三个方面，对全县文旅行业进行补贴。通过审核，确定56家企业、3家社会团体，符合补助条件，共计补助资金194.14万元。</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（二）项目绩效目标</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1</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项目主要内容。</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支持民营旅游景区发展、纾解文化和旅游市场主体经营困难、刺激文化和旅游消费三个方面，对全县文旅行业进行补贴。</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项目应实现的具体绩效目标，包括目标的量化、细化情况以及项目实施进度计划等。</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确定56家企业、3家社会团体，符合补助条件，共计补助资金194.14万元。</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3</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分析评价申报内容是否与实际相符，申报目标是否合理可行。</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该经费项目申报内容与具体实施内容相符，并由县文化广电旅游局、县财政局进行审核，报县政府通过，其申报目标合理可行。</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（三）项目自评步骤及方法</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说明项目绩效自评采用的组织实施步骤及方法。</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1.前期评价准备</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收集并查阅项目政策文件和申报资料，设定项目绩效评价指标体系。</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2.业务股室调研</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开展座谈会，与申报项目的相关业务股室进行沟通，查阅项目资金使用情况、项目完成情况、项目管理资料和项目效果资料，收集相关数据，广泛听取业务股室的意见和建议，为进一步优化项目管理提供依据。</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3.满意度调查</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向项目相关受益对象发放满意度调查问卷，了解其对项目实施的满意度情况，收集相关意见和建议。</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4.综合分析</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汇总资料，对比项目绩效目标的申报情况与实际执行情况，分析绩效目标的实现程度，经定量和定性分析形成评价结论。</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二、项目资金申报及使用情况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（一）项目资金申报及批复情况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说明项目资金申报、批复及预算调整等程序的相关情况。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2023年3月，部门根据县委县政府、县财政局要求，申报助企纾困项目专项经费194.14万元。根据县财政的评审意见，以及预算分配意见，经县财政批复，最终批复本项目预算资金194.14万元，资金来源为县级资金。</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（二）资金计划、到位及使用情况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1</w:t>
      </w:r>
      <w:r>
        <w:rPr>
          <w:rFonts w:hint="default" w:ascii="Times New Roman" w:hAnsi="Times New Roman" w:eastAsia="仿宋_GB2312" w:cs="Times New Roman"/>
          <w:b/>
          <w:bCs/>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资金计划。</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根据《关于补助文旅行业纾困资金的请示》文件，由县财政拨付194.14万元。</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2</w:t>
      </w:r>
      <w:r>
        <w:rPr>
          <w:rFonts w:hint="default" w:ascii="Times New Roman" w:hAnsi="Times New Roman" w:eastAsia="仿宋_GB2312" w:cs="Times New Roman"/>
          <w:b/>
          <w:bCs/>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资金到位。</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截止自评时间节点，县财政下达助企纾困资金88.44万元。</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w:t>
      </w:r>
      <w:r>
        <w:rPr>
          <w:rFonts w:hint="default" w:ascii="Times New Roman" w:hAnsi="Times New Roman" w:eastAsia="仿宋_GB2312" w:cs="Times New Roman"/>
          <w:b/>
          <w:bCs/>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资金使用。</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截止自评时间节点，已拨付88.44万元，已到位资金拨付率100%。</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（三）项目财务管理情况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县文化广电旅游局制定了《大英县文旅行业稳增长措施实施细则》等制度对专项资金进行管理，财务管理制度健全。经自评小组抽查财务凭证等相关资料，项目资金使用符合国家财经法规和财务制度及专项资金管理办法的规定，资金拨付有完整的审批程序和手续。项目安排支出科学、合理、有效，预算执行坚持厉行节约的原则，严格按照财政批复的预算执行，符合项目预算批复或合同规定用途。</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三、项目实施及管理情况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（一）项目组织架构及实施流程</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按照《关于补助文旅行业纾困资金的请示》要求，支付项目总费用88.44万元，一次性拨付。</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（二）项目管理情况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县文化广电旅游局实行“财务统一管理、工作统一安排、绩效统一考核、人员统一调配”四个统一管理办法，因此该项目由县文化广电旅游局统一管理。</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（三）项目监管情况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县财政局负责资金预算安排，会同县文化广电旅游局参与项目审核及下达项目资金预算计划，办理资金拨付手续，对资金使用情况进行监督检查和绩效评价。</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四、项目绩效情况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（一）项目完成情况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项目整体完成情况较好，数量指标完成率为100%，质量达标率为100%，均在2023年底前及时完成，成本控制在预算内，项目无资金结余，不存在违规记录。财政资金未完全下达，部分企业未收到补助。</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（二）项目效益情况</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val="en-US" w:eastAsia="zh-CN" w:bidi="en-US"/>
        </w:rPr>
        <w:t>1.</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社会效益。</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对文旅行业纾困成功影响率100%，帮助文旅企业渡过疫情影响。</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val="en-US" w:eastAsia="zh-CN" w:bidi="en-US"/>
        </w:rPr>
        <w:t>2.</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可持续影响。</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文旅产业发展资金奖补工作机制健全，推动重点文旅项目建设、产业发展，进一步提升了大英知名度和影响力。</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w:t>
      </w:r>
      <w:r>
        <w:rPr>
          <w:rFonts w:hint="default" w:ascii="Times New Roman" w:hAnsi="Times New Roman" w:eastAsia="仿宋_GB2312" w:cs="Times New Roman"/>
          <w:b/>
          <w:bCs/>
          <w:color w:val="auto"/>
          <w:spacing w:val="0"/>
          <w:w w:val="100"/>
          <w:kern w:val="0"/>
          <w:position w:val="0"/>
          <w:sz w:val="32"/>
          <w:szCs w:val="32"/>
          <w:shd w:val="clear" w:color="auto" w:fill="auto"/>
          <w:lang w:val="en-US"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服务对象满意度。</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纾困企业满意度100%，县辖区内群众满意度100%。</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五、评价结论及建议</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（一）评价结论</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按照绩效评价工作相关要求，通过对各项指标的评价，较好的完成了该项目，得到企业和全县人民群众的好评。</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（二）存在的问题</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因为财政资金未及时全部到位，部分资金无法按时拨付给相关企业。</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（三）相关建议</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恳请县财政统筹安排，及时下拨项目资金。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附件：2024年县级专项预算项目支出绩效评价指标体系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val="en-US" w:eastAsia="zh-CN" w:bidi="en-US"/>
        </w:rPr>
      </w:pPr>
    </w:p>
    <w:p>
      <w:pPr>
        <w:keepNext w:val="0"/>
        <w:keepLines w:val="0"/>
        <w:pageBreakBefore w:val="0"/>
        <w:widowControl w:val="0"/>
        <w:shd w:val="clear" w:color="auto" w:fill="auto"/>
        <w:tabs>
          <w:tab w:val="left" w:pos="8190"/>
        </w:tabs>
        <w:kinsoku/>
        <w:wordWrap/>
        <w:overflowPunct/>
        <w:topLinePunct w:val="0"/>
        <w:autoSpaceDE/>
        <w:autoSpaceDN/>
        <w:bidi w:val="0"/>
        <w:adjustRightInd/>
        <w:snapToGrid/>
        <w:spacing w:before="0" w:after="0" w:line="560" w:lineRule="exact"/>
        <w:ind w:left="0" w:right="0" w:firstLine="4160" w:firstLineChars="13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大英县文化广播电视和旅游局</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5059" w:firstLineChars="1581"/>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2024年</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5</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月</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10</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日</w:t>
      </w:r>
    </w:p>
    <w:p>
      <w:pPr>
        <w:keepNext w:val="0"/>
        <w:keepLines w:val="0"/>
        <w:pageBreakBefore w:val="0"/>
        <w:widowControl w:val="0"/>
        <w:shd w:val="clear" w:color="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pStyle w:val="11"/>
        <w:shd w:val="clear"/>
        <w:ind w:left="0" w:leftChars="0" w:firstLine="0" w:firstLineChars="0"/>
        <w:rPr>
          <w:rFonts w:hint="default" w:ascii="Times New Roman" w:hAnsi="Times New Roman" w:eastAsia="黑体" w:cs="Times New Roman"/>
          <w:color w:val="auto"/>
          <w:sz w:val="32"/>
          <w:szCs w:val="32"/>
          <w:lang w:val="en-US" w:eastAsia="zh-CN"/>
        </w:rPr>
        <w:sectPr>
          <w:footerReference r:id="rId3" w:type="default"/>
          <w:pgSz w:w="11910" w:h="16840"/>
          <w:pgMar w:top="1871" w:right="1474" w:bottom="1361" w:left="1531" w:header="850" w:footer="1134" w:gutter="0"/>
          <w:pgNumType w:fmt="decimal" w:start="1"/>
          <w:cols w:space="0" w:num="1"/>
          <w:rtlGutter w:val="0"/>
          <w:docGrid w:linePitch="312" w:charSpace="0"/>
        </w:sectPr>
      </w:pPr>
    </w:p>
    <w:p>
      <w:pPr>
        <w:pStyle w:val="11"/>
        <w:shd w:val="clear"/>
        <w:ind w:left="0" w:leftChars="0" w:firstLine="0" w:firstLineChars="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附件</w:t>
      </w:r>
    </w:p>
    <w:p>
      <w:pPr>
        <w:pStyle w:val="11"/>
        <w:keepNext w:val="0"/>
        <w:keepLines w:val="0"/>
        <w:pageBreakBefore w:val="0"/>
        <w:widowControl w:val="0"/>
        <w:shd w:val="clear"/>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color w:val="auto"/>
          <w:sz w:val="36"/>
          <w:szCs w:val="36"/>
          <w:lang w:val="en-US" w:eastAsia="zh-CN"/>
        </w:rPr>
      </w:pPr>
      <w:r>
        <w:rPr>
          <w:rFonts w:hint="default" w:ascii="Times New Roman" w:hAnsi="Times New Roman" w:eastAsia="方正小标宋简体" w:cs="Times New Roman"/>
          <w:color w:val="auto"/>
          <w:sz w:val="36"/>
          <w:szCs w:val="36"/>
          <w:lang w:val="en-US" w:eastAsia="zh-CN"/>
        </w:rPr>
        <w:t>2024年县级专项预算项目支出绩效评价指标体系</w:t>
      </w:r>
    </w:p>
    <w:tbl>
      <w:tblPr>
        <w:tblStyle w:val="14"/>
        <w:tblW w:w="1573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4"/>
        <w:gridCol w:w="404"/>
        <w:gridCol w:w="419"/>
        <w:gridCol w:w="646"/>
        <w:gridCol w:w="539"/>
        <w:gridCol w:w="629"/>
        <w:gridCol w:w="689"/>
        <w:gridCol w:w="1603"/>
        <w:gridCol w:w="614"/>
        <w:gridCol w:w="419"/>
        <w:gridCol w:w="614"/>
        <w:gridCol w:w="584"/>
        <w:gridCol w:w="554"/>
        <w:gridCol w:w="362"/>
        <w:gridCol w:w="1978"/>
        <w:gridCol w:w="449"/>
        <w:gridCol w:w="465"/>
        <w:gridCol w:w="434"/>
        <w:gridCol w:w="390"/>
        <w:gridCol w:w="389"/>
        <w:gridCol w:w="419"/>
        <w:gridCol w:w="374"/>
        <w:gridCol w:w="359"/>
        <w:gridCol w:w="452"/>
        <w:gridCol w:w="899"/>
        <w:gridCol w:w="6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blHeader/>
          <w:jc w:val="center"/>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分层分类指标</w:t>
            </w:r>
          </w:p>
        </w:tc>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分值</w:t>
            </w:r>
          </w:p>
        </w:tc>
        <w:tc>
          <w:tcPr>
            <w:tcW w:w="6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目标值</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完</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成</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值</w:t>
            </w:r>
          </w:p>
        </w:tc>
        <w:tc>
          <w:tcPr>
            <w:tcW w:w="16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指标</w:t>
            </w:r>
            <w:bookmarkStart w:id="2" w:name="_GoBack"/>
            <w:bookmarkEnd w:id="2"/>
            <w:r>
              <w:rPr>
                <w:rFonts w:hint="default" w:ascii="Times New Roman" w:hAnsi="Times New Roman" w:cs="Times New Roman"/>
                <w:b/>
                <w:bCs/>
                <w:color w:val="auto"/>
                <w:lang w:val="en-US" w:eastAsia="zh-CN"/>
              </w:rPr>
              <w:t>解释</w:t>
            </w:r>
          </w:p>
        </w:tc>
        <w:tc>
          <w:tcPr>
            <w:tcW w:w="31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评分方法</w:t>
            </w:r>
          </w:p>
        </w:tc>
        <w:tc>
          <w:tcPr>
            <w:tcW w:w="1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评价要点及说明</w:t>
            </w:r>
          </w:p>
        </w:tc>
        <w:tc>
          <w:tcPr>
            <w:tcW w:w="9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评价</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方式</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评价属性</w:t>
            </w:r>
          </w:p>
        </w:tc>
        <w:tc>
          <w:tcPr>
            <w:tcW w:w="199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定量评价标准</w:t>
            </w:r>
          </w:p>
        </w:tc>
        <w:tc>
          <w:tcPr>
            <w:tcW w:w="8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评价</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过程</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（只写扣分项的原因）</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自评</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 w:hRule="atLeast"/>
          <w:tblHeader/>
          <w:jc w:val="center"/>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分层指标</w:t>
            </w:r>
          </w:p>
        </w:tc>
        <w:tc>
          <w:tcPr>
            <w:tcW w:w="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适用</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范围</w:t>
            </w:r>
          </w:p>
        </w:tc>
        <w:tc>
          <w:tcPr>
            <w:tcW w:w="4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一级指标</w:t>
            </w:r>
          </w:p>
        </w:tc>
        <w:tc>
          <w:tcPr>
            <w:tcW w:w="6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二级指标</w:t>
            </w: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16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方法归类</w:t>
            </w:r>
          </w:p>
        </w:tc>
        <w:tc>
          <w:tcPr>
            <w:tcW w:w="25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计算公式</w:t>
            </w:r>
          </w:p>
        </w:tc>
        <w:tc>
          <w:tcPr>
            <w:tcW w:w="1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p>
        </w:tc>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整体评价</w:t>
            </w: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样本评价</w:t>
            </w:r>
          </w:p>
        </w:tc>
        <w:tc>
          <w:tcPr>
            <w:tcW w:w="4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定性评价</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定量评价</w:t>
            </w:r>
          </w:p>
        </w:tc>
        <w:tc>
          <w:tcPr>
            <w:tcW w:w="3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国家</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标准</w:t>
            </w:r>
          </w:p>
        </w:tc>
        <w:tc>
          <w:tcPr>
            <w:tcW w:w="4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行业</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标准</w:t>
            </w:r>
          </w:p>
        </w:tc>
        <w:tc>
          <w:tcPr>
            <w:tcW w:w="3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地方</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标准</w:t>
            </w:r>
          </w:p>
        </w:tc>
        <w:tc>
          <w:tcPr>
            <w:tcW w:w="3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申报</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标准</w:t>
            </w:r>
          </w:p>
        </w:tc>
        <w:tc>
          <w:tcPr>
            <w:tcW w:w="4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历史</w:t>
            </w:r>
          </w:p>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均值</w:t>
            </w: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 w:hRule="atLeast"/>
          <w:tblHeader/>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29"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16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0.3</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0.6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0.8</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1</w:t>
            </w:r>
          </w:p>
        </w:tc>
        <w:tc>
          <w:tcPr>
            <w:tcW w:w="1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5" w:hRule="atLeast"/>
          <w:jc w:val="center"/>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通用指标（20分）不能修改</w:t>
            </w:r>
          </w:p>
        </w:tc>
        <w:tc>
          <w:tcPr>
            <w:tcW w:w="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所有项目</w:t>
            </w:r>
          </w:p>
        </w:tc>
        <w:tc>
          <w:tcPr>
            <w:tcW w:w="4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项目决策</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val="0"/>
                <w:bCs w:val="0"/>
                <w:color w:val="auto"/>
                <w:lang w:val="en-US" w:eastAsia="zh-CN"/>
              </w:rPr>
              <w:t>程序严密</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严密</w:t>
            </w:r>
          </w:p>
        </w:tc>
        <w:tc>
          <w:tcPr>
            <w:tcW w:w="6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严密</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项目设立是否经过严格评估论证，管理制度是否健全完善</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分级评分法</w:t>
            </w: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不严密</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3处及以上不严密</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2处不严密</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1处不严密</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严密</w:t>
            </w:r>
          </w:p>
        </w:tc>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主要查看项目设立时是否经过事前评估或可行性论证，专项资金管理办法是否健全完善</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2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规划合理</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合理</w:t>
            </w:r>
          </w:p>
        </w:tc>
        <w:tc>
          <w:tcPr>
            <w:tcW w:w="6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合理</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项目规划是否符合县委、县政府重大决策部署，是否与项目年度目标一致</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分级评分法</w:t>
            </w: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不合理</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3处及以上不合理</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2处不合理</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1处不合理</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合理</w:t>
            </w:r>
          </w:p>
        </w:tc>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主要查看项目设立依据是否充分，符合县委、县政府重大决策部署和宏观政策规划，项目年度绩效目标与中长期规划是否一致</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0"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结果符合</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符合</w:t>
            </w:r>
          </w:p>
        </w:tc>
        <w:tc>
          <w:tcPr>
            <w:tcW w:w="6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符合</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项目实施结果是否与规划计划一致</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比率分值法</w:t>
            </w:r>
          </w:p>
        </w:tc>
        <w:tc>
          <w:tcPr>
            <w:tcW w:w="25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指标得分=项目实施结果符合规划的金额/项目总金额×100%*指标分值</w:t>
            </w:r>
          </w:p>
        </w:tc>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按项目法分配的项目，以所有项目点实施完成情况与规划计划情况进行对比。按因素法分配的项目和据实据效分配的项目，将资金分配方向与规划计划支持方向进行对比</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0"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目标制定</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完整</w:t>
            </w:r>
          </w:p>
        </w:tc>
        <w:tc>
          <w:tcPr>
            <w:tcW w:w="6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完整</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是否制定完整合理的绩效目标，比如数量、质量、效益及相关要求等。</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分级评分法</w:t>
            </w: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不完整</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3处及以上不完整</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2处不完整</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1处不完整</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完整</w:t>
            </w:r>
          </w:p>
        </w:tc>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绩效目标完整、合理的得2分；未设置绩效目标不得分。</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0"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项目实施</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执行有效</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有效</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有效</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项目实施是否符合相关管理制度规定</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缺（错）项扣分法</w:t>
            </w:r>
          </w:p>
        </w:tc>
        <w:tc>
          <w:tcPr>
            <w:tcW w:w="25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发现一处扣0.5分，直至扣完</w:t>
            </w:r>
          </w:p>
        </w:tc>
        <w:tc>
          <w:tcPr>
            <w:tcW w:w="1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项目实施是否遵守相关法律法规；项目调整手续是否完备；项目合同、验收报告、技术鉴定等资料是否齐全并及时归档；项目实施的人员条件、场地设备、信息支撑等是否落实到位</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0"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使用合规</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合规</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合规</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项目资金使用是否符合相关的财务管理制度规定</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缺（错）项扣分法</w:t>
            </w:r>
          </w:p>
        </w:tc>
        <w:tc>
          <w:tcPr>
            <w:tcW w:w="25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发现一处扣0.5分，直至扣完</w:t>
            </w:r>
          </w:p>
        </w:tc>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项目资金是否符合国家财经法规和财务管理制度及有关专项资金管理办法规定；资金拨付是否有完整的审批程序和手续；是否符合项目预算批复或合同规定用途；是否存在截留、挤占、挪用、虚列支出等情况</w:t>
            </w: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0"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b/>
                <w:bCs/>
                <w:color w:val="auto"/>
                <w:lang w:val="en-US" w:eastAsia="zh-CN"/>
              </w:rPr>
              <w:t>预算执行</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预算执行率</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100%</w:t>
            </w:r>
          </w:p>
        </w:tc>
        <w:tc>
          <w:tcPr>
            <w:tcW w:w="6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46%</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反映项目资金整体预算执行情况</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比率分值法</w:t>
            </w:r>
          </w:p>
        </w:tc>
        <w:tc>
          <w:tcPr>
            <w:tcW w:w="25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指标得分=实际拨付下达资金/预算安排资金总额×100%*指标分值（预算安排资金总额一般采用年初预算数，若存在政策变化等因素可采用调整预算数）</w:t>
            </w:r>
          </w:p>
        </w:tc>
        <w:tc>
          <w:tcPr>
            <w:tcW w:w="1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jc w:val="center"/>
        </w:trPr>
        <w:tc>
          <w:tcPr>
            <w:tcW w:w="44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4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资金使用率</w:t>
            </w:r>
          </w:p>
        </w:tc>
        <w:tc>
          <w:tcPr>
            <w:tcW w:w="53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w:t>
            </w:r>
          </w:p>
        </w:tc>
        <w:tc>
          <w:tcPr>
            <w:tcW w:w="629" w:type="dxa"/>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100%</w:t>
            </w:r>
          </w:p>
        </w:tc>
        <w:tc>
          <w:tcPr>
            <w:tcW w:w="689" w:type="dxa"/>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100%</w:t>
            </w:r>
          </w:p>
        </w:tc>
        <w:tc>
          <w:tcPr>
            <w:tcW w:w="160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反映项目点获得资金的使用情况</w:t>
            </w:r>
          </w:p>
        </w:tc>
        <w:tc>
          <w:tcPr>
            <w:tcW w:w="61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分级评分法</w:t>
            </w:r>
          </w:p>
        </w:tc>
        <w:tc>
          <w:tcPr>
            <w:tcW w:w="2533" w:type="dxa"/>
            <w:gridSpan w:val="5"/>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指标得分=项目点实际使用资金/获得补助资金总额×100%*指标分值（后补助资金可不考核本指标）</w:t>
            </w:r>
          </w:p>
        </w:tc>
        <w:tc>
          <w:tcPr>
            <w:tcW w:w="197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如果不涉及的将此考核指标分数调整到预算执行率</w:t>
            </w:r>
          </w:p>
        </w:tc>
        <w:tc>
          <w:tcPr>
            <w:tcW w:w="44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6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3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8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jc w:val="center"/>
        </w:trPr>
        <w:tc>
          <w:tcPr>
            <w:tcW w:w="4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产出指标（40分）</w:t>
            </w:r>
          </w:p>
        </w:tc>
        <w:tc>
          <w:tcPr>
            <w:tcW w:w="404"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所有项目</w:t>
            </w:r>
          </w:p>
        </w:tc>
        <w:tc>
          <w:tcPr>
            <w:tcW w:w="4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数量指标</w:t>
            </w:r>
          </w:p>
        </w:tc>
        <w:tc>
          <w:tcPr>
            <w:tcW w:w="64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56家企业、3家社会</w:t>
            </w:r>
          </w:p>
        </w:tc>
        <w:tc>
          <w:tcPr>
            <w:tcW w:w="5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w:t>
            </w:r>
          </w:p>
        </w:tc>
        <w:tc>
          <w:tcPr>
            <w:tcW w:w="6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59</w:t>
            </w:r>
          </w:p>
        </w:tc>
        <w:tc>
          <w:tcPr>
            <w:tcW w:w="6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59</w:t>
            </w:r>
          </w:p>
        </w:tc>
        <w:tc>
          <w:tcPr>
            <w:tcW w:w="160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56家企业、3家社会</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2533"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19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60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jc w:val="center"/>
        </w:trPr>
        <w:tc>
          <w:tcPr>
            <w:tcW w:w="4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b/>
                <w:bCs/>
                <w:color w:val="auto"/>
              </w:rPr>
            </w:pPr>
          </w:p>
        </w:tc>
        <w:tc>
          <w:tcPr>
            <w:tcW w:w="404"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b/>
                <w:bCs/>
                <w:color w:val="auto"/>
              </w:rPr>
            </w:pPr>
          </w:p>
        </w:tc>
        <w:tc>
          <w:tcPr>
            <w:tcW w:w="4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质量指标</w:t>
            </w:r>
          </w:p>
        </w:tc>
        <w:tc>
          <w:tcPr>
            <w:tcW w:w="64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文旅行业纾困资金发放准确率</w:t>
            </w:r>
          </w:p>
        </w:tc>
        <w:tc>
          <w:tcPr>
            <w:tcW w:w="5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w:t>
            </w:r>
          </w:p>
        </w:tc>
        <w:tc>
          <w:tcPr>
            <w:tcW w:w="6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100%</w:t>
            </w:r>
          </w:p>
        </w:tc>
        <w:tc>
          <w:tcPr>
            <w:tcW w:w="6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100%</w:t>
            </w:r>
          </w:p>
        </w:tc>
        <w:tc>
          <w:tcPr>
            <w:tcW w:w="160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文旅行业纾困资金发放准确率</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2533"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19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60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1" w:hRule="atLeast"/>
          <w:jc w:val="center"/>
        </w:trPr>
        <w:tc>
          <w:tcPr>
            <w:tcW w:w="4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04"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成本指标</w:t>
            </w:r>
          </w:p>
        </w:tc>
        <w:tc>
          <w:tcPr>
            <w:tcW w:w="64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56家企业、3家社会补助194.14万元</w:t>
            </w:r>
          </w:p>
        </w:tc>
        <w:tc>
          <w:tcPr>
            <w:tcW w:w="5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w:t>
            </w:r>
          </w:p>
        </w:tc>
        <w:tc>
          <w:tcPr>
            <w:tcW w:w="6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194.14</w:t>
            </w:r>
          </w:p>
        </w:tc>
        <w:tc>
          <w:tcPr>
            <w:tcW w:w="6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88.44</w:t>
            </w:r>
          </w:p>
        </w:tc>
        <w:tc>
          <w:tcPr>
            <w:tcW w:w="160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56家企业、3家社会补助194.14万元</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2533"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19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县财政未全部下拨资金</w:t>
            </w:r>
          </w:p>
        </w:tc>
        <w:tc>
          <w:tcPr>
            <w:tcW w:w="60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5" w:hRule="atLeast"/>
          <w:jc w:val="center"/>
        </w:trPr>
        <w:tc>
          <w:tcPr>
            <w:tcW w:w="4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04"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时效指标</w:t>
            </w:r>
          </w:p>
        </w:tc>
        <w:tc>
          <w:tcPr>
            <w:tcW w:w="64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文旅行业纾困资金发放及时率</w:t>
            </w:r>
          </w:p>
        </w:tc>
        <w:tc>
          <w:tcPr>
            <w:tcW w:w="5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w:t>
            </w:r>
          </w:p>
        </w:tc>
        <w:tc>
          <w:tcPr>
            <w:tcW w:w="6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100%</w:t>
            </w:r>
          </w:p>
        </w:tc>
        <w:tc>
          <w:tcPr>
            <w:tcW w:w="6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46%</w:t>
            </w:r>
          </w:p>
        </w:tc>
        <w:tc>
          <w:tcPr>
            <w:tcW w:w="160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文旅行业纾困资金发放及时率</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2533"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19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3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p>
        </w:tc>
        <w:tc>
          <w:tcPr>
            <w:tcW w:w="8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县财政未全部下拨资金</w:t>
            </w:r>
          </w:p>
        </w:tc>
        <w:tc>
          <w:tcPr>
            <w:tcW w:w="60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0" w:hRule="atLeast"/>
          <w:jc w:val="center"/>
        </w:trPr>
        <w:tc>
          <w:tcPr>
            <w:tcW w:w="444"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效益指标（30分）</w:t>
            </w:r>
          </w:p>
        </w:tc>
        <w:tc>
          <w:tcPr>
            <w:tcW w:w="404"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至少填写一栏效益</w:t>
            </w:r>
          </w:p>
        </w:tc>
        <w:tc>
          <w:tcPr>
            <w:tcW w:w="419" w:type="dxa"/>
            <w:vMerge w:val="restart"/>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社会效益</w:t>
            </w:r>
          </w:p>
        </w:tc>
        <w:tc>
          <w:tcPr>
            <w:tcW w:w="646"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文旅行业纾困成功影响率</w:t>
            </w:r>
          </w:p>
        </w:tc>
        <w:tc>
          <w:tcPr>
            <w:tcW w:w="539"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15</w:t>
            </w:r>
          </w:p>
        </w:tc>
        <w:tc>
          <w:tcPr>
            <w:tcW w:w="629"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100%</w:t>
            </w:r>
          </w:p>
        </w:tc>
        <w:tc>
          <w:tcPr>
            <w:tcW w:w="689"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100%</w:t>
            </w:r>
          </w:p>
        </w:tc>
        <w:tc>
          <w:tcPr>
            <w:tcW w:w="1603"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文旅行业纾困成功影响率100%</w:t>
            </w:r>
          </w:p>
        </w:tc>
        <w:tc>
          <w:tcPr>
            <w:tcW w:w="614"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2533" w:type="dxa"/>
            <w:gridSpan w:val="5"/>
            <w:tcBorders>
              <w:top w:val="single" w:color="auto" w:sz="4" w:space="0"/>
              <w:left w:val="nil"/>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1978"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49"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34"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8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文旅产业发展资金奖补工作机制健全性</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15</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好</w:t>
            </w:r>
          </w:p>
        </w:tc>
        <w:tc>
          <w:tcPr>
            <w:tcW w:w="6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好</w:t>
            </w: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文旅产业发展资金奖补工作机制健全性好</w:t>
            </w:r>
          </w:p>
        </w:tc>
        <w:tc>
          <w:tcPr>
            <w:tcW w:w="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2533" w:type="dxa"/>
            <w:gridSpan w:val="5"/>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1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经济效益</w:t>
            </w:r>
          </w:p>
        </w:tc>
        <w:tc>
          <w:tcPr>
            <w:tcW w:w="6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1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253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1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生态效益</w:t>
            </w:r>
          </w:p>
        </w:tc>
        <w:tc>
          <w:tcPr>
            <w:tcW w:w="6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16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253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1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9" w:hRule="atLeast"/>
          <w:jc w:val="center"/>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满意度（10分）</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所有项目</w:t>
            </w:r>
          </w:p>
        </w:tc>
        <w:tc>
          <w:tcPr>
            <w:tcW w:w="41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满意度</w:t>
            </w: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纾困企业满意度≥98%</w:t>
            </w:r>
          </w:p>
        </w:tc>
        <w:tc>
          <w:tcPr>
            <w:tcW w:w="539"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w:t>
            </w:r>
          </w:p>
        </w:tc>
        <w:tc>
          <w:tcPr>
            <w:tcW w:w="6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≥98%</w:t>
            </w:r>
          </w:p>
        </w:tc>
        <w:tc>
          <w:tcPr>
            <w:tcW w:w="6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≥98%</w:t>
            </w:r>
          </w:p>
        </w:tc>
        <w:tc>
          <w:tcPr>
            <w:tcW w:w="16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纾困企业满意度≥98%</w:t>
            </w:r>
          </w:p>
        </w:tc>
        <w:tc>
          <w:tcPr>
            <w:tcW w:w="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253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19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3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hd w:val="clear"/>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10</w:t>
            </w:r>
          </w:p>
        </w:tc>
      </w:tr>
    </w:tbl>
    <w:p>
      <w:pPr>
        <w:shd w:val="clear"/>
        <w:rPr>
          <w:rFonts w:hint="default" w:ascii="Times New Roman" w:hAnsi="Times New Roman" w:cs="Times New Roman"/>
          <w:color w:val="auto"/>
        </w:rPr>
      </w:pPr>
    </w:p>
    <w:sectPr>
      <w:footerReference r:id="rId4" w:type="default"/>
      <w:pgSz w:w="16840" w:h="11910" w:orient="landscape"/>
      <w:pgMar w:top="1417" w:right="1417" w:bottom="1417" w:left="1417" w:header="850" w:footer="1134" w:gutter="0"/>
      <w:pgNumType w:fmt="decimal" w:start="6"/>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6F83BA"/>
    <w:multiLevelType w:val="multilevel"/>
    <w:tmpl w:val="116F83BA"/>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00000000"/>
    <w:rsid w:val="01D44F54"/>
    <w:rsid w:val="020C5155"/>
    <w:rsid w:val="03FD05D6"/>
    <w:rsid w:val="09131F43"/>
    <w:rsid w:val="0C37664F"/>
    <w:rsid w:val="13C870B0"/>
    <w:rsid w:val="17C27715"/>
    <w:rsid w:val="1DB573D4"/>
    <w:rsid w:val="202754DE"/>
    <w:rsid w:val="20392DE6"/>
    <w:rsid w:val="23EB7FF4"/>
    <w:rsid w:val="241926D2"/>
    <w:rsid w:val="2420775E"/>
    <w:rsid w:val="250824DF"/>
    <w:rsid w:val="26252D3B"/>
    <w:rsid w:val="263A2B6C"/>
    <w:rsid w:val="28171F55"/>
    <w:rsid w:val="28CA01D8"/>
    <w:rsid w:val="2ABC6246"/>
    <w:rsid w:val="2B400102"/>
    <w:rsid w:val="2CEA525D"/>
    <w:rsid w:val="30E16A06"/>
    <w:rsid w:val="39CE1AF2"/>
    <w:rsid w:val="43F5103F"/>
    <w:rsid w:val="469D6AD4"/>
    <w:rsid w:val="46FC6162"/>
    <w:rsid w:val="49C66341"/>
    <w:rsid w:val="4C764D1C"/>
    <w:rsid w:val="564069E5"/>
    <w:rsid w:val="573E7B2C"/>
    <w:rsid w:val="57925AB5"/>
    <w:rsid w:val="5D8A5BAC"/>
    <w:rsid w:val="606E3563"/>
    <w:rsid w:val="6BD66460"/>
    <w:rsid w:val="6CFC0175"/>
    <w:rsid w:val="6E850DAA"/>
    <w:rsid w:val="71AB7A47"/>
    <w:rsid w:val="75DA08FB"/>
    <w:rsid w:val="792720A9"/>
    <w:rsid w:val="7A57076C"/>
    <w:rsid w:val="7D697134"/>
    <w:rsid w:val="7F463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qFormat/>
    <w:uiPriority w:val="0"/>
    <w:pPr>
      <w:keepNext/>
      <w:keepLines/>
      <w:numPr>
        <w:ilvl w:val="0"/>
        <w:numId w:val="1"/>
      </w:numPr>
      <w:spacing w:line="570" w:lineRule="exact"/>
      <w:ind w:firstLine="880" w:firstLineChars="200"/>
      <w:jc w:val="left"/>
      <w:outlineLvl w:val="0"/>
    </w:pPr>
    <w:rPr>
      <w:rFonts w:ascii="宋体" w:hAnsi="宋体" w:eastAsia="黑体"/>
      <w:bCs/>
      <w:kern w:val="44"/>
      <w:szCs w:val="44"/>
    </w:rPr>
  </w:style>
  <w:style w:type="paragraph" w:styleId="3">
    <w:name w:val="heading 2"/>
    <w:basedOn w:val="1"/>
    <w:next w:val="1"/>
    <w:link w:val="17"/>
    <w:semiHidden/>
    <w:unhideWhenUsed/>
    <w:qFormat/>
    <w:uiPriority w:val="0"/>
    <w:pPr>
      <w:numPr>
        <w:ilvl w:val="1"/>
        <w:numId w:val="1"/>
      </w:numPr>
      <w:spacing w:line="500" w:lineRule="exact"/>
      <w:jc w:val="center"/>
      <w:outlineLvl w:val="1"/>
    </w:pPr>
    <w:rPr>
      <w:rFonts w:ascii="宋体" w:hAnsi="宋体" w:eastAsia="宋体"/>
      <w:b/>
      <w:bCs/>
      <w:sz w:val="28"/>
      <w:szCs w:val="32"/>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firstLine="400"/>
      <w:outlineLvl w:val="2"/>
    </w:pPr>
    <w:rPr>
      <w:b/>
      <w:sz w:val="32"/>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firstLine="402"/>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spacing w:before="29"/>
      <w:ind w:left="220"/>
      <w:jc w:val="left"/>
    </w:pPr>
    <w:rPr>
      <w:rFonts w:ascii="宋体" w:hAnsi="宋体" w:eastAsia="宋体"/>
      <w:kern w:val="0"/>
      <w:sz w:val="24"/>
      <w:lang w:eastAsia="en-US"/>
    </w:rPr>
  </w:style>
  <w:style w:type="paragraph" w:styleId="12">
    <w:name w:val="footer"/>
    <w:basedOn w:val="1"/>
    <w:uiPriority w:val="0"/>
    <w:pPr>
      <w:tabs>
        <w:tab w:val="center" w:pos="4153"/>
        <w:tab w:val="right" w:pos="8306"/>
      </w:tabs>
      <w:snapToGrid w:val="0"/>
      <w:jc w:val="left"/>
    </w:pPr>
    <w:rPr>
      <w:sz w:val="18"/>
    </w:rPr>
  </w:style>
  <w:style w:type="paragraph" w:styleId="1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6">
    <w:name w:val="标题 1 Char"/>
    <w:link w:val="2"/>
    <w:qFormat/>
    <w:uiPriority w:val="0"/>
    <w:rPr>
      <w:rFonts w:ascii="宋体" w:hAnsi="宋体" w:eastAsia="黑体"/>
      <w:bCs/>
      <w:kern w:val="44"/>
      <w:sz w:val="32"/>
      <w:szCs w:val="44"/>
    </w:rPr>
  </w:style>
  <w:style w:type="character" w:customStyle="1" w:styleId="17">
    <w:name w:val="标题 2 字符"/>
    <w:link w:val="3"/>
    <w:qFormat/>
    <w:uiPriority w:val="0"/>
    <w:rPr>
      <w:rFonts w:ascii="宋体" w:hAnsi="宋体" w:eastAsia="宋体"/>
      <w:b/>
      <w:bCs/>
      <w:kern w:val="2"/>
      <w:sz w:val="28"/>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2022-03-01T02:46:00Z</dcterms:created>
  <dc:creator>Administrator</dc:creator>
  <cp:lastModifiedBy>恒阳文化传播有限公司</cp:lastModifiedBy>
  <cp:lastPrinted>2024-05-13T03:01:46Z</cp:lastPrinted>
  <dcterms:modified xsi:type="dcterms:W3CDTF">2024-05-13T03:07:03Z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68CAD4523D1B415BBFBB93A291781990</vt:lpwstr>
  </property>
</Properties>
</file>