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7980"/>
          <w:tab w:val="left" w:pos="8610"/>
        </w:tabs>
        <w:kinsoku/>
        <w:wordWrap/>
        <w:overflowPunct/>
        <w:topLinePunct w:val="0"/>
        <w:autoSpaceDE/>
        <w:autoSpaceDN/>
        <w:bidi w:val="0"/>
        <w:adjustRightInd/>
        <w:snapToGrid/>
        <w:spacing w:before="0" w:beforeLines="0" w:after="0" w:afterLines="0" w:line="640" w:lineRule="exact"/>
        <w:ind w:left="0" w:leftChars="0" w:right="0" w:rightChars="0" w:firstLine="0" w:firstLineChars="0"/>
        <w:jc w:val="both"/>
        <w:textAlignment w:val="auto"/>
        <w:outlineLvl w:val="9"/>
        <w:rPr>
          <w:rFonts w:hint="default" w:ascii="Times New Roman" w:hAnsi="Times New Roman" w:eastAsia="仿宋_GB2312" w:cs="Times New Roman"/>
          <w:b w:val="0"/>
          <w:bCs/>
          <w:color w:val="auto"/>
          <w:kern w:val="0"/>
          <w:sz w:val="32"/>
          <w:szCs w:val="32"/>
          <w:lang w:eastAsia="zh-CN"/>
        </w:rPr>
      </w:pPr>
    </w:p>
    <w:p>
      <w:pPr>
        <w:keepNext w:val="0"/>
        <w:keepLines w:val="0"/>
        <w:pageBreakBefore w:val="0"/>
        <w:widowControl w:val="0"/>
        <w:tabs>
          <w:tab w:val="left" w:pos="7980"/>
          <w:tab w:val="left" w:pos="8610"/>
        </w:tabs>
        <w:kinsoku/>
        <w:wordWrap/>
        <w:overflowPunct/>
        <w:topLinePunct w:val="0"/>
        <w:autoSpaceDE/>
        <w:autoSpaceDN/>
        <w:bidi w:val="0"/>
        <w:adjustRightInd/>
        <w:snapToGrid/>
        <w:spacing w:before="0" w:beforeLines="0" w:after="0" w:afterLines="0" w:line="640" w:lineRule="exact"/>
        <w:ind w:left="0" w:leftChars="0" w:right="0" w:rightChars="0" w:firstLine="0" w:firstLineChars="0"/>
        <w:jc w:val="both"/>
        <w:textAlignment w:val="auto"/>
        <w:outlineLvl w:val="9"/>
        <w:rPr>
          <w:rFonts w:hint="default" w:ascii="Times New Roman" w:hAnsi="Times New Roman" w:eastAsia="仿宋_GB2312" w:cs="Times New Roman"/>
          <w:b w:val="0"/>
          <w:bCs/>
          <w:color w:val="auto"/>
          <w:kern w:val="0"/>
          <w:sz w:val="32"/>
          <w:szCs w:val="32"/>
          <w:lang w:eastAsia="zh-CN"/>
        </w:rPr>
      </w:pPr>
      <w:bookmarkStart w:id="0" w:name="remove_shape_2"/>
      <w:r>
        <w:rPr>
          <w:rFonts w:hint="default"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54610</wp:posOffset>
                </wp:positionH>
                <wp:positionV relativeFrom="paragraph">
                  <wp:posOffset>2698115</wp:posOffset>
                </wp:positionV>
                <wp:extent cx="5600700" cy="0"/>
                <wp:effectExtent l="0" t="17145" r="0" b="20955"/>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349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3pt;margin-top:212.45pt;height:0pt;width:441pt;z-index:251660288;mso-width-relative:page;mso-height-relative:page;" filled="f" stroked="t" coordsize="21600,21600" o:gfxdata="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HDWOs2AAAAAkBAAAPAAAAAAAAAAEAIAAAACIAAABkcnMvZG93bnJl&#10;di54bWxQSwECFAAUAAAACACHTuJAqf6cG/0BAADzAwAADgAAAAAAAAABACAAAAAnAQAAZHJzL2Uy&#10;b0RvYy54bWxQSwUGAAAAAAYABgBZAQAAlgUAAAAA&#10;">
                <v:fill on="f" focussize="0,0"/>
                <v:stroke weight="2.75pt" color="#FF0000" joinstyle="round"/>
                <v:imagedata o:title=""/>
                <o:lock v:ext="edit" aspectratio="f"/>
              </v:line>
            </w:pict>
          </mc:Fallback>
        </mc:AlternateContent>
      </w:r>
      <w:bookmarkEnd w:id="0"/>
      <w:bookmarkStart w:id="1" w:name="_GoBack"/>
      <w:r>
        <w:rPr>
          <w:rFonts w:hint="default" w:ascii="Times New Roman" w:hAnsi="Times New Roman" w:cs="Times New Roman"/>
        </w:rPr>
        <w:pict>
          <v:shape id="_x0000_s1026" o:spid="_x0000_s1026" o:spt="136" type="#_x0000_t136" style="position:absolute;left:0pt;margin-left:14.2pt;margin-top:69.95pt;height:59.55pt;width:413.85pt;z-index:251659264;mso-width-relative:page;mso-height-relative:page;" fillcolor="#FF0000" filled="t" stroked="t" coordsize="21600,21600" adj="10800">
            <v:path/>
            <v:fill on="t" color2="#FFFFFF" focussize="0,0"/>
            <v:stroke color="#FF0000"/>
            <v:imagedata o:title=""/>
            <o:lock v:ext="edit" aspectratio="f"/>
            <v:textpath on="t" fitshape="t" fitpath="t" trim="t" xscale="f" string="大英县文化广播电视和旅游局文件&#10;" style="font-family:方正小标宋简体;font-size:36pt;v-rotate-letters:f;v-same-letter-heights:f;v-text-align:center;"/>
          </v:shape>
        </w:pict>
      </w:r>
      <w:bookmarkEnd w:id="1"/>
    </w:p>
    <w:p>
      <w:pPr>
        <w:keepNext w:val="0"/>
        <w:keepLines w:val="0"/>
        <w:pageBreakBefore w:val="0"/>
        <w:widowControl w:val="0"/>
        <w:tabs>
          <w:tab w:val="left" w:pos="7980"/>
          <w:tab w:val="left" w:pos="8610"/>
        </w:tabs>
        <w:kinsoku/>
        <w:wordWrap/>
        <w:overflowPunct/>
        <w:topLinePunct w:val="0"/>
        <w:autoSpaceDE/>
        <w:autoSpaceDN/>
        <w:bidi w:val="0"/>
        <w:adjustRightInd/>
        <w:snapToGrid/>
        <w:spacing w:before="0" w:beforeLines="0" w:after="0" w:afterLines="0" w:line="660" w:lineRule="exact"/>
        <w:ind w:left="0" w:leftChars="0" w:right="0" w:rightChars="0" w:firstLine="0" w:firstLineChars="0"/>
        <w:jc w:val="both"/>
        <w:textAlignment w:val="auto"/>
        <w:outlineLvl w:val="9"/>
        <w:rPr>
          <w:rFonts w:hint="default" w:ascii="Times New Roman" w:hAnsi="Times New Roman" w:eastAsia="仿宋_GB2312" w:cs="Times New Roman"/>
          <w:b w:val="0"/>
          <w:bCs/>
          <w:color w:val="auto"/>
          <w:kern w:val="0"/>
          <w:sz w:val="32"/>
          <w:szCs w:val="32"/>
          <w:lang w:eastAsia="zh-CN"/>
        </w:rPr>
      </w:pPr>
    </w:p>
    <w:p>
      <w:pPr>
        <w:keepNext w:val="0"/>
        <w:keepLines w:val="0"/>
        <w:pageBreakBefore w:val="0"/>
        <w:widowControl w:val="0"/>
        <w:tabs>
          <w:tab w:val="left" w:pos="7980"/>
          <w:tab w:val="left" w:pos="8610"/>
        </w:tabs>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both"/>
        <w:textAlignment w:val="auto"/>
        <w:outlineLvl w:val="9"/>
        <w:rPr>
          <w:rFonts w:hint="default" w:ascii="Times New Roman" w:hAnsi="Times New Roman" w:eastAsia="仿宋_GB2312" w:cs="Times New Roman"/>
          <w:b w:val="0"/>
          <w:bCs/>
          <w:color w:val="auto"/>
          <w:kern w:val="0"/>
          <w:sz w:val="32"/>
          <w:szCs w:val="32"/>
          <w:lang w:eastAsia="zh-CN"/>
        </w:rPr>
      </w:pPr>
    </w:p>
    <w:p>
      <w:pPr>
        <w:keepNext w:val="0"/>
        <w:keepLines w:val="0"/>
        <w:pageBreakBefore w:val="0"/>
        <w:widowControl w:val="0"/>
        <w:tabs>
          <w:tab w:val="left" w:pos="7980"/>
          <w:tab w:val="left" w:pos="8610"/>
        </w:tabs>
        <w:kinsoku/>
        <w:wordWrap/>
        <w:overflowPunct/>
        <w:topLinePunct w:val="0"/>
        <w:autoSpaceDE/>
        <w:autoSpaceDN/>
        <w:bidi w:val="0"/>
        <w:adjustRightInd/>
        <w:snapToGrid/>
        <w:spacing w:after="200" w:line="700" w:lineRule="exact"/>
        <w:ind w:left="0" w:leftChars="0" w:right="21" w:rightChars="10" w:firstLine="0" w:firstLineChars="0"/>
        <w:jc w:val="both"/>
        <w:textAlignment w:val="auto"/>
        <w:outlineLvl w:val="9"/>
        <w:rPr>
          <w:rFonts w:hint="default" w:ascii="Times New Roman" w:hAnsi="Times New Roman" w:eastAsia="仿宋_GB2312" w:cs="Times New Roman"/>
          <w:b w:val="0"/>
          <w:bCs/>
          <w:color w:val="auto"/>
          <w:kern w:val="0"/>
          <w:sz w:val="32"/>
          <w:szCs w:val="32"/>
          <w:lang w:eastAsia="zh-CN"/>
        </w:rPr>
      </w:pPr>
    </w:p>
    <w:p>
      <w:pPr>
        <w:pStyle w:val="7"/>
        <w:keepNext w:val="0"/>
        <w:keepLines w:val="0"/>
        <w:pageBreakBefore w:val="0"/>
        <w:widowControl w:val="0"/>
        <w:tabs>
          <w:tab w:val="left" w:pos="8610"/>
        </w:tabs>
        <w:kinsoku/>
        <w:wordWrap/>
        <w:overflowPunct/>
        <w:topLinePunct w:val="0"/>
        <w:autoSpaceDE/>
        <w:autoSpaceDN/>
        <w:bidi w:val="0"/>
        <w:adjustRightInd/>
        <w:snapToGrid/>
        <w:spacing w:line="720" w:lineRule="exact"/>
        <w:ind w:left="0" w:leftChars="0" w:firstLine="0" w:firstLineChars="0"/>
        <w:textAlignment w:val="auto"/>
        <w:rPr>
          <w:rFonts w:hint="default" w:ascii="Times New Roman" w:hAnsi="Times New Roman" w:cs="Times New Roman"/>
          <w:color w:val="auto"/>
          <w:lang w:eastAsia="zh-CN"/>
        </w:rPr>
      </w:pPr>
    </w:p>
    <w:p>
      <w:pPr>
        <w:keepNext w:val="0"/>
        <w:keepLines w:val="0"/>
        <w:pageBreakBefore w:val="0"/>
        <w:tabs>
          <w:tab w:val="left" w:pos="220"/>
          <w:tab w:val="left" w:pos="1890"/>
          <w:tab w:val="left" w:pos="8620"/>
        </w:tabs>
        <w:kinsoku/>
        <w:wordWrap/>
        <w:overflowPunct/>
        <w:topLinePunct w:val="0"/>
        <w:autoSpaceDE/>
        <w:autoSpaceDN/>
        <w:bidi w:val="0"/>
        <w:spacing w:before="0" w:beforeAutospacing="0" w:afterAutospacing="0" w:line="560" w:lineRule="exact"/>
        <w:ind w:right="0" w:rightChars="0" w:firstLine="320" w:firstLineChars="100"/>
        <w:jc w:val="both"/>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大文广</w:t>
      </w:r>
      <w:r>
        <w:rPr>
          <w:rFonts w:hint="default" w:ascii="Times New Roman" w:hAnsi="Times New Roman" w:eastAsia="仿宋_GB2312" w:cs="Times New Roman"/>
          <w:color w:val="auto"/>
          <w:sz w:val="32"/>
          <w:szCs w:val="32"/>
          <w:highlight w:val="none"/>
          <w:lang w:eastAsia="zh-CN"/>
        </w:rPr>
        <w:t>旅</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77</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10"/>
          <w:szCs w:val="10"/>
          <w:highlight w:val="none"/>
          <w:lang w:val="en-US" w:eastAsia="zh-CN"/>
        </w:rPr>
        <w:t xml:space="preserve"> </w:t>
      </w:r>
      <w:r>
        <w:rPr>
          <w:rFonts w:hint="default" w:ascii="Times New Roman" w:hAnsi="Times New Roman" w:eastAsia="仿宋_GB2312" w:cs="Times New Roman"/>
          <w:color w:val="auto"/>
          <w:sz w:val="32"/>
          <w:szCs w:val="32"/>
          <w:highlight w:val="none"/>
          <w:lang w:val="en-US" w:eastAsia="zh-CN"/>
        </w:rPr>
        <w:t>签发人：</w:t>
      </w:r>
      <w:r>
        <w:rPr>
          <w:rFonts w:hint="eastAsia" w:ascii="Times New Roman" w:hAnsi="Times New Roman" w:eastAsia="楷体_GB2312" w:cs="Times New Roman"/>
          <w:color w:val="auto"/>
          <w:sz w:val="32"/>
          <w:szCs w:val="32"/>
          <w:highlight w:val="none"/>
          <w:lang w:val="en-US" w:eastAsia="zh-CN"/>
        </w:rPr>
        <w:t>郭小军</w:t>
      </w:r>
    </w:p>
    <w:p>
      <w:pPr>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right="0" w:rightChars="0" w:firstLine="640"/>
        <w:jc w:val="left"/>
        <w:textAlignment w:val="auto"/>
        <w:outlineLvl w:val="9"/>
        <w:rPr>
          <w:rFonts w:hint="default" w:ascii="Times New Roman" w:hAnsi="Times New Roman" w:eastAsia="仿宋_GB2312" w:cs="Times New Roman"/>
          <w:color w:val="auto"/>
          <w:sz w:val="32"/>
          <w:szCs w:val="32"/>
          <w:highlight w:val="none"/>
        </w:rPr>
      </w:pPr>
    </w:p>
    <w:p>
      <w:pPr>
        <w:pStyle w:val="7"/>
        <w:keepNext w:val="0"/>
        <w:keepLines w:val="0"/>
        <w:pageBreakBefore w:val="0"/>
        <w:widowControl w:val="0"/>
        <w:tabs>
          <w:tab w:val="left" w:pos="8610"/>
        </w:tabs>
        <w:kinsoku/>
        <w:wordWrap/>
        <w:overflowPunct/>
        <w:topLinePunct w:val="0"/>
        <w:autoSpaceDE/>
        <w:autoSpaceDN/>
        <w:bidi w:val="0"/>
        <w:adjustRightInd/>
        <w:snapToGrid/>
        <w:textAlignment w:val="auto"/>
        <w:rPr>
          <w:rFonts w:hint="default" w:ascii="Times New Roman" w:hAnsi="Times New Roman" w:cs="Times New Roman"/>
          <w:color w:val="auto"/>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大英县文化广播电视和旅游局</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2023年县级部门整体支出绩效评价报告</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（大英县文化广播电视和旅游局）</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一、部门（单位）概况</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（一）机构组成</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大英县文化广播电视和旅游局下属二级预算单位4个，其中行政单位0个，参照公务员法管理的事业单位1个，其他事业单位3个。主要包括：县文化市场综合行政执法大队、县文旅产业发展服务中心、县广播电视发射台、县群众文化促进中心〔含县文化馆、县图书馆、县文管所（博物馆）、县美术馆〕。</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（二）机构职能</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1.拟定文化、广播电视、旅游、文物相关的政策措施和规范性文件并组织实施，负责本部门依法行政工作。</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2.组织推动全县文化、广播电视、旅游、文物事业（产业）发展，制定发展规划并组织实施；推进文化、广播电视、旅游、文物体制机制改革；推进文化和旅游融合发展。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负责全县重大文化、广播电视和旅游活动。负责全县重点文化、文物、广播电视和旅游设施建设，负责全县文化旅游整体形象和重点品牌推广，促进文化产业和旅游业对外合作和市场推广。制定旅游市场开放战略并组织实施，推进全域旅游。</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4.指导管理文艺精品的创作与生产，扶持体现社会主义核心价值观、具有导向性代表性示范性的文艺作品，推动全县各类文学艺术的发展。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5.负责公共文化事业发展，推进全县公共文化服务体系建设和旅游公共服务建设，深入实施文化惠民工程，统筹推进基本公共文化服务标准化、均等化。</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6.负责全县文化市场综合执法，组织查处本地区文化、广播电视、旅游、文物等市场的违法违规行为，协查跨区域大案要案，维护市场秩序。</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7.组织实施文旅资源普查、挖掘、保护和利用工作，促进文化产业和旅游业发展。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8.负责非物质文化遗产保护，推动非物质文化遗产的保护、传承、普及、弘扬和振兴。</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9.指导文化、广播电视和旅游市场的发展，对文化、广播电视和旅游市场经营进行行业监管，负责旅行社和导游管理工作。</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10.协调、指导和监督全县文物安全工作，履行文物行政督察职责。负责全县文化遗产保护和管理的监督工作，协同相关部门负责世界文化与自然遗产、历史文化名城申报和监督管理工作。</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11.负责对各类广播电视机构进行业务指导和行业监管，加强广播电视阵地建设，指导、监督广播电视广告播放，把握正确的舆论导向和创作导向。</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12.负责广播电视节目传输覆盖、监测和安全播出的监督管理，指导、推进应急广播体系建设。</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13.完成县委、县政府交办的其他工作。</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（三）人员概况</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截止2023年12月31日，全系统编制数71个（其中局机关行政编制数8个、县文化市场综合行政执法大队参公编制数8个、县群众文化促进中心事业编制数24个、县广播电视发射台事业编制数4个、县文旅产业发展服务中心事业编制数27个），年末实有人数69人（其中局机关12人、县文化市场综合行政执法大队5人、县群众文化促进中心22人、县广播电视发射台4人、县文旅产业发展服务中心26人）。</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二、部门财政资金收支情况</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（一）部门财政资金收入情况</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度，大英县文化广播电视和旅游局年初收入预算1250.85万元（均为一般财政拨款）；调整后预算8150.33万元（其中：一般财政拨款6283.37万元、政府性基金预算1000万元、年初结转和结余866.96万元），收入决算8150.33万元。</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（二）部门财政资金支出情况</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2023年，大英县文化广播电视和旅游局年初支出预算1484.68万元，调整后预算8150.33万元；实际支出8150.33万元（其中：基本支出2090.52万元、项目支出6059.82万元）。</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三、部门整体预算绩效管理情况</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（一）部门预算项目绩效管理</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目标制定方面：</w:t>
      </w:r>
      <w:r>
        <w:rPr>
          <w:rFonts w:hint="default" w:ascii="Times New Roman" w:hAnsi="Times New Roman" w:eastAsia="仿宋_GB2312" w:cs="Times New Roman"/>
          <w:sz w:val="32"/>
          <w:szCs w:val="32"/>
        </w:rPr>
        <w:t>我局整体绩效目标编制要素完整，绩效指标均细化量化，将绩效目标纳入部门党组会集体决策范围。绩效目标是预算编制的前提和基础，按照“费随事定”的原则，2023年县文化广电旅游局收入预算1250.85万元。所有县级项目预算（涉及金额1250.85万元）、一事一议县级项目（涉及金额6032.52万元）均按要求编制了绩效目标，从项目完成、项目效益、满意度等方面设置了绩效指标，综合反映项目预期完成的数量、成本、时效、质量，预期达到的社会效益、经济效益、可持续影响以及服务对象满意度等情况，突出绩效导向，强化绩效理念，促进绩效管理与预算编制、执行、监督有机融合，加快预算和绩效管理一体化进程。</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目标实现方面：</w:t>
      </w:r>
      <w:r>
        <w:rPr>
          <w:rFonts w:hint="default" w:ascii="Times New Roman" w:hAnsi="Times New Roman" w:eastAsia="仿宋_GB2312" w:cs="Times New Roman"/>
          <w:sz w:val="32"/>
          <w:szCs w:val="32"/>
        </w:rPr>
        <w:t>我局根据县财政局编制要求按人员类、运转类和特定目标类项目在预算一体化系统中进行了目标编制，其中，人员类和运转类项目编制了23个数量指标，均于当年按计划完成；2023年纳入绩效目标管理的部门预算项目共计10个，截至2023年12月31日，全部数量指标个数10个，达到预期数量指标个数10个，2023年部门绩效目标实际实现程度与预期目标的偏离度为0%，项目目标实现情况良好。</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我部门日常公用经费预算81.4万元，日常公用经费决算89.1万元，预决算偏差度8.6%（小于10%），2023年度部门公用经费支出控制情况良好。项目支出中“办公费、印刷费、水费、电费、物业管理费、维修（护）费、培训费、会议费”8个科目年初预算数154.3万元，决算数165.7万元，偏差程度6.9%（小于10%）。截止2023年12月31日，我部门预算完成情况100%，执行进度96.92%，资金结余率3.08%，无违规情况发生。坚持“量入为出、有保有压、收支平衡”的原则，优化支出结构，挖掘资金潜力，集中财力办大事要事，最大限度提高财政资金使用绩效。严格按照三年支出规划编制要求，及时开展绩效运行监控，将绩效监控结果应用到预算调整的情况，强化中期财政规划对年度预算编制的约束，在确保部门正常运转需要的基础上，厉行节约办一切事业。</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（二）结果应用情况</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1.预算挂钩方面：</w:t>
      </w:r>
      <w:r>
        <w:rPr>
          <w:rFonts w:hint="default" w:ascii="Times New Roman" w:hAnsi="Times New Roman" w:eastAsia="仿宋_GB2312" w:cs="Times New Roman"/>
          <w:sz w:val="32"/>
          <w:szCs w:val="32"/>
        </w:rPr>
        <w:t>绩效评价是规范财政资金管理、提高资金使用效益的重要举措。绩效评价结果应用，既是开展绩效评价工作的基本前提，又是加强财政支出管理、增强资金绩效理念、合理配置公共资源、优化财政支出结构、强化资金管理水平、提高资金使用效益的重要手段。我局将职能股室绩效自评结果纳入到绩效考核体系中，根据各股室上一年度预算执行情况、项目绩效自评结果等因素综合考虑分配预算资金。</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2.自评公开方面：</w:t>
      </w:r>
      <w:r>
        <w:rPr>
          <w:rFonts w:hint="default" w:ascii="Times New Roman" w:hAnsi="Times New Roman" w:eastAsia="仿宋_GB2312" w:cs="Times New Roman"/>
          <w:sz w:val="32"/>
          <w:szCs w:val="32"/>
        </w:rPr>
        <w:t>按照《预算法》规定，我单位经本级政府财政部门批复的部门预算、部门决算、“三公”经费等均在批复后20日内在大英县门户网站进行了公开，对机关运行经费的安排使用情况、“三公”经费预算变动等重要事项作出了说明。</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（三）自评质量</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本次2023年部门整体支出绩效自评工作成效明显，部门整体支出自评准确率高，对以后年度部门整体支出管理与绩效评价具有一定的指导意义。</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四、评价结论及建议</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（一）评价结论</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总体来看，我单位2023年部门绩效目标编制细化量化，支出控制较好，自评公开准确、及时，对评价中存在的问题及时整改，并将绩效评价结果运用于次年预算编制。但也存在个别项目绩效目标要素不全、进度缓慢等情况。参照县级部门整体支出绩效评价指标体系，本次自评不涉及“自评质量”（10分），故自评综合得分为90分，折算成百分制后得分为89.29分。</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（二）存在问题</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个别项目进度缓慢，未达到资金支付条件，存在部分资金未使用的情况；个别项目进度完成，但是资金未全部到位。</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（三）改进建议</w:t>
      </w:r>
    </w:p>
    <w:p>
      <w:pPr>
        <w:pStyle w:val="2"/>
        <w:keepNext w:val="0"/>
        <w:keepLines w:val="0"/>
        <w:pageBreakBefore w:val="0"/>
        <w:widowControl w:val="0"/>
        <w:kinsoku/>
        <w:wordWrap/>
        <w:overflowPunct/>
        <w:topLinePunct w:val="0"/>
        <w:autoSpaceDE/>
        <w:autoSpaceDN/>
        <w:bidi w:val="0"/>
        <w:adjustRightInd/>
        <w:snapToGrid/>
        <w:spacing w:line="55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加强对项目实施的督导，推动项目按时按质按量完成，及时按项目进度支付资金。</w:t>
      </w:r>
    </w:p>
    <w:p>
      <w:pPr>
        <w:pStyle w:val="2"/>
        <w:keepNext w:val="0"/>
        <w:keepLines w:val="0"/>
        <w:pageBreakBefore w:val="0"/>
        <w:widowControl w:val="0"/>
        <w:kinsoku/>
        <w:wordWrap/>
        <w:overflowPunct/>
        <w:topLinePunct w:val="0"/>
        <w:autoSpaceDE/>
        <w:autoSpaceDN/>
        <w:bidi w:val="0"/>
        <w:adjustRightInd/>
        <w:snapToGrid/>
        <w:spacing w:line="550" w:lineRule="exact"/>
        <w:textAlignment w:val="auto"/>
        <w:rPr>
          <w:rFonts w:hint="default" w:ascii="Times New Roman" w:hAnsi="Times New Roman" w:eastAsia="仿宋_GB2312" w:cs="Times New Roman"/>
          <w:sz w:val="32"/>
          <w:szCs w:val="32"/>
        </w:rPr>
      </w:pPr>
    </w:p>
    <w:p>
      <w:pPr>
        <w:pStyle w:val="2"/>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附件：2024年县级部门整体支出绩效评价指标体系</w:t>
      </w:r>
    </w:p>
    <w:p>
      <w:pPr>
        <w:pStyle w:val="2"/>
        <w:keepNext w:val="0"/>
        <w:keepLines w:val="0"/>
        <w:pageBreakBefore w:val="0"/>
        <w:widowControl w:val="0"/>
        <w:kinsoku/>
        <w:wordWrap/>
        <w:overflowPunct/>
        <w:topLinePunct w:val="0"/>
        <w:autoSpaceDE/>
        <w:autoSpaceDN/>
        <w:bidi w:val="0"/>
        <w:adjustRightInd/>
        <w:snapToGrid/>
        <w:spacing w:line="550" w:lineRule="exact"/>
        <w:textAlignment w:val="auto"/>
        <w:rPr>
          <w:rFonts w:hint="default" w:ascii="Times New Roman" w:hAnsi="Times New Roman" w:eastAsia="仿宋_GB2312" w:cs="Times New Roman"/>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50" w:lineRule="exact"/>
        <w:textAlignment w:val="auto"/>
        <w:rPr>
          <w:rFonts w:hint="default" w:ascii="Times New Roman" w:hAnsi="Times New Roman" w:eastAsia="仿宋_GB2312" w:cs="Times New Roman"/>
          <w:sz w:val="32"/>
          <w:szCs w:val="32"/>
        </w:rPr>
      </w:pPr>
    </w:p>
    <w:p>
      <w:pPr>
        <w:keepNext w:val="0"/>
        <w:keepLines w:val="0"/>
        <w:pageBreakBefore w:val="0"/>
        <w:widowControl w:val="0"/>
        <w:tabs>
          <w:tab w:val="left" w:pos="7980"/>
          <w:tab w:val="left" w:pos="8190"/>
        </w:tabs>
        <w:kinsoku/>
        <w:wordWrap/>
        <w:overflowPunct/>
        <w:topLinePunct w:val="0"/>
        <w:autoSpaceDE/>
        <w:autoSpaceDN/>
        <w:bidi w:val="0"/>
        <w:adjustRightInd/>
        <w:snapToGrid/>
        <w:spacing w:line="570" w:lineRule="exact"/>
        <w:ind w:firstLine="4160" w:firstLineChars="13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大英县文化广播电视和旅游局</w:t>
      </w:r>
    </w:p>
    <w:p>
      <w:pPr>
        <w:keepNext w:val="0"/>
        <w:keepLines w:val="0"/>
        <w:pageBreakBefore w:val="0"/>
        <w:widowControl w:val="0"/>
        <w:kinsoku/>
        <w:wordWrap/>
        <w:overflowPunct/>
        <w:topLinePunct w:val="0"/>
        <w:autoSpaceDE/>
        <w:autoSpaceDN/>
        <w:bidi w:val="0"/>
        <w:adjustRightInd/>
        <w:snapToGrid/>
        <w:spacing w:line="570" w:lineRule="exact"/>
        <w:ind w:left="0" w:leftChars="0" w:firstLine="5075" w:firstLineChars="1586"/>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2024年5月10日</w:t>
      </w:r>
    </w:p>
    <w:p>
      <w:pPr>
        <w:rPr>
          <w:rFonts w:hint="default" w:ascii="Times New Roman" w:hAnsi="Times New Roman" w:eastAsia="仿宋_GB2312" w:cs="Times New Roman"/>
          <w:kern w:val="2"/>
          <w:sz w:val="32"/>
          <w:szCs w:val="32"/>
          <w:lang w:val="en-US" w:eastAsia="zh-CN" w:bidi="ar-SA"/>
        </w:rPr>
        <w:sectPr>
          <w:footerReference r:id="rId3" w:type="default"/>
          <w:pgSz w:w="11906" w:h="16838"/>
          <w:pgMar w:top="1871" w:right="1474" w:bottom="1361" w:left="1531" w:header="851" w:footer="1134" w:gutter="0"/>
          <w:pgNumType w:fmt="decimal"/>
          <w:cols w:space="0" w:num="1"/>
          <w:rtlGutter w:val="0"/>
          <w:docGrid w:type="lines" w:linePitch="316" w:charSpace="0"/>
        </w:sectPr>
      </w:pPr>
    </w:p>
    <w:p>
      <w:pPr>
        <w:pStyle w:val="7"/>
        <w:ind w:left="0" w:leftChars="0" w:firstLine="0" w:firstLineChars="0"/>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附件</w:t>
      </w:r>
    </w:p>
    <w:p>
      <w:pPr>
        <w:pStyle w:val="7"/>
        <w:keepNext w:val="0"/>
        <w:keepLines w:val="0"/>
        <w:pageBreakBefore w:val="0"/>
        <w:widowControl w:val="0"/>
        <w:kinsoku/>
        <w:wordWrap/>
        <w:overflowPunct/>
        <w:topLinePunct w:val="0"/>
        <w:autoSpaceDE/>
        <w:autoSpaceDN/>
        <w:bidi w:val="0"/>
        <w:adjustRightInd/>
        <w:snapToGrid/>
        <w:spacing w:line="660" w:lineRule="exact"/>
        <w:ind w:left="0" w:leftChars="0" w:firstLine="0" w:firstLineChars="0"/>
        <w:jc w:val="center"/>
        <w:textAlignment w:val="auto"/>
        <w:rPr>
          <w:rFonts w:hint="default" w:ascii="Times New Roman" w:hAnsi="Times New Roman" w:eastAsia="方正小标宋简体" w:cs="Times New Roman"/>
          <w:kern w:val="2"/>
          <w:sz w:val="36"/>
          <w:szCs w:val="36"/>
          <w:lang w:val="en-US" w:eastAsia="zh-CN" w:bidi="ar-SA"/>
        </w:rPr>
      </w:pPr>
      <w:r>
        <w:rPr>
          <w:rFonts w:hint="default" w:ascii="Times New Roman" w:hAnsi="Times New Roman" w:eastAsia="方正小标宋简体" w:cs="Times New Roman"/>
          <w:kern w:val="2"/>
          <w:sz w:val="36"/>
          <w:szCs w:val="36"/>
          <w:lang w:val="en-US" w:eastAsia="zh-CN" w:bidi="ar-SA"/>
        </w:rPr>
        <w:t>2024年县级部门整体支出绩效评价指标体系</w:t>
      </w:r>
    </w:p>
    <w:tbl>
      <w:tblPr>
        <w:tblStyle w:val="5"/>
        <w:tblW w:w="15313" w:type="dxa"/>
        <w:tblInd w:w="-51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93"/>
        <w:gridCol w:w="1096"/>
        <w:gridCol w:w="779"/>
        <w:gridCol w:w="870"/>
        <w:gridCol w:w="2430"/>
        <w:gridCol w:w="3675"/>
        <w:gridCol w:w="3214"/>
        <w:gridCol w:w="1391"/>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5" w:hRule="atLeast"/>
          <w:tblHeader/>
        </w:trPr>
        <w:tc>
          <w:tcPr>
            <w:tcW w:w="29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sz w:val="22"/>
                <w:szCs w:val="22"/>
                <w:u w:val="none"/>
              </w:rPr>
            </w:pPr>
            <w:r>
              <w:rPr>
                <w:rFonts w:hint="default" w:ascii="Times New Roman" w:hAnsi="Times New Roman" w:eastAsia="仿宋_GB2312" w:cs="Times New Roman"/>
                <w:b/>
                <w:bCs/>
                <w:i w:val="0"/>
                <w:iCs w:val="0"/>
                <w:color w:val="auto"/>
                <w:kern w:val="0"/>
                <w:sz w:val="22"/>
                <w:szCs w:val="22"/>
                <w:u w:val="none"/>
                <w:lang w:val="en-US" w:eastAsia="zh-CN" w:bidi="ar"/>
              </w:rPr>
              <w:t>绩效指标</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kern w:val="0"/>
                <w:sz w:val="22"/>
                <w:szCs w:val="22"/>
                <w:u w:val="none"/>
                <w:lang w:val="en-US" w:eastAsia="zh-CN" w:bidi="ar"/>
              </w:rPr>
            </w:pPr>
            <w:r>
              <w:rPr>
                <w:rFonts w:hint="default" w:ascii="Times New Roman" w:hAnsi="Times New Roman" w:eastAsia="仿宋_GB2312" w:cs="Times New Roman"/>
                <w:b/>
                <w:bCs/>
                <w:i w:val="0"/>
                <w:iCs w:val="0"/>
                <w:color w:val="auto"/>
                <w:kern w:val="0"/>
                <w:sz w:val="22"/>
                <w:szCs w:val="22"/>
                <w:u w:val="none"/>
                <w:lang w:val="en-US" w:eastAsia="zh-CN" w:bidi="ar"/>
              </w:rPr>
              <w:t>指标</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sz w:val="22"/>
                <w:szCs w:val="22"/>
                <w:u w:val="none"/>
              </w:rPr>
            </w:pPr>
            <w:r>
              <w:rPr>
                <w:rFonts w:hint="default" w:ascii="Times New Roman" w:hAnsi="Times New Roman" w:eastAsia="仿宋_GB2312" w:cs="Times New Roman"/>
                <w:b/>
                <w:bCs/>
                <w:i w:val="0"/>
                <w:iCs w:val="0"/>
                <w:color w:val="auto"/>
                <w:kern w:val="0"/>
                <w:sz w:val="22"/>
                <w:szCs w:val="22"/>
                <w:u w:val="none"/>
                <w:lang w:val="en-US" w:eastAsia="zh-CN" w:bidi="ar"/>
              </w:rPr>
              <w:t>分值</w:t>
            </w:r>
          </w:p>
        </w:tc>
        <w:tc>
          <w:tcPr>
            <w:tcW w:w="24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sz w:val="22"/>
                <w:szCs w:val="22"/>
                <w:u w:val="none"/>
              </w:rPr>
            </w:pPr>
            <w:r>
              <w:rPr>
                <w:rFonts w:hint="default" w:ascii="Times New Roman" w:hAnsi="Times New Roman" w:eastAsia="仿宋_GB2312" w:cs="Times New Roman"/>
                <w:b/>
                <w:bCs/>
                <w:i w:val="0"/>
                <w:iCs w:val="0"/>
                <w:color w:val="auto"/>
                <w:kern w:val="0"/>
                <w:sz w:val="22"/>
                <w:szCs w:val="22"/>
                <w:u w:val="none"/>
                <w:lang w:val="en-US" w:eastAsia="zh-CN" w:bidi="ar"/>
              </w:rPr>
              <w:t>指标解释</w:t>
            </w:r>
          </w:p>
        </w:tc>
        <w:tc>
          <w:tcPr>
            <w:tcW w:w="3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sz w:val="22"/>
                <w:szCs w:val="22"/>
                <w:u w:val="none"/>
              </w:rPr>
            </w:pPr>
            <w:r>
              <w:rPr>
                <w:rFonts w:hint="default" w:ascii="Times New Roman" w:hAnsi="Times New Roman" w:eastAsia="仿宋_GB2312" w:cs="Times New Roman"/>
                <w:b/>
                <w:bCs/>
                <w:i w:val="0"/>
                <w:iCs w:val="0"/>
                <w:color w:val="auto"/>
                <w:kern w:val="0"/>
                <w:sz w:val="22"/>
                <w:szCs w:val="22"/>
                <w:u w:val="none"/>
                <w:lang w:val="en-US" w:eastAsia="zh-CN" w:bidi="ar"/>
              </w:rPr>
              <w:t>计分标准</w:t>
            </w:r>
          </w:p>
        </w:tc>
        <w:tc>
          <w:tcPr>
            <w:tcW w:w="321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sz w:val="22"/>
                <w:szCs w:val="22"/>
                <w:u w:val="none"/>
              </w:rPr>
            </w:pPr>
            <w:r>
              <w:rPr>
                <w:rFonts w:hint="default" w:ascii="Times New Roman" w:hAnsi="Times New Roman" w:eastAsia="仿宋_GB2312" w:cs="Times New Roman"/>
                <w:b/>
                <w:bCs/>
                <w:i w:val="0"/>
                <w:iCs w:val="0"/>
                <w:color w:val="auto"/>
                <w:kern w:val="0"/>
                <w:sz w:val="22"/>
                <w:szCs w:val="22"/>
                <w:u w:val="none"/>
                <w:lang w:val="en-US" w:eastAsia="zh-CN" w:bidi="ar"/>
              </w:rPr>
              <w:t>依据资料</w:t>
            </w: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sz w:val="22"/>
                <w:szCs w:val="22"/>
                <w:u w:val="none"/>
              </w:rPr>
            </w:pPr>
            <w:r>
              <w:rPr>
                <w:rFonts w:hint="default" w:ascii="Times New Roman" w:hAnsi="Times New Roman" w:eastAsia="仿宋_GB2312" w:cs="Times New Roman"/>
                <w:b/>
                <w:bCs/>
                <w:i w:val="0"/>
                <w:iCs w:val="0"/>
                <w:color w:val="auto"/>
                <w:kern w:val="0"/>
                <w:sz w:val="22"/>
                <w:szCs w:val="22"/>
                <w:u w:val="none"/>
                <w:lang w:val="en-US" w:eastAsia="zh-CN" w:bidi="ar"/>
              </w:rPr>
              <w:t>评价过程（只写扣分项的原因）</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kern w:val="0"/>
                <w:sz w:val="22"/>
                <w:szCs w:val="22"/>
                <w:u w:val="none"/>
                <w:lang w:val="en-US" w:eastAsia="zh-CN" w:bidi="ar"/>
              </w:rPr>
            </w:pPr>
            <w:r>
              <w:rPr>
                <w:rFonts w:hint="default" w:ascii="Times New Roman" w:hAnsi="Times New Roman" w:eastAsia="仿宋_GB2312" w:cs="Times New Roman"/>
                <w:b/>
                <w:bCs/>
                <w:i w:val="0"/>
                <w:iCs w:val="0"/>
                <w:color w:val="auto"/>
                <w:kern w:val="0"/>
                <w:sz w:val="22"/>
                <w:szCs w:val="22"/>
                <w:u w:val="none"/>
                <w:lang w:val="en-US" w:eastAsia="zh-CN" w:bidi="ar"/>
              </w:rPr>
              <w:t>自评</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sz w:val="22"/>
                <w:szCs w:val="22"/>
                <w:u w:val="none"/>
              </w:rPr>
            </w:pPr>
            <w:r>
              <w:rPr>
                <w:rFonts w:hint="default" w:ascii="Times New Roman" w:hAnsi="Times New Roman" w:eastAsia="仿宋_GB2312" w:cs="Times New Roman"/>
                <w:b/>
                <w:bCs/>
                <w:i w:val="0"/>
                <w:iCs w:val="0"/>
                <w:color w:val="auto"/>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8" w:hRule="atLeast"/>
          <w:tblHeader/>
        </w:trPr>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kern w:val="0"/>
                <w:sz w:val="22"/>
                <w:szCs w:val="22"/>
                <w:u w:val="none"/>
                <w:lang w:val="en-US" w:eastAsia="zh-CN" w:bidi="ar"/>
              </w:rPr>
            </w:pPr>
            <w:r>
              <w:rPr>
                <w:rFonts w:hint="default" w:ascii="Times New Roman" w:hAnsi="Times New Roman" w:eastAsia="仿宋_GB2312" w:cs="Times New Roman"/>
                <w:b/>
                <w:bCs/>
                <w:i w:val="0"/>
                <w:iCs w:val="0"/>
                <w:color w:val="auto"/>
                <w:kern w:val="0"/>
                <w:sz w:val="22"/>
                <w:szCs w:val="22"/>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sz w:val="22"/>
                <w:szCs w:val="22"/>
                <w:u w:val="none"/>
              </w:rPr>
            </w:pPr>
            <w:r>
              <w:rPr>
                <w:rFonts w:hint="default" w:ascii="Times New Roman" w:hAnsi="Times New Roman" w:eastAsia="仿宋_GB2312" w:cs="Times New Roman"/>
                <w:b/>
                <w:bCs/>
                <w:i w:val="0"/>
                <w:iCs w:val="0"/>
                <w:color w:val="auto"/>
                <w:kern w:val="0"/>
                <w:sz w:val="22"/>
                <w:szCs w:val="22"/>
                <w:u w:val="none"/>
                <w:lang w:val="en-US" w:eastAsia="zh-CN" w:bidi="ar"/>
              </w:rPr>
              <w:t>指标</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kern w:val="0"/>
                <w:sz w:val="22"/>
                <w:szCs w:val="22"/>
                <w:u w:val="none"/>
                <w:lang w:val="en-US" w:eastAsia="zh-CN" w:bidi="ar"/>
              </w:rPr>
            </w:pPr>
            <w:r>
              <w:rPr>
                <w:rFonts w:hint="default" w:ascii="Times New Roman" w:hAnsi="Times New Roman" w:eastAsia="仿宋_GB2312" w:cs="Times New Roman"/>
                <w:b/>
                <w:bCs/>
                <w:i w:val="0"/>
                <w:iCs w:val="0"/>
                <w:color w:val="auto"/>
                <w:kern w:val="0"/>
                <w:sz w:val="22"/>
                <w:szCs w:val="22"/>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sz w:val="22"/>
                <w:szCs w:val="22"/>
                <w:u w:val="none"/>
              </w:rPr>
            </w:pPr>
            <w:r>
              <w:rPr>
                <w:rFonts w:hint="default" w:ascii="Times New Roman" w:hAnsi="Times New Roman" w:eastAsia="仿宋_GB2312" w:cs="Times New Roman"/>
                <w:b/>
                <w:bCs/>
                <w:i w:val="0"/>
                <w:iCs w:val="0"/>
                <w:color w:val="auto"/>
                <w:kern w:val="0"/>
                <w:sz w:val="22"/>
                <w:szCs w:val="22"/>
                <w:u w:val="none"/>
                <w:lang w:val="en-US" w:eastAsia="zh-CN" w:bidi="ar"/>
              </w:rPr>
              <w:t>指标</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kern w:val="0"/>
                <w:sz w:val="22"/>
                <w:szCs w:val="22"/>
                <w:u w:val="none"/>
                <w:lang w:val="en-US" w:eastAsia="zh-CN" w:bidi="ar"/>
              </w:rPr>
            </w:pPr>
            <w:r>
              <w:rPr>
                <w:rFonts w:hint="default" w:ascii="Times New Roman" w:hAnsi="Times New Roman" w:eastAsia="仿宋_GB2312" w:cs="Times New Roman"/>
                <w:b/>
                <w:bCs/>
                <w:i w:val="0"/>
                <w:iCs w:val="0"/>
                <w:color w:val="auto"/>
                <w:kern w:val="0"/>
                <w:sz w:val="22"/>
                <w:szCs w:val="22"/>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auto"/>
                <w:sz w:val="22"/>
                <w:szCs w:val="22"/>
                <w:u w:val="none"/>
              </w:rPr>
            </w:pPr>
            <w:r>
              <w:rPr>
                <w:rFonts w:hint="default" w:ascii="Times New Roman" w:hAnsi="Times New Roman" w:eastAsia="仿宋_GB2312" w:cs="Times New Roman"/>
                <w:b/>
                <w:bCs/>
                <w:i w:val="0"/>
                <w:iCs w:val="0"/>
                <w:color w:val="auto"/>
                <w:kern w:val="0"/>
                <w:sz w:val="22"/>
                <w:szCs w:val="22"/>
                <w:u w:val="none"/>
                <w:lang w:val="en-US" w:eastAsia="zh-CN" w:bidi="ar"/>
              </w:rPr>
              <w:t>指标</w:t>
            </w: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bCs/>
                <w:i w:val="0"/>
                <w:iCs w:val="0"/>
                <w:color w:val="auto"/>
                <w:sz w:val="22"/>
                <w:szCs w:val="22"/>
                <w:u w:val="none"/>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bCs/>
                <w:i w:val="0"/>
                <w:iCs w:val="0"/>
                <w:color w:val="auto"/>
                <w:sz w:val="22"/>
                <w:szCs w:val="22"/>
                <w:u w:val="none"/>
              </w:rPr>
            </w:pPr>
          </w:p>
        </w:tc>
        <w:tc>
          <w:tcPr>
            <w:tcW w:w="3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bCs/>
                <w:i w:val="0"/>
                <w:iCs w:val="0"/>
                <w:color w:val="auto"/>
                <w:sz w:val="22"/>
                <w:szCs w:val="22"/>
                <w:u w:val="none"/>
              </w:rPr>
            </w:pPr>
          </w:p>
        </w:tc>
        <w:tc>
          <w:tcPr>
            <w:tcW w:w="321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bCs/>
                <w:i w:val="0"/>
                <w:iCs w:val="0"/>
                <w:color w:val="auto"/>
                <w:sz w:val="22"/>
                <w:szCs w:val="22"/>
                <w:u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bCs/>
                <w:i w:val="0"/>
                <w:iCs w:val="0"/>
                <w:color w:val="auto"/>
                <w:sz w:val="22"/>
                <w:szCs w:val="22"/>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bCs/>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0" w:hRule="atLeast"/>
        </w:trPr>
        <w:tc>
          <w:tcPr>
            <w:tcW w:w="10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部门</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预算</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管理</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（70分）</w:t>
            </w: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预算</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编制</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（25分）</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目标制定</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10</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评价部门绩效目标是否要素完整、细化量化并集体决策。</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1.绩效目标编制要素完整的，得4分，否则酌情扣分。</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2.绩效指标细化量化的，得4分，否则酌情扣分。</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3.评价部门绩效目标纳入部门党组（委）会（办公会）集体决策范围的得2分，否则不得分。</w:t>
            </w:r>
          </w:p>
        </w:tc>
        <w:tc>
          <w:tcPr>
            <w:tcW w:w="3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要素完整指目标的完成指标及效益指标、满意度指标是否填写完整，根据编制绩效目标时县财政局的要求。指标细化量化指该定量表达的是否定量表达，定性表达是否明确具体。党组（委）会（办公会）会议记录、纪要。</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5" w:hRule="atLeast"/>
        </w:trPr>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目标完成</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15</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评价部门绩效目标实际实现程度与预期目标的偏离度。</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以项目完成数量指标为核心，评价项目实际完成情况是否达到预期绩效目标，指标得分=达到预期绩效目标的部门预算项目个数/纳入绩效目标管理的部门预算项目个数*15。</w:t>
            </w:r>
          </w:p>
        </w:tc>
        <w:tc>
          <w:tcPr>
            <w:tcW w:w="3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项目绩效目标申报表（数量指标）。</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25" w:hRule="atLeast"/>
        </w:trPr>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sz w:val="22"/>
                <w:szCs w:val="22"/>
                <w:u w:val="none"/>
              </w:rPr>
              <w:t>预算</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sz w:val="22"/>
                <w:szCs w:val="22"/>
                <w:u w:val="none"/>
              </w:rPr>
              <w:t>执行</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sz w:val="22"/>
                <w:szCs w:val="22"/>
                <w:u w:val="none"/>
              </w:rPr>
              <w:t>（25分）</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支出控制</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10</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部门公用经费及项目支出相关科目控制情况。</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计算部门日常公用经费、项目支出中“办公费、印刷费、水费、电费、物业管理费、维修（护）费、培训费、会议费”8个科目年初预算数与决算数偏差程度。</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预决算偏差程度在10%以内的，得10分。偏差度在10%—20%之间的，得5分，偏差度超过20%的，不得分。</w:t>
            </w:r>
          </w:p>
        </w:tc>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决算数：决算报表Z08_1、Z08_2、Z10_1、Z10_2、Z12相关科目合计数</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年初预算数：一体化系统—综合报表查询2023年—预算编制报表—部门预算批复（表12支出经济分类表）</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偏差程度=（决算数-预算数）的绝对值/决算数*100%。</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及时处置</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5</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评价部门开展绩效运行监控后，将绩效监控结果应用到预算调整的情况。</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1.当部门绩效监控调整取消额和结余注销额均不为零时，指标得分=部门项目支出绩效监控调整取消额÷（部门绩效监控调整取消额+预算结余注销额）*5</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2.当部门绩效监控调整取消额为零，结余注销额不为零时，指标得分=（1-5*结余注销额/年度预算总额）*5，结余注销额超过部门年度预算总额10%的，指标不得分。</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3.当部门绩效监控调整取消额与结余注销额均为零时，得满分。</w:t>
            </w:r>
          </w:p>
        </w:tc>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决算报表（Z01全年预算数、CS01_1）</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年度预算总额：Z01全年预算数总计数。</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绩效监控调整取消额：调整前年初结转和结余-调整后年初结转和结余=0，则没有取消额。</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预算结余注销额：决算报表CS01_1归集上缴和缴回资金栏为0，表示当年没有注销，如果有数就是注销额。</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5" w:hRule="atLeast"/>
        </w:trPr>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执行进度</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10</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评价部门在6、9、11月的预算执行情况。</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部门预算执行进度在6、9、11月应达到序时进度的80%、90%、90%，即实际支出进度分别达到40%、67.5%、82.5%。</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6、9、11月部门预算执行进度达到量化指标的分别得3、4、3分，未达到目标进度的按其实际进度占目标进度的比重计算得分。</w:t>
            </w:r>
          </w:p>
        </w:tc>
        <w:tc>
          <w:tcPr>
            <w:tcW w:w="3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一体化系统—综合报表查询2023年—预算执行报表—预算执行（单位）—可执行指标执行情况表—“支付日期”填需查询的时间段，“预算单位”勾选本部门机关及所有下属单位—查询</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0" w:hRule="atLeast"/>
        </w:trPr>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完成结果（20分）</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预算完成</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5</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评价部门预算年终预算执行情况。</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部门预算12月预算执行进度达到100%的，得5分，未达100%的，按照实际进度量化计算得分。</w:t>
            </w:r>
          </w:p>
        </w:tc>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同上</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5" w:hRule="atLeast"/>
        </w:trPr>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资金结余率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10</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评价部门预算项目年终资金结余情况。</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部门预算项目资金结余率小于0.1的项目个数/部门预算项目总数*10。</w:t>
            </w:r>
          </w:p>
        </w:tc>
        <w:tc>
          <w:tcPr>
            <w:tcW w:w="3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Style w:val="8"/>
                <w:rFonts w:hint="default" w:ascii="Times New Roman" w:hAnsi="Times New Roman" w:eastAsia="仿宋_GB2312" w:cs="Times New Roman"/>
                <w:color w:val="auto"/>
                <w:sz w:val="22"/>
                <w:szCs w:val="22"/>
                <w:lang w:val="en-US" w:eastAsia="zh-CN" w:bidi="ar"/>
              </w:rPr>
            </w:pPr>
            <w:r>
              <w:rPr>
                <w:rStyle w:val="8"/>
                <w:rFonts w:hint="default" w:ascii="Times New Roman" w:hAnsi="Times New Roman" w:eastAsia="仿宋_GB2312" w:cs="Times New Roman"/>
                <w:color w:val="auto"/>
                <w:sz w:val="22"/>
                <w:szCs w:val="22"/>
                <w:lang w:val="en-US" w:eastAsia="zh-CN" w:bidi="ar"/>
              </w:rPr>
              <w:t>项目资金结余率=1-“完成数”“占预算%”</w:t>
            </w:r>
            <w:r>
              <w:rPr>
                <w:rStyle w:val="8"/>
                <w:rFonts w:hint="default" w:ascii="Times New Roman" w:hAnsi="Times New Roman" w:eastAsia="仿宋_GB2312" w:cs="Times New Roman"/>
                <w:color w:val="auto"/>
                <w:sz w:val="22"/>
                <w:szCs w:val="22"/>
                <w:lang w:val="en-US" w:eastAsia="zh-CN" w:bidi="ar"/>
              </w:rPr>
              <w:br w:type="textWrapping"/>
            </w:r>
            <w:r>
              <w:rPr>
                <w:rStyle w:val="8"/>
                <w:rFonts w:hint="default" w:ascii="Times New Roman" w:hAnsi="Times New Roman" w:eastAsia="仿宋_GB2312" w:cs="Times New Roman"/>
                <w:color w:val="auto"/>
                <w:sz w:val="22"/>
                <w:szCs w:val="22"/>
                <w:lang w:val="en-US" w:eastAsia="zh-CN" w:bidi="ar"/>
              </w:rPr>
              <w:t>部门预算项目总数：一体化系统中“预算数”不为0的项目数量。</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Style w:val="8"/>
                <w:rFonts w:hint="default" w:ascii="Times New Roman" w:hAnsi="Times New Roman" w:eastAsia="仿宋_GB2312" w:cs="Times New Roman"/>
                <w:color w:val="auto"/>
                <w:sz w:val="22"/>
                <w:szCs w:val="22"/>
                <w:lang w:val="en-US" w:eastAsia="zh-CN" w:bidi="ar"/>
              </w:rPr>
              <w:t>一体化系统—综合报表查询2023年—预算执行报表—预算执行（单位）—可执行指标执行情况表—“支付日期”填需查询的时间段，“预算单位”勾选本部门机关及所有下属单位，</w:t>
            </w:r>
            <w:r>
              <w:rPr>
                <w:rStyle w:val="9"/>
                <w:rFonts w:hint="default" w:ascii="Times New Roman" w:hAnsi="Times New Roman" w:eastAsia="仿宋_GB2312" w:cs="Times New Roman"/>
                <w:color w:val="auto"/>
                <w:sz w:val="22"/>
                <w:szCs w:val="22"/>
                <w:lang w:val="en-US" w:eastAsia="zh-CN" w:bidi="ar"/>
              </w:rPr>
              <w:t>“项目类别”勾选“31－部门项目”</w:t>
            </w:r>
            <w:r>
              <w:rPr>
                <w:rStyle w:val="8"/>
                <w:rFonts w:hint="default" w:ascii="Times New Roman" w:hAnsi="Times New Roman" w:eastAsia="仿宋_GB2312" w:cs="Times New Roman"/>
                <w:color w:val="auto"/>
                <w:sz w:val="22"/>
                <w:szCs w:val="22"/>
                <w:lang w:val="en-US" w:eastAsia="zh-CN" w:bidi="ar"/>
              </w:rPr>
              <w:t>—查询</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9.29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违规记录</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5</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根据审计监督、财政检查结果反映部门评价年度部门预算管理是否合规。</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依据评价年度审计监督、财政检查结果，出现部门预算管理方面违纪违规问题的，每个问题扣0.5分，直至扣完。</w:t>
            </w:r>
          </w:p>
        </w:tc>
        <w:tc>
          <w:tcPr>
            <w:tcW w:w="3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评价年度的审计监督、财政检查报告。</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10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绩效结果应用（20分）</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内部应用</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（6分）</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预算挂钩</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6</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评价部门内部绩效结果与预算挂钩情况。</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将内设机构和下属单位绩效自评纳入考核体系，建立对内设机构和下属单位预算与绩效挂钩机制的，得6分，否则酌情扣分。</w:t>
            </w:r>
          </w:p>
        </w:tc>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相关制度文件。</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5" w:hRule="atLeast"/>
        </w:trPr>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109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信息公开</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（4分）</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自评公开</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4</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评价部门是否按要求将部门整体绩效自评情况和自行组织的评价情况向社会公开。</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按要求将相关绩效信息随同决算公开的，得4分，否则不得分。</w:t>
            </w:r>
          </w:p>
        </w:tc>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政府或部门门户网站。</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3" w:hRule="atLeast"/>
        </w:trPr>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整改反馈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（10分）</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结果整改</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6</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评价部门根据绩效管理结果整改问题、完善政策、改进管理的情况。</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针对绩效管理过程中（包括绩效目标核查、绩效监控核查和重点绩效评价）提出的问题，发现一处未整改的，扣2分，直至扣完。</w:t>
            </w:r>
          </w:p>
        </w:tc>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结果整改说明、整改报告，现场检查。</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1" w:hRule="atLeast"/>
        </w:trPr>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应用反馈</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4</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评价部门按要求及时向财政部门反馈结果应用情况。</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部门在规定时间内向财政部门反馈应用绩效结果报告的，得满分，否则不得分。</w:t>
            </w:r>
          </w:p>
        </w:tc>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根据财政部门要求反馈的时间限制。</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trPr>
        <w:tc>
          <w:tcPr>
            <w:tcW w:w="109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自评</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kern w:val="0"/>
                <w:sz w:val="22"/>
                <w:szCs w:val="22"/>
                <w:u w:val="none"/>
                <w:lang w:val="en-US" w:eastAsia="zh-CN" w:bidi="ar"/>
              </w:rPr>
            </w:pPr>
            <w:r>
              <w:rPr>
                <w:rFonts w:hint="default" w:ascii="Times New Roman" w:hAnsi="Times New Roman" w:eastAsia="仿宋_GB2312" w:cs="Times New Roman"/>
                <w:i w:val="0"/>
                <w:iCs w:val="0"/>
                <w:color w:val="auto"/>
                <w:kern w:val="0"/>
                <w:sz w:val="22"/>
                <w:szCs w:val="22"/>
                <w:u w:val="none"/>
                <w:lang w:val="en-US" w:eastAsia="zh-CN" w:bidi="ar"/>
              </w:rPr>
              <w:t>质量</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（10分）</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自评质量（10分）</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自评准确</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10</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评价部门整体支出自评准确率。</w:t>
            </w: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auto"/>
                <w:sz w:val="22"/>
                <w:szCs w:val="22"/>
                <w:u w:val="none"/>
              </w:rPr>
            </w:pPr>
            <w:r>
              <w:rPr>
                <w:rStyle w:val="8"/>
                <w:rFonts w:hint="default" w:ascii="Times New Roman" w:hAnsi="Times New Roman" w:eastAsia="仿宋_GB2312" w:cs="Times New Roman"/>
                <w:color w:val="auto"/>
                <w:sz w:val="22"/>
                <w:szCs w:val="22"/>
                <w:lang w:val="en-US" w:eastAsia="zh-CN" w:bidi="ar"/>
              </w:rPr>
              <w:t>部门整体支出自评得分与评价组抽查得分差异在5%以内的，不扣分；在5%—10%之间的，扣4分，在10%—20%的，扣8分，在20%以上的，扣10分。（</w:t>
            </w:r>
            <w:r>
              <w:rPr>
                <w:rStyle w:val="10"/>
                <w:rFonts w:hint="default" w:ascii="Times New Roman" w:hAnsi="Times New Roman" w:eastAsia="仿宋_GB2312" w:cs="Times New Roman"/>
                <w:color w:val="auto"/>
                <w:sz w:val="22"/>
                <w:szCs w:val="22"/>
                <w:lang w:val="en-US" w:eastAsia="zh-CN" w:bidi="ar"/>
              </w:rPr>
              <w:t>部门在自评时，此项指标无需打分，部门自评满分为90分</w:t>
            </w:r>
            <w:r>
              <w:rPr>
                <w:rStyle w:val="8"/>
                <w:rFonts w:hint="default" w:ascii="Times New Roman" w:hAnsi="Times New Roman" w:eastAsia="仿宋_GB2312" w:cs="Times New Roman"/>
                <w:color w:val="auto"/>
                <w:sz w:val="22"/>
                <w:szCs w:val="22"/>
                <w:lang w:val="en-US" w:eastAsia="zh-CN" w:bidi="ar"/>
              </w:rPr>
              <w:t>）</w:t>
            </w:r>
          </w:p>
        </w:tc>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rPr>
                <w:rFonts w:hint="default" w:ascii="Times New Roman" w:hAnsi="Times New Roman" w:eastAsia="仿宋_GB2312" w:cs="Times New Roman"/>
                <w:i w:val="0"/>
                <w:iCs w:val="0"/>
                <w:color w:val="auto"/>
                <w:sz w:val="22"/>
                <w:szCs w:val="22"/>
                <w:u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5" w:hRule="atLeast"/>
        </w:trPr>
        <w:tc>
          <w:tcPr>
            <w:tcW w:w="29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自评总分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90</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3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3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auto"/>
                <w:sz w:val="22"/>
                <w:szCs w:val="22"/>
                <w:u w:val="none"/>
              </w:rPr>
            </w:pPr>
            <w:r>
              <w:rPr>
                <w:rFonts w:hint="default" w:ascii="Times New Roman" w:hAnsi="Times New Roman" w:eastAsia="仿宋_GB2312" w:cs="Times New Roman"/>
                <w:i w:val="0"/>
                <w:iCs w:val="0"/>
                <w:color w:val="auto"/>
                <w:kern w:val="0"/>
                <w:sz w:val="22"/>
                <w:szCs w:val="22"/>
                <w:u w:val="none"/>
                <w:lang w:val="en-US" w:eastAsia="zh-CN" w:bidi="ar"/>
              </w:rPr>
              <w:t>89.29</w:t>
            </w:r>
          </w:p>
        </w:tc>
      </w:tr>
    </w:tbl>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_GB2312" w:cs="Times New Roman"/>
          <w:sz w:val="22"/>
          <w:szCs w:val="22"/>
          <w:lang w:val="en-US" w:eastAsia="zh-CN"/>
        </w:rPr>
      </w:pPr>
      <w:r>
        <w:rPr>
          <w:rFonts w:hint="default" w:ascii="Times New Roman" w:hAnsi="Times New Roman" w:eastAsia="仿宋_GB2312" w:cs="Times New Roman"/>
          <w:sz w:val="22"/>
          <w:szCs w:val="22"/>
          <w:lang w:val="en-US" w:eastAsia="zh-CN"/>
        </w:rPr>
        <w:t>注：本表涉及部门的数据均为包括部门机关及所有下属单位的数据。</w:t>
      </w:r>
    </w:p>
    <w:p>
      <w:pPr>
        <w:pStyle w:val="7"/>
        <w:rPr>
          <w:rFonts w:hint="default" w:ascii="Times New Roman" w:hAnsi="Times New Roman" w:eastAsia="仿宋_GB2312" w:cs="Times New Roman"/>
          <w:sz w:val="22"/>
          <w:szCs w:val="22"/>
          <w:lang w:val="en-US" w:eastAsia="zh-CN"/>
        </w:rPr>
        <w:sectPr>
          <w:pgSz w:w="16838" w:h="11906" w:orient="landscape"/>
          <w:pgMar w:top="1417" w:right="1417" w:bottom="1417" w:left="1417" w:header="851" w:footer="1134" w:gutter="0"/>
          <w:pgNumType w:fmt="decimal"/>
          <w:cols w:space="0" w:num="1"/>
          <w:rtlGutter w:val="0"/>
          <w:docGrid w:type="lines" w:linePitch="316" w:charSpace="0"/>
        </w:sectPr>
      </w:pPr>
    </w:p>
    <w:p>
      <w:pPr>
        <w:keepNext w:val="0"/>
        <w:keepLines w:val="0"/>
        <w:pageBreakBefore w:val="0"/>
        <w:widowControl w:val="0"/>
        <w:kinsoku/>
        <w:wordWrap/>
        <w:overflowPunct/>
        <w:topLinePunct w:val="0"/>
        <w:autoSpaceDE/>
        <w:autoSpaceDN/>
        <w:bidi w:val="0"/>
        <w:adjustRightInd/>
        <w:snapToGrid/>
        <w:spacing w:line="400" w:lineRule="exact"/>
        <w:ind w:firstLine="5120" w:firstLineChars="1600"/>
        <w:textAlignment w:val="auto"/>
        <w:rPr>
          <w:rFonts w:hint="default" w:ascii="Times New Roman" w:hAnsi="Times New Roman" w:eastAsia="仿宋_GB2312" w:cs="Times New Roman"/>
          <w:sz w:val="32"/>
          <w:szCs w:val="32"/>
          <w:lang w:val="en-US" w:eastAsia="zh-CN"/>
        </w:rPr>
      </w:pPr>
    </w:p>
    <w:p>
      <w:pP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br w:type="page"/>
      </w:r>
    </w:p>
    <w:p>
      <w:pPr>
        <w:rPr>
          <w:rFonts w:hint="default"/>
          <w:lang w:val="en-US" w:eastAsia="zh-CN"/>
        </w:rPr>
      </w:pPr>
    </w:p>
    <w:p>
      <w:pPr>
        <w:rPr>
          <w:rFonts w:hint="default" w:ascii="Times New Roman" w:hAnsi="Times New Roman" w:eastAsia="仿宋_GB2312" w:cs="Times New Roman"/>
          <w:sz w:val="32"/>
          <w:szCs w:val="32"/>
          <w:lang w:val="en-US" w:eastAsia="zh-CN"/>
        </w:rPr>
      </w:pPr>
    </w:p>
    <w:p>
      <w:pPr>
        <w:pStyle w:val="7"/>
        <w:rPr>
          <w:rFonts w:hint="default" w:ascii="Times New Roman" w:hAnsi="Times New Roman" w:eastAsia="仿宋_GB2312" w:cs="Times New Roman"/>
          <w:sz w:val="32"/>
          <w:szCs w:val="32"/>
          <w:lang w:val="en-US" w:eastAsia="zh-CN"/>
        </w:rPr>
      </w:pPr>
    </w:p>
    <w:p>
      <w:pPr>
        <w:rPr>
          <w:rFonts w:hint="default" w:ascii="Times New Roman" w:hAnsi="Times New Roman" w:eastAsia="仿宋_GB2312" w:cs="Times New Roman"/>
          <w:sz w:val="32"/>
          <w:szCs w:val="32"/>
          <w:lang w:val="en-US" w:eastAsia="zh-CN"/>
        </w:rPr>
      </w:pPr>
    </w:p>
    <w:p>
      <w:pPr>
        <w:pStyle w:val="7"/>
        <w:rPr>
          <w:rFonts w:hint="default" w:ascii="Times New Roman" w:hAnsi="Times New Roman" w:eastAsia="仿宋_GB2312" w:cs="Times New Roman"/>
          <w:sz w:val="32"/>
          <w:szCs w:val="32"/>
          <w:lang w:val="en-US" w:eastAsia="zh-CN"/>
        </w:rPr>
      </w:pPr>
    </w:p>
    <w:p>
      <w:pPr>
        <w:rPr>
          <w:rFonts w:hint="default" w:ascii="Times New Roman" w:hAnsi="Times New Roman" w:eastAsia="仿宋_GB2312" w:cs="Times New Roman"/>
          <w:sz w:val="32"/>
          <w:szCs w:val="32"/>
          <w:lang w:val="en-US" w:eastAsia="zh-CN"/>
        </w:rPr>
      </w:pPr>
    </w:p>
    <w:p>
      <w:pPr>
        <w:pStyle w:val="7"/>
        <w:rPr>
          <w:rFonts w:hint="default" w:ascii="Times New Roman" w:hAnsi="Times New Roman" w:eastAsia="仿宋_GB2312" w:cs="Times New Roman"/>
          <w:sz w:val="32"/>
          <w:szCs w:val="32"/>
          <w:lang w:val="en-US" w:eastAsia="zh-CN"/>
        </w:rPr>
      </w:pPr>
    </w:p>
    <w:p>
      <w:pPr>
        <w:rPr>
          <w:rFonts w:hint="default" w:ascii="Times New Roman" w:hAnsi="Times New Roman" w:eastAsia="仿宋_GB2312" w:cs="Times New Roman"/>
          <w:sz w:val="32"/>
          <w:szCs w:val="32"/>
          <w:lang w:val="en-US" w:eastAsia="zh-CN"/>
        </w:rPr>
      </w:pPr>
    </w:p>
    <w:p>
      <w:pPr>
        <w:pStyle w:val="7"/>
        <w:rPr>
          <w:rFonts w:hint="default" w:ascii="Times New Roman" w:hAnsi="Times New Roman" w:eastAsia="仿宋_GB2312" w:cs="Times New Roman"/>
          <w:sz w:val="32"/>
          <w:szCs w:val="32"/>
          <w:lang w:val="en-US" w:eastAsia="zh-CN"/>
        </w:rPr>
      </w:pPr>
    </w:p>
    <w:p>
      <w:pPr>
        <w:rPr>
          <w:rFonts w:hint="default" w:ascii="Times New Roman" w:hAnsi="Times New Roman" w:eastAsia="仿宋_GB2312" w:cs="Times New Roman"/>
          <w:sz w:val="32"/>
          <w:szCs w:val="32"/>
          <w:lang w:val="en-US" w:eastAsia="zh-CN"/>
        </w:rPr>
      </w:pPr>
    </w:p>
    <w:p>
      <w:pPr>
        <w:pStyle w:val="7"/>
        <w:rPr>
          <w:rFonts w:hint="default" w:ascii="Times New Roman" w:hAnsi="Times New Roman" w:eastAsia="仿宋_GB2312" w:cs="Times New Roman"/>
          <w:sz w:val="32"/>
          <w:szCs w:val="32"/>
          <w:lang w:val="en-US" w:eastAsia="zh-CN"/>
        </w:rPr>
      </w:pPr>
    </w:p>
    <w:p>
      <w:pPr>
        <w:rPr>
          <w:rFonts w:hint="default" w:ascii="Times New Roman" w:hAnsi="Times New Roman" w:eastAsia="仿宋_GB2312" w:cs="Times New Roman"/>
          <w:sz w:val="32"/>
          <w:szCs w:val="32"/>
          <w:lang w:val="en-US" w:eastAsia="zh-CN"/>
        </w:rPr>
      </w:pPr>
    </w:p>
    <w:p>
      <w:pPr>
        <w:pStyle w:val="7"/>
        <w:rPr>
          <w:rFonts w:hint="default" w:ascii="Times New Roman" w:hAnsi="Times New Roman" w:eastAsia="仿宋_GB2312" w:cs="Times New Roman"/>
          <w:sz w:val="32"/>
          <w:szCs w:val="32"/>
          <w:lang w:val="en-US" w:eastAsia="zh-CN"/>
        </w:rPr>
      </w:pPr>
    </w:p>
    <w:p>
      <w:pPr>
        <w:rPr>
          <w:rFonts w:hint="default" w:ascii="Times New Roman" w:hAnsi="Times New Roman" w:eastAsia="仿宋_GB2312" w:cs="Times New Roman"/>
          <w:sz w:val="32"/>
          <w:szCs w:val="32"/>
          <w:lang w:val="en-US" w:eastAsia="zh-CN"/>
        </w:rPr>
      </w:pPr>
    </w:p>
    <w:p>
      <w:pPr>
        <w:pStyle w:val="7"/>
        <w:rPr>
          <w:rFonts w:hint="default" w:ascii="Times New Roman" w:hAnsi="Times New Roman" w:eastAsia="仿宋_GB2312" w:cs="Times New Roman"/>
          <w:sz w:val="32"/>
          <w:szCs w:val="32"/>
          <w:lang w:val="en-US" w:eastAsia="zh-CN"/>
        </w:rPr>
      </w:pPr>
    </w:p>
    <w:p>
      <w:pPr>
        <w:rPr>
          <w:rFonts w:hint="default" w:ascii="Times New Roman" w:hAnsi="Times New Roman" w:eastAsia="仿宋_GB2312" w:cs="Times New Roman"/>
          <w:sz w:val="32"/>
          <w:szCs w:val="32"/>
          <w:lang w:val="en-US" w:eastAsia="zh-CN"/>
        </w:rPr>
      </w:pPr>
    </w:p>
    <w:p>
      <w:pPr>
        <w:pStyle w:val="7"/>
        <w:rPr>
          <w:rFonts w:hint="default" w:ascii="Times New Roman" w:hAnsi="Times New Roman" w:eastAsia="仿宋_GB2312" w:cs="Times New Roman"/>
          <w:sz w:val="32"/>
          <w:szCs w:val="32"/>
          <w:lang w:val="en-US" w:eastAsia="zh-CN"/>
        </w:rPr>
      </w:pPr>
    </w:p>
    <w:p>
      <w:pPr>
        <w:rPr>
          <w:rFonts w:hint="default" w:ascii="Times New Roman" w:hAnsi="Times New Roman" w:eastAsia="仿宋_GB2312" w:cs="Times New Roman"/>
          <w:sz w:val="32"/>
          <w:szCs w:val="32"/>
          <w:lang w:val="en-US" w:eastAsia="zh-CN"/>
        </w:rPr>
      </w:pPr>
    </w:p>
    <w:p>
      <w:pPr>
        <w:pStyle w:val="7"/>
        <w:rPr>
          <w:rFonts w:hint="default"/>
          <w:lang w:val="en-US" w:eastAsia="zh-CN"/>
        </w:rPr>
      </w:pPr>
    </w:p>
    <w:p>
      <w:pPr>
        <w:rPr>
          <w:rFonts w:hint="default"/>
          <w:lang w:val="en-US" w:eastAsia="zh-CN"/>
        </w:rPr>
      </w:pPr>
    </w:p>
    <w:p>
      <w:pPr>
        <w:pStyle w:val="7"/>
        <w:keepNext w:val="0"/>
        <w:keepLines w:val="0"/>
        <w:pageBreakBefore w:val="0"/>
        <w:widowControl w:val="0"/>
        <w:kinsoku/>
        <w:wordWrap/>
        <w:overflowPunct/>
        <w:topLinePunct w:val="0"/>
        <w:autoSpaceDE/>
        <w:autoSpaceDN/>
        <w:bidi w:val="0"/>
        <w:adjustRightInd/>
        <w:snapToGrid/>
        <w:spacing w:line="760" w:lineRule="exact"/>
        <w:textAlignment w:val="auto"/>
        <w:rPr>
          <w:rFonts w:hint="default"/>
          <w:lang w:val="en-US" w:eastAsia="zh-CN"/>
        </w:rPr>
      </w:pPr>
    </w:p>
    <w:p>
      <w:pPr>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5120" w:firstLineChars="1600"/>
        <w:textAlignment w:val="auto"/>
        <w:rPr>
          <w:rFonts w:hint="default" w:ascii="Times New Roman" w:hAnsi="Times New Roman" w:eastAsia="仿宋_GB2312" w:cs="Times New Roman"/>
          <w:sz w:val="32"/>
          <w:szCs w:val="32"/>
          <w:lang w:val="en-US" w:eastAsia="zh-CN"/>
        </w:rPr>
      </w:pPr>
    </w:p>
    <w:p>
      <w:pPr>
        <w:pStyle w:val="7"/>
        <w:keepNext w:val="0"/>
        <w:keepLines w:val="0"/>
        <w:pageBreakBefore w:val="0"/>
        <w:widowControl w:val="0"/>
        <w:pBdr>
          <w:top w:val="single" w:color="auto" w:sz="4" w:space="0"/>
          <w:bottom w:val="single" w:color="auto" w:sz="4" w:space="0"/>
        </w:pBdr>
        <w:kinsoku/>
        <w:wordWrap/>
        <w:overflowPunct/>
        <w:topLinePunct w:val="0"/>
        <w:autoSpaceDE/>
        <w:autoSpaceDN/>
        <w:bidi w:val="0"/>
        <w:adjustRightInd/>
        <w:snapToGrid/>
        <w:spacing w:line="540" w:lineRule="exact"/>
        <w:ind w:left="0" w:leftChars="0" w:firstLine="280" w:firstLineChars="100"/>
        <w:textAlignment w:val="auto"/>
        <w:rPr>
          <w:rFonts w:hint="default" w:ascii="Times New Roman" w:hAnsi="Times New Roman" w:cs="Times New Roman"/>
          <w:lang w:val="en-US" w:eastAsia="zh-CN"/>
        </w:rPr>
      </w:pPr>
      <w:r>
        <w:rPr>
          <w:rFonts w:hint="default" w:ascii="Times New Roman" w:hAnsi="Times New Roman" w:eastAsia="仿宋_GB2312" w:cs="Times New Roman"/>
          <w:sz w:val="28"/>
          <w:szCs w:val="28"/>
          <w:lang w:val="en-US" w:eastAsia="zh-CN"/>
        </w:rPr>
        <w:t xml:space="preserve">大英县文化广播电视和旅游局办公室         </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8"/>
          <w:szCs w:val="28"/>
          <w:lang w:val="en-US" w:eastAsia="zh-CN"/>
        </w:rPr>
        <w:t>2024年</w:t>
      </w:r>
      <w:r>
        <w:rPr>
          <w:rFonts w:hint="eastAsia" w:ascii="Times New Roman" w:hAnsi="Times New Roman" w:eastAsia="仿宋_GB2312" w:cs="Times New Roman"/>
          <w:sz w:val="28"/>
          <w:szCs w:val="28"/>
          <w:lang w:val="en-US" w:eastAsia="zh-CN"/>
        </w:rPr>
        <w:t>5</w:t>
      </w:r>
      <w:r>
        <w:rPr>
          <w:rFonts w:hint="default" w:ascii="Times New Roman" w:hAnsi="Times New Roman" w:eastAsia="仿宋_GB2312" w:cs="Times New Roman"/>
          <w:sz w:val="28"/>
          <w:szCs w:val="28"/>
          <w:lang w:val="en-US" w:eastAsia="zh-CN"/>
        </w:rPr>
        <w:t>月</w:t>
      </w:r>
      <w:r>
        <w:rPr>
          <w:rFonts w:hint="eastAsia" w:ascii="Times New Roman" w:hAnsi="Times New Roman" w:eastAsia="仿宋_GB2312" w:cs="Times New Roman"/>
          <w:sz w:val="28"/>
          <w:szCs w:val="28"/>
          <w:lang w:val="en-US" w:eastAsia="zh-CN"/>
        </w:rPr>
        <w:t>10</w:t>
      </w:r>
      <w:r>
        <w:rPr>
          <w:rFonts w:hint="default" w:ascii="Times New Roman" w:hAnsi="Times New Roman" w:eastAsia="仿宋_GB2312" w:cs="Times New Roman"/>
          <w:sz w:val="28"/>
          <w:szCs w:val="28"/>
          <w:lang w:val="en-US" w:eastAsia="zh-CN"/>
        </w:rPr>
        <w:t>日印</w:t>
      </w:r>
    </w:p>
    <w:sectPr>
      <w:footerReference r:id="rId4" w:type="default"/>
      <w:pgSz w:w="11906" w:h="16838"/>
      <w:pgMar w:top="1871" w:right="1474" w:bottom="1361" w:left="1531" w:header="851" w:footer="1134" w:gutter="0"/>
      <w:pgNumType w:fmt="decimal"/>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N2UxNjcyNTQ3MTZhMmM0YWUyYTZmYmU1ZTA2ZTMifQ=="/>
  </w:docVars>
  <w:rsids>
    <w:rsidRoot w:val="53FF3ACD"/>
    <w:rsid w:val="205A77CA"/>
    <w:rsid w:val="53FF3ACD"/>
    <w:rsid w:val="6C3A41B7"/>
    <w:rsid w:val="70D23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29"/>
      <w:ind w:left="220"/>
      <w:jc w:val="left"/>
    </w:pPr>
    <w:rPr>
      <w:rFonts w:ascii="宋体" w:hAnsi="宋体" w:eastAsia="宋体"/>
      <w:kern w:val="0"/>
      <w:sz w:val="24"/>
      <w:lang w:eastAsia="en-US"/>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常用样式（方正仿宋简）"/>
    <w:basedOn w:val="1"/>
    <w:next w:val="1"/>
    <w:qFormat/>
    <w:uiPriority w:val="99"/>
    <w:pPr>
      <w:spacing w:line="560" w:lineRule="exact"/>
      <w:ind w:firstLine="640" w:firstLineChars="200"/>
    </w:pPr>
    <w:rPr>
      <w:rFonts w:eastAsia="方正仿宋简体"/>
    </w:rPr>
  </w:style>
  <w:style w:type="character" w:customStyle="1" w:styleId="8">
    <w:name w:val="font61"/>
    <w:basedOn w:val="6"/>
    <w:qFormat/>
    <w:uiPriority w:val="0"/>
    <w:rPr>
      <w:rFonts w:hint="eastAsia" w:ascii="宋体" w:hAnsi="宋体" w:eastAsia="宋体" w:cs="宋体"/>
      <w:color w:val="000000"/>
      <w:sz w:val="22"/>
      <w:szCs w:val="22"/>
      <w:u w:val="none"/>
    </w:rPr>
  </w:style>
  <w:style w:type="character" w:customStyle="1" w:styleId="9">
    <w:name w:val="font81"/>
    <w:basedOn w:val="6"/>
    <w:uiPriority w:val="0"/>
    <w:rPr>
      <w:rFonts w:hint="eastAsia" w:ascii="宋体" w:hAnsi="宋体" w:eastAsia="宋体" w:cs="宋体"/>
      <w:color w:val="000000"/>
      <w:sz w:val="22"/>
      <w:szCs w:val="22"/>
      <w:u w:val="none"/>
    </w:rPr>
  </w:style>
  <w:style w:type="character" w:customStyle="1" w:styleId="10">
    <w:name w:val="font91"/>
    <w:basedOn w:val="6"/>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2024-05-10T09:18:00Z</dcterms:created>
  <dc:creator>恒阳文化传播有限公司</dc:creator>
  <cp:lastModifiedBy>恒阳文化传播有限公司</cp:lastModifiedBy>
  <dcterms:modified xsi:type="dcterms:W3CDTF">2024-09-04T07:02:20Z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6ADF1FA5236C40778D790F72DC253E52_13</vt:lpwstr>
  </property>
</Properties>
</file>