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11706">
      <w:pPr>
        <w:pStyle w:val="3"/>
        <w:keepNext/>
        <w:keepLines/>
        <w:pageBreakBefore w:val="0"/>
        <w:widowControl w:val="0"/>
        <w:kinsoku/>
        <w:wordWrap/>
        <w:overflowPunct/>
        <w:topLinePunct w:val="0"/>
        <w:autoSpaceDE/>
        <w:autoSpaceDN/>
        <w:bidi w:val="0"/>
        <w:adjustRightInd/>
        <w:snapToGrid/>
        <w:spacing w:line="940" w:lineRule="exact"/>
        <w:ind w:left="0" w:leftChars="0" w:firstLine="0" w:firstLineChars="0"/>
        <w:textAlignment w:val="auto"/>
      </w:pPr>
      <w:bookmarkStart w:id="0" w:name="OLE_LINK1"/>
    </w:p>
    <w:p w14:paraId="620F542E">
      <w:pPr>
        <w:keepNext w:val="0"/>
        <w:keepLines w:val="0"/>
        <w:pageBreakBefore w:val="0"/>
        <w:widowControl w:val="0"/>
        <w:kinsoku/>
        <w:wordWrap w:val="0"/>
        <w:overflowPunct w:val="0"/>
        <w:topLinePunct w:val="0"/>
        <w:autoSpaceDE/>
        <w:autoSpaceDN/>
        <w:bidi w:val="0"/>
        <w:adjustRightInd w:val="0"/>
        <w:snapToGrid w:val="0"/>
        <w:spacing w:before="200"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遂大环函〔</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rPr>
        <w:t>〕</w:t>
      </w:r>
      <w:r>
        <w:rPr>
          <w:rFonts w:hint="eastAsia" w:cs="Times New Roman"/>
          <w:sz w:val="32"/>
          <w:szCs w:val="32"/>
          <w:lang w:val="en-US" w:eastAsia="zh-CN"/>
        </w:rPr>
        <w:t>85</w:t>
      </w:r>
      <w:r>
        <w:rPr>
          <w:rFonts w:hint="eastAsia" w:ascii="仿宋_GB2312" w:hAnsi="仿宋_GB2312" w:eastAsia="仿宋_GB2312" w:cs="仿宋_GB2312"/>
          <w:sz w:val="32"/>
          <w:szCs w:val="32"/>
        </w:rPr>
        <w:t>号</w:t>
      </w:r>
    </w:p>
    <w:p w14:paraId="187037DF">
      <w:pPr>
        <w:pStyle w:val="3"/>
        <w:pageBreakBefore w:val="0"/>
        <w:widowControl w:val="0"/>
        <w:kinsoku/>
        <w:wordWrap/>
        <w:overflowPunct/>
        <w:topLinePunct w:val="0"/>
        <w:autoSpaceDE/>
        <w:autoSpaceDN/>
        <w:bidi w:val="0"/>
        <w:adjustRightInd/>
        <w:snapToGrid/>
        <w:spacing w:beforeLines="0" w:afterLines="0" w:line="560" w:lineRule="exact"/>
        <w:ind w:left="0" w:leftChars="0" w:firstLine="0" w:firstLineChars="0"/>
        <w:textAlignment w:val="auto"/>
        <w:rPr>
          <w:sz w:val="32"/>
          <w:szCs w:val="32"/>
        </w:rPr>
      </w:pPr>
    </w:p>
    <w:p w14:paraId="3F9AC655">
      <w:pPr>
        <w:pageBreakBefore w:val="0"/>
        <w:widowControl w:val="0"/>
        <w:kinsoku/>
        <w:wordWrap/>
        <w:overflowPunct/>
        <w:topLinePunct w:val="0"/>
        <w:autoSpaceDE/>
        <w:autoSpaceDN/>
        <w:bidi w:val="0"/>
        <w:adjustRightInd/>
        <w:snapToGrid/>
        <w:spacing w:line="560" w:lineRule="exact"/>
        <w:textAlignment w:val="auto"/>
        <w:rPr>
          <w:sz w:val="32"/>
          <w:szCs w:val="32"/>
        </w:rPr>
      </w:pPr>
    </w:p>
    <w:p w14:paraId="601451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遂宁市大英生态环境局</w:t>
      </w:r>
    </w:p>
    <w:p w14:paraId="07D4F4D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关于中铁北京局绵遂内铁路站前4标拌合站</w:t>
      </w:r>
    </w:p>
    <w:p w14:paraId="36DF19F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建设项目环境影响报告表的批复</w:t>
      </w:r>
    </w:p>
    <w:p w14:paraId="1A4C9D87">
      <w:pPr>
        <w:pStyle w:val="9"/>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hint="eastAsia" w:ascii="Times New Roman" w:hAnsi="Times New Roman" w:eastAsia="仿宋_GB2312" w:cs="Times New Roman"/>
          <w:color w:val="auto"/>
          <w:spacing w:val="-6"/>
          <w:kern w:val="2"/>
          <w:sz w:val="32"/>
          <w:szCs w:val="32"/>
          <w:lang w:val="en-US" w:eastAsia="zh-CN" w:bidi="ar-SA"/>
        </w:rPr>
      </w:pPr>
    </w:p>
    <w:p w14:paraId="3CD2898F">
      <w:pPr>
        <w:keepNext w:val="0"/>
        <w:keepLines w:val="0"/>
        <w:pageBreakBefore w:val="0"/>
        <w:widowControl w:val="0"/>
        <w:kinsoku/>
        <w:wordWrap/>
        <w:topLinePunct w:val="0"/>
        <w:autoSpaceDE/>
        <w:autoSpaceDN/>
        <w:bidi w:val="0"/>
        <w:adjustRightInd/>
        <w:spacing w:line="56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中铁北京工程局集团有限责任公司：</w:t>
      </w:r>
    </w:p>
    <w:p w14:paraId="785AA5D2">
      <w:pPr>
        <w:keepNext w:val="0"/>
        <w:keepLines w:val="0"/>
        <w:pageBreakBefore w:val="0"/>
        <w:widowControl w:val="0"/>
        <w:kinsoku/>
        <w:wordWrap/>
        <w:topLinePunct w:val="0"/>
        <w:autoSpaceDE/>
        <w:autoSpaceDN/>
        <w:bidi w:val="0"/>
        <w:adjustRightInd/>
        <w:spacing w:line="560" w:lineRule="exact"/>
        <w:ind w:firstLine="632" w:firstLineChars="200"/>
        <w:textAlignment w:val="auto"/>
        <w:rPr>
          <w:rFonts w:ascii="仿宋_GB2312" w:hAnsi="仿宋_GB2312" w:eastAsia="仿宋_GB2312" w:cs="仿宋_GB2312"/>
          <w:sz w:val="32"/>
          <w:szCs w:val="32"/>
        </w:rPr>
      </w:pPr>
      <w:r>
        <w:rPr>
          <w:rFonts w:ascii="Times New Roman" w:hAnsi="Times New Roman" w:eastAsia="仿宋_GB2312" w:cs="Times New Roman"/>
          <w:sz w:val="32"/>
          <w:szCs w:val="32"/>
        </w:rPr>
        <w:t>你公司报送的《中铁北京局绵遂内铁路站前4标拌合</w:t>
      </w:r>
      <w:r>
        <w:rPr>
          <w:rFonts w:hint="eastAsia" w:ascii="Times New Roman" w:hAnsi="Times New Roman" w:eastAsia="仿宋_GB2312" w:cs="Times New Roman"/>
          <w:sz w:val="32"/>
          <w:szCs w:val="32"/>
        </w:rPr>
        <w:t>建设</w:t>
      </w:r>
      <w:r>
        <w:rPr>
          <w:rFonts w:ascii="Times New Roman" w:hAnsi="Times New Roman" w:eastAsia="仿宋_GB2312" w:cs="Times New Roman"/>
          <w:sz w:val="32"/>
          <w:szCs w:val="32"/>
        </w:rPr>
        <w:t>项目</w:t>
      </w:r>
      <w:r>
        <w:rPr>
          <w:rFonts w:hint="eastAsia" w:ascii="仿宋_GB2312" w:hAnsi="仿宋_GB2312" w:eastAsia="仿宋_GB2312" w:cs="仿宋_GB2312"/>
          <w:sz w:val="32"/>
          <w:szCs w:val="32"/>
        </w:rPr>
        <w:t>环境影响报告表》（以下简称《报告表》）收悉。经研究，批复如下：</w:t>
      </w:r>
    </w:p>
    <w:p w14:paraId="2B0ED2FA">
      <w:pPr>
        <w:keepNext w:val="0"/>
        <w:keepLines w:val="0"/>
        <w:pageBreakBefore w:val="0"/>
        <w:widowControl w:val="0"/>
        <w:kinsoku/>
        <w:wordWrap/>
        <w:topLinePunct w:val="0"/>
        <w:autoSpaceDE/>
        <w:autoSpaceDN/>
        <w:bidi w:val="0"/>
        <w:adjustRightInd/>
        <w:spacing w:line="560" w:lineRule="exact"/>
        <w:ind w:firstLine="632" w:firstLineChars="200"/>
        <w:textAlignment w:val="auto"/>
        <w:rPr>
          <w:rFonts w:ascii="黑体" w:hAnsi="黑体" w:eastAsia="黑体" w:cs="黑体"/>
          <w:sz w:val="32"/>
          <w:szCs w:val="32"/>
        </w:rPr>
      </w:pPr>
      <w:r>
        <w:rPr>
          <w:rFonts w:hint="eastAsia" w:ascii="黑体" w:hAnsi="黑体" w:eastAsia="黑体" w:cs="黑体"/>
          <w:sz w:val="32"/>
          <w:szCs w:val="32"/>
        </w:rPr>
        <w:t>一、项目概况及总体意见</w:t>
      </w:r>
    </w:p>
    <w:p w14:paraId="0B963CEF">
      <w:pPr>
        <w:keepNext w:val="0"/>
        <w:keepLines w:val="0"/>
        <w:pageBreakBefore w:val="0"/>
        <w:widowControl w:val="0"/>
        <w:kinsoku/>
        <w:wordWrap/>
        <w:topLinePunct w:val="0"/>
        <w:autoSpaceDE/>
        <w:autoSpaceDN/>
        <w:bidi w:val="0"/>
        <w:adjustRightInd/>
        <w:spacing w:line="560" w:lineRule="exact"/>
        <w:ind w:firstLine="632"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项目拟租赁大英县回马镇园艺村土地32504平方米，建设水泥混凝土拌合站1座，配套HZS180型搅拌机、粉煤灰罐、水泥罐、外加剂罐、洗车台、沉淀池等设施。项目建成后具备生产水泥混凝土30万m</w:t>
      </w:r>
      <w:r>
        <w:rPr>
          <w:rFonts w:hint="eastAsia" w:ascii="Times New Roman" w:hAnsi="Times New Roman" w:eastAsia="仿宋_GB2312" w:cs="Times New Roman"/>
          <w:sz w:val="32"/>
          <w:szCs w:val="32"/>
          <w:vertAlign w:val="superscript"/>
        </w:rPr>
        <w:t>3</w:t>
      </w:r>
      <w:r>
        <w:rPr>
          <w:rFonts w:hint="eastAsia" w:ascii="Times New Roman" w:hAnsi="Times New Roman" w:eastAsia="仿宋_GB2312" w:cs="Times New Roman"/>
          <w:sz w:val="32"/>
          <w:szCs w:val="32"/>
        </w:rPr>
        <w:t>/年的生产能力，专供绵遂内铁路站前4标段建设使用，不对外销售，设计服务期限至该标段施工结束（预计服务期为4年），项目在服务期满后拆除并完成迹地恢复。项目总投资680万元，环保投资82.8万元。</w:t>
      </w:r>
    </w:p>
    <w:p w14:paraId="552D1A7E">
      <w:pPr>
        <w:pStyle w:val="23"/>
        <w:keepNext w:val="0"/>
        <w:keepLines w:val="0"/>
        <w:pageBreakBefore w:val="0"/>
        <w:widowControl w:val="0"/>
        <w:kinsoku/>
        <w:wordWrap/>
        <w:topLinePunct w:val="0"/>
        <w:autoSpaceDE/>
        <w:autoSpaceDN/>
        <w:bidi w:val="0"/>
        <w:adjustRightInd/>
        <w:spacing w:line="560" w:lineRule="exact"/>
        <w:textAlignment w:val="auto"/>
        <w:rPr>
          <w:rFonts w:eastAsia="仿宋_GB2312"/>
          <w:szCs w:val="32"/>
        </w:rPr>
        <w:sectPr>
          <w:headerReference r:id="rId3" w:type="default"/>
          <w:footerReference r:id="rId5" w:type="default"/>
          <w:headerReference r:id="rId4" w:type="even"/>
          <w:pgSz w:w="11906" w:h="16838"/>
          <w:pgMar w:top="2098" w:right="1474" w:bottom="1417" w:left="1587" w:header="851" w:footer="1020" w:gutter="0"/>
          <w:pgBorders>
            <w:top w:val="none" w:sz="0" w:space="0"/>
            <w:left w:val="none" w:sz="0" w:space="0"/>
            <w:bottom w:val="none" w:sz="0" w:space="0"/>
            <w:right w:val="none" w:sz="0" w:space="0"/>
          </w:pgBorders>
          <w:pgNumType w:fmt="decimal" w:start="1"/>
          <w:cols w:space="0" w:num="1"/>
          <w:rtlGutter w:val="0"/>
          <w:docGrid w:type="linesAndChars" w:linePitch="579" w:charSpace="-842"/>
        </w:sectPr>
      </w:pPr>
      <w:r>
        <w:rPr>
          <w:rFonts w:hint="eastAsia" w:eastAsia="仿宋_GB2312"/>
          <w:szCs w:val="32"/>
        </w:rPr>
        <w:t>项目经大英县发展和改革局备案（备案号：川投资备【2408-510923-04-01-113395】FGQB-0242号），属于未列入</w:t>
      </w:r>
      <w:r>
        <w:rPr>
          <w:rFonts w:eastAsia="仿宋_GB2312"/>
          <w:szCs w:val="32"/>
        </w:rPr>
        <w:t>《产</w:t>
      </w:r>
    </w:p>
    <w:p w14:paraId="4B5A3568">
      <w:pPr>
        <w:pStyle w:val="23"/>
        <w:keepNext w:val="0"/>
        <w:keepLines w:val="0"/>
        <w:pageBreakBefore w:val="0"/>
        <w:widowControl w:val="0"/>
        <w:kinsoku/>
        <w:wordWrap/>
        <w:topLinePunct w:val="0"/>
        <w:autoSpaceDE/>
        <w:autoSpaceDN/>
        <w:bidi w:val="0"/>
        <w:adjustRightInd/>
        <w:spacing w:line="560" w:lineRule="exact"/>
        <w:ind w:left="0" w:leftChars="0" w:firstLine="0" w:firstLineChars="0"/>
        <w:textAlignment w:val="auto"/>
        <w:rPr>
          <w:rFonts w:eastAsia="仿宋_GB2312"/>
          <w:b/>
          <w:szCs w:val="32"/>
        </w:rPr>
      </w:pPr>
      <w:r>
        <w:rPr>
          <w:rFonts w:eastAsia="仿宋_GB2312"/>
          <w:szCs w:val="32"/>
        </w:rPr>
        <w:t>业结构调整指导目录（20</w:t>
      </w:r>
      <w:r>
        <w:rPr>
          <w:rFonts w:hint="eastAsia" w:eastAsia="仿宋_GB2312"/>
          <w:szCs w:val="32"/>
        </w:rPr>
        <w:t>24</w:t>
      </w:r>
      <w:r>
        <w:rPr>
          <w:rFonts w:eastAsia="仿宋_GB2312"/>
          <w:szCs w:val="32"/>
        </w:rPr>
        <w:t>年本）》</w:t>
      </w:r>
      <w:r>
        <w:rPr>
          <w:rFonts w:hint="eastAsia" w:eastAsia="仿宋_GB2312"/>
          <w:szCs w:val="32"/>
        </w:rPr>
        <w:t>的允许</w:t>
      </w:r>
      <w:r>
        <w:rPr>
          <w:rFonts w:eastAsia="仿宋_GB2312"/>
          <w:szCs w:val="32"/>
        </w:rPr>
        <w:t>类</w:t>
      </w:r>
      <w:r>
        <w:rPr>
          <w:rFonts w:hint="eastAsia" w:eastAsia="仿宋_GB2312"/>
          <w:szCs w:val="32"/>
        </w:rPr>
        <w:t>项目</w:t>
      </w:r>
      <w:r>
        <w:rPr>
          <w:rFonts w:eastAsia="仿宋_GB2312"/>
          <w:szCs w:val="32"/>
        </w:rPr>
        <w:t>。</w:t>
      </w:r>
      <w:r>
        <w:rPr>
          <w:rFonts w:hint="eastAsia" w:eastAsia="仿宋_GB2312"/>
          <w:szCs w:val="32"/>
        </w:rPr>
        <w:t>项目用地性质为临时用地，已取得大英县自然资源和规划局《关于新建绵阳至遂宁至内江铁路绵阳至遂宁段9号拌合站临时用地的批复》（大自然资规发</w:t>
      </w:r>
      <w:r>
        <w:rPr>
          <w:rFonts w:hint="eastAsia" w:ascii="仿宋_GB2312" w:hAnsi="仿宋_GB2312" w:eastAsia="仿宋_GB2312" w:cs="仿宋_GB2312"/>
          <w:szCs w:val="32"/>
        </w:rPr>
        <w:t>〔</w:t>
      </w:r>
      <w:r>
        <w:rPr>
          <w:rFonts w:eastAsia="仿宋_GB2312"/>
          <w:szCs w:val="32"/>
        </w:rPr>
        <w:t>202</w:t>
      </w:r>
      <w:r>
        <w:rPr>
          <w:rFonts w:hint="eastAsia" w:eastAsia="仿宋_GB2312"/>
          <w:szCs w:val="32"/>
        </w:rPr>
        <w:t>4</w:t>
      </w:r>
      <w:r>
        <w:rPr>
          <w:rFonts w:hint="eastAsia" w:ascii="仿宋_GB2312" w:hAnsi="仿宋_GB2312" w:eastAsia="仿宋_GB2312" w:cs="仿宋_GB2312"/>
          <w:szCs w:val="32"/>
        </w:rPr>
        <w:t>〕47号</w:t>
      </w:r>
      <w:r>
        <w:rPr>
          <w:rFonts w:hint="eastAsia" w:eastAsia="仿宋_GB2312"/>
          <w:szCs w:val="32"/>
        </w:rPr>
        <w:t>），大英县水利局确认项目选址范围在涪江河道管理范围线外。《报告表》认为</w:t>
      </w:r>
      <w:r>
        <w:rPr>
          <w:rFonts w:eastAsia="仿宋_GB2312"/>
          <w:szCs w:val="32"/>
        </w:rPr>
        <w:t>该项目建设符合国家产业政策和相关规划要求，符合遂宁</w:t>
      </w:r>
      <w:r>
        <w:rPr>
          <w:rFonts w:hint="eastAsia" w:ascii="仿宋_GB2312" w:hAnsi="仿宋_GB2312" w:eastAsia="仿宋_GB2312" w:cs="仿宋_GB2312"/>
          <w:szCs w:val="32"/>
        </w:rPr>
        <w:t>市</w:t>
      </w:r>
      <w:r>
        <w:rPr>
          <w:rFonts w:eastAsia="仿宋_GB2312"/>
          <w:szCs w:val="32"/>
        </w:rPr>
        <w:t>生态环境分区管控要求。</w:t>
      </w:r>
    </w:p>
    <w:p w14:paraId="49503B43">
      <w:pPr>
        <w:keepNext w:val="0"/>
        <w:keepLines w:val="0"/>
        <w:pageBreakBefore w:val="0"/>
        <w:widowControl w:val="0"/>
        <w:kinsoku/>
        <w:wordWrap/>
        <w:topLinePunct w:val="0"/>
        <w:autoSpaceDE/>
        <w:autoSpaceDN/>
        <w:bidi w:val="0"/>
        <w:adjustRightInd/>
        <w:spacing w:line="56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在严格落实《报告表》提出的生态环境保护对策及措施，严格执行环境保护“三同时”制度，认真落实环境风险防范措施及应急预案的前提下，项目建设从生态环境保护角度可行，我局原则同意《报告表》的总体结论和拟采取的各项生态环境保护措施。你公司应严格按照《报告表》中所列项目建设的性质、规模、工艺、地点和拟采取的环境保护措施进行建设和运行，以确保对环境的不利影响得到缓解和控制。</w:t>
      </w:r>
    </w:p>
    <w:p w14:paraId="6F84D8ED">
      <w:pPr>
        <w:keepNext w:val="0"/>
        <w:keepLines w:val="0"/>
        <w:pageBreakBefore w:val="0"/>
        <w:widowControl w:val="0"/>
        <w:kinsoku/>
        <w:wordWrap/>
        <w:topLinePunct w:val="0"/>
        <w:autoSpaceDE/>
        <w:autoSpaceDN/>
        <w:bidi w:val="0"/>
        <w:adjustRightInd/>
        <w:spacing w:line="560" w:lineRule="exact"/>
        <w:textAlignment w:val="auto"/>
        <w:rPr>
          <w:rFonts w:ascii="黑体" w:hAnsi="黑体" w:eastAsia="黑体" w:cs="黑体"/>
          <w:sz w:val="32"/>
          <w:szCs w:val="32"/>
        </w:rPr>
      </w:pPr>
      <w:r>
        <w:rPr>
          <w:rFonts w:hint="eastAsia" w:ascii="黑体" w:hAnsi="黑体" w:eastAsia="黑体" w:cs="黑体"/>
          <w:sz w:val="32"/>
          <w:szCs w:val="32"/>
        </w:rPr>
        <w:t xml:space="preserve">    二、项目建设及营运重点做好以下工作</w:t>
      </w:r>
    </w:p>
    <w:p w14:paraId="0B4FDEB6">
      <w:pPr>
        <w:keepNext w:val="0"/>
        <w:keepLines w:val="0"/>
        <w:pageBreakBefore w:val="0"/>
        <w:widowControl w:val="0"/>
        <w:kinsoku/>
        <w:wordWrap/>
        <w:topLinePunct w:val="0"/>
        <w:autoSpaceDE/>
        <w:autoSpaceDN/>
        <w:bidi w:val="0"/>
        <w:adjustRightInd/>
        <w:spacing w:line="560" w:lineRule="exact"/>
        <w:ind w:firstLine="632" w:firstLineChars="200"/>
        <w:textAlignment w:val="auto"/>
        <w:rPr>
          <w:rFonts w:ascii="仿宋_GB2312" w:hAnsi="仿宋_GB2312" w:eastAsia="仿宋_GB2312" w:cs="仿宋_GB2312"/>
          <w:color w:val="000000"/>
          <w:kern w:val="18"/>
          <w:sz w:val="32"/>
          <w:szCs w:val="32"/>
        </w:rPr>
      </w:pPr>
      <w:r>
        <w:rPr>
          <w:rFonts w:hint="eastAsia" w:ascii="楷体_GB2312" w:hAnsi="楷体_GB2312" w:eastAsia="楷体_GB2312" w:cs="楷体_GB2312"/>
          <w:sz w:val="32"/>
          <w:szCs w:val="32"/>
        </w:rPr>
        <w:t>（一）落实污染防治和环境风险防范措施。</w:t>
      </w:r>
      <w:r>
        <w:rPr>
          <w:rFonts w:hint="eastAsia" w:ascii="仿宋_GB2312" w:hAnsi="仿宋_GB2312" w:eastAsia="仿宋_GB2312" w:cs="仿宋_GB2312"/>
          <w:color w:val="000000"/>
          <w:kern w:val="18"/>
          <w:sz w:val="32"/>
          <w:szCs w:val="32"/>
        </w:rPr>
        <w:t>强化环保设施的日常管理和维护，确保环保设施正常运行及各类污染物稳定达标排放。制定并不断完善突发环境事件应急预案，规范内部管理，严格操作规范，定期开展自行监测，防止污染事故的发生。</w:t>
      </w:r>
    </w:p>
    <w:p w14:paraId="0965A1E5">
      <w:pPr>
        <w:keepNext w:val="0"/>
        <w:keepLines w:val="0"/>
        <w:pageBreakBefore w:val="0"/>
        <w:widowControl w:val="0"/>
        <w:kinsoku/>
        <w:wordWrap/>
        <w:topLinePunct w:val="0"/>
        <w:autoSpaceDE/>
        <w:autoSpaceDN/>
        <w:bidi w:val="0"/>
        <w:adjustRightInd/>
        <w:spacing w:line="560" w:lineRule="exact"/>
        <w:ind w:firstLine="632" w:firstLineChars="200"/>
        <w:textAlignment w:val="auto"/>
        <w:rPr>
          <w:rFonts w:ascii="仿宋_GB2312" w:hAnsi="仿宋_GB2312" w:eastAsia="仿宋_GB2312" w:cs="仿宋_GB2312"/>
          <w:color w:val="000000"/>
          <w:kern w:val="18"/>
          <w:sz w:val="32"/>
          <w:szCs w:val="32"/>
        </w:rPr>
      </w:pPr>
      <w:r>
        <w:rPr>
          <w:rFonts w:hint="eastAsia" w:ascii="楷体_GB2312" w:hAnsi="楷体_GB2312" w:eastAsia="楷体_GB2312" w:cs="楷体_GB2312"/>
          <w:sz w:val="32"/>
          <w:szCs w:val="32"/>
        </w:rPr>
        <w:t>（二）落实施工期污染防治措施。</w:t>
      </w:r>
      <w:r>
        <w:rPr>
          <w:rFonts w:hint="eastAsia" w:ascii="仿宋_GB2312" w:hAnsi="仿宋_GB2312" w:eastAsia="仿宋_GB2312" w:cs="仿宋_GB2312"/>
          <w:color w:val="000000"/>
          <w:kern w:val="18"/>
          <w:sz w:val="32"/>
          <w:szCs w:val="32"/>
        </w:rPr>
        <w:t>施工现场架设围挡，严格落实建筑施工“六必须六不准”和“六个百分百”要求，防止扬尘污</w:t>
      </w:r>
      <w:r>
        <w:rPr>
          <w:rFonts w:hint="eastAsia" w:ascii="仿宋_GB2312" w:hAnsi="仿宋_GB2312" w:cs="仿宋_GB2312"/>
          <w:color w:val="000000"/>
          <w:kern w:val="18"/>
          <w:sz w:val="32"/>
          <w:szCs w:val="32"/>
          <w:lang w:eastAsia="zh-CN"/>
        </w:rPr>
        <w:t>染</w:t>
      </w:r>
      <w:r>
        <w:rPr>
          <w:rFonts w:hint="eastAsia" w:ascii="仿宋_GB2312" w:hAnsi="仿宋_GB2312" w:eastAsia="仿宋_GB2312" w:cs="仿宋_GB2312"/>
          <w:color w:val="000000"/>
          <w:kern w:val="18"/>
          <w:sz w:val="32"/>
          <w:szCs w:val="32"/>
        </w:rPr>
        <w:t>。施工废水经沉淀池处理后回用，生活污水经化粪池处理后转运至回马镇污水处理厂处理。弃土</w:t>
      </w:r>
      <w:bookmarkStart w:id="1" w:name="_GoBack"/>
      <w:bookmarkEnd w:id="1"/>
      <w:r>
        <w:rPr>
          <w:rFonts w:hint="eastAsia" w:ascii="仿宋_GB2312" w:hAnsi="仿宋_GB2312" w:eastAsia="仿宋_GB2312" w:cs="仿宋_GB2312"/>
          <w:color w:val="000000"/>
          <w:kern w:val="18"/>
          <w:sz w:val="32"/>
          <w:szCs w:val="32"/>
        </w:rPr>
        <w:t>弃方在场地内直接整平，不外运；生活垃圾集中收集交由市政环卫部门统一处置。施工场界噪声要满足《建筑施工场界环境噪声排放标准》</w:t>
      </w:r>
      <w:r>
        <w:rPr>
          <w:rFonts w:ascii="Times New Roman" w:hAnsi="Times New Roman" w:eastAsia="仿宋_GB2312" w:cs="Times New Roman"/>
          <w:color w:val="000000"/>
          <w:kern w:val="18"/>
          <w:sz w:val="32"/>
          <w:szCs w:val="32"/>
        </w:rPr>
        <w:t>(GB12523-2011</w:t>
      </w:r>
      <w:r>
        <w:rPr>
          <w:rFonts w:hint="eastAsia" w:ascii="Times New Roman" w:hAnsi="Times New Roman" w:cs="Times New Roman"/>
          <w:color w:val="000000"/>
          <w:kern w:val="18"/>
          <w:sz w:val="32"/>
          <w:szCs w:val="32"/>
          <w:lang w:eastAsia="zh-CN"/>
        </w:rPr>
        <w:t>）</w:t>
      </w:r>
      <w:r>
        <w:rPr>
          <w:rFonts w:ascii="Times New Roman" w:hAnsi="Times New Roman" w:eastAsia="仿宋_GB2312" w:cs="Times New Roman"/>
          <w:color w:val="000000"/>
          <w:kern w:val="18"/>
          <w:sz w:val="32"/>
          <w:szCs w:val="32"/>
        </w:rPr>
        <w:t>的要求。落实运输车辆和非道路移动机械环境管</w:t>
      </w:r>
      <w:r>
        <w:rPr>
          <w:rFonts w:hint="eastAsia" w:ascii="仿宋_GB2312" w:hAnsi="仿宋_GB2312" w:eastAsia="仿宋_GB2312" w:cs="仿宋_GB2312"/>
          <w:color w:val="000000"/>
          <w:kern w:val="18"/>
          <w:sz w:val="32"/>
          <w:szCs w:val="32"/>
        </w:rPr>
        <w:t>理要求，落实重污染天气预警状况下大气污染防治管控要求。</w:t>
      </w:r>
    </w:p>
    <w:p w14:paraId="338ED350">
      <w:pPr>
        <w:keepNext w:val="0"/>
        <w:keepLines w:val="0"/>
        <w:pageBreakBefore w:val="0"/>
        <w:widowControl w:val="0"/>
        <w:kinsoku/>
        <w:wordWrap/>
        <w:topLinePunct w:val="0"/>
        <w:autoSpaceDE/>
        <w:autoSpaceDN/>
        <w:bidi w:val="0"/>
        <w:adjustRightInd/>
        <w:spacing w:line="560" w:lineRule="exact"/>
        <w:ind w:firstLine="632" w:firstLineChars="200"/>
        <w:textAlignment w:val="auto"/>
        <w:rPr>
          <w:rFonts w:ascii="仿宋_GB2312" w:hAnsi="仿宋_GB2312" w:eastAsia="仿宋_GB2312" w:cs="仿宋_GB2312"/>
          <w:color w:val="000000"/>
          <w:kern w:val="18"/>
          <w:sz w:val="32"/>
          <w:szCs w:val="32"/>
        </w:rPr>
      </w:pPr>
      <w:r>
        <w:rPr>
          <w:rFonts w:hint="eastAsia" w:ascii="楷体_GB2312" w:hAnsi="楷体_GB2312" w:eastAsia="楷体_GB2312" w:cs="楷体_GB2312"/>
          <w:sz w:val="32"/>
          <w:szCs w:val="32"/>
        </w:rPr>
        <w:t>（三）落实大气污染防治措施。</w:t>
      </w:r>
      <w:r>
        <w:rPr>
          <w:rFonts w:hint="eastAsia" w:ascii="仿宋_GB2312" w:hAnsi="仿宋_GB2312" w:eastAsia="仿宋_GB2312" w:cs="仿宋_GB2312"/>
          <w:color w:val="000000"/>
          <w:kern w:val="18"/>
          <w:sz w:val="32"/>
          <w:szCs w:val="32"/>
        </w:rPr>
        <w:t>堆场、砂石卸料、砂石上料均设置于封闭车间，并设置喷雾降尘装置，砂料、碎石、水泥、粉煤灰、外加剂等物料封闭式输送；拌合区域进行全封闭，搅拌缸、简仓粉尘经自带的袋式除尘器处理后排放；厂区设置喷淋设施和雾炮除尘装置，降低运输起尘的产生量；食堂油烟经油烟净化器处理后排放。以生产车间外边界为起点，设置</w:t>
      </w:r>
      <w:r>
        <w:rPr>
          <w:rFonts w:hint="default" w:ascii="Times New Roman" w:hAnsi="Times New Roman" w:eastAsia="仿宋_GB2312" w:cs="Times New Roman"/>
          <w:color w:val="000000"/>
          <w:kern w:val="18"/>
          <w:sz w:val="32"/>
          <w:szCs w:val="32"/>
        </w:rPr>
        <w:t>50m</w:t>
      </w:r>
      <w:r>
        <w:rPr>
          <w:rFonts w:hint="eastAsia" w:ascii="仿宋_GB2312" w:hAnsi="仿宋_GB2312" w:eastAsia="仿宋_GB2312" w:cs="仿宋_GB2312"/>
          <w:color w:val="000000"/>
          <w:kern w:val="18"/>
          <w:sz w:val="32"/>
          <w:szCs w:val="32"/>
        </w:rPr>
        <w:t>卫生防护距离，本项目建设和运营期间不得在卫生防护距离范围内新建食品、医疗、医药、居住、学校、行政办公等项目，你公司应积极配合当地政府和有关部门做好相关管理工作。</w:t>
      </w:r>
    </w:p>
    <w:p w14:paraId="12BC5639">
      <w:pPr>
        <w:pStyle w:val="6"/>
        <w:keepNext w:val="0"/>
        <w:keepLines w:val="0"/>
        <w:pageBreakBefore w:val="0"/>
        <w:widowControl w:val="0"/>
        <w:kinsoku/>
        <w:wordWrap/>
        <w:topLinePunct w:val="0"/>
        <w:autoSpaceDE/>
        <w:autoSpaceDN/>
        <w:bidi w:val="0"/>
        <w:adjustRightInd/>
        <w:spacing w:before="0" w:line="560" w:lineRule="exact"/>
        <w:ind w:firstLine="632" w:firstLineChars="200"/>
        <w:textAlignment w:val="auto"/>
        <w:rPr>
          <w:rFonts w:ascii="仿宋_GB2312" w:hAnsi="仿宋_GB2312" w:eastAsia="仿宋_GB2312" w:cs="仿宋_GB2312"/>
          <w:color w:val="000000"/>
          <w:kern w:val="18"/>
          <w:sz w:val="32"/>
          <w:szCs w:val="32"/>
        </w:rPr>
      </w:pPr>
      <w:r>
        <w:rPr>
          <w:rFonts w:hint="eastAsia" w:ascii="楷体_GB2312" w:hAnsi="楷体_GB2312" w:eastAsia="楷体_GB2312" w:cs="楷体_GB2312"/>
          <w:sz w:val="32"/>
          <w:szCs w:val="32"/>
        </w:rPr>
        <w:t>（四）落实废水污染防治措施。</w:t>
      </w:r>
      <w:r>
        <w:rPr>
          <w:rFonts w:hint="eastAsia" w:ascii="Times New Roman" w:hAnsi="Times New Roman" w:eastAsia="仿宋_GB2312" w:cs="Times New Roman"/>
          <w:sz w:val="32"/>
          <w:szCs w:val="32"/>
        </w:rPr>
        <w:t>生产废水（搅拌缸清洗废水、洗地废水、罐车清洗废水等）、初期雨水经五级沉淀池处理后回用，不外排；运输车辆车身清洗废水经洗车设施三级沉淀池处理后回用，不外排；生活废水经化粪池处理后定期转运至回马镇污水处理厂处理。</w:t>
      </w:r>
    </w:p>
    <w:p w14:paraId="3C55F757">
      <w:pPr>
        <w:keepNext w:val="0"/>
        <w:keepLines w:val="0"/>
        <w:pageBreakBefore w:val="0"/>
        <w:widowControl w:val="0"/>
        <w:kinsoku/>
        <w:wordWrap/>
        <w:topLinePunct w:val="0"/>
        <w:autoSpaceDE/>
        <w:autoSpaceDN/>
        <w:bidi w:val="0"/>
        <w:adjustRightInd/>
        <w:spacing w:line="560" w:lineRule="exact"/>
        <w:ind w:firstLine="632" w:firstLineChars="200"/>
        <w:textAlignment w:val="auto"/>
        <w:rPr>
          <w:rFonts w:ascii="Times New Roman" w:hAnsi="Times New Roman" w:eastAsia="仿宋_GB2312" w:cs="Times New Roman"/>
          <w:sz w:val="32"/>
          <w:szCs w:val="32"/>
        </w:rPr>
      </w:pPr>
      <w:r>
        <w:rPr>
          <w:rFonts w:hint="eastAsia" w:ascii="楷体_GB2312" w:hAnsi="楷体_GB2312" w:eastAsia="楷体_GB2312" w:cs="楷体_GB2312"/>
          <w:sz w:val="32"/>
          <w:szCs w:val="32"/>
        </w:rPr>
        <w:t>（五）落实固体废物处置措施</w:t>
      </w:r>
      <w:r>
        <w:rPr>
          <w:rFonts w:hint="eastAsia" w:ascii="楷体_GB2312" w:hAnsi="楷体_GB2312" w:eastAsia="楷体_GB2312" w:cs="楷体_GB2312"/>
          <w:color w:val="000000"/>
          <w:kern w:val="18"/>
          <w:sz w:val="32"/>
          <w:szCs w:val="32"/>
        </w:rPr>
        <w:t>。</w:t>
      </w:r>
      <w:r>
        <w:rPr>
          <w:rFonts w:hint="eastAsia" w:ascii="Times New Roman" w:hAnsi="Times New Roman" w:eastAsia="仿宋_GB2312" w:cs="Times New Roman"/>
          <w:sz w:val="32"/>
          <w:szCs w:val="32"/>
        </w:rPr>
        <w:t>固体废物按要求落实分类收集、贮存、运输及处置措施。生活污水化粪池污泥定期进行清掏与生活垃圾一并交由市政环卫部门处置；餐厨垃圾交由餐厨垃圾处置单位处置；沉淀池泥沙经压滤脱水后与废实验弃块一起转运至绵遂内铁路项目综合利用；除尘器粉尘回用于生产；废润滑油桶、废含油手套及抹布、废润滑油等危险废物分类收集暂存于危废间，建立危废处置台账，定期交由有资质的单位处置</w:t>
      </w:r>
      <w:r>
        <w:rPr>
          <w:rFonts w:eastAsia="仿宋_GB2312"/>
          <w:sz w:val="32"/>
          <w:szCs w:val="32"/>
        </w:rPr>
        <w:t>，转移过程严格落实《危险废物转移管理办法》要求</w:t>
      </w:r>
      <w:r>
        <w:rPr>
          <w:rFonts w:hint="eastAsia" w:ascii="Times New Roman" w:hAnsi="Times New Roman" w:eastAsia="仿宋_GB2312" w:cs="Times New Roman"/>
          <w:sz w:val="32"/>
          <w:szCs w:val="32"/>
        </w:rPr>
        <w:t>。</w:t>
      </w:r>
    </w:p>
    <w:p w14:paraId="56960ACB">
      <w:pPr>
        <w:keepNext w:val="0"/>
        <w:keepLines w:val="0"/>
        <w:pageBreakBefore w:val="0"/>
        <w:widowControl w:val="0"/>
        <w:kinsoku/>
        <w:wordWrap/>
        <w:topLinePunct w:val="0"/>
        <w:autoSpaceDE/>
        <w:autoSpaceDN/>
        <w:bidi w:val="0"/>
        <w:adjustRightInd/>
        <w:spacing w:line="560" w:lineRule="exact"/>
        <w:ind w:firstLine="632" w:firstLineChars="200"/>
        <w:textAlignment w:val="auto"/>
        <w:rPr>
          <w:rFonts w:ascii="仿宋_GB2312" w:hAnsi="仿宋_GB2312" w:eastAsia="仿宋_GB2312" w:cs="仿宋_GB2312"/>
          <w:color w:val="000000"/>
          <w:kern w:val="18"/>
          <w:sz w:val="32"/>
          <w:szCs w:val="32"/>
        </w:rPr>
      </w:pPr>
      <w:r>
        <w:rPr>
          <w:rFonts w:hint="eastAsia" w:ascii="楷体_GB2312" w:hAnsi="楷体_GB2312" w:eastAsia="楷体_GB2312" w:cs="楷体_GB2312"/>
          <w:sz w:val="32"/>
          <w:szCs w:val="32"/>
        </w:rPr>
        <w:t>（六）落实噪声污染防治措施。</w:t>
      </w:r>
      <w:r>
        <w:rPr>
          <w:rFonts w:hint="eastAsia" w:ascii="仿宋_GB2312" w:hAnsi="仿宋_GB2312" w:eastAsia="仿宋_GB2312" w:cs="仿宋_GB2312"/>
          <w:color w:val="000000"/>
          <w:kern w:val="18"/>
          <w:sz w:val="32"/>
          <w:szCs w:val="32"/>
        </w:rPr>
        <w:t>主要噪声源应合理布局，在设备选型上应优选低噪声设备，采取隔声、减振、消声等措施，同时加强机械设备的日常维护，确保厂界噪声达《工业企业厂界环境噪声排放标准》（</w:t>
      </w:r>
      <w:r>
        <w:rPr>
          <w:rFonts w:hint="default" w:ascii="Times New Roman" w:hAnsi="Times New Roman" w:eastAsia="仿宋_GB2312" w:cs="Times New Roman"/>
          <w:color w:val="000000"/>
          <w:kern w:val="18"/>
          <w:sz w:val="32"/>
          <w:szCs w:val="32"/>
        </w:rPr>
        <w:t>GB12348-2008</w:t>
      </w:r>
      <w:r>
        <w:rPr>
          <w:rFonts w:hint="eastAsia" w:ascii="仿宋_GB2312" w:hAnsi="仿宋_GB2312" w:eastAsia="仿宋_GB2312" w:cs="仿宋_GB2312"/>
          <w:color w:val="000000"/>
          <w:kern w:val="18"/>
          <w:sz w:val="32"/>
          <w:szCs w:val="32"/>
        </w:rPr>
        <w:t>）</w:t>
      </w:r>
      <w:r>
        <w:rPr>
          <w:rFonts w:hint="eastAsia" w:ascii="Times New Roman" w:hAnsi="Times New Roman" w:eastAsia="仿宋_GB2312" w:cs="Times New Roman"/>
          <w:color w:val="000000"/>
          <w:kern w:val="18"/>
          <w:sz w:val="32"/>
          <w:szCs w:val="32"/>
        </w:rPr>
        <w:t>2</w:t>
      </w:r>
      <w:r>
        <w:rPr>
          <w:rFonts w:hint="eastAsia" w:ascii="仿宋_GB2312" w:hAnsi="仿宋_GB2312" w:eastAsia="仿宋_GB2312" w:cs="仿宋_GB2312"/>
          <w:color w:val="000000"/>
          <w:kern w:val="18"/>
          <w:sz w:val="32"/>
          <w:szCs w:val="32"/>
        </w:rPr>
        <w:t>类标准。</w:t>
      </w:r>
    </w:p>
    <w:p w14:paraId="4ACB6DEA">
      <w:pPr>
        <w:keepNext w:val="0"/>
        <w:keepLines w:val="0"/>
        <w:pageBreakBefore w:val="0"/>
        <w:widowControl w:val="0"/>
        <w:kinsoku/>
        <w:wordWrap/>
        <w:topLinePunct w:val="0"/>
        <w:autoSpaceDE/>
        <w:autoSpaceDN/>
        <w:bidi w:val="0"/>
        <w:adjustRightInd/>
        <w:spacing w:line="560" w:lineRule="exact"/>
        <w:ind w:firstLine="632" w:firstLineChars="200"/>
        <w:textAlignment w:val="auto"/>
        <w:rPr>
          <w:rFonts w:ascii="仿宋_GB2312" w:hAnsi="仿宋_GB2312" w:eastAsia="仿宋_GB2312" w:cs="仿宋_GB2312"/>
          <w:color w:val="000000"/>
          <w:kern w:val="18"/>
          <w:sz w:val="32"/>
          <w:szCs w:val="32"/>
        </w:rPr>
      </w:pPr>
      <w:r>
        <w:rPr>
          <w:rFonts w:hint="eastAsia" w:ascii="楷体_GB2312" w:hAnsi="楷体_GB2312" w:eastAsia="楷体_GB2312" w:cs="楷体_GB2312"/>
          <w:sz w:val="32"/>
          <w:szCs w:val="32"/>
        </w:rPr>
        <w:t>（七）落实土壤和地下水污染防治措施。</w:t>
      </w:r>
      <w:r>
        <w:rPr>
          <w:rFonts w:hint="eastAsia" w:ascii="仿宋_GB2312" w:hAnsi="仿宋_GB2312" w:eastAsia="仿宋_GB2312" w:cs="仿宋_GB2312"/>
          <w:color w:val="000000"/>
          <w:kern w:val="18"/>
          <w:sz w:val="32"/>
          <w:szCs w:val="32"/>
        </w:rPr>
        <w:t>落实分区防渗措施，危废暂存间、生活污水化粪池进行重点防渗；生产废水沉淀池和洗车废水沉淀池进行一般防渗；其他区域进行简单防渗。</w:t>
      </w:r>
    </w:p>
    <w:p w14:paraId="695A7493">
      <w:pPr>
        <w:keepNext w:val="0"/>
        <w:keepLines w:val="0"/>
        <w:pageBreakBefore w:val="0"/>
        <w:widowControl w:val="0"/>
        <w:kinsoku/>
        <w:wordWrap/>
        <w:topLinePunct w:val="0"/>
        <w:autoSpaceDE/>
        <w:autoSpaceDN/>
        <w:bidi w:val="0"/>
        <w:adjustRightInd/>
        <w:spacing w:line="560" w:lineRule="exact"/>
        <w:ind w:firstLine="632" w:firstLineChars="200"/>
        <w:textAlignment w:val="auto"/>
        <w:rPr>
          <w:rFonts w:ascii="仿宋_GB2312" w:hAnsi="仿宋_GB2312" w:eastAsia="仿宋_GB2312" w:cs="仿宋_GB2312"/>
          <w:color w:val="000000"/>
          <w:kern w:val="18"/>
          <w:sz w:val="32"/>
          <w:szCs w:val="32"/>
        </w:rPr>
      </w:pPr>
      <w:r>
        <w:rPr>
          <w:rFonts w:hint="eastAsia" w:ascii="黑体" w:hAnsi="黑体" w:eastAsia="黑体" w:cs="黑体"/>
          <w:color w:val="000000"/>
          <w:kern w:val="18"/>
          <w:sz w:val="32"/>
          <w:szCs w:val="32"/>
        </w:rPr>
        <w:t>三、</w:t>
      </w:r>
      <w:r>
        <w:rPr>
          <w:rFonts w:hint="eastAsia" w:ascii="仿宋_GB2312" w:hAnsi="仿宋_GB2312" w:eastAsia="仿宋_GB2312" w:cs="仿宋_GB2312"/>
          <w:color w:val="000000"/>
          <w:kern w:val="18"/>
          <w:sz w:val="32"/>
          <w:szCs w:val="32"/>
        </w:rPr>
        <w:t>项目开工建设前，应依法完备其他行政许可手续。</w:t>
      </w:r>
    </w:p>
    <w:p w14:paraId="4EBD4289">
      <w:pPr>
        <w:keepNext w:val="0"/>
        <w:keepLines w:val="0"/>
        <w:pageBreakBefore w:val="0"/>
        <w:widowControl w:val="0"/>
        <w:kinsoku/>
        <w:wordWrap/>
        <w:overflowPunct w:val="0"/>
        <w:topLinePunct w:val="0"/>
        <w:autoSpaceDE/>
        <w:autoSpaceDN/>
        <w:bidi w:val="0"/>
        <w:adjustRightInd/>
        <w:snapToGrid w:val="0"/>
        <w:spacing w:line="560" w:lineRule="exact"/>
        <w:ind w:firstLine="632" w:firstLineChars="200"/>
        <w:textAlignment w:val="auto"/>
        <w:rPr>
          <w:rFonts w:ascii="黑体" w:hAnsi="黑体" w:eastAsia="黑体" w:cs="黑体"/>
          <w:sz w:val="32"/>
          <w:szCs w:val="32"/>
        </w:rPr>
      </w:pPr>
      <w:r>
        <w:rPr>
          <w:rFonts w:hint="eastAsia" w:ascii="黑体" w:hAnsi="黑体" w:eastAsia="黑体" w:cs="黑体"/>
          <w:color w:val="000000"/>
          <w:kern w:val="18"/>
          <w:sz w:val="32"/>
          <w:szCs w:val="32"/>
        </w:rPr>
        <w:t>四、排污许可和环保</w:t>
      </w:r>
      <w:r>
        <w:rPr>
          <w:rFonts w:hint="eastAsia" w:ascii="黑体" w:hAnsi="黑体" w:eastAsia="黑体" w:cs="黑体"/>
          <w:sz w:val="32"/>
          <w:szCs w:val="32"/>
        </w:rPr>
        <w:t>验收</w:t>
      </w:r>
    </w:p>
    <w:p w14:paraId="102BD9C2">
      <w:pPr>
        <w:pStyle w:val="23"/>
        <w:keepNext w:val="0"/>
        <w:keepLines w:val="0"/>
        <w:pageBreakBefore w:val="0"/>
        <w:widowControl w:val="0"/>
        <w:kinsoku/>
        <w:wordWrap/>
        <w:topLinePunct w:val="0"/>
        <w:autoSpaceDE/>
        <w:autoSpaceDN/>
        <w:bidi w:val="0"/>
        <w:adjustRightInd/>
        <w:spacing w:line="560" w:lineRule="exact"/>
        <w:textAlignment w:val="auto"/>
        <w:rPr>
          <w:rFonts w:ascii="仿宋_GB2312" w:hAnsi="仿宋_GB2312" w:eastAsia="仿宋_GB2312" w:cs="仿宋_GB2312"/>
          <w:szCs w:val="32"/>
        </w:rPr>
      </w:pPr>
      <w:r>
        <w:rPr>
          <w:rFonts w:hint="eastAsia" w:ascii="仿宋_GB2312" w:hAnsi="仿宋_GB2312" w:eastAsia="仿宋_GB2312" w:cs="仿宋_GB2312"/>
          <w:szCs w:val="32"/>
        </w:rPr>
        <w:t>项目建设必须严格执行配套建设的环境保护设施与主体工程同时设计、同时施工、同时投产使用的环境保护“三同时”制度。在发生实际排污行为前，按照国家排污许可有关管理规定要求，依法申领排污许可证或者填报排污登记表，不得无证排污和不按证排污。建设项目竣工后，你公司是建设项目竣工环境保护验收的责任主体，应当按照规定的程序和标准，组织对配套建设的环境保护设施及对策措施进行验收，并依法向社会公开验收报告和相关信息，接受社会监督，验收合格后方可投入生产或使用。</w:t>
      </w:r>
    </w:p>
    <w:p w14:paraId="65764670">
      <w:pPr>
        <w:keepNext w:val="0"/>
        <w:keepLines w:val="0"/>
        <w:pageBreakBefore w:val="0"/>
        <w:widowControl w:val="0"/>
        <w:kinsoku/>
        <w:wordWrap/>
        <w:overflowPunct w:val="0"/>
        <w:topLinePunct w:val="0"/>
        <w:autoSpaceDE/>
        <w:autoSpaceDN/>
        <w:bidi w:val="0"/>
        <w:adjustRightInd/>
        <w:snapToGrid w:val="0"/>
        <w:spacing w:line="560" w:lineRule="exact"/>
        <w:ind w:firstLine="632" w:firstLineChars="200"/>
        <w:textAlignment w:val="auto"/>
        <w:rPr>
          <w:rFonts w:ascii="黑体" w:hAnsi="黑体" w:eastAsia="黑体" w:cs="黑体"/>
          <w:color w:val="000000"/>
          <w:kern w:val="18"/>
          <w:sz w:val="32"/>
          <w:szCs w:val="32"/>
        </w:rPr>
      </w:pPr>
      <w:r>
        <w:rPr>
          <w:rFonts w:hint="eastAsia" w:ascii="黑体" w:hAnsi="黑体" w:eastAsia="黑体" w:cs="黑体"/>
          <w:color w:val="000000"/>
          <w:kern w:val="18"/>
          <w:sz w:val="32"/>
          <w:szCs w:val="32"/>
        </w:rPr>
        <w:t>五、其他规定</w:t>
      </w:r>
    </w:p>
    <w:p w14:paraId="7056643F">
      <w:pPr>
        <w:keepNext w:val="0"/>
        <w:keepLines w:val="0"/>
        <w:pageBreakBefore w:val="0"/>
        <w:widowControl w:val="0"/>
        <w:kinsoku/>
        <w:wordWrap/>
        <w:topLinePunct w:val="0"/>
        <w:autoSpaceDE/>
        <w:autoSpaceDN/>
        <w:bidi w:val="0"/>
        <w:adjustRightInd/>
        <w:spacing w:line="56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项目环境影响评价文件经批准后，如工程的性质、规模、地点、工艺或者防治污染、防止生态破坏的措施发生重大变动，你公司应当重新报批环境影响评价文件，否则不得实施建设。自环</w:t>
      </w:r>
      <w:r>
        <w:rPr>
          <w:rFonts w:ascii="Times New Roman" w:hAnsi="Times New Roman" w:eastAsia="仿宋_GB2312" w:cs="Times New Roman"/>
          <w:sz w:val="32"/>
          <w:szCs w:val="32"/>
        </w:rPr>
        <w:t>境影响评价文件批准之日起，如工程超过5年未开工建设，环境</w:t>
      </w:r>
      <w:r>
        <w:rPr>
          <w:rFonts w:hint="eastAsia" w:ascii="仿宋_GB2312" w:hAnsi="仿宋_GB2312" w:eastAsia="仿宋_GB2312" w:cs="仿宋_GB2312"/>
          <w:sz w:val="32"/>
          <w:szCs w:val="32"/>
        </w:rPr>
        <w:t>影响评价文件应当报我局重新审核。</w:t>
      </w:r>
    </w:p>
    <w:p w14:paraId="61F78C5F">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outlineLvl w:val="9"/>
        <w:rPr>
          <w:rFonts w:hint="eastAsia" w:ascii="仿宋_GB2312" w:hAnsi="仿宋_GB2312" w:cs="仿宋_GB2312"/>
          <w:color w:val="auto"/>
          <w:sz w:val="32"/>
          <w:szCs w:val="32"/>
          <w:lang w:val="en-US" w:eastAsia="zh-CN"/>
        </w:rPr>
      </w:pPr>
    </w:p>
    <w:p w14:paraId="03E48305">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outlineLvl w:val="9"/>
        <w:rPr>
          <w:rFonts w:hint="eastAsia" w:ascii="仿宋_GB2312" w:hAnsi="仿宋_GB2312" w:cs="仿宋_GB2312"/>
          <w:color w:val="auto"/>
          <w:sz w:val="32"/>
          <w:szCs w:val="32"/>
          <w:lang w:val="en-US" w:eastAsia="zh-CN"/>
        </w:rPr>
      </w:pPr>
    </w:p>
    <w:p w14:paraId="779AAE4A">
      <w:pPr>
        <w:pStyle w:val="23"/>
        <w:keepNext w:val="0"/>
        <w:keepLines w:val="0"/>
        <w:pageBreakBefore w:val="0"/>
        <w:widowControl w:val="0"/>
        <w:kinsoku/>
        <w:wordWrap/>
        <w:overflowPunct/>
        <w:topLinePunct w:val="0"/>
        <w:autoSpaceDE/>
        <w:autoSpaceDN/>
        <w:bidi w:val="0"/>
        <w:adjustRightInd/>
        <w:snapToGrid/>
        <w:spacing w:line="580" w:lineRule="exact"/>
        <w:ind w:firstLine="4864" w:firstLineChars="160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遂宁市大英生态环境局</w:t>
      </w:r>
    </w:p>
    <w:p w14:paraId="0DDBEB09">
      <w:pPr>
        <w:keepNext w:val="0"/>
        <w:keepLines w:val="0"/>
        <w:pageBreakBefore w:val="0"/>
        <w:widowControl w:val="0"/>
        <w:kinsoku/>
        <w:wordWrap w:val="0"/>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spacing w:val="-6"/>
          <w:sz w:val="32"/>
          <w:szCs w:val="32"/>
          <w:lang w:val="en-US" w:eastAsia="zh-CN"/>
        </w:rPr>
      </w:pPr>
      <w:r>
        <w:rPr>
          <w:rFonts w:hint="default" w:ascii="Times New Roman" w:hAnsi="Times New Roman" w:eastAsia="仿宋_GB2312" w:cs="Times New Roman"/>
          <w:spacing w:val="-6"/>
          <w:sz w:val="32"/>
          <w:szCs w:val="32"/>
          <w:lang w:val="en-US" w:eastAsia="zh-CN"/>
        </w:rPr>
        <w:t>2024年</w:t>
      </w:r>
      <w:r>
        <w:rPr>
          <w:rFonts w:hint="eastAsia" w:cs="Times New Roman"/>
          <w:spacing w:val="-6"/>
          <w:sz w:val="32"/>
          <w:szCs w:val="32"/>
          <w:lang w:val="en-US" w:eastAsia="zh-CN"/>
        </w:rPr>
        <w:t>10</w:t>
      </w:r>
      <w:r>
        <w:rPr>
          <w:rFonts w:hint="default" w:ascii="Times New Roman" w:hAnsi="Times New Roman" w:eastAsia="仿宋_GB2312" w:cs="Times New Roman"/>
          <w:spacing w:val="-6"/>
          <w:sz w:val="32"/>
          <w:szCs w:val="32"/>
          <w:lang w:val="en-US" w:eastAsia="zh-CN"/>
        </w:rPr>
        <w:t>月</w:t>
      </w:r>
      <w:r>
        <w:rPr>
          <w:rFonts w:hint="eastAsia" w:cs="Times New Roman"/>
          <w:spacing w:val="-6"/>
          <w:sz w:val="32"/>
          <w:szCs w:val="32"/>
          <w:lang w:val="en-US" w:eastAsia="zh-CN"/>
        </w:rPr>
        <w:t>23</w:t>
      </w:r>
      <w:r>
        <w:rPr>
          <w:rFonts w:hint="default" w:ascii="Times New Roman" w:hAnsi="Times New Roman" w:eastAsia="仿宋_GB2312" w:cs="Times New Roman"/>
          <w:spacing w:val="-6"/>
          <w:sz w:val="32"/>
          <w:szCs w:val="32"/>
          <w:lang w:val="en-US" w:eastAsia="zh-CN"/>
        </w:rPr>
        <w:t>日</w:t>
      </w:r>
      <w:r>
        <w:rPr>
          <w:rFonts w:hint="eastAsia" w:ascii="仿宋_GB2312" w:hAnsi="仿宋_GB2312" w:eastAsia="仿宋_GB2312" w:cs="仿宋_GB2312"/>
          <w:spacing w:val="-6"/>
          <w:sz w:val="32"/>
          <w:szCs w:val="32"/>
          <w:lang w:val="en-US" w:eastAsia="zh-CN"/>
        </w:rPr>
        <w:t xml:space="preserve">      </w:t>
      </w:r>
      <w:r>
        <w:rPr>
          <w:rFonts w:hint="eastAsia" w:ascii="仿宋_GB2312" w:hAnsi="仿宋_GB2312" w:cs="仿宋_GB2312"/>
          <w:spacing w:val="-6"/>
          <w:sz w:val="32"/>
          <w:szCs w:val="32"/>
          <w:lang w:val="en-US" w:eastAsia="zh-CN"/>
        </w:rPr>
        <w:t xml:space="preserve"> </w:t>
      </w:r>
      <w:r>
        <w:rPr>
          <w:rFonts w:hint="eastAsia" w:ascii="仿宋_GB2312" w:hAnsi="仿宋_GB2312" w:eastAsia="仿宋_GB2312" w:cs="仿宋_GB2312"/>
          <w:spacing w:val="-6"/>
          <w:sz w:val="32"/>
          <w:szCs w:val="32"/>
          <w:lang w:val="en-US" w:eastAsia="zh-CN"/>
        </w:rPr>
        <w:t xml:space="preserve"> </w:t>
      </w:r>
    </w:p>
    <w:bookmarkEnd w:id="0"/>
    <w:p w14:paraId="4F6977CE">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spacing w:val="-6"/>
          <w:sz w:val="32"/>
          <w:szCs w:val="32"/>
          <w:lang w:val="en-US" w:eastAsia="zh-CN"/>
        </w:rPr>
      </w:pPr>
    </w:p>
    <w:sectPr>
      <w:footerReference r:id="rId6" w:type="default"/>
      <w:footerReference r:id="rId7" w:type="even"/>
      <w:pgSz w:w="11906" w:h="16838"/>
      <w:pgMar w:top="2098" w:right="1474" w:bottom="1417" w:left="1587" w:header="851" w:footer="1020" w:gutter="0"/>
      <w:pgBorders>
        <w:top w:val="none" w:sz="0" w:space="0"/>
        <w:left w:val="none" w:sz="0" w:space="0"/>
        <w:bottom w:val="none" w:sz="0" w:space="0"/>
        <w:right w:val="none" w:sz="0" w:space="0"/>
      </w:pgBorders>
      <w:pgNumType w:fmt="decimal" w:start="2"/>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03264">
    <w:pPr>
      <w:pStyle w:val="13"/>
      <w:keepNext w:val="0"/>
      <w:keepLines w:val="0"/>
      <w:pageBreakBefore w:val="0"/>
      <w:widowControl w:val="0"/>
      <w:kinsoku/>
      <w:wordWrap/>
      <w:overflowPunct/>
      <w:topLinePunct w:val="0"/>
      <w:autoSpaceDE/>
      <w:autoSpaceDN/>
      <w:bidi w:val="0"/>
      <w:adjustRightInd/>
      <w:snapToGrid w:val="0"/>
      <w:spacing w:line="240" w:lineRule="atLeast"/>
      <w:ind w:right="480" w:rightChars="150"/>
      <w:textAlignment w:val="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F8964">
    <w:pPr>
      <w:pStyle w:val="13"/>
      <w:keepNext w:val="0"/>
      <w:keepLines w:val="0"/>
      <w:pageBreakBefore w:val="0"/>
      <w:widowControl w:val="0"/>
      <w:kinsoku/>
      <w:wordWrap/>
      <w:overflowPunct/>
      <w:topLinePunct w:val="0"/>
      <w:autoSpaceDE/>
      <w:autoSpaceDN/>
      <w:bidi w:val="0"/>
      <w:adjustRightInd/>
      <w:snapToGrid w:val="0"/>
      <w:spacing w:line="240" w:lineRule="atLeast"/>
      <w:ind w:right="480" w:rightChars="15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posOffset>4749800</wp:posOffset>
              </wp:positionH>
              <wp:positionV relativeFrom="paragraph">
                <wp:posOffset>38100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F8ECC2">
                          <w:pPr>
                            <w:pStyle w:val="1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4pt;margin-top:3pt;height:144pt;width:144pt;mso-position-horizontal-relative:margin;mso-wrap-style:none;z-index:251659264;mso-width-relative:page;mso-height-relative:page;" filled="f" stroked="f" coordsize="21600,21600" o:gfxdata="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qNJkVNcAAAAKAQAADwAAAAAAAAABACAAAAAiAAAAZHJzL2Rvd25yZXYueG1s&#10;UEsBAhQAFAAAAAgAh07iQPWLh2QyAgAAYQQAAA4AAAAAAAAAAQAgAAAAJgEAAGRycy9lMm9Eb2Mu&#10;eG1sUEsFBgAAAAAGAAYAWQEAAMoFAAAAAA==&#10;">
              <v:fill on="f" focussize="0,0"/>
              <v:stroke on="f" weight="0.5pt"/>
              <v:imagedata o:title=""/>
              <o:lock v:ext="edit" aspectratio="f"/>
              <v:textbox inset="0mm,0mm,0mm,0mm" style="mso-fit-shape-to-text:t;">
                <w:txbxContent>
                  <w:p w14:paraId="3EF8ECC2">
                    <w:pPr>
                      <w:pStyle w:val="1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8ACB9">
    <w:pPr>
      <w:pStyle w:val="13"/>
    </w:pPr>
    <w:r>
      <w:rPr>
        <w:sz w:val="18"/>
      </w:rPr>
      <mc:AlternateContent>
        <mc:Choice Requires="wps">
          <w:drawing>
            <wp:anchor distT="0" distB="0" distL="114300" distR="114300" simplePos="0" relativeHeight="251660288" behindDoc="0" locked="0" layoutInCell="1" allowOverlap="1">
              <wp:simplePos x="0" y="0"/>
              <wp:positionH relativeFrom="margin">
                <wp:posOffset>238125</wp:posOffset>
              </wp:positionH>
              <wp:positionV relativeFrom="paragraph">
                <wp:posOffset>19050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2D5D18">
                          <w:pPr>
                            <w:pStyle w:val="1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75pt;margin-top:1.5pt;height:144pt;width:144pt;mso-position-horizontal-relative:margin;mso-wrap-style:none;z-index:251660288;mso-width-relative:page;mso-height-relative:page;" filled="f" stroked="f" coordsize="21600,21600" o:gfxdata="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J7xW9UAAAAIAQAADwAAAAAAAAABACAAAAAiAAAAZHJzL2Rvd25yZXYueG1sUEsB&#10;AhQAFAAAAAgAh07iQMeXtc4xAgAAYQQAAA4AAAAAAAAAAQAgAAAAJAEAAGRycy9lMm9Eb2MueG1s&#10;UEsFBgAAAAAGAAYAWQEAAMcFAAAAAA==&#10;">
              <v:fill on="f" focussize="0,0"/>
              <v:stroke on="f" weight="0.5pt"/>
              <v:imagedata o:title=""/>
              <o:lock v:ext="edit" aspectratio="f"/>
              <v:textbox inset="0mm,0mm,0mm,0mm" style="mso-fit-shape-to-text:t;">
                <w:txbxContent>
                  <w:p w14:paraId="2C2D5D18">
                    <w:pPr>
                      <w:pStyle w:val="1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E0119">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5946D">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71C749"/>
    <w:multiLevelType w:val="singleLevel"/>
    <w:tmpl w:val="6871C749"/>
    <w:lvl w:ilvl="0" w:tentative="0">
      <w:start w:val="1"/>
      <w:numFmt w:val="decimal"/>
      <w:pStyle w:val="5"/>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3OWE3MDVlM2Q2OTkzNDAyZWI2OGIxMWRmNTA5NWYifQ=="/>
  </w:docVars>
  <w:rsids>
    <w:rsidRoot w:val="00000000"/>
    <w:rsid w:val="000E3FC3"/>
    <w:rsid w:val="000F1CC9"/>
    <w:rsid w:val="00200875"/>
    <w:rsid w:val="00951FEE"/>
    <w:rsid w:val="009F3AFC"/>
    <w:rsid w:val="00BC05CB"/>
    <w:rsid w:val="011F28D3"/>
    <w:rsid w:val="01844E19"/>
    <w:rsid w:val="01CF32DE"/>
    <w:rsid w:val="01DD1972"/>
    <w:rsid w:val="01FD40F1"/>
    <w:rsid w:val="02051E2E"/>
    <w:rsid w:val="02B22144"/>
    <w:rsid w:val="030014CC"/>
    <w:rsid w:val="03455479"/>
    <w:rsid w:val="03AC7D7B"/>
    <w:rsid w:val="04013FA5"/>
    <w:rsid w:val="04051239"/>
    <w:rsid w:val="041E0EAD"/>
    <w:rsid w:val="04B073F7"/>
    <w:rsid w:val="058E1023"/>
    <w:rsid w:val="05C807C9"/>
    <w:rsid w:val="060A0D89"/>
    <w:rsid w:val="061D4AE9"/>
    <w:rsid w:val="062B5ABB"/>
    <w:rsid w:val="069C40D7"/>
    <w:rsid w:val="06B31420"/>
    <w:rsid w:val="07445783"/>
    <w:rsid w:val="07BE62CF"/>
    <w:rsid w:val="08076BAC"/>
    <w:rsid w:val="08157D0A"/>
    <w:rsid w:val="082B7D91"/>
    <w:rsid w:val="08516175"/>
    <w:rsid w:val="088675ED"/>
    <w:rsid w:val="089E130F"/>
    <w:rsid w:val="08A70EB9"/>
    <w:rsid w:val="092A1E12"/>
    <w:rsid w:val="094E2162"/>
    <w:rsid w:val="095B2106"/>
    <w:rsid w:val="098F0FA5"/>
    <w:rsid w:val="098F7460"/>
    <w:rsid w:val="09A231A8"/>
    <w:rsid w:val="0A892BC4"/>
    <w:rsid w:val="0AE4604C"/>
    <w:rsid w:val="0B327E48"/>
    <w:rsid w:val="0B5D195B"/>
    <w:rsid w:val="0B8E1704"/>
    <w:rsid w:val="0BE4740F"/>
    <w:rsid w:val="0C112E71"/>
    <w:rsid w:val="0C4C2651"/>
    <w:rsid w:val="0C8F3D96"/>
    <w:rsid w:val="0F410220"/>
    <w:rsid w:val="0F5D7B56"/>
    <w:rsid w:val="0F926D2E"/>
    <w:rsid w:val="0FB35FED"/>
    <w:rsid w:val="10632F32"/>
    <w:rsid w:val="108B04C2"/>
    <w:rsid w:val="10D95F27"/>
    <w:rsid w:val="10FC434A"/>
    <w:rsid w:val="1142587A"/>
    <w:rsid w:val="11553800"/>
    <w:rsid w:val="12011292"/>
    <w:rsid w:val="129F4917"/>
    <w:rsid w:val="13421B62"/>
    <w:rsid w:val="13A050E7"/>
    <w:rsid w:val="13A244C7"/>
    <w:rsid w:val="13EF0002"/>
    <w:rsid w:val="147409B1"/>
    <w:rsid w:val="14741B39"/>
    <w:rsid w:val="14AA3E63"/>
    <w:rsid w:val="14CA62B3"/>
    <w:rsid w:val="150D00D3"/>
    <w:rsid w:val="15AB60E4"/>
    <w:rsid w:val="15C947BC"/>
    <w:rsid w:val="16243B6E"/>
    <w:rsid w:val="16500214"/>
    <w:rsid w:val="16614C2A"/>
    <w:rsid w:val="16793172"/>
    <w:rsid w:val="16C46D32"/>
    <w:rsid w:val="172120C7"/>
    <w:rsid w:val="1735378C"/>
    <w:rsid w:val="17586B74"/>
    <w:rsid w:val="17866686"/>
    <w:rsid w:val="18196B6F"/>
    <w:rsid w:val="1907403C"/>
    <w:rsid w:val="194A1AC8"/>
    <w:rsid w:val="196654F1"/>
    <w:rsid w:val="1A5916FA"/>
    <w:rsid w:val="1ACF0994"/>
    <w:rsid w:val="1ADB2985"/>
    <w:rsid w:val="1B326960"/>
    <w:rsid w:val="1B7C3FB9"/>
    <w:rsid w:val="1BCC1635"/>
    <w:rsid w:val="1D04432C"/>
    <w:rsid w:val="1D1F6E89"/>
    <w:rsid w:val="1D383FD6"/>
    <w:rsid w:val="1DC1221D"/>
    <w:rsid w:val="1DEC2C84"/>
    <w:rsid w:val="1E17071F"/>
    <w:rsid w:val="1E29348B"/>
    <w:rsid w:val="1E54477C"/>
    <w:rsid w:val="1E6609BF"/>
    <w:rsid w:val="1EAC44A7"/>
    <w:rsid w:val="1F117716"/>
    <w:rsid w:val="1F8E271B"/>
    <w:rsid w:val="1FBB33C8"/>
    <w:rsid w:val="1FC85967"/>
    <w:rsid w:val="203222E6"/>
    <w:rsid w:val="204F3B10"/>
    <w:rsid w:val="20523600"/>
    <w:rsid w:val="20E223FB"/>
    <w:rsid w:val="20E64474"/>
    <w:rsid w:val="21464F13"/>
    <w:rsid w:val="21BE719F"/>
    <w:rsid w:val="224F429B"/>
    <w:rsid w:val="23631F61"/>
    <w:rsid w:val="23775858"/>
    <w:rsid w:val="238D507B"/>
    <w:rsid w:val="23E07BD5"/>
    <w:rsid w:val="251C281B"/>
    <w:rsid w:val="25280D20"/>
    <w:rsid w:val="25FC1B6A"/>
    <w:rsid w:val="26672398"/>
    <w:rsid w:val="26B37B9F"/>
    <w:rsid w:val="271B5D95"/>
    <w:rsid w:val="273A436A"/>
    <w:rsid w:val="27710810"/>
    <w:rsid w:val="27E16961"/>
    <w:rsid w:val="290D5E5A"/>
    <w:rsid w:val="29BD7D3C"/>
    <w:rsid w:val="29E46919"/>
    <w:rsid w:val="2A1F2C38"/>
    <w:rsid w:val="2A2D6A04"/>
    <w:rsid w:val="2A784B2D"/>
    <w:rsid w:val="2A785045"/>
    <w:rsid w:val="2AAB5339"/>
    <w:rsid w:val="2AC24BA7"/>
    <w:rsid w:val="2B79362F"/>
    <w:rsid w:val="2B8C4F39"/>
    <w:rsid w:val="2B9E2295"/>
    <w:rsid w:val="2C8B41B2"/>
    <w:rsid w:val="2CFA5D9C"/>
    <w:rsid w:val="2DA72631"/>
    <w:rsid w:val="2DC309C3"/>
    <w:rsid w:val="2DED6716"/>
    <w:rsid w:val="2E07339C"/>
    <w:rsid w:val="2EFC29C4"/>
    <w:rsid w:val="2F1C72B3"/>
    <w:rsid w:val="2FC71794"/>
    <w:rsid w:val="310F7B8F"/>
    <w:rsid w:val="31224929"/>
    <w:rsid w:val="31442D31"/>
    <w:rsid w:val="31774C75"/>
    <w:rsid w:val="31F50C2D"/>
    <w:rsid w:val="31FD6612"/>
    <w:rsid w:val="32C1089D"/>
    <w:rsid w:val="32EB3B6C"/>
    <w:rsid w:val="33351A68"/>
    <w:rsid w:val="33775400"/>
    <w:rsid w:val="33F01C8F"/>
    <w:rsid w:val="34047828"/>
    <w:rsid w:val="34163B28"/>
    <w:rsid w:val="343706EB"/>
    <w:rsid w:val="344E1C6F"/>
    <w:rsid w:val="347C2F67"/>
    <w:rsid w:val="34996C6F"/>
    <w:rsid w:val="34A22009"/>
    <w:rsid w:val="34D12CF9"/>
    <w:rsid w:val="354A265C"/>
    <w:rsid w:val="35B53FBD"/>
    <w:rsid w:val="363D60B8"/>
    <w:rsid w:val="36501413"/>
    <w:rsid w:val="36A77DAA"/>
    <w:rsid w:val="36C83179"/>
    <w:rsid w:val="36CF7301"/>
    <w:rsid w:val="370C4333"/>
    <w:rsid w:val="37225683"/>
    <w:rsid w:val="372748CB"/>
    <w:rsid w:val="37461371"/>
    <w:rsid w:val="376A1E4F"/>
    <w:rsid w:val="37A81FD1"/>
    <w:rsid w:val="386B7755"/>
    <w:rsid w:val="38C236CA"/>
    <w:rsid w:val="39116741"/>
    <w:rsid w:val="3965276B"/>
    <w:rsid w:val="39E83924"/>
    <w:rsid w:val="3A110B07"/>
    <w:rsid w:val="3A2A31CC"/>
    <w:rsid w:val="3B2522B6"/>
    <w:rsid w:val="3B313DE1"/>
    <w:rsid w:val="3B495557"/>
    <w:rsid w:val="3B7918F6"/>
    <w:rsid w:val="3B9603ED"/>
    <w:rsid w:val="3BD232AA"/>
    <w:rsid w:val="3BF770DE"/>
    <w:rsid w:val="3C1E30AA"/>
    <w:rsid w:val="3C620396"/>
    <w:rsid w:val="3C722C08"/>
    <w:rsid w:val="3C7D32C2"/>
    <w:rsid w:val="3C8A5E5F"/>
    <w:rsid w:val="3D996A75"/>
    <w:rsid w:val="3E406C06"/>
    <w:rsid w:val="3ED417EA"/>
    <w:rsid w:val="3EEF569D"/>
    <w:rsid w:val="3F042EDF"/>
    <w:rsid w:val="3F0F2990"/>
    <w:rsid w:val="3F8A2017"/>
    <w:rsid w:val="40100624"/>
    <w:rsid w:val="40B97948"/>
    <w:rsid w:val="40BF5A1E"/>
    <w:rsid w:val="40F45458"/>
    <w:rsid w:val="410302D3"/>
    <w:rsid w:val="41313A1B"/>
    <w:rsid w:val="415844BA"/>
    <w:rsid w:val="41A33677"/>
    <w:rsid w:val="41EC74B9"/>
    <w:rsid w:val="42A751E8"/>
    <w:rsid w:val="42B94077"/>
    <w:rsid w:val="42D92940"/>
    <w:rsid w:val="42E61C5A"/>
    <w:rsid w:val="433E49AD"/>
    <w:rsid w:val="43C024AB"/>
    <w:rsid w:val="44000AFA"/>
    <w:rsid w:val="44242A3A"/>
    <w:rsid w:val="44496945"/>
    <w:rsid w:val="445043AE"/>
    <w:rsid w:val="44D6679B"/>
    <w:rsid w:val="44EB79FC"/>
    <w:rsid w:val="45650C43"/>
    <w:rsid w:val="457B0D80"/>
    <w:rsid w:val="45EE22DC"/>
    <w:rsid w:val="46564467"/>
    <w:rsid w:val="46CE1751"/>
    <w:rsid w:val="47173438"/>
    <w:rsid w:val="47ED3A8B"/>
    <w:rsid w:val="47FC4AB3"/>
    <w:rsid w:val="48473F43"/>
    <w:rsid w:val="486C0E54"/>
    <w:rsid w:val="489B34E7"/>
    <w:rsid w:val="491F4DFE"/>
    <w:rsid w:val="49225801"/>
    <w:rsid w:val="4944487A"/>
    <w:rsid w:val="49F74B85"/>
    <w:rsid w:val="4B6126FE"/>
    <w:rsid w:val="4BA71E75"/>
    <w:rsid w:val="4BBC5C4E"/>
    <w:rsid w:val="4C6267F5"/>
    <w:rsid w:val="4CD46FC7"/>
    <w:rsid w:val="4D534390"/>
    <w:rsid w:val="4D61085B"/>
    <w:rsid w:val="4DA81B78"/>
    <w:rsid w:val="4DC1579E"/>
    <w:rsid w:val="4DC16BB8"/>
    <w:rsid w:val="4E4D24B7"/>
    <w:rsid w:val="4E7F7BF0"/>
    <w:rsid w:val="4F284BD5"/>
    <w:rsid w:val="504C6A58"/>
    <w:rsid w:val="509E5922"/>
    <w:rsid w:val="50A22112"/>
    <w:rsid w:val="50B74C36"/>
    <w:rsid w:val="50B909AE"/>
    <w:rsid w:val="50D50B0D"/>
    <w:rsid w:val="50E26863"/>
    <w:rsid w:val="517406A1"/>
    <w:rsid w:val="518979CC"/>
    <w:rsid w:val="51F64AEC"/>
    <w:rsid w:val="52614E59"/>
    <w:rsid w:val="52A56FED"/>
    <w:rsid w:val="53B349BB"/>
    <w:rsid w:val="53ED2369"/>
    <w:rsid w:val="540E1011"/>
    <w:rsid w:val="54454557"/>
    <w:rsid w:val="5467641D"/>
    <w:rsid w:val="54C73958"/>
    <w:rsid w:val="54E51D72"/>
    <w:rsid w:val="55590D4A"/>
    <w:rsid w:val="558A2919"/>
    <w:rsid w:val="559317CE"/>
    <w:rsid w:val="5598523A"/>
    <w:rsid w:val="55D1023B"/>
    <w:rsid w:val="55E55DA1"/>
    <w:rsid w:val="561346BC"/>
    <w:rsid w:val="56655A83"/>
    <w:rsid w:val="566A0472"/>
    <w:rsid w:val="56A122EE"/>
    <w:rsid w:val="56B365F2"/>
    <w:rsid w:val="571C1C97"/>
    <w:rsid w:val="573E7E5F"/>
    <w:rsid w:val="577473DD"/>
    <w:rsid w:val="57DD263C"/>
    <w:rsid w:val="57EE76DD"/>
    <w:rsid w:val="58402ED1"/>
    <w:rsid w:val="585711D8"/>
    <w:rsid w:val="58902BFC"/>
    <w:rsid w:val="58AD279A"/>
    <w:rsid w:val="58C4394C"/>
    <w:rsid w:val="58D418CA"/>
    <w:rsid w:val="58E529EC"/>
    <w:rsid w:val="59030A18"/>
    <w:rsid w:val="59205D38"/>
    <w:rsid w:val="592D1F39"/>
    <w:rsid w:val="597D4C6F"/>
    <w:rsid w:val="59C94FB5"/>
    <w:rsid w:val="59D820AB"/>
    <w:rsid w:val="5A9803FD"/>
    <w:rsid w:val="5B2E7F20"/>
    <w:rsid w:val="5C46174B"/>
    <w:rsid w:val="5C781657"/>
    <w:rsid w:val="5CBA1D36"/>
    <w:rsid w:val="5D307EFB"/>
    <w:rsid w:val="5D942597"/>
    <w:rsid w:val="5DCB6DD4"/>
    <w:rsid w:val="5DDD5997"/>
    <w:rsid w:val="5DDE7CA6"/>
    <w:rsid w:val="5EC51967"/>
    <w:rsid w:val="5EFB1046"/>
    <w:rsid w:val="5F13397F"/>
    <w:rsid w:val="5F304531"/>
    <w:rsid w:val="5F7F5B76"/>
    <w:rsid w:val="5F9E07E1"/>
    <w:rsid w:val="60217911"/>
    <w:rsid w:val="60570CFE"/>
    <w:rsid w:val="60B414A2"/>
    <w:rsid w:val="60E60A94"/>
    <w:rsid w:val="613926B5"/>
    <w:rsid w:val="61A44D62"/>
    <w:rsid w:val="61CD7A93"/>
    <w:rsid w:val="61CF012A"/>
    <w:rsid w:val="61D562CA"/>
    <w:rsid w:val="62466CE8"/>
    <w:rsid w:val="62B47F03"/>
    <w:rsid w:val="62BB2173"/>
    <w:rsid w:val="6307250B"/>
    <w:rsid w:val="63133F4E"/>
    <w:rsid w:val="632C2E62"/>
    <w:rsid w:val="63A23524"/>
    <w:rsid w:val="64EF4296"/>
    <w:rsid w:val="654B3E73"/>
    <w:rsid w:val="65A43DE1"/>
    <w:rsid w:val="66C335AB"/>
    <w:rsid w:val="670815C7"/>
    <w:rsid w:val="67B77544"/>
    <w:rsid w:val="67C91DE0"/>
    <w:rsid w:val="681D537C"/>
    <w:rsid w:val="682A747C"/>
    <w:rsid w:val="682D2963"/>
    <w:rsid w:val="68AF64C7"/>
    <w:rsid w:val="69966FC3"/>
    <w:rsid w:val="69BE7A7D"/>
    <w:rsid w:val="69CD2D06"/>
    <w:rsid w:val="6A2932E0"/>
    <w:rsid w:val="6A832EF5"/>
    <w:rsid w:val="6AAA7F05"/>
    <w:rsid w:val="6AAE27AE"/>
    <w:rsid w:val="6AEF34F2"/>
    <w:rsid w:val="6BD65887"/>
    <w:rsid w:val="6C564F9A"/>
    <w:rsid w:val="6C846928"/>
    <w:rsid w:val="6CAD5413"/>
    <w:rsid w:val="6CB26586"/>
    <w:rsid w:val="6D274DA7"/>
    <w:rsid w:val="6D3C5791"/>
    <w:rsid w:val="6D5A5D50"/>
    <w:rsid w:val="6DEB6B12"/>
    <w:rsid w:val="6E02688E"/>
    <w:rsid w:val="6E550418"/>
    <w:rsid w:val="6E560B0F"/>
    <w:rsid w:val="6EAF58DB"/>
    <w:rsid w:val="6EF74724"/>
    <w:rsid w:val="6EFF47BA"/>
    <w:rsid w:val="6F394D3C"/>
    <w:rsid w:val="6F657F39"/>
    <w:rsid w:val="6F6E3FD1"/>
    <w:rsid w:val="6F705600"/>
    <w:rsid w:val="6FC445FC"/>
    <w:rsid w:val="6FD61F1E"/>
    <w:rsid w:val="6FF46C64"/>
    <w:rsid w:val="708C17E3"/>
    <w:rsid w:val="70B207C4"/>
    <w:rsid w:val="70D24CB2"/>
    <w:rsid w:val="714B060F"/>
    <w:rsid w:val="71B27028"/>
    <w:rsid w:val="724B2FD5"/>
    <w:rsid w:val="72774C9A"/>
    <w:rsid w:val="727C1767"/>
    <w:rsid w:val="72B86D8A"/>
    <w:rsid w:val="72C65FB9"/>
    <w:rsid w:val="72F86CBC"/>
    <w:rsid w:val="73C80D84"/>
    <w:rsid w:val="73F336CD"/>
    <w:rsid w:val="740B7313"/>
    <w:rsid w:val="746F0F41"/>
    <w:rsid w:val="74AF784E"/>
    <w:rsid w:val="74B80DF9"/>
    <w:rsid w:val="74C657DF"/>
    <w:rsid w:val="75091655"/>
    <w:rsid w:val="751C3136"/>
    <w:rsid w:val="76150602"/>
    <w:rsid w:val="761738FD"/>
    <w:rsid w:val="767A3729"/>
    <w:rsid w:val="7695679F"/>
    <w:rsid w:val="76D249F1"/>
    <w:rsid w:val="76D96E05"/>
    <w:rsid w:val="76FC7D28"/>
    <w:rsid w:val="77992DA9"/>
    <w:rsid w:val="77A35365"/>
    <w:rsid w:val="782446B8"/>
    <w:rsid w:val="78532FC3"/>
    <w:rsid w:val="78E33F6B"/>
    <w:rsid w:val="78E7601E"/>
    <w:rsid w:val="78EA778B"/>
    <w:rsid w:val="78F06C72"/>
    <w:rsid w:val="79294BA1"/>
    <w:rsid w:val="79C96773"/>
    <w:rsid w:val="79D61A12"/>
    <w:rsid w:val="7A195E96"/>
    <w:rsid w:val="7AA33F18"/>
    <w:rsid w:val="7AB14D88"/>
    <w:rsid w:val="7ADF7B23"/>
    <w:rsid w:val="7B191EC6"/>
    <w:rsid w:val="7B6A44CF"/>
    <w:rsid w:val="7BE10C35"/>
    <w:rsid w:val="7BEE3352"/>
    <w:rsid w:val="7C663B77"/>
    <w:rsid w:val="7C7535FD"/>
    <w:rsid w:val="7C7E6484"/>
    <w:rsid w:val="7C7F518D"/>
    <w:rsid w:val="7CCB0AFF"/>
    <w:rsid w:val="7D1512CD"/>
    <w:rsid w:val="7D254B52"/>
    <w:rsid w:val="7D282312"/>
    <w:rsid w:val="7DC26844"/>
    <w:rsid w:val="7E17693C"/>
    <w:rsid w:val="7E696DF4"/>
    <w:rsid w:val="7EBC6E92"/>
    <w:rsid w:val="7ED22AB7"/>
    <w:rsid w:val="7F1B7FBA"/>
    <w:rsid w:val="7F645E05"/>
    <w:rsid w:val="7F710522"/>
    <w:rsid w:val="7FB26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heme="minorBidi"/>
      <w:kern w:val="2"/>
      <w:sz w:val="32"/>
      <w:szCs w:val="32"/>
      <w:lang w:val="en-US" w:eastAsia="zh-CN" w:bidi="ar-SA"/>
    </w:rPr>
  </w:style>
  <w:style w:type="paragraph" w:styleId="3">
    <w:name w:val="heading 2"/>
    <w:basedOn w:val="1"/>
    <w:next w:val="1"/>
    <w:autoRedefine/>
    <w:qFormat/>
    <w:uiPriority w:val="0"/>
    <w:pPr>
      <w:keepNext/>
      <w:keepLines/>
      <w:widowControl w:val="0"/>
      <w:spacing w:beforeLines="0" w:beforeAutospacing="0" w:afterLines="0" w:afterAutospacing="0" w:line="600" w:lineRule="exact"/>
      <w:ind w:firstLine="880" w:firstLineChars="200"/>
      <w:jc w:val="both"/>
      <w:outlineLvl w:val="1"/>
    </w:pPr>
    <w:rPr>
      <w:rFonts w:ascii="Arial" w:hAnsi="Arial" w:eastAsia="方正仿宋简体" w:cs="Times New Roman"/>
      <w:kern w:val="2"/>
      <w:sz w:val="21"/>
      <w:szCs w:val="24"/>
      <w:lang w:val="en-US" w:eastAsia="zh-CN" w:bidi="ar-SA"/>
    </w:rPr>
  </w:style>
  <w:style w:type="paragraph" w:styleId="4">
    <w:name w:val="heading 3"/>
    <w:basedOn w:val="1"/>
    <w:next w:val="1"/>
    <w:autoRedefine/>
    <w:semiHidden/>
    <w:unhideWhenUsed/>
    <w:qFormat/>
    <w:uiPriority w:val="0"/>
    <w:pPr>
      <w:keepNext/>
      <w:keepLines/>
      <w:spacing w:line="560" w:lineRule="exact"/>
      <w:outlineLvl w:val="2"/>
    </w:pPr>
    <w:rPr>
      <w:rFonts w:eastAsia="楷体"/>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customStyle="1" w:styleId="2">
    <w:name w:val="_Style 2"/>
    <w:basedOn w:val="1"/>
    <w:autoRedefine/>
    <w:qFormat/>
    <w:uiPriority w:val="34"/>
    <w:pPr>
      <w:ind w:firstLine="420" w:firstLineChars="200"/>
    </w:pPr>
  </w:style>
  <w:style w:type="paragraph" w:styleId="5">
    <w:name w:val="List Number"/>
    <w:basedOn w:val="1"/>
    <w:autoRedefine/>
    <w:qFormat/>
    <w:uiPriority w:val="0"/>
    <w:pPr>
      <w:numPr>
        <w:ilvl w:val="0"/>
        <w:numId w:val="1"/>
      </w:numPr>
    </w:pPr>
  </w:style>
  <w:style w:type="paragraph" w:styleId="6">
    <w:name w:val="toa heading"/>
    <w:basedOn w:val="1"/>
    <w:next w:val="1"/>
    <w:autoRedefine/>
    <w:qFormat/>
    <w:uiPriority w:val="0"/>
    <w:pPr>
      <w:spacing w:before="120"/>
    </w:pPr>
    <w:rPr>
      <w:rFonts w:ascii="Arial" w:hAnsi="Arial" w:cs="Arial"/>
    </w:rPr>
  </w:style>
  <w:style w:type="paragraph" w:styleId="7">
    <w:name w:val="Body Text"/>
    <w:basedOn w:val="1"/>
    <w:autoRedefine/>
    <w:qFormat/>
    <w:uiPriority w:val="0"/>
    <w:pPr>
      <w:ind w:left="120"/>
    </w:pPr>
    <w:rPr>
      <w:rFonts w:ascii="宋体" w:hAnsi="宋体"/>
      <w:sz w:val="32"/>
      <w:szCs w:val="32"/>
    </w:rPr>
  </w:style>
  <w:style w:type="paragraph" w:styleId="8">
    <w:name w:val="Body Text Indent"/>
    <w:basedOn w:val="1"/>
    <w:autoRedefine/>
    <w:qFormat/>
    <w:uiPriority w:val="0"/>
    <w:pPr>
      <w:spacing w:after="120"/>
      <w:ind w:left="420" w:leftChars="200"/>
    </w:pPr>
  </w:style>
  <w:style w:type="paragraph" w:styleId="9">
    <w:name w:val="Plain Text"/>
    <w:basedOn w:val="1"/>
    <w:autoRedefine/>
    <w:qFormat/>
    <w:uiPriority w:val="0"/>
    <w:rPr>
      <w:rFonts w:ascii="宋体" w:hAnsi="Courier New" w:eastAsia="宋体" w:cs="Times New Roman"/>
    </w:rPr>
  </w:style>
  <w:style w:type="paragraph" w:styleId="10">
    <w:name w:val="Body Text Indent 2"/>
    <w:basedOn w:val="1"/>
    <w:next w:val="11"/>
    <w:autoRedefine/>
    <w:qFormat/>
    <w:uiPriority w:val="0"/>
    <w:pPr>
      <w:adjustRightInd w:val="0"/>
      <w:snapToGrid w:val="0"/>
      <w:spacing w:line="440" w:lineRule="atLeast"/>
      <w:ind w:firstLine="573"/>
    </w:pPr>
    <w:rPr>
      <w:rFonts w:ascii="宋体"/>
    </w:rPr>
  </w:style>
  <w:style w:type="paragraph" w:customStyle="1" w:styleId="11">
    <w:name w:val="简单回函地址"/>
    <w:basedOn w:val="1"/>
    <w:next w:val="12"/>
    <w:autoRedefine/>
    <w:qFormat/>
    <w:uiPriority w:val="0"/>
    <w:rPr>
      <w:szCs w:val="20"/>
    </w:rPr>
  </w:style>
  <w:style w:type="paragraph" w:customStyle="1" w:styleId="12">
    <w:name w:val="正文2"/>
    <w:next w:val="1"/>
    <w:autoRedefine/>
    <w:qFormat/>
    <w:uiPriority w:val="0"/>
    <w:pPr>
      <w:widowControl w:val="0"/>
      <w:suppressAutoHyphens/>
      <w:spacing w:line="520" w:lineRule="atLeast"/>
      <w:ind w:firstLine="680"/>
      <w:jc w:val="both"/>
    </w:pPr>
    <w:rPr>
      <w:rFonts w:ascii="Times New Roman" w:hAnsi="Times New Roman" w:eastAsia="宋体" w:cs="Times New Roman"/>
      <w:spacing w:val="18"/>
      <w:sz w:val="32"/>
      <w:lang w:val="en-US" w:eastAsia="zh-CN" w:bidi="ar-SA"/>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6"/>
    <w:basedOn w:val="1"/>
    <w:next w:val="1"/>
    <w:autoRedefine/>
    <w:qFormat/>
    <w:uiPriority w:val="0"/>
    <w:pPr>
      <w:ind w:left="2100"/>
    </w:pPr>
    <w:rPr>
      <w:rFonts w:ascii="楷体_GB2312" w:hAnsi="Calibri" w:eastAsia="楷体_GB2312"/>
    </w:rPr>
  </w:style>
  <w:style w:type="paragraph" w:styleId="16">
    <w:name w:val="table of figures"/>
    <w:basedOn w:val="1"/>
    <w:next w:val="1"/>
    <w:autoRedefine/>
    <w:qFormat/>
    <w:uiPriority w:val="0"/>
    <w:pPr>
      <w:ind w:left="200" w:leftChars="200" w:hanging="200" w:hangingChars="200"/>
    </w:pPr>
  </w:style>
  <w:style w:type="paragraph" w:styleId="1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8">
    <w:name w:val="Body Text First Indent 2"/>
    <w:basedOn w:val="8"/>
    <w:next w:val="1"/>
    <w:autoRedefine/>
    <w:qFormat/>
    <w:uiPriority w:val="0"/>
    <w:pPr>
      <w:ind w:firstLine="420" w:firstLineChars="200"/>
    </w:p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paragraph" w:customStyle="1" w:styleId="23">
    <w:name w:val="常用样式（方正仿宋简）"/>
    <w:basedOn w:val="24"/>
    <w:next w:val="1"/>
    <w:autoRedefine/>
    <w:qFormat/>
    <w:uiPriority w:val="0"/>
    <w:pPr>
      <w:spacing w:line="560" w:lineRule="exact"/>
      <w:ind w:firstLine="640" w:firstLineChars="200"/>
    </w:pPr>
    <w:rPr>
      <w:rFonts w:ascii="Times New Roman" w:hAnsi="Times New Roman" w:eastAsia="方正仿宋简体"/>
      <w:sz w:val="32"/>
    </w:rPr>
  </w:style>
  <w:style w:type="paragraph" w:customStyle="1" w:styleId="24">
    <w:name w:val="正文1"/>
    <w:next w:val="23"/>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5">
    <w:name w:val="正文文本1"/>
    <w:basedOn w:val="24"/>
    <w:autoRedefine/>
    <w:qFormat/>
    <w:uiPriority w:val="0"/>
    <w:pPr>
      <w:widowControl w:val="0"/>
      <w:spacing w:before="0" w:after="0"/>
      <w:jc w:val="both"/>
    </w:pPr>
    <w:rPr>
      <w:rFonts w:ascii="Times New Roman" w:hAnsi="Times New Roman" w:eastAsia="宋体" w:cs="Times New Roman"/>
      <w:kern w:val="2"/>
      <w:sz w:val="21"/>
      <w:szCs w:val="24"/>
      <w:lang w:val="en-US" w:eastAsia="zh-CN" w:bidi="ar-SA"/>
    </w:rPr>
  </w:style>
  <w:style w:type="paragraph" w:customStyle="1" w:styleId="26">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footer1"/>
    <w:basedOn w:val="1"/>
    <w:autoRedefine/>
    <w:qFormat/>
    <w:uiPriority w:val="99"/>
    <w:pPr>
      <w:widowControl/>
      <w:tabs>
        <w:tab w:val="center" w:pos="4153"/>
        <w:tab w:val="right" w:pos="8306"/>
      </w:tabs>
      <w:snapToGrid w:val="0"/>
      <w:spacing w:line="560" w:lineRule="exact"/>
    </w:pPr>
    <w:rPr>
      <w:rFonts w:ascii="Times New Roman" w:hAnsi="Times New Roman"/>
      <w:sz w:val="18"/>
    </w:rPr>
  </w:style>
  <w:style w:type="paragraph" w:customStyle="1" w:styleId="28">
    <w:name w:val="Normal_37"/>
    <w:autoRedefine/>
    <w:qFormat/>
    <w:uiPriority w:val="0"/>
    <w:pPr>
      <w:spacing w:before="120" w:after="240"/>
      <w:jc w:val="both"/>
    </w:pPr>
    <w:rPr>
      <w:rFonts w:ascii="Calibri" w:hAnsi="Calibri" w:eastAsia="Calibri" w:cs="Times New Roman"/>
      <w:sz w:val="22"/>
      <w:szCs w:val="22"/>
      <w:lang w:val="ru-RU" w:eastAsia="en-US" w:bidi="ar-SA"/>
    </w:rPr>
  </w:style>
  <w:style w:type="character" w:customStyle="1" w:styleId="29">
    <w:name w:val="font21"/>
    <w:basedOn w:val="21"/>
    <w:autoRedefine/>
    <w:qFormat/>
    <w:uiPriority w:val="0"/>
    <w:rPr>
      <w:rFonts w:hint="eastAsia" w:ascii="宋体" w:hAnsi="宋体" w:eastAsia="宋体" w:cs="宋体"/>
      <w:color w:val="000000"/>
      <w:sz w:val="20"/>
      <w:szCs w:val="20"/>
      <w:u w:val="none"/>
    </w:rPr>
  </w:style>
  <w:style w:type="paragraph" w:customStyle="1" w:styleId="30">
    <w:name w:val=" Char Char Char Char Char Char"/>
    <w:autoRedefine/>
    <w:qFormat/>
    <w:uiPriority w:val="0"/>
    <w:pPr>
      <w:widowControl w:val="0"/>
      <w:spacing w:line="240" w:lineRule="atLeast"/>
      <w:ind w:left="420" w:firstLine="420"/>
      <w:jc w:val="both"/>
    </w:pPr>
    <w:rPr>
      <w:rFonts w:ascii="Calibri" w:hAnsi="Calibri" w:eastAsia="宋体" w:cs="Times New Roman"/>
      <w:kern w:val="2"/>
      <w:sz w:val="21"/>
      <w:szCs w:val="24"/>
      <w:lang w:val="en-US" w:eastAsia="zh-CN" w:bidi="ar-SA"/>
    </w:rPr>
  </w:style>
  <w:style w:type="character" w:customStyle="1" w:styleId="31">
    <w:name w:val="font71"/>
    <w:basedOn w:val="21"/>
    <w:autoRedefine/>
    <w:qFormat/>
    <w:uiPriority w:val="0"/>
    <w:rPr>
      <w:rFonts w:hint="eastAsia" w:ascii="宋体" w:hAnsi="宋体" w:eastAsia="宋体" w:cs="宋体"/>
      <w:color w:val="000000"/>
      <w:sz w:val="22"/>
      <w:szCs w:val="22"/>
      <w:u w:val="none"/>
    </w:rPr>
  </w:style>
  <w:style w:type="paragraph" w:customStyle="1" w:styleId="32">
    <w:name w:val="标题 段落4级"/>
    <w:autoRedefine/>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styleId="33">
    <w:name w:val="List Paragraph"/>
    <w:basedOn w:val="1"/>
    <w:autoRedefine/>
    <w:qFormat/>
    <w:uiPriority w:val="99"/>
    <w:pPr>
      <w:ind w:firstLine="420" w:firstLineChars="200"/>
    </w:pPr>
  </w:style>
  <w:style w:type="character" w:customStyle="1" w:styleId="34">
    <w:name w:val="font01"/>
    <w:basedOn w:val="21"/>
    <w:autoRedefine/>
    <w:qFormat/>
    <w:uiPriority w:val="0"/>
    <w:rPr>
      <w:rFonts w:hint="eastAsia" w:ascii="宋体" w:hAnsi="宋体" w:eastAsia="宋体" w:cs="宋体"/>
      <w:color w:val="000000"/>
      <w:sz w:val="16"/>
      <w:szCs w:val="16"/>
      <w:u w:val="none"/>
    </w:rPr>
  </w:style>
  <w:style w:type="paragraph" w:customStyle="1" w:styleId="35">
    <w:name w:val="章标题"/>
    <w:basedOn w:val="1"/>
    <w:next w:val="1"/>
    <w:autoRedefine/>
    <w:qFormat/>
    <w:uiPriority w:val="0"/>
    <w:pPr>
      <w:widowControl/>
      <w:spacing w:before="158" w:after="153" w:line="323" w:lineRule="atLeast"/>
      <w:ind w:right="-120"/>
      <w:jc w:val="center"/>
      <w:textAlignment w:val="baseline"/>
    </w:pPr>
    <w:rPr>
      <w:color w:val="FF0000"/>
      <w:sz w:val="18"/>
    </w:rPr>
  </w:style>
  <w:style w:type="character" w:customStyle="1" w:styleId="36">
    <w:name w:val="font11"/>
    <w:autoRedefine/>
    <w:qFormat/>
    <w:uiPriority w:val="0"/>
    <w:rPr>
      <w:rFonts w:ascii="宋体" w:eastAsia="宋体" w:cs="宋体"/>
      <w:color w:val="000000"/>
      <w:sz w:val="22"/>
      <w:szCs w:val="22"/>
      <w:u w:val="none"/>
      <w:lang w:bidi="ar-SA"/>
    </w:rPr>
  </w:style>
  <w:style w:type="paragraph" w:customStyle="1" w:styleId="37">
    <w:name w:val="正文_7"/>
    <w:autoRedefine/>
    <w:qFormat/>
    <w:uiPriority w:val="0"/>
    <w:pPr>
      <w:widowControl w:val="0"/>
      <w:overflowPunct w:val="0"/>
      <w:autoSpaceDE w:val="0"/>
      <w:autoSpaceDN w:val="0"/>
      <w:adjustRightInd w:val="0"/>
      <w:snapToGrid w:val="0"/>
      <w:jc w:val="both"/>
    </w:pPr>
    <w:rPr>
      <w:rFonts w:ascii="宋体" w:hAnsi="Times New Roman" w:eastAsia="宋体" w:cs="Times New Roman"/>
      <w:snapToGrid w:val="0"/>
      <w:sz w:val="28"/>
      <w:szCs w:val="24"/>
      <w:lang w:val="en-US" w:eastAsia="zh-CN" w:bidi="ar-SA"/>
    </w:rPr>
  </w:style>
  <w:style w:type="table" w:customStyle="1" w:styleId="3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2187</Words>
  <Characters>2276</Characters>
  <Lines>0</Lines>
  <Paragraphs>0</Paragraphs>
  <TotalTime>4</TotalTime>
  <ScaleCrop>false</ScaleCrop>
  <LinksUpToDate>false</LinksUpToDate>
  <CharactersWithSpaces>2288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2023-01-06T07:22:00Z</dcterms:created>
  <dc:creator>pc</dc:creator>
  <cp:lastModifiedBy>user</cp:lastModifiedBy>
  <cp:lastPrinted>2024-10-24T01:46:00Z</cp:lastPrinted>
  <dcterms:modified xsi:type="dcterms:W3CDTF">2024-10-24T02:01:25Z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770FC33594934BA7A1849BCD676E20C8_13</vt:lpwstr>
  </property>
</Properties>
</file>