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Default Extension="wmf" ContentType="image/wmf"/>
  <Default Extension="bin" ContentType="application/vnd.openxmlformats-officedocument.oleObject"/>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67"/>
        <w:spacing w:line="360" w:lineRule="auto"/>
        <w:jc w:val="center"/>
        <w:rPr>
          <w:rFonts w:ascii="Times New Roman" w:eastAsia="宋体" w:cs="Times New Roman" w:hAnsi="Times New Roman"/>
          <w:b/>
          <w:color w:val="auto"/>
          <w:kern w:val="2"/>
          <w:sz w:val="72"/>
          <w:szCs w:val="72"/>
          <w:lang w:val="en-US" w:eastAsia="zh-CN"/>
        </w:rPr>
      </w:pPr>
    </w:p>
    <w:p>
      <w:pPr>
        <w:pStyle w:val="67"/>
        <w:spacing w:line="360" w:lineRule="auto"/>
        <w:jc w:val="center"/>
        <w:rPr>
          <w:rFonts w:ascii="Times New Roman" w:eastAsia="宋体" w:cs="Times New Roman" w:hAnsi="Times New Roman"/>
          <w:b/>
          <w:color w:val="auto"/>
          <w:kern w:val="2"/>
          <w:sz w:val="72"/>
          <w:szCs w:val="72"/>
          <w:lang w:val="en-US" w:eastAsia="zh-CN"/>
        </w:rPr>
      </w:pPr>
      <w:r>
        <w:rPr>
          <w:rFonts w:ascii="Times New Roman" w:eastAsia="宋体" w:cs="Times New Roman" w:hAnsi="Times New Roman"/>
          <w:b/>
          <w:color w:val="auto"/>
          <w:kern w:val="2"/>
          <w:sz w:val="72"/>
          <w:szCs w:val="72"/>
          <w:lang w:val="en-US" w:eastAsia="zh-CN"/>
        </w:rPr>
        <w:t>建设项目环境影响报告表</w:t>
      </w:r>
    </w:p>
    <w:p>
      <w:pPr>
        <w:pStyle w:val="77"/>
        <w:spacing w:line="360" w:lineRule="auto"/>
        <w:jc w:val="center"/>
        <w:rPr>
          <w:rFonts w:ascii="Times New Roman" w:eastAsia="宋体" w:cs="Times New Roman" w:hAnsi="Times New Roman"/>
          <w:b/>
          <w:color w:val="auto"/>
          <w:sz w:val="32"/>
          <w:szCs w:val="32"/>
          <w:lang w:eastAsia="zh-CN"/>
        </w:rPr>
      </w:pPr>
      <w:r>
        <w:rPr>
          <w:rFonts w:ascii="Times New Roman" w:eastAsia="宋体" w:cs="Times New Roman" w:hAnsi="Times New Roman"/>
          <w:b/>
          <w:color w:val="auto"/>
          <w:sz w:val="32"/>
          <w:szCs w:val="32"/>
          <w:lang w:eastAsia="zh-CN"/>
        </w:rPr>
        <w:t>（</w:t>
      </w:r>
      <w:r>
        <w:rPr>
          <w:rFonts w:ascii="Times New Roman" w:eastAsia="宋体" w:cs="Times New Roman" w:hAnsi="Times New Roman" w:hint="eastAsia"/>
          <w:b/>
          <w:color w:val="auto"/>
          <w:sz w:val="32"/>
          <w:szCs w:val="32"/>
          <w:lang w:val="en-US" w:eastAsia="zh-CN"/>
        </w:rPr>
        <w:t>污染影响类</w:t>
      </w:r>
      <w:r>
        <w:rPr>
          <w:rFonts w:ascii="Times New Roman" w:eastAsia="宋体" w:cs="Times New Roman" w:hAnsi="Times New Roman" w:hint="eastAsia"/>
          <w:b/>
          <w:color w:val="auto"/>
          <w:sz w:val="32"/>
          <w:szCs w:val="32"/>
          <w:lang w:eastAsia="zh-CN"/>
        </w:rPr>
        <w:t>）（</w:t>
      </w:r>
      <w:r>
        <w:rPr>
          <w:rFonts w:ascii="Times New Roman" w:eastAsia="宋体" w:cs="Times New Roman" w:hAnsi="Times New Roman" w:hint="eastAsia"/>
          <w:b/>
          <w:color w:val="auto"/>
          <w:sz w:val="32"/>
          <w:szCs w:val="32"/>
          <w:lang w:val="en-US" w:eastAsia="zh-CN"/>
        </w:rPr>
        <w:t>公示本</w:t>
      </w:r>
      <w:r>
        <w:rPr>
          <w:rFonts w:ascii="Times New Roman" w:eastAsia="宋体" w:cs="Times New Roman" w:hAnsi="Times New Roman" w:hint="eastAsia"/>
          <w:b/>
          <w:color w:val="auto"/>
          <w:sz w:val="32"/>
          <w:szCs w:val="32"/>
          <w:lang w:eastAsia="zh-CN"/>
        </w:rPr>
        <w:t>）</w:t>
      </w:r>
    </w:p>
    <w:p>
      <w:pPr>
        <w:pStyle w:val="77"/>
        <w:spacing w:line="360" w:lineRule="auto"/>
        <w:rPr>
          <w:rFonts w:ascii="Times New Roman" w:eastAsia="宋体" w:cs="Times New Roman" w:hAnsi="Times New Roman"/>
          <w:color w:val="auto"/>
          <w:lang w:eastAsia="zh-CN"/>
        </w:rPr>
      </w:pPr>
      <w:r>
        <w:rPr>
          <w:rFonts w:ascii="Times New Roman" w:eastAsia="宋体" w:cs="Times New Roman" w:hAnsi="Times New Roman" w:hint="eastAsia"/>
          <w:b/>
          <w:color w:val="auto"/>
          <w:sz w:val="32"/>
          <w:szCs w:val="32"/>
          <w:lang w:val="en-US" w:eastAsia="zh-CN"/>
        </w:rPr>
        <w:t xml:space="preserve"> </w:t>
      </w:r>
    </w:p>
    <w:p>
      <w:pPr>
        <w:pStyle w:val="77"/>
        <w:spacing w:line="360" w:lineRule="auto"/>
        <w:rPr>
          <w:rFonts w:ascii="Times New Roman" w:eastAsia="宋体" w:cs="Times New Roman" w:hAnsi="Times New Roman"/>
          <w:color w:val="auto"/>
          <w:lang w:eastAsia="zh-CN"/>
        </w:rPr>
      </w:pPr>
    </w:p>
    <w:p>
      <w:pPr>
        <w:pStyle w:val="77"/>
        <w:spacing w:line="360" w:lineRule="auto"/>
        <w:rPr>
          <w:rFonts w:ascii="Times New Roman" w:eastAsia="宋体" w:cs="Times New Roman" w:hAnsi="Times New Roman"/>
          <w:color w:val="auto"/>
          <w:lang w:eastAsia="zh-CN"/>
        </w:rPr>
      </w:pPr>
    </w:p>
    <w:p>
      <w:pPr>
        <w:spacing w:line="360" w:lineRule="auto"/>
        <w:rPr>
          <w:rFonts w:ascii="Times New Roman" w:eastAsia="宋体" w:cs="Times New Roman" w:hAnsi="Times New Roman"/>
          <w:color w:val="auto"/>
          <w:sz w:val="28"/>
        </w:rPr>
      </w:pPr>
    </w:p>
    <w:tbl>
      <w:tblPr>
        <w:jc w:val="center"/>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Pr>
      <w:tblGrid>
        <w:gridCol w:w="1695"/>
        <w:gridCol w:w="1009"/>
        <w:gridCol w:w="4908"/>
      </w:tblGrid>
      <w:tr>
        <w:tc>
          <w:tcPr>
            <w:tcW w:w="1695" w:type="dxa"/>
            <w:tcBorders>
              <w:tl2br w:val="nil"/>
              <w:tr2bl w:val="nil"/>
            </w:tcBorders>
            <w:noWrap/>
            <w:vAlign w:val="center"/>
          </w:tcPr>
          <w:p>
            <w:pPr>
              <w:spacing w:line="360" w:lineRule="auto"/>
              <w:jc w:val="left"/>
              <w:rPr>
                <w:rFonts w:ascii="Times New Roman" w:eastAsia="宋体" w:cs="Times New Roman" w:hAnsi="Times New Roman" w:hint="eastAsia"/>
                <w:b/>
                <w:bCs w:val="0"/>
                <w:color w:val="auto"/>
                <w:sz w:val="32"/>
                <w:szCs w:val="32"/>
                <w:vertAlign w:val="baseline"/>
                <w:lang w:eastAsia="zh-CN"/>
              </w:rPr>
            </w:pPr>
            <w:r>
              <w:rPr>
                <w:rFonts w:ascii="Times New Roman" w:eastAsia="宋体" w:cs="Times New Roman" w:hAnsi="Times New Roman"/>
                <w:b/>
                <w:bCs w:val="0"/>
                <w:color w:val="auto"/>
                <w:sz w:val="32"/>
                <w:szCs w:val="32"/>
              </w:rPr>
              <w:t>项目名称</w:t>
            </w:r>
            <w:r>
              <w:rPr>
                <w:rFonts w:cs="Times New Roman" w:hint="eastAsia"/>
                <w:b/>
                <w:bCs w:val="0"/>
                <w:color w:val="auto"/>
                <w:sz w:val="32"/>
                <w:szCs w:val="32"/>
                <w:lang w:eastAsia="zh-CN"/>
              </w:rPr>
              <w:t>：</w:t>
            </w:r>
          </w:p>
        </w:tc>
        <w:tc>
          <w:tcPr>
            <w:tcW w:w="5917" w:type="dxa"/>
            <w:gridSpan w:val="2"/>
            <w:tcBorders>
              <w:tl2br w:val="nil"/>
              <w:tr2bl w:val="nil"/>
            </w:tcBorders>
            <w:noWrap/>
            <w:vAlign w:val="center"/>
          </w:tcPr>
          <w:p>
            <w:pPr>
              <w:spacing w:line="360" w:lineRule="auto"/>
              <w:jc w:val="center"/>
              <w:rPr>
                <w:rFonts w:ascii="Times New Roman" w:eastAsia="宋体" w:cs="Times New Roman" w:hAnsi="Times New Roman"/>
                <w:b/>
                <w:bCs w:val="0"/>
                <w:color w:val="auto"/>
                <w:sz w:val="32"/>
                <w:szCs w:val="32"/>
                <w:u w:val="none"/>
                <w:vertAlign w:val="baseline"/>
                <w:lang w:val="en-US" w:eastAsia="zh-CN"/>
              </w:rPr>
            </w:pPr>
            <w:r>
              <w:rPr>
                <w:rFonts w:cs="Times New Roman" w:hint="eastAsia"/>
                <w:b/>
                <w:bCs w:val="0"/>
                <w:color w:val="auto"/>
                <w:sz w:val="32"/>
                <w:szCs w:val="32"/>
                <w:u w:val="none"/>
                <w:vertAlign w:val="baseline"/>
                <w:lang w:eastAsia="zh-CN"/>
              </w:rPr>
              <w:t>废弃电器电子产品拆解综合利用生产线建设项目</w:t>
            </w:r>
          </w:p>
        </w:tc>
      </w:tr>
      <w:tr>
        <w:tc>
          <w:tcPr>
            <w:tcW w:w="2704" w:type="dxa"/>
            <w:gridSpan w:val="2"/>
            <w:tcBorders>
              <w:tl2br w:val="nil"/>
              <w:tr2bl w:val="nil"/>
            </w:tcBorders>
            <w:noWrap/>
            <w:vAlign w:val="center"/>
          </w:tcPr>
          <w:p>
            <w:pPr>
              <w:spacing w:line="360" w:lineRule="auto"/>
              <w:jc w:val="left"/>
              <w:rPr>
                <w:rFonts w:ascii="Times New Roman" w:eastAsia="宋体" w:cs="Times New Roman" w:hAnsi="Times New Roman" w:hint="eastAsia"/>
                <w:b/>
                <w:bCs w:val="0"/>
                <w:color w:val="auto"/>
                <w:sz w:val="32"/>
                <w:szCs w:val="32"/>
                <w:vertAlign w:val="baseline"/>
                <w:lang w:eastAsia="zh-CN"/>
              </w:rPr>
            </w:pPr>
            <w:r>
              <w:rPr>
                <w:rFonts w:ascii="Times New Roman" w:eastAsia="宋体" w:cs="Times New Roman" w:hAnsi="Times New Roman"/>
                <w:b/>
                <w:bCs w:val="0"/>
                <w:color w:val="auto"/>
                <w:sz w:val="32"/>
              </w:rPr>
              <mc:AlternateContent>
                <mc:Choice Requires="wps">
                  <w:drawing>
                    <wp:anchor distT="0" distB="0" distL="114298" distR="114298" simplePos="0" relativeHeight="90" behindDoc="0" locked="0" layoutInCell="1" hidden="0" allowOverlap="1">
                      <wp:simplePos x="0" y="0"/>
                      <wp:positionH relativeFrom="column">
                        <wp:posOffset>1021080</wp:posOffset>
                      </wp:positionH>
                      <wp:positionV relativeFrom="paragraph">
                        <wp:posOffset>10795</wp:posOffset>
                      </wp:positionV>
                      <wp:extent cx="3741420" cy="2539"/>
                      <wp:effectExtent l="0" t="0" r="0" b="0"/>
                      <wp:wrapNone/>
                      <wp:docPr id="1" name="直线 1551"/>
                      <wp:cNvGraphicFramePr>
                        <a:graphicFrameLocks noChangeAspect="0"/>
                      </wp:cNvGraphicFramePr>
                      <a:graphic>
                        <a:graphicData uri="http://schemas.microsoft.com/office/word/2010/wordprocessingShape">
                          <wps:wsp>
                            <wps:cNvSpPr/>
                            <wps:spPr>
                              <a:xfrm rot="0">
                                <a:off x="0" y="0"/>
                                <a:ext cx="3741420" cy="2539"/>
                              </a:xfrm>
                              <a:prstGeom prst="line"/>
                              <a:noFill/>
                              <a:ln w="9525" cmpd="sng" cap="flat">
                                <a:solidFill>
                                  <a:srgbClr val="000001"/>
                                </a:solidFill>
                                <a:prstDash val="solid"/>
                                <a:round/>
                              </a:ln>
                            </wps:spPr>
                            <wps:bodyPr vert="horz" wrap="square" lIns="91440" tIns="45720" rIns="91440" bIns="45720" anchor="t" anchorCtr="0" upright="1">
                              <a:noAutofit/>
                            </wps:bodyPr>
                          </wps:wsp>
                        </a:graphicData>
                      </a:graphic>
                    </wp:anchor>
                  </w:drawing>
                </mc:Choice>
                <mc:Fallback>
                  <w:pict>
                    <v:line type="#_x0000_t20" id="直线 1551 2" o:spid="_x0000_s2" from="80.4pt,0.85pt" to="375.0pt,1.05pt" filled="f" stroked="t" style="position:absolute;z-index:90;mso-position-horizontal:absolute;mso-position-vertical:absolute;mso-wrap-distance-left:8.999863pt;mso-wrap-distance-right:8.999863pt;visibility:visible;">
                      <v:stroke color="#000001"/>
                    </v:line>
                  </w:pict>
                </mc:Fallback>
              </mc:AlternateContent>
            </w:r>
            <w:r>
              <w:rPr>
                <w:rFonts w:ascii="Times New Roman" w:eastAsia="宋体" w:cs="Times New Roman" w:hAnsi="Times New Roman"/>
                <w:b/>
                <w:bCs w:val="0"/>
                <w:color w:val="auto"/>
                <w:sz w:val="32"/>
                <w:szCs w:val="32"/>
              </w:rPr>
              <w:t>建设单位</w:t>
            </w:r>
            <w:r>
              <w:rPr>
                <w:rFonts w:ascii="Times New Roman" w:eastAsia="宋体" w:cs="Times New Roman" w:hAnsi="Times New Roman" w:hint="eastAsia"/>
                <w:b/>
                <w:bCs w:val="0"/>
                <w:color w:val="auto"/>
                <w:sz w:val="32"/>
                <w:szCs w:val="32"/>
                <w:lang w:eastAsia="zh-CN"/>
              </w:rPr>
              <w:t>（</w:t>
            </w:r>
            <w:r>
              <w:rPr>
                <w:rFonts w:ascii="Times New Roman" w:eastAsia="宋体" w:cs="Times New Roman" w:hAnsi="Times New Roman" w:hint="eastAsia"/>
                <w:b/>
                <w:bCs w:val="0"/>
                <w:color w:val="auto"/>
                <w:sz w:val="32"/>
                <w:szCs w:val="32"/>
                <w:lang w:val="en-US" w:eastAsia="zh-CN"/>
              </w:rPr>
              <w:t>盖章</w:t>
            </w:r>
            <w:r>
              <w:rPr>
                <w:rFonts w:cs="Times New Roman" w:hint="eastAsia"/>
                <w:b/>
                <w:bCs w:val="0"/>
                <w:color w:val="auto"/>
                <w:sz w:val="32"/>
                <w:szCs w:val="32"/>
                <w:lang w:eastAsia="zh-CN"/>
              </w:rPr>
              <w:t>）：</w:t>
            </w:r>
          </w:p>
        </w:tc>
        <w:tc>
          <w:tcPr>
            <w:tcW w:w="4908" w:type="dxa"/>
            <w:tcBorders>
              <w:tl2br w:val="nil"/>
              <w:tr2bl w:val="nil"/>
            </w:tcBorders>
            <w:noWrap/>
            <w:vAlign w:val="center"/>
          </w:tcPr>
          <w:p>
            <w:pPr>
              <w:spacing w:line="360" w:lineRule="auto"/>
              <w:jc w:val="center"/>
              <w:rPr>
                <w:rFonts w:ascii="Times New Roman" w:eastAsia="宋体" w:cs="Times New Roman" w:hAnsi="Times New Roman"/>
                <w:b/>
                <w:bCs w:val="0"/>
                <w:color w:val="auto"/>
                <w:sz w:val="32"/>
                <w:szCs w:val="32"/>
                <w:u w:val="none"/>
                <w:vertAlign w:val="baseline"/>
                <w:lang w:val="en-US" w:eastAsia="zh-CN"/>
              </w:rPr>
            </w:pPr>
            <w:r>
              <w:rPr>
                <w:rFonts w:cs="Times New Roman" w:hint="eastAsia"/>
                <w:b/>
                <w:bCs w:val="0"/>
                <w:color w:val="auto"/>
                <w:sz w:val="32"/>
                <w:lang w:eastAsia="zh-CN"/>
              </w:rPr>
              <w:t>四川鼎信环保科技有限公司</w:t>
            </w:r>
          </w:p>
        </w:tc>
      </w:tr>
      <w:tr>
        <w:trPr>
          <w:trHeight w:val="90"/>
        </w:trPr>
        <w:tc>
          <w:tcPr>
            <w:tcW w:w="1695" w:type="dxa"/>
            <w:tcBorders>
              <w:tl2br w:val="nil"/>
              <w:tr2bl w:val="nil"/>
            </w:tcBorders>
            <w:noWrap/>
            <w:vAlign w:val="center"/>
          </w:tcPr>
          <w:p>
            <w:pPr>
              <w:spacing w:line="360" w:lineRule="auto"/>
              <w:jc w:val="left"/>
              <w:rPr>
                <w:rFonts w:ascii="Times New Roman" w:eastAsia="宋体" w:cs="Times New Roman" w:hAnsi="Times New Roman" w:hint="eastAsia"/>
                <w:b/>
                <w:bCs w:val="0"/>
                <w:color w:val="auto"/>
                <w:sz w:val="32"/>
                <w:szCs w:val="32"/>
                <w:lang w:eastAsia="zh-CN"/>
              </w:rPr>
            </w:pPr>
            <w:r>
              <w:rPr>
                <w:rFonts w:ascii="Times New Roman" w:eastAsia="宋体" w:cs="Times New Roman" w:hAnsi="Times New Roman"/>
                <w:b/>
                <w:bCs w:val="0"/>
                <w:color w:val="auto"/>
                <w:sz w:val="32"/>
                <w:szCs w:val="32"/>
              </w:rPr>
              <w:t>编制日期</w:t>
            </w:r>
            <w:r>
              <w:rPr>
                <w:rFonts w:cs="Times New Roman" w:hint="eastAsia"/>
                <w:b/>
                <w:bCs w:val="0"/>
                <w:color w:val="auto"/>
                <w:sz w:val="32"/>
                <w:szCs w:val="32"/>
                <w:lang w:eastAsia="zh-CN"/>
              </w:rPr>
              <w:t>：</w:t>
            </w:r>
          </w:p>
        </w:tc>
        <w:tc>
          <w:tcPr>
            <w:tcW w:w="5917" w:type="dxa"/>
            <w:gridSpan w:val="2"/>
            <w:tcBorders>
              <w:tl2br w:val="nil"/>
              <w:tr2bl w:val="nil"/>
            </w:tcBorders>
            <w:noWrap/>
            <w:vAlign w:val="center"/>
          </w:tcPr>
          <w:p>
            <w:pPr>
              <w:spacing w:line="360" w:lineRule="auto"/>
              <w:jc w:val="center"/>
              <w:rPr>
                <w:rFonts w:ascii="Times New Roman" w:eastAsia="宋体" w:cs="Times New Roman" w:hAnsi="Times New Roman"/>
                <w:b/>
                <w:bCs w:val="0"/>
                <w:color w:val="auto"/>
                <w:sz w:val="32"/>
              </w:rPr>
            </w:pPr>
            <w:r>
              <w:rPr>
                <w:rFonts w:ascii="Times New Roman" w:eastAsia="宋体" w:cs="Times New Roman" w:hAnsi="Times New Roman"/>
                <w:color w:val="auto"/>
                <w:sz w:val="32"/>
              </w:rPr>
              <mc:AlternateContent>
                <mc:Choice Requires="wps">
                  <w:drawing>
                    <wp:anchor distT="0" distB="0" distL="114298" distR="114298" simplePos="0" relativeHeight="88" behindDoc="0" locked="0" layoutInCell="1" hidden="0" allowOverlap="1">
                      <wp:simplePos x="0" y="0"/>
                      <wp:positionH relativeFrom="column">
                        <wp:posOffset>580390</wp:posOffset>
                      </wp:positionH>
                      <wp:positionV relativeFrom="paragraph">
                        <wp:posOffset>2539</wp:posOffset>
                      </wp:positionV>
                      <wp:extent cx="3105785" cy="5080"/>
                      <wp:effectExtent l="0" t="0" r="0" b="0"/>
                      <wp:wrapNone/>
                      <wp:docPr id="3" name="直线 767"/>
                      <wp:cNvGraphicFramePr>
                        <a:graphicFrameLocks noChangeAspect="0"/>
                      </wp:cNvGraphicFramePr>
                      <a:graphic>
                        <a:graphicData uri="http://schemas.microsoft.com/office/word/2010/wordprocessingShape">
                          <wps:wsp>
                            <wps:cNvSpPr/>
                            <wps:spPr>
                              <a:xfrm flipV="1" rot="21600000">
                                <a:off x="0" y="0"/>
                                <a:ext cx="3105785" cy="5080"/>
                              </a:xfrm>
                              <a:prstGeom prst="line"/>
                              <a:noFill/>
                              <a:ln w="9525" cmpd="sng" cap="flat">
                                <a:solidFill>
                                  <a:srgbClr val="000001"/>
                                </a:solidFill>
                                <a:prstDash val="solid"/>
                                <a:round/>
                              </a:ln>
                            </wps:spPr>
                            <wps:bodyPr vert="horz" wrap="square" lIns="91440" tIns="45720" rIns="91440" bIns="45720" anchor="t" anchorCtr="0" upright="1">
                              <a:noAutofit/>
                            </wps:bodyPr>
                          </wps:wsp>
                        </a:graphicData>
                      </a:graphic>
                    </wp:anchor>
                  </w:drawing>
                </mc:Choice>
                <mc:Fallback>
                  <w:pict>
                    <v:line type="#_x0000_t20" id="直线 767 4" o:spid="_x0000_s4" from="45.7pt,0.19999999pt" to="290.25pt,0.6pt" filled="f" stroked="t" style="position:absolute;flip:y;z-index:88;mso-position-horizontal:absolute;mso-position-vertical:absolute;mso-wrap-distance-left:8.999863pt;mso-wrap-distance-right:8.999863pt;visibility:visible;">
                      <v:stroke color="#000001"/>
                    </v:line>
                  </w:pict>
                </mc:Fallback>
              </mc:AlternateContent>
            </w:r>
            <w:r>
              <w:rPr>
                <w:rFonts w:ascii="Times New Roman" w:eastAsia="宋体" w:cs="Times New Roman" w:hAnsi="Times New Roman"/>
                <w:b/>
                <w:bCs w:val="0"/>
                <w:color w:val="auto"/>
                <w:sz w:val="32"/>
              </w:rPr>
              <w:t>202</w:t>
            </w:r>
            <w:r>
              <w:rPr>
                <w:rFonts w:cs="Times New Roman" w:hint="eastAsia"/>
                <w:b/>
                <w:bCs w:val="0"/>
                <w:color w:val="auto"/>
                <w:sz w:val="32"/>
                <w:lang w:val="en-US" w:eastAsia="zh-CN"/>
              </w:rPr>
              <w:t>4</w:t>
            </w:r>
            <w:r>
              <w:rPr>
                <w:rFonts w:ascii="Times New Roman" w:eastAsia="宋体" w:cs="Times New Roman" w:hAnsi="Times New Roman"/>
                <w:b/>
                <w:bCs w:val="0"/>
                <w:color w:val="auto"/>
                <w:sz w:val="32"/>
              </w:rPr>
              <w:t>年</w:t>
            </w:r>
            <w:r>
              <w:rPr>
                <w:rFonts w:cs="Times New Roman" w:hint="eastAsia"/>
                <w:b/>
                <w:bCs w:val="0"/>
                <w:color w:val="auto"/>
                <w:sz w:val="32"/>
                <w:lang w:val="en-US" w:eastAsia="zh-CN"/>
              </w:rPr>
              <w:t>10</w:t>
            </w:r>
            <w:r>
              <w:rPr>
                <w:rFonts w:ascii="Times New Roman" w:eastAsia="宋体" w:cs="Times New Roman" w:hAnsi="Times New Roman"/>
                <w:b/>
                <w:bCs w:val="0"/>
                <w:color w:val="auto"/>
                <w:sz w:val="32"/>
              </w:rPr>
              <w:t>月</w:t>
            </w:r>
          </w:p>
        </w:tc>
      </w:tr>
    </w:tbl>
    <w:p>
      <w:pPr>
        <w:spacing w:line="360" w:lineRule="auto"/>
        <w:rPr>
          <w:rFonts w:ascii="Times New Roman" w:eastAsia="宋体" w:cs="Times New Roman" w:hAnsi="Times New Roman"/>
          <w:color w:val="auto"/>
          <w:sz w:val="28"/>
        </w:rPr>
      </w:pPr>
      <w:r>
        <w:rPr>
          <w:rFonts w:ascii="Times New Roman" w:eastAsia="宋体" w:cs="Times New Roman" w:hAnsi="Times New Roman"/>
          <w:color w:val="auto"/>
          <w:sz w:val="32"/>
        </w:rPr>
        <mc:AlternateContent>
          <mc:Choice Requires="wps">
            <w:drawing>
              <wp:anchor distT="0" distB="0" distL="114298" distR="114298" simplePos="0" relativeHeight="92" behindDoc="0" locked="0" layoutInCell="1" hidden="0" allowOverlap="1">
                <wp:simplePos x="0" y="0"/>
                <wp:positionH relativeFrom="column">
                  <wp:posOffset>1475740</wp:posOffset>
                </wp:positionH>
                <wp:positionV relativeFrom="paragraph">
                  <wp:posOffset>6350</wp:posOffset>
                </wp:positionV>
                <wp:extent cx="3926840" cy="8890"/>
                <wp:effectExtent l="0" t="0" r="0" b="0"/>
                <wp:wrapNone/>
                <wp:docPr id="5" name="直线 767"/>
                <wp:cNvGraphicFramePr>
                  <a:graphicFrameLocks noChangeAspect="0"/>
                </wp:cNvGraphicFramePr>
                <a:graphic>
                  <a:graphicData uri="http://schemas.microsoft.com/office/word/2010/wordprocessingShape">
                    <wps:wsp>
                      <wps:cNvSpPr/>
                      <wps:spPr>
                        <a:xfrm rot="0">
                          <a:off x="0" y="0"/>
                          <a:ext cx="3926840" cy="8890"/>
                        </a:xfrm>
                        <a:prstGeom prst="line"/>
                        <a:noFill/>
                        <a:ln w="9525" cmpd="sng" cap="flat">
                          <a:solidFill>
                            <a:srgbClr val="000001"/>
                          </a:solidFill>
                          <a:prstDash val="solid"/>
                          <a:round/>
                        </a:ln>
                      </wps:spPr>
                      <wps:bodyPr vert="horz" wrap="square" lIns="91440" tIns="45720" rIns="91440" bIns="45720" anchor="t" anchorCtr="0" upright="1">
                        <a:noAutofit/>
                      </wps:bodyPr>
                    </wps:wsp>
                  </a:graphicData>
                </a:graphic>
              </wp:anchor>
            </w:drawing>
          </mc:Choice>
          <mc:Fallback>
            <w:pict>
              <v:line type="#_x0000_t20" id="直线 767 6" o:spid="_x0000_s6" from="116.2pt,0.5pt" to="425.40002pt,1.2pt" filled="f" stroked="t" style="position:absolute;z-index:92;mso-position-horizontal:absolute;mso-position-vertical:absolute;mso-wrap-distance-left:8.999863pt;mso-wrap-distance-right:8.999863pt;visibility:visible;">
                <v:stroke color="#000001"/>
              </v:line>
            </w:pict>
          </mc:Fallback>
        </mc:AlternateContent>
      </w:r>
    </w:p>
    <w:p>
      <w:pPr>
        <w:spacing w:line="360" w:lineRule="auto"/>
        <w:rPr>
          <w:rFonts w:ascii="Times New Roman" w:eastAsia="宋体" w:cs="Times New Roman" w:hAnsi="Times New Roman"/>
          <w:color w:val="auto"/>
          <w:sz w:val="32"/>
        </w:rPr>
      </w:pPr>
      <w:r>
        <w:rPr>
          <w:rFonts w:ascii="Times New Roman" w:eastAsia="宋体" w:cs="Times New Roman" w:hAnsi="Times New Roman"/>
          <w:color w:val="auto"/>
          <w:sz w:val="32"/>
        </w:rPr>
        <w:t xml:space="preserve">    </w:t>
      </w:r>
    </w:p>
    <w:p>
      <w:pPr>
        <w:pStyle w:val="77"/>
        <w:spacing w:line="360" w:lineRule="auto"/>
        <w:rPr>
          <w:rFonts w:ascii="Times New Roman" w:eastAsia="宋体" w:cs="Times New Roman" w:hAnsi="Times New Roman" w:hint="eastAsia"/>
          <w:color w:val="auto"/>
          <w:lang w:val="en-US" w:eastAsia="zh-CN"/>
        </w:rPr>
      </w:pPr>
    </w:p>
    <w:p>
      <w:pPr>
        <w:pStyle w:val="77"/>
        <w:spacing w:line="360" w:lineRule="auto"/>
        <w:rPr>
          <w:rFonts w:ascii="Times New Roman" w:eastAsia="宋体" w:cs="Times New Roman" w:hAnsi="Times New Roman"/>
          <w:color w:val="auto"/>
          <w:lang w:eastAsia="zh-CN"/>
        </w:rPr>
      </w:pPr>
    </w:p>
    <w:p>
      <w:pPr>
        <w:pStyle w:val="77"/>
        <w:spacing w:line="360" w:lineRule="auto"/>
        <w:rPr>
          <w:rFonts w:ascii="Times New Roman" w:eastAsia="宋体" w:cs="Times New Roman" w:hAnsi="Times New Roman"/>
          <w:color w:val="auto"/>
          <w:lang w:eastAsia="zh-CN"/>
        </w:rPr>
      </w:pPr>
    </w:p>
    <w:p>
      <w:pPr>
        <w:spacing w:beforeLines="50" w:before="145" w:line="360" w:lineRule="auto"/>
        <w:jc w:val="both"/>
        <w:rPr>
          <w:rFonts w:ascii="Times New Roman" w:eastAsia="宋体" w:cs="Times New Roman" w:hAnsi="Times New Roman"/>
          <w:b/>
          <w:color w:val="auto"/>
          <w:sz w:val="32"/>
        </w:rPr>
      </w:pPr>
    </w:p>
    <w:tbl>
      <w:tblPr>
        <w:jc w:val="center"/>
        <w:tblW w:w="8524"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Pr>
      <w:tblGrid>
        <w:gridCol w:w="8524"/>
      </w:tblGrid>
      <w:tr>
        <w:tc>
          <w:tcPr>
            <w:tcW w:w="8524" w:type="dxa"/>
            <w:tcBorders>
              <w:tl2br w:val="nil"/>
              <w:tr2bl w:val="nil"/>
            </w:tcBorders>
            <w:noWrap/>
            <w:vAlign w:val="center"/>
          </w:tcPr>
          <w:p>
            <w:pPr>
              <w:spacing w:line="360" w:lineRule="auto"/>
              <w:jc w:val="center"/>
              <w:rPr>
                <w:rFonts w:ascii="Times New Roman" w:eastAsia="宋体" w:cs="Times New Roman" w:hAnsi="Times New Roman"/>
                <w:b/>
                <w:bCs w:val="0"/>
                <w:color w:val="auto"/>
                <w:sz w:val="32"/>
                <w:szCs w:val="32"/>
                <w:u w:val="none"/>
                <w:vertAlign w:val="baseline"/>
                <w:lang w:val="en-US" w:eastAsia="zh-CN"/>
              </w:rPr>
            </w:pPr>
            <w:r>
              <w:rPr>
                <w:rFonts w:ascii="Times New Roman" w:eastAsia="宋体" w:cs="Times New Roman" w:hAnsi="Times New Roman"/>
                <w:b/>
                <w:bCs w:val="0"/>
                <w:color w:val="auto"/>
                <w:sz w:val="32"/>
                <w:szCs w:val="32"/>
                <w:u w:val="none"/>
                <w:vertAlign w:val="baseline"/>
                <w:lang w:eastAsia="zh-CN"/>
              </w:rPr>
              <w:t>中华人民共和国生态环境部制</w:t>
            </w:r>
          </w:p>
        </w:tc>
      </w:tr>
    </w:tbl>
    <w:p>
      <w:pPr>
        <w:spacing w:beforeLines="50" w:before="145" w:line="360" w:lineRule="auto"/>
        <w:jc w:val="center"/>
        <w:rPr>
          <w:rFonts w:ascii="Times New Roman" w:eastAsia="宋体" w:cs="Times New Roman" w:hAnsi="Times New Roman"/>
          <w:b/>
          <w:color w:val="auto"/>
          <w:sz w:val="32"/>
        </w:rPr>
        <w:sectPr>
          <w:headerReference w:type="default" r:id="rId2"/>
          <w:headerReference w:type="even" r:id="rId3"/>
          <w:footerReference w:type="even" r:id="rId4"/>
          <w:pgSz w:w="11906" w:h="16838"/>
          <w:pgMar w:top="1440" w:right="1247" w:bottom="1440" w:left="1247" w:header="851" w:footer="992" w:gutter="0"/>
          <w:pgNumType w:fmt="numberInDash" w:start="1"/>
          <w:rtlGutter/>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eastAsia="宋体" w:cs="Times New Roman" w:hAnsi="Times New Roman"/>
          <w:color w:val="auto"/>
          <w:sz w:val="28"/>
          <w:szCs w:val="28"/>
        </w:rPr>
      </w:pPr>
      <w:r>
        <w:rPr>
          <w:rFonts w:ascii="Times New Roman" w:eastAsia="宋体" w:cs="Times New Roman" w:hAnsi="Times New Roman"/>
          <w:color w:val="auto"/>
          <w:sz w:val="28"/>
          <w:szCs w:val="28"/>
        </w:rPr>
        <w:t xml:space="preserve"> </w:t>
      </w:r>
    </w:p>
    <w:p>
      <w:pPr>
        <w:spacing w:line="360" w:lineRule="auto"/>
        <w:rPr>
          <w:rFonts w:ascii="Times New Roman" w:eastAsia="宋体" w:cs="Times New Roman" w:hAnsi="Times New Roman"/>
          <w:b/>
          <w:bCs/>
          <w:snapToGrid w:val="0"/>
          <w:color w:val="auto"/>
          <w:kern w:val="0"/>
          <w:sz w:val="28"/>
          <w:szCs w:val="28"/>
        </w:rPr>
      </w:pPr>
    </w:p>
    <w:p>
      <w:pPr>
        <w:spacing w:line="360" w:lineRule="auto"/>
        <w:rPr>
          <w:rFonts w:ascii="Times New Roman" w:eastAsia="宋体" w:cs="Times New Roman" w:hAnsi="Times New Roman"/>
          <w:b/>
          <w:bCs/>
          <w:snapToGrid w:val="0"/>
          <w:color w:val="auto"/>
          <w:kern w:val="0"/>
          <w:sz w:val="28"/>
          <w:szCs w:val="28"/>
          <w:lang w:val="en-US" w:eastAsia="zh-CN" w:bidi="ar-SA"/>
        </w:rPr>
      </w:pPr>
    </w:p>
    <w:p>
      <w:pPr>
        <w:spacing w:line="360" w:lineRule="auto"/>
        <w:rPr>
          <w:rFonts w:ascii="Times New Roman" w:eastAsia="宋体" w:cs="Times New Roman" w:hAnsi="Times New Roman"/>
          <w:b/>
          <w:bCs/>
          <w:snapToGrid w:val="0"/>
          <w:color w:val="auto"/>
          <w:kern w:val="0"/>
          <w:sz w:val="28"/>
          <w:szCs w:val="28"/>
          <w:lang w:val="en-US" w:eastAsia="zh-CN" w:bidi="ar-SA"/>
        </w:rPr>
      </w:pPr>
    </w:p>
    <w:p>
      <w:pPr>
        <w:spacing w:line="360" w:lineRule="auto"/>
        <w:rPr>
          <w:rFonts w:ascii="Times New Roman" w:eastAsia="宋体" w:cs="Times New Roman" w:hAnsi="Times New Roman"/>
          <w:b/>
          <w:bCs/>
          <w:snapToGrid w:val="0"/>
          <w:color w:val="auto"/>
          <w:kern w:val="0"/>
          <w:sz w:val="28"/>
          <w:szCs w:val="28"/>
          <w:lang w:val="en-US" w:eastAsia="zh-CN" w:bidi="ar-SA"/>
        </w:rPr>
      </w:pPr>
    </w:p>
    <w:p>
      <w:pPr>
        <w:spacing w:line="360" w:lineRule="auto"/>
        <w:rPr>
          <w:rFonts w:ascii="Times New Roman" w:eastAsia="宋体" w:cs="Times New Roman" w:hAnsi="Times New Roman"/>
          <w:b/>
          <w:bCs/>
          <w:snapToGrid w:val="0"/>
          <w:color w:val="auto"/>
          <w:kern w:val="0"/>
          <w:sz w:val="28"/>
          <w:szCs w:val="28"/>
          <w:lang w:val="en-US" w:eastAsia="zh-CN" w:bidi="ar-SA"/>
        </w:rPr>
      </w:pPr>
    </w:p>
    <w:p>
      <w:pPr>
        <w:spacing w:line="360" w:lineRule="auto"/>
        <w:rPr>
          <w:rFonts w:ascii="Times New Roman" w:eastAsia="宋体" w:cs="Times New Roman" w:hAnsi="Times New Roman"/>
          <w:b/>
          <w:bCs/>
          <w:snapToGrid w:val="0"/>
          <w:color w:val="auto"/>
          <w:kern w:val="0"/>
          <w:sz w:val="28"/>
          <w:szCs w:val="28"/>
          <w:lang w:val="en-US" w:eastAsia="zh-CN" w:bidi="ar-SA"/>
        </w:rPr>
      </w:pPr>
    </w:p>
    <w:p>
      <w:pPr>
        <w:spacing w:line="360" w:lineRule="auto"/>
        <w:rPr>
          <w:rFonts w:ascii="Times New Roman" w:eastAsia="宋体" w:cs="Times New Roman" w:hAnsi="Times New Roman"/>
          <w:b/>
          <w:bCs/>
          <w:snapToGrid w:val="0"/>
          <w:color w:val="auto"/>
          <w:kern w:val="0"/>
          <w:sz w:val="28"/>
          <w:szCs w:val="28"/>
          <w:lang w:val="en-US" w:eastAsia="zh-CN" w:bidi="ar-SA"/>
        </w:rPr>
      </w:pPr>
    </w:p>
    <w:p>
      <w:pPr>
        <w:spacing w:line="360" w:lineRule="auto"/>
        <w:rPr>
          <w:rFonts w:ascii="Times New Roman" w:eastAsia="宋体" w:cs="Times New Roman" w:hAnsi="Times New Roman"/>
          <w:b/>
          <w:bCs/>
          <w:snapToGrid w:val="0"/>
          <w:color w:val="auto"/>
          <w:kern w:val="0"/>
          <w:sz w:val="28"/>
          <w:szCs w:val="28"/>
        </w:rPr>
      </w:pPr>
    </w:p>
    <w:p>
      <w:pPr>
        <w:spacing w:line="360" w:lineRule="auto"/>
        <w:rPr>
          <w:rFonts w:ascii="Times New Roman" w:eastAsia="宋体" w:cs="Times New Roman" w:hAnsi="Times New Roman"/>
          <w:b/>
          <w:bCs/>
          <w:snapToGrid w:val="0"/>
          <w:color w:val="auto"/>
          <w:kern w:val="0"/>
          <w:sz w:val="28"/>
          <w:szCs w:val="28"/>
        </w:rPr>
      </w:pPr>
    </w:p>
    <w:p>
      <w:pPr>
        <w:spacing w:line="360" w:lineRule="auto"/>
        <w:rPr>
          <w:rFonts w:ascii="Times New Roman" w:eastAsia="宋体" w:cs="Times New Roman" w:hAnsi="Times New Roman"/>
          <w:b/>
          <w:bCs/>
          <w:snapToGrid w:val="0"/>
          <w:color w:val="auto"/>
          <w:kern w:val="0"/>
          <w:sz w:val="28"/>
          <w:szCs w:val="28"/>
        </w:rPr>
        <w:sectPr>
          <w:headerReference w:type="default" r:id="rId5"/>
          <w:footerReference w:type="default" r:id="rId6"/>
          <w:pgSz w:w="11906" w:h="16838"/>
          <w:pgMar w:top="1588" w:right="1247" w:bottom="1588" w:left="1247" w:header="851" w:footer="992" w:gutter="0"/>
          <w:pgNumType/>
          <w:docGrid w:type="lines" w:linePitch="312" w:charSpace="0"/>
        </w:sectPr>
      </w:pPr>
    </w:p>
    <w:p>
      <w:pPr>
        <w:spacing w:line="360" w:lineRule="auto"/>
        <w:jc w:val="center"/>
        <w:rPr>
          <w:rFonts w:ascii="Times New Roman" w:eastAsia="宋体" w:cs="Times New Roman" w:hAnsi="Times New Roman"/>
          <w:b/>
          <w:bCs/>
          <w:snapToGrid w:val="0"/>
          <w:color w:val="auto"/>
          <w:kern w:val="0"/>
          <w:sz w:val="28"/>
          <w:szCs w:val="28"/>
        </w:rPr>
      </w:pPr>
      <w:r>
        <w:rPr>
          <w:rFonts w:ascii="Times New Roman" w:eastAsia="宋体" w:cs="Times New Roman" w:hAnsi="Times New Roman"/>
          <w:b/>
          <w:bCs/>
          <w:snapToGrid w:val="0"/>
          <w:color w:val="auto"/>
          <w:kern w:val="0"/>
          <w:sz w:val="28"/>
          <w:szCs w:val="28"/>
        </w:rPr>
        <w:t>一</w:t>
      </w:r>
      <w:r>
        <w:rPr>
          <w:rFonts w:cs="Times New Roman" w:hint="eastAsia"/>
          <w:b/>
          <w:bCs/>
          <w:snapToGrid w:val="0"/>
          <w:color w:val="auto"/>
          <w:kern w:val="0"/>
          <w:sz w:val="28"/>
          <w:szCs w:val="28"/>
          <w:lang w:eastAsia="zh-CN"/>
        </w:rPr>
        <w:t>、</w:t>
      </w:r>
      <w:r>
        <w:rPr>
          <w:rFonts w:ascii="Times New Roman" w:eastAsia="宋体" w:cs="Times New Roman" w:hAnsi="Times New Roman"/>
          <w:b/>
          <w:bCs/>
          <w:snapToGrid w:val="0"/>
          <w:color w:val="auto"/>
          <w:kern w:val="0"/>
          <w:sz w:val="28"/>
          <w:szCs w:val="28"/>
        </w:rPr>
        <w:t>建设项目基本情况</w:t>
      </w:r>
    </w:p>
    <w:tbl>
      <w:tblPr>
        <w:jc w:val="cente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64"/>
        <w:gridCol w:w="315"/>
        <w:gridCol w:w="984"/>
        <w:gridCol w:w="2175"/>
        <w:gridCol w:w="2081"/>
        <w:gridCol w:w="3370"/>
      </w:tblGrid>
      <w:tr>
        <w:trPr>
          <w:trHeight w:val="93"/>
        </w:trPr>
        <w:tc>
          <w:tcPr>
            <w:tcW w:w="1023" w:type="pct"/>
            <w:gridSpan w:val="3"/>
            <w:noWrap/>
            <w:vAlign w:val="center"/>
          </w:tcPr>
          <w:p>
            <w:pPr>
              <w:bidi w:val="0"/>
              <w:spacing w:line="360" w:lineRule="auto"/>
              <w:jc w:val="center"/>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rPr>
              <w:t>建设项目名称</w:t>
            </w:r>
          </w:p>
        </w:tc>
        <w:tc>
          <w:tcPr>
            <w:tcW w:w="3976" w:type="pct"/>
            <w:gridSpan w:val="3"/>
            <w:noWrap/>
            <w:vAlign w:val="center"/>
          </w:tcPr>
          <w:p>
            <w:pPr>
              <w:bidi w:val="0"/>
              <w:spacing w:line="360" w:lineRule="auto"/>
              <w:jc w:val="center"/>
              <w:rPr>
                <w:rFonts w:ascii="Times New Roman" w:eastAsia="宋体" w:cs="Times New Roman" w:hAnsi="Times New Roman" w:hint="eastAsia"/>
                <w:color w:val="auto"/>
                <w:sz w:val="24"/>
                <w:szCs w:val="24"/>
                <w:lang w:val="en-US" w:eastAsia="zh-CN"/>
              </w:rPr>
            </w:pPr>
            <w:r>
              <w:rPr>
                <w:rFonts w:cs="Times New Roman" w:hint="eastAsia"/>
                <w:color w:val="auto"/>
                <w:sz w:val="24"/>
                <w:szCs w:val="24"/>
                <w:lang w:eastAsia="zh-CN"/>
              </w:rPr>
              <w:t>废弃电器电子产品拆解综合利用生产线建设项目</w:t>
            </w:r>
          </w:p>
        </w:tc>
      </w:tr>
      <w:tr>
        <w:trPr>
          <w:trHeight w:val="90"/>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项目代码</w:t>
            </w:r>
          </w:p>
        </w:tc>
        <w:tc>
          <w:tcPr>
            <w:tcW w:w="3976"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cs="Times New Roman" w:hint="eastAsia"/>
                <w:color w:val="auto"/>
                <w:sz w:val="24"/>
                <w:szCs w:val="24"/>
                <w:lang w:eastAsia="zh-CN"/>
              </w:rPr>
              <w:t>2410-510923-04-01-687764</w:t>
            </w:r>
          </w:p>
        </w:tc>
      </w:tr>
      <w:tr>
        <w:trPr>
          <w:trHeight w:val="90"/>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建设单位联系人</w:t>
            </w:r>
          </w:p>
        </w:tc>
        <w:tc>
          <w:tcPr>
            <w:tcW w:w="113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cs="Times New Roman" w:hint="eastAsia"/>
                <w:color w:val="auto"/>
                <w:sz w:val="24"/>
                <w:szCs w:val="24"/>
                <w:lang w:eastAsia="zh-CN"/>
              </w:rPr>
              <w:t>江勇</w:t>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rPr>
            </w:pPr>
            <w:r>
              <w:rPr>
                <w:rFonts w:ascii="Times New Roman" w:eastAsia="宋体" w:cs="Times New Roman" w:hAnsi="Times New Roman"/>
                <w:b/>
                <w:bCs/>
                <w:color w:val="auto"/>
                <w:sz w:val="24"/>
                <w:szCs w:val="24"/>
              </w:rPr>
              <w:t>联系方式</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rPr>
            </w:pPr>
            <w:r>
              <w:rPr>
                <w:rFonts w:cs="Times New Roman" w:hint="eastAsia"/>
                <w:color w:val="auto"/>
                <w:sz w:val="24"/>
                <w:szCs w:val="24"/>
                <w:lang w:eastAsia="zh-CN"/>
              </w:rPr>
              <w:t>182</w:t>
            </w:r>
            <w:r>
              <w:rPr>
                <w:rFonts w:cs="Times New Roman" w:hint="eastAsia"/>
                <w:color w:val="auto"/>
                <w:sz w:val="24"/>
                <w:szCs w:val="24"/>
                <w:lang w:val="en-US" w:eastAsia="zh-CN"/>
              </w:rPr>
              <w:t>****</w:t>
            </w:r>
            <w:r>
              <w:rPr>
                <w:rFonts w:cs="Times New Roman" w:hint="eastAsia"/>
                <w:color w:val="auto"/>
                <w:sz w:val="24"/>
                <w:szCs w:val="24"/>
                <w:lang w:eastAsia="zh-CN"/>
              </w:rPr>
              <w:t>3611</w:t>
            </w:r>
          </w:p>
        </w:tc>
      </w:tr>
      <w:tr>
        <w:trPr>
          <w:trHeight w:val="93"/>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建设地点</w:t>
            </w:r>
          </w:p>
        </w:tc>
        <w:tc>
          <w:tcPr>
            <w:tcW w:w="3976"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hint="eastAsia"/>
                <w:sz w:val="24"/>
                <w:szCs w:val="24"/>
                <w:lang w:eastAsia="zh-CN"/>
              </w:rPr>
              <w:t>遂宁市大英县蓬莱镇南华路大英县嘉泰城市建设投资开发有限责任公司20幢厂房第3层</w:t>
            </w:r>
          </w:p>
        </w:tc>
      </w:tr>
      <w:tr>
        <w:trPr>
          <w:trHeight w:val="90"/>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地理坐标</w:t>
            </w:r>
          </w:p>
        </w:tc>
        <w:tc>
          <w:tcPr>
            <w:tcW w:w="3976"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ascii="Times New Roman" w:eastAsia="宋体" w:cs="Times New Roman" w:hAnsi="Times New Roman"/>
                <w:color w:val="auto"/>
                <w:sz w:val="24"/>
                <w:szCs w:val="24"/>
              </w:rPr>
              <w:t>（105度</w:t>
            </w:r>
            <w:r>
              <w:rPr>
                <w:rFonts w:cs="Times New Roman" w:hint="eastAsia"/>
                <w:color w:val="auto"/>
                <w:sz w:val="24"/>
                <w:szCs w:val="24"/>
                <w:lang w:val="en-US" w:eastAsia="zh-CN"/>
              </w:rPr>
              <w:t>15</w:t>
            </w:r>
            <w:r>
              <w:rPr>
                <w:rFonts w:ascii="Times New Roman" w:eastAsia="宋体" w:cs="Times New Roman" w:hAnsi="Times New Roman"/>
                <w:color w:val="auto"/>
                <w:sz w:val="24"/>
                <w:szCs w:val="24"/>
              </w:rPr>
              <w:t>分</w:t>
            </w:r>
            <w:r>
              <w:rPr>
                <w:rFonts w:cs="Times New Roman" w:hint="eastAsia"/>
                <w:color w:val="auto"/>
                <w:sz w:val="24"/>
                <w:szCs w:val="24"/>
                <w:lang w:val="en-US" w:eastAsia="zh-CN"/>
              </w:rPr>
              <w:t>54.208</w:t>
            </w:r>
            <w:r>
              <w:rPr>
                <w:rFonts w:ascii="Times New Roman" w:eastAsia="宋体" w:cs="Times New Roman" w:hAnsi="Times New Roman"/>
                <w:color w:val="auto"/>
                <w:sz w:val="24"/>
                <w:szCs w:val="24"/>
              </w:rPr>
              <w:t>秒</w:t>
            </w:r>
            <w:r>
              <w:rPr>
                <w:rFonts w:cs="Times New Roman" w:hint="eastAsia"/>
                <w:color w:val="auto"/>
                <w:sz w:val="24"/>
                <w:szCs w:val="24"/>
                <w:lang w:eastAsia="zh-CN"/>
              </w:rPr>
              <w:t>，</w:t>
            </w:r>
            <w:r>
              <w:rPr>
                <w:rFonts w:ascii="Times New Roman" w:eastAsia="宋体" w:cs="Times New Roman" w:hAnsi="Times New Roman"/>
                <w:color w:val="auto"/>
                <w:sz w:val="24"/>
                <w:szCs w:val="24"/>
              </w:rPr>
              <w:t>30度</w:t>
            </w:r>
            <w:r>
              <w:rPr>
                <w:rFonts w:cs="Times New Roman" w:hint="eastAsia"/>
                <w:color w:val="auto"/>
                <w:sz w:val="24"/>
                <w:szCs w:val="24"/>
                <w:lang w:val="en-US" w:eastAsia="zh-CN"/>
              </w:rPr>
              <w:t>34</w:t>
            </w:r>
            <w:r>
              <w:rPr>
                <w:rFonts w:ascii="Times New Roman" w:eastAsia="宋体" w:cs="Times New Roman" w:hAnsi="Times New Roman"/>
                <w:color w:val="auto"/>
                <w:sz w:val="24"/>
                <w:szCs w:val="24"/>
              </w:rPr>
              <w:t>分</w:t>
            </w:r>
            <w:r>
              <w:rPr>
                <w:rFonts w:cs="Times New Roman" w:hint="eastAsia"/>
                <w:color w:val="auto"/>
                <w:sz w:val="24"/>
                <w:szCs w:val="24"/>
                <w:lang w:val="en-US" w:eastAsia="zh-CN"/>
              </w:rPr>
              <w:t>44.024</w:t>
            </w:r>
            <w:r>
              <w:rPr>
                <w:rFonts w:ascii="Times New Roman" w:eastAsia="宋体" w:cs="Times New Roman" w:hAnsi="Times New Roman"/>
                <w:color w:val="auto"/>
                <w:sz w:val="24"/>
                <w:szCs w:val="24"/>
              </w:rPr>
              <w:t>秒</w:t>
            </w:r>
            <w:r>
              <w:rPr>
                <w:rFonts w:cs="Times New Roman" w:hint="eastAsia"/>
                <w:color w:val="auto"/>
                <w:sz w:val="24"/>
                <w:szCs w:val="24"/>
                <w:lang w:eastAsia="zh-CN"/>
              </w:rPr>
              <w:t>）</w:t>
            </w:r>
          </w:p>
        </w:tc>
      </w:tr>
      <w:tr>
        <w:trPr>
          <w:trHeight w:val="90"/>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国民经济</w:t>
            </w:r>
          </w:p>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行业类别</w:t>
            </w:r>
          </w:p>
        </w:tc>
        <w:tc>
          <w:tcPr>
            <w:tcW w:w="113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cs="Times New Roman" w:hint="eastAsia"/>
                <w:color w:val="auto"/>
                <w:sz w:val="24"/>
                <w:szCs w:val="24"/>
                <w:lang w:eastAsia="zh-CN"/>
              </w:rPr>
              <w:t>C4210金属废料及碎屑加工处理</w:t>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建设项目</w:t>
            </w:r>
          </w:p>
          <w:p>
            <w:pPr>
              <w:bidi w:val="0"/>
              <w:spacing w:line="360" w:lineRule="auto"/>
              <w:jc w:val="center"/>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行业类别</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color w:val="auto"/>
                <w:sz w:val="24"/>
                <w:szCs w:val="24"/>
                <w:lang w:eastAsia="zh-CN"/>
              </w:rPr>
            </w:pPr>
            <w:r>
              <w:rPr>
                <w:rFonts w:ascii="宋体" w:eastAsia="宋体" w:cs="宋体" w:hint="eastAsia"/>
                <w:color w:val="auto"/>
                <w:sz w:val="24"/>
                <w:szCs w:val="24"/>
                <w:lang w:eastAsia="zh-CN"/>
              </w:rPr>
              <w:t>“三</w:t>
            </w:r>
            <w:r>
              <w:rPr>
                <w:rFonts w:ascii="Times New Roman" w:eastAsia="宋体" w:cs="Times New Roman" w:hAnsi="Times New Roman"/>
                <w:color w:val="auto"/>
                <w:sz w:val="24"/>
                <w:szCs w:val="24"/>
                <w:lang w:eastAsia="zh-CN"/>
              </w:rPr>
              <w:t>十九、废弃资源综合利用业42；85金属废料和碎屑加工处理421</w:t>
            </w:r>
            <w:r>
              <w:rPr>
                <w:rFonts w:ascii="Times New Roman" w:eastAsia="宋体" w:cs="Times New Roman" w:hAnsi="Times New Roman" w:hint="eastAsia"/>
                <w:color w:val="auto"/>
                <w:sz w:val="24"/>
                <w:szCs w:val="24"/>
                <w:lang w:eastAsia="zh-CN"/>
              </w:rPr>
              <w:t>；废弃电器电子产品加工处理</w:t>
            </w:r>
            <w:r>
              <w:rPr>
                <w:rFonts w:ascii="宋体" w:eastAsia="宋体" w:cs="宋体" w:hint="eastAsia"/>
                <w:color w:val="auto"/>
                <w:sz w:val="24"/>
                <w:szCs w:val="24"/>
                <w:lang w:eastAsia="zh-CN"/>
              </w:rPr>
              <w:t>”</w:t>
            </w:r>
          </w:p>
        </w:tc>
      </w:tr>
      <w:tr>
        <w:trPr>
          <w:trHeight w:val="93"/>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建设性质</w:t>
            </w:r>
          </w:p>
        </w:tc>
        <w:tc>
          <w:tcPr>
            <w:tcW w:w="1134" w:type="pct"/>
            <w:tcBorders>
              <w:top w:val="single" w:sz="4" w:space="0" w:color="auto"/>
              <w:left w:val="single" w:sz="4" w:space="0" w:color="auto"/>
              <w:right w:val="single" w:sz="4" w:space="0" w:color="auto"/>
            </w:tcBorders>
            <w:noWrap/>
            <w:vAlign w:val="center"/>
          </w:tcPr>
          <w:p>
            <w:pPr>
              <w:bidi w:val="0"/>
              <w:spacing w:line="360" w:lineRule="auto"/>
              <w:rPr>
                <w:rFonts w:ascii="Times New Roman" w:eastAsia="宋体" w:cs="Times New Roman" w:hAnsi="Times New Roman" w:hint="eastAsia"/>
                <w:color w:val="auto"/>
                <w:sz w:val="24"/>
                <w:szCs w:val="24"/>
                <w:lang w:eastAsia="zh-CN"/>
              </w:rPr>
            </w:pPr>
            <w:r>
              <w:rPr>
                <w:rFonts w:ascii="Times New Roman" w:eastAsia="宋体" w:cs="Times New Roman" w:hAnsi="Times New Roman"/>
                <w:color w:val="auto"/>
                <w:sz w:val="24"/>
                <w:szCs w:val="24"/>
              </w:rPr>
              <w:t>☑新建（迁建</w:t>
            </w:r>
            <w:r>
              <w:rPr>
                <w:rFonts w:cs="Times New Roman" w:hint="eastAsia"/>
                <w:color w:val="auto"/>
                <w:sz w:val="24"/>
                <w:szCs w:val="24"/>
                <w:lang w:eastAsia="zh-CN"/>
              </w:rPr>
              <w:t>）</w:t>
            </w:r>
          </w:p>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□改建</w:t>
            </w:r>
          </w:p>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□扩建</w:t>
            </w:r>
          </w:p>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□技术改造</w:t>
              <w:tab/>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建设项目</w:t>
            </w:r>
          </w:p>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申报情形</w:t>
            </w:r>
          </w:p>
        </w:tc>
        <w:tc>
          <w:tcPr>
            <w:tcW w:w="1757" w:type="pct"/>
            <w:tcBorders>
              <w:top w:val="single" w:sz="4" w:space="0" w:color="auto"/>
              <w:left w:val="single" w:sz="4" w:space="0" w:color="auto"/>
              <w:right w:val="single" w:sz="4" w:space="0" w:color="auto"/>
            </w:tcBorders>
            <w:noWrap/>
            <w:vAlign w:val="center"/>
          </w:tcPr>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 xml:space="preserve">☑首次申报项目             </w:t>
            </w:r>
          </w:p>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lang w:eastAsia="zh-CN"/>
              </w:rPr>
              <w:t>□</w:t>
            </w:r>
            <w:r>
              <w:rPr>
                <w:rFonts w:ascii="Times New Roman" w:eastAsia="宋体" w:cs="Times New Roman" w:hAnsi="Times New Roman"/>
                <w:color w:val="auto"/>
                <w:sz w:val="24"/>
                <w:szCs w:val="24"/>
              </w:rPr>
              <w:t>不予批准后再次申报项目</w:t>
            </w:r>
          </w:p>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lang w:eastAsia="zh-CN"/>
              </w:rPr>
              <w:t>□</w:t>
            </w:r>
            <w:r>
              <w:rPr>
                <w:rFonts w:ascii="Times New Roman" w:eastAsia="宋体" w:cs="Times New Roman" w:hAnsi="Times New Roman"/>
                <w:color w:val="auto"/>
                <w:sz w:val="24"/>
                <w:szCs w:val="24"/>
              </w:rPr>
              <w:t xml:space="preserve">超五年重新审核项目     </w:t>
            </w:r>
          </w:p>
          <w:p>
            <w:pPr>
              <w:bidi w:val="0"/>
              <w:spacing w:line="360" w:lineRule="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lang w:eastAsia="zh-CN"/>
              </w:rPr>
              <w:t>□</w:t>
            </w:r>
            <w:r>
              <w:rPr>
                <w:rFonts w:ascii="Times New Roman" w:eastAsia="宋体" w:cs="Times New Roman" w:hAnsi="Times New Roman"/>
                <w:color w:val="auto"/>
                <w:sz w:val="24"/>
                <w:szCs w:val="24"/>
              </w:rPr>
              <w:t>重大变动重新报批项目</w:t>
            </w:r>
          </w:p>
        </w:tc>
      </w:tr>
      <w:tr>
        <w:trPr>
          <w:trHeight w:val="93"/>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b/>
                <w:bCs/>
                <w:color w:val="auto"/>
                <w:sz w:val="24"/>
                <w:szCs w:val="24"/>
                <w:lang w:eastAsia="zh-CN"/>
              </w:rPr>
            </w:pPr>
            <w:r>
              <w:rPr>
                <w:rFonts w:ascii="Times New Roman" w:eastAsia="宋体" w:cs="Times New Roman" w:hAnsi="Times New Roman"/>
                <w:b/>
                <w:bCs/>
                <w:color w:val="auto"/>
                <w:sz w:val="22"/>
                <w:szCs w:val="22"/>
              </w:rPr>
              <w:t>项目审批（核准/备案</w:t>
            </w:r>
            <w:r>
              <w:rPr>
                <w:rFonts w:cs="Times New Roman" w:hint="eastAsia"/>
                <w:b/>
                <w:bCs/>
                <w:color w:val="auto"/>
                <w:sz w:val="22"/>
                <w:szCs w:val="22"/>
                <w:lang w:eastAsia="zh-CN"/>
              </w:rPr>
              <w:t>）</w:t>
            </w:r>
            <w:r>
              <w:rPr>
                <w:rFonts w:ascii="Times New Roman" w:eastAsia="宋体" w:cs="Times New Roman" w:hAnsi="Times New Roman"/>
                <w:b/>
                <w:bCs/>
                <w:color w:val="auto"/>
                <w:sz w:val="22"/>
                <w:szCs w:val="22"/>
              </w:rPr>
              <w:t>部门（选填</w:t>
            </w:r>
            <w:r>
              <w:rPr>
                <w:rFonts w:cs="Times New Roman" w:hint="eastAsia"/>
                <w:b/>
                <w:bCs/>
                <w:color w:val="auto"/>
                <w:sz w:val="22"/>
                <w:szCs w:val="22"/>
                <w:lang w:eastAsia="zh-CN"/>
              </w:rPr>
              <w:t>）</w:t>
            </w:r>
          </w:p>
        </w:tc>
        <w:tc>
          <w:tcPr>
            <w:tcW w:w="1134" w:type="pct"/>
            <w:tcBorders>
              <w:top w:val="single" w:sz="4" w:space="0" w:color="auto"/>
              <w:left w:val="single" w:sz="4" w:space="0" w:color="auto"/>
              <w:right w:val="single" w:sz="4" w:space="0" w:color="auto"/>
            </w:tcBorders>
            <w:noWrap/>
            <w:vAlign w:val="center"/>
          </w:tcPr>
          <w:p>
            <w:pPr>
              <w:bidi w:val="0"/>
              <w:spacing w:line="360" w:lineRule="auto"/>
              <w:jc w:val="center"/>
              <w:rPr>
                <w:rFonts w:cs="Times New Roman" w:hint="eastAsia"/>
                <w:color w:val="auto"/>
                <w:sz w:val="24"/>
                <w:szCs w:val="24"/>
                <w:lang w:val="en-US" w:eastAsia="zh-CN"/>
              </w:rPr>
            </w:pPr>
            <w:r>
              <w:rPr>
                <w:rFonts w:cs="Times New Roman" w:hint="eastAsia"/>
                <w:color w:val="auto"/>
                <w:sz w:val="24"/>
                <w:szCs w:val="24"/>
                <w:lang w:val="en-US" w:eastAsia="zh-CN"/>
              </w:rPr>
              <w:t>大英县发展</w:t>
            </w:r>
          </w:p>
          <w:p>
            <w:pPr>
              <w:bidi w:val="0"/>
              <w:spacing w:line="360" w:lineRule="auto"/>
              <w:jc w:val="center"/>
              <w:rPr>
                <w:rFonts w:ascii="Times New Roman" w:eastAsia="宋体" w:cs="Times New Roman" w:hAnsi="Times New Roman" w:hint="eastAsia"/>
                <w:color w:val="auto"/>
                <w:sz w:val="24"/>
                <w:szCs w:val="24"/>
                <w:lang w:eastAsia="zh-CN"/>
              </w:rPr>
            </w:pPr>
            <w:r>
              <w:rPr>
                <w:rFonts w:cs="Times New Roman" w:hint="eastAsia"/>
                <w:color w:val="auto"/>
                <w:sz w:val="24"/>
                <w:szCs w:val="24"/>
                <w:lang w:val="en-US" w:eastAsia="zh-CN"/>
              </w:rPr>
              <w:t>和改革局</w:t>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b/>
                <w:bCs/>
                <w:color w:val="auto"/>
                <w:sz w:val="24"/>
                <w:szCs w:val="24"/>
                <w:lang w:eastAsia="zh-CN"/>
              </w:rPr>
            </w:pPr>
            <w:r>
              <w:rPr>
                <w:rFonts w:ascii="Times New Roman" w:eastAsia="宋体" w:cs="Times New Roman" w:hAnsi="Times New Roman"/>
                <w:b/>
                <w:bCs/>
                <w:color w:val="auto"/>
                <w:sz w:val="21"/>
                <w:szCs w:val="21"/>
              </w:rPr>
              <w:t>项目审批（核准/备案</w:t>
            </w:r>
            <w:r>
              <w:rPr>
                <w:rFonts w:cs="Times New Roman" w:hint="eastAsia"/>
                <w:b/>
                <w:bCs/>
                <w:color w:val="auto"/>
                <w:sz w:val="21"/>
                <w:szCs w:val="21"/>
                <w:lang w:eastAsia="zh-CN"/>
              </w:rPr>
              <w:t>）</w:t>
            </w:r>
            <w:r>
              <w:rPr>
                <w:rFonts w:ascii="Times New Roman" w:eastAsia="宋体" w:cs="Times New Roman" w:hAnsi="Times New Roman"/>
                <w:b/>
                <w:bCs/>
                <w:color w:val="auto"/>
                <w:sz w:val="21"/>
                <w:szCs w:val="21"/>
              </w:rPr>
              <w:t>文号（选填</w:t>
            </w:r>
            <w:r>
              <w:rPr>
                <w:rFonts w:cs="Times New Roman" w:hint="eastAsia"/>
                <w:b/>
                <w:bCs/>
                <w:color w:val="auto"/>
                <w:sz w:val="21"/>
                <w:szCs w:val="21"/>
                <w:lang w:eastAsia="zh-CN"/>
              </w:rPr>
              <w:t>）</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cs="Times New Roman" w:hint="eastAsia"/>
                <w:color w:val="auto"/>
                <w:sz w:val="24"/>
                <w:szCs w:val="24"/>
                <w:lang w:eastAsia="zh-CN"/>
              </w:rPr>
              <w:t>川投资备【2410-510923-04-01-687764】FGQB-0311号</w:t>
            </w:r>
          </w:p>
        </w:tc>
      </w:tr>
      <w:tr>
        <w:trPr>
          <w:trHeight w:val="90"/>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b/>
                <w:bCs/>
                <w:color w:val="auto"/>
                <w:sz w:val="24"/>
                <w:szCs w:val="24"/>
                <w:lang w:eastAsia="zh-CN"/>
              </w:rPr>
            </w:pPr>
            <w:r>
              <w:rPr>
                <w:rFonts w:ascii="Times New Roman" w:eastAsia="宋体" w:cs="Times New Roman" w:hAnsi="Times New Roman"/>
                <w:b/>
                <w:bCs/>
                <w:color w:val="auto"/>
                <w:sz w:val="24"/>
                <w:szCs w:val="24"/>
              </w:rPr>
              <w:t>总投资（万元</w:t>
            </w:r>
            <w:r>
              <w:rPr>
                <w:rFonts w:cs="Times New Roman" w:hint="eastAsia"/>
                <w:b/>
                <w:bCs/>
                <w:color w:val="auto"/>
                <w:sz w:val="24"/>
                <w:szCs w:val="24"/>
                <w:lang w:eastAsia="zh-CN"/>
              </w:rPr>
              <w:t>）</w:t>
            </w:r>
          </w:p>
        </w:tc>
        <w:tc>
          <w:tcPr>
            <w:tcW w:w="113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200.00</w:t>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b/>
                <w:bCs/>
                <w:color w:val="auto"/>
                <w:sz w:val="24"/>
                <w:szCs w:val="24"/>
                <w:lang w:eastAsia="zh-CN"/>
              </w:rPr>
            </w:pPr>
            <w:r>
              <w:rPr>
                <w:rFonts w:ascii="Times New Roman" w:eastAsia="宋体" w:cs="Times New Roman" w:hAnsi="Times New Roman"/>
                <w:b/>
                <w:bCs/>
                <w:color w:val="auto"/>
                <w:sz w:val="22"/>
                <w:szCs w:val="22"/>
              </w:rPr>
              <w:t>环保投资（万元</w:t>
            </w:r>
            <w:r>
              <w:rPr>
                <w:rFonts w:cs="Times New Roman" w:hint="eastAsia"/>
                <w:b/>
                <w:bCs/>
                <w:color w:val="auto"/>
                <w:sz w:val="22"/>
                <w:szCs w:val="22"/>
                <w:lang w:eastAsia="zh-CN"/>
              </w:rPr>
              <w:t>）</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20.5</w:t>
            </w:r>
          </w:p>
        </w:tc>
      </w:tr>
      <w:tr>
        <w:trPr>
          <w:trHeight w:val="93"/>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b/>
                <w:bCs/>
                <w:color w:val="auto"/>
                <w:sz w:val="24"/>
                <w:szCs w:val="24"/>
                <w:lang w:eastAsia="zh-CN"/>
              </w:rPr>
            </w:pPr>
            <w:r>
              <w:rPr>
                <w:rFonts w:ascii="Times New Roman" w:eastAsia="宋体" w:cs="Times New Roman" w:hAnsi="Times New Roman"/>
                <w:b/>
                <w:bCs/>
                <w:color w:val="auto"/>
                <w:sz w:val="24"/>
                <w:szCs w:val="24"/>
              </w:rPr>
              <w:t>环保投资比例（%</w:t>
            </w:r>
            <w:r>
              <w:rPr>
                <w:rFonts w:cs="Times New Roman" w:hint="eastAsia"/>
                <w:b/>
                <w:bCs/>
                <w:color w:val="auto"/>
                <w:sz w:val="24"/>
                <w:szCs w:val="24"/>
                <w:lang w:eastAsia="zh-CN"/>
              </w:rPr>
              <w:t>）</w:t>
            </w:r>
          </w:p>
        </w:tc>
        <w:tc>
          <w:tcPr>
            <w:tcW w:w="113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10.25</w:t>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施工工期</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rPr>
            </w:pPr>
            <w:r>
              <w:rPr>
                <w:rFonts w:cs="Times New Roman" w:hint="eastAsia"/>
                <w:color w:val="auto"/>
                <w:sz w:val="24"/>
                <w:szCs w:val="24"/>
                <w:lang w:val="en-US" w:eastAsia="zh-CN"/>
              </w:rPr>
              <w:t>2</w:t>
            </w:r>
            <w:r>
              <w:rPr>
                <w:rFonts w:ascii="Times New Roman" w:eastAsia="宋体" w:cs="Times New Roman" w:hAnsi="Times New Roman"/>
                <w:color w:val="auto"/>
                <w:sz w:val="24"/>
                <w:szCs w:val="24"/>
              </w:rPr>
              <w:t>个月</w:t>
            </w:r>
          </w:p>
        </w:tc>
      </w:tr>
      <w:tr>
        <w:trPr>
          <w:trHeight w:val="31"/>
        </w:trPr>
        <w:tc>
          <w:tcPr>
            <w:tcW w:w="1023" w:type="pct"/>
            <w:gridSpan w:val="3"/>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是否开工建设</w:t>
            </w:r>
          </w:p>
        </w:tc>
        <w:tc>
          <w:tcPr>
            <w:tcW w:w="1134" w:type="pct"/>
            <w:tcBorders>
              <w:top w:val="single" w:sz="4" w:space="0" w:color="auto"/>
              <w:left w:val="single" w:sz="4" w:space="0" w:color="auto"/>
              <w:right w:val="single" w:sz="4" w:space="0" w:color="auto"/>
            </w:tcBorders>
            <w:noWrap/>
            <w:vAlign w:val="center"/>
          </w:tcPr>
          <w:p>
            <w:pPr>
              <w:bidi w:val="0"/>
              <w:spacing w:line="360" w:lineRule="auto"/>
              <w:jc w:val="left"/>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☑否</w:t>
            </w:r>
          </w:p>
          <w:p>
            <w:pPr>
              <w:bidi w:val="0"/>
              <w:spacing w:line="360" w:lineRule="auto"/>
              <w:jc w:val="left"/>
              <w:rPr>
                <w:rFonts w:ascii="Times New Roman" w:eastAsia="宋体" w:cs="Times New Roman" w:hAnsi="Times New Roman" w:hint="eastAsia"/>
                <w:color w:val="auto"/>
                <w:sz w:val="24"/>
                <w:szCs w:val="24"/>
                <w:lang w:eastAsia="zh-CN"/>
              </w:rPr>
            </w:pPr>
            <w:r>
              <w:rPr>
                <w:rFonts w:ascii="Times New Roman" w:eastAsia="宋体" w:cs="Times New Roman" w:hAnsi="Times New Roman"/>
                <w:color w:val="auto"/>
                <w:sz w:val="24"/>
                <w:szCs w:val="24"/>
              </w:rPr>
              <w:t>□是</w:t>
            </w:r>
            <w:r>
              <w:rPr>
                <w:rFonts w:cs="Times New Roman" w:hint="eastAsia"/>
                <w:color w:val="auto"/>
                <w:sz w:val="24"/>
                <w:szCs w:val="24"/>
                <w:lang w:eastAsia="zh-CN"/>
              </w:rPr>
              <w:t>：</w:t>
            </w:r>
          </w:p>
        </w:tc>
        <w:tc>
          <w:tcPr>
            <w:tcW w:w="1084"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hint="eastAsia"/>
                <w:color w:val="auto"/>
                <w:sz w:val="24"/>
                <w:szCs w:val="24"/>
                <w:lang w:eastAsia="zh-CN"/>
              </w:rPr>
            </w:pPr>
            <w:r>
              <w:rPr>
                <w:rFonts w:ascii="Times New Roman" w:eastAsia="宋体" w:cs="Times New Roman" w:hAnsi="Times New Roman"/>
                <w:color w:val="auto"/>
                <w:sz w:val="24"/>
                <w:szCs w:val="24"/>
              </w:rPr>
              <w:t>用地（用海</w:t>
            </w:r>
            <w:r>
              <w:rPr>
                <w:rFonts w:cs="Times New Roman" w:hint="eastAsia"/>
                <w:color w:val="auto"/>
                <w:sz w:val="24"/>
                <w:szCs w:val="24"/>
                <w:lang w:eastAsia="zh-CN"/>
              </w:rPr>
              <w:t>）</w:t>
            </w:r>
            <w:r>
              <w:rPr>
                <w:rFonts w:ascii="Times New Roman" w:eastAsia="宋体" w:cs="Times New Roman" w:hAnsi="Times New Roman"/>
                <w:color w:val="auto"/>
                <w:sz w:val="24"/>
                <w:szCs w:val="24"/>
              </w:rPr>
              <w:t>面积（m</w:t>
            </w:r>
            <w:r>
              <w:rPr>
                <w:rFonts w:ascii="Times New Roman" w:eastAsia="宋体" w:cs="Times New Roman" w:hAnsi="Times New Roman"/>
                <w:color w:val="auto"/>
                <w:sz w:val="24"/>
                <w:szCs w:val="24"/>
                <w:vertAlign w:val="superscript"/>
              </w:rPr>
              <w:t>2</w:t>
            </w:r>
            <w:r>
              <w:rPr>
                <w:rFonts w:cs="Times New Roman" w:hint="eastAsia"/>
                <w:color w:val="auto"/>
                <w:sz w:val="24"/>
                <w:szCs w:val="24"/>
                <w:lang w:eastAsia="zh-CN"/>
              </w:rPr>
              <w:t>）</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500.00（租赁）</w:t>
            </w:r>
          </w:p>
        </w:tc>
      </w:tr>
      <w:tr>
        <w:trPr>
          <w:trHeight w:val="90"/>
        </w:trPr>
        <w:tc>
          <w:tcPr>
            <w:tcW w:w="346" w:type="pct"/>
            <w:vMerge w:val="restar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1"/>
                <w:szCs w:val="21"/>
              </w:rPr>
              <w:t>专项评价设置情况</w:t>
            </w:r>
          </w:p>
        </w:tc>
        <w:tc>
          <w:tcPr>
            <w:tcW w:w="676"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专项评价</w:t>
            </w:r>
          </w:p>
        </w:tc>
        <w:tc>
          <w:tcPr>
            <w:tcW w:w="2219"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hint="eastAsia"/>
                <w:b/>
                <w:bCs/>
                <w:color w:val="auto"/>
                <w:sz w:val="21"/>
                <w:szCs w:val="21"/>
                <w:lang w:eastAsia="zh-CN"/>
              </w:rPr>
              <w:t>本项目</w:t>
            </w:r>
          </w:p>
        </w:tc>
      </w:tr>
      <w:tr>
        <w:trPr>
          <w:trHeight w:val="90"/>
        </w:trPr>
        <w:tc>
          <w:tcPr>
            <w:tcW w:w="346" w:type="pct"/>
            <w:vMerge/>
            <w:tcBorders>
              <w:top w:val="single" w:sz="4" w:space="0" w:color="auto"/>
              <w:left w:val="single" w:sz="4" w:space="0" w:color="auto"/>
              <w:right w:val="single" w:sz="4" w:space="0" w:color="auto"/>
            </w:tcBorders>
            <w:noWrap/>
            <w:vAlign w:val="center"/>
          </w:tcPr>
          <w:p/>
        </w:tc>
        <w:tc>
          <w:tcPr>
            <w:tcW w:w="676"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大气</w:t>
            </w:r>
          </w:p>
        </w:tc>
        <w:tc>
          <w:tcPr>
            <w:tcW w:w="2219" w:type="pct"/>
            <w:gridSpan w:val="2"/>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rPr>
              <w:t>排放废气含有毒有害污染物、二噁英、苯并[α]芘、氰化物、氯气且厂界外500m范围内有环境空气保护目标的建设项目</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cs="Times New Roman" w:hint="eastAsia"/>
                <w:b w:val="0"/>
                <w:bCs w:val="0"/>
                <w:color w:val="auto"/>
                <w:sz w:val="21"/>
                <w:szCs w:val="21"/>
                <w:lang w:eastAsia="zh-CN"/>
              </w:rPr>
              <w:t>本</w:t>
            </w:r>
            <w:r>
              <w:rPr>
                <w:rFonts w:ascii="Times New Roman" w:eastAsia="宋体" w:cs="Times New Roman" w:hAnsi="Times New Roman"/>
                <w:b w:val="0"/>
                <w:bCs w:val="0"/>
                <w:color w:val="auto"/>
                <w:sz w:val="21"/>
                <w:szCs w:val="21"/>
              </w:rPr>
              <w:t>项目排放废气不含有毒有害污染物、二噁英、苯并[α]芘、氰化物</w:t>
            </w:r>
            <w:r>
              <w:rPr>
                <w:rFonts w:cs="Times New Roman" w:hint="eastAsia"/>
                <w:b w:val="0"/>
                <w:bCs w:val="0"/>
                <w:color w:val="auto"/>
                <w:sz w:val="21"/>
                <w:szCs w:val="21"/>
                <w:lang w:val="en-US" w:eastAsia="zh-CN"/>
              </w:rPr>
              <w:t>及</w:t>
            </w:r>
            <w:r>
              <w:rPr>
                <w:rFonts w:ascii="Times New Roman" w:eastAsia="宋体" w:cs="Times New Roman" w:hAnsi="Times New Roman"/>
                <w:b w:val="0"/>
                <w:bCs w:val="0"/>
                <w:color w:val="auto"/>
                <w:sz w:val="21"/>
                <w:szCs w:val="21"/>
              </w:rPr>
              <w:t>氯气</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不设大气环境影响专项评价</w:t>
            </w:r>
          </w:p>
        </w:tc>
      </w:tr>
      <w:tr>
        <w:trPr>
          <w:trHeight w:val="90"/>
        </w:trPr>
        <w:tc>
          <w:tcPr>
            <w:tcW w:w="346" w:type="pct"/>
            <w:vMerge/>
            <w:tcBorders>
              <w:top w:val="single" w:sz="4" w:space="0" w:color="auto"/>
              <w:left w:val="single" w:sz="4" w:space="0" w:color="auto"/>
              <w:right w:val="single" w:sz="4" w:space="0" w:color="auto"/>
            </w:tcBorders>
            <w:noWrap/>
            <w:vAlign w:val="center"/>
          </w:tcPr>
          <w:p/>
        </w:tc>
        <w:tc>
          <w:tcPr>
            <w:tcW w:w="676"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地表水</w:t>
            </w:r>
          </w:p>
        </w:tc>
        <w:tc>
          <w:tcPr>
            <w:tcW w:w="2219" w:type="pct"/>
            <w:gridSpan w:val="2"/>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rPr>
              <w:t>新增工业废水直接排放建设项目（槽罐车外送污水处理厂的除外</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；新增废水直排的污水集中处理厂</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cs="Times New Roman" w:hint="eastAsia"/>
                <w:b w:val="0"/>
                <w:bCs w:val="0"/>
                <w:color w:val="auto"/>
                <w:sz w:val="21"/>
                <w:szCs w:val="21"/>
                <w:lang w:val="en-US" w:eastAsia="zh-CN"/>
              </w:rPr>
              <w:t>本</w:t>
            </w:r>
            <w:r>
              <w:rPr>
                <w:rFonts w:ascii="Times New Roman" w:eastAsia="宋体" w:cs="Times New Roman" w:hAnsi="Times New Roman"/>
                <w:b w:val="0"/>
                <w:bCs w:val="0"/>
                <w:color w:val="auto"/>
                <w:sz w:val="21"/>
                <w:szCs w:val="21"/>
              </w:rPr>
              <w:t>项目废水通过市政管网排入大英县工业污水处理厂</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项目不设地表水专项评价。</w:t>
            </w:r>
          </w:p>
        </w:tc>
      </w:tr>
      <w:tr>
        <w:trPr>
          <w:trHeight w:val="90"/>
        </w:trPr>
        <w:tc>
          <w:tcPr>
            <w:tcW w:w="346" w:type="pct"/>
            <w:vMerge/>
            <w:tcBorders>
              <w:top w:val="single" w:sz="4" w:space="0" w:color="auto"/>
              <w:left w:val="single" w:sz="4" w:space="0" w:color="auto"/>
              <w:right w:val="single" w:sz="4" w:space="0" w:color="auto"/>
            </w:tcBorders>
            <w:noWrap/>
            <w:vAlign w:val="center"/>
          </w:tcPr>
          <w:p/>
        </w:tc>
        <w:tc>
          <w:tcPr>
            <w:tcW w:w="676"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环境风险</w:t>
            </w:r>
          </w:p>
        </w:tc>
        <w:tc>
          <w:tcPr>
            <w:tcW w:w="2219" w:type="pct"/>
            <w:gridSpan w:val="2"/>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rPr>
              <w:t>有毒有害和易燃易爆危险物质存储量超过临界量的建设项目。</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hint="eastAsia"/>
                <w:b w:val="0"/>
                <w:bCs w:val="0"/>
                <w:color w:val="auto"/>
                <w:sz w:val="21"/>
                <w:szCs w:val="21"/>
                <w:lang w:eastAsia="zh-CN"/>
              </w:rPr>
            </w:pPr>
            <w:r>
              <w:rPr>
                <w:rFonts w:cs="Times New Roman" w:hint="eastAsia"/>
                <w:b w:val="0"/>
                <w:bCs w:val="0"/>
                <w:color w:val="auto"/>
                <w:sz w:val="21"/>
                <w:szCs w:val="21"/>
                <w:lang w:val="en-US" w:eastAsia="zh-CN"/>
              </w:rPr>
              <w:t>本项目</w:t>
            </w:r>
            <w:r>
              <w:rPr>
                <w:rFonts w:ascii="Times New Roman" w:eastAsia="宋体" w:cs="Times New Roman" w:hAnsi="Times New Roman"/>
                <w:b w:val="0"/>
                <w:bCs w:val="0"/>
                <w:color w:val="auto"/>
                <w:sz w:val="21"/>
                <w:szCs w:val="21"/>
              </w:rPr>
              <w:t>主要有毒有害和易燃易爆危险物质存储量未超过临界量</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不设环境风险专项评价</w:t>
            </w:r>
            <w:r>
              <w:rPr>
                <w:rFonts w:cs="Times New Roman" w:hint="eastAsia"/>
                <w:b w:val="0"/>
                <w:bCs w:val="0"/>
                <w:color w:val="auto"/>
                <w:sz w:val="21"/>
                <w:szCs w:val="21"/>
                <w:lang w:eastAsia="zh-CN"/>
              </w:rPr>
              <w:t>。</w:t>
            </w:r>
          </w:p>
        </w:tc>
      </w:tr>
      <w:tr>
        <w:trPr>
          <w:trHeight w:val="90"/>
        </w:trPr>
        <w:tc>
          <w:tcPr>
            <w:tcW w:w="346" w:type="pct"/>
            <w:vMerge/>
            <w:tcBorders>
              <w:top w:val="single" w:sz="4" w:space="0" w:color="auto"/>
              <w:left w:val="single" w:sz="4" w:space="0" w:color="auto"/>
              <w:right w:val="single" w:sz="4" w:space="0" w:color="auto"/>
            </w:tcBorders>
            <w:noWrap/>
            <w:vAlign w:val="center"/>
          </w:tcPr>
          <w:p/>
        </w:tc>
        <w:tc>
          <w:tcPr>
            <w:tcW w:w="676"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生态</w:t>
            </w:r>
          </w:p>
        </w:tc>
        <w:tc>
          <w:tcPr>
            <w:tcW w:w="2219" w:type="pct"/>
            <w:gridSpan w:val="2"/>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rPr>
              <w:t>取水口下游500m范围内有重要水生生物的自然产卵场、索饵场、越冬场和洄游通道的新增河道取水的污染类建设项目</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rPr>
              <w:t>本项目不涉及河道取水</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不设生态专项评价。</w:t>
            </w:r>
          </w:p>
        </w:tc>
      </w:tr>
      <w:tr>
        <w:trPr>
          <w:trHeight w:val="154"/>
        </w:trPr>
        <w:tc>
          <w:tcPr>
            <w:tcW w:w="346" w:type="pct"/>
            <w:vMerge/>
            <w:tcBorders>
              <w:top w:val="single" w:sz="4" w:space="0" w:color="auto"/>
              <w:left w:val="single" w:sz="4" w:space="0" w:color="auto"/>
              <w:right w:val="single" w:sz="4" w:space="0" w:color="auto"/>
            </w:tcBorders>
            <w:noWrap/>
            <w:vAlign w:val="center"/>
          </w:tcPr>
          <w:p/>
        </w:tc>
        <w:tc>
          <w:tcPr>
            <w:tcW w:w="676"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海洋</w:t>
            </w:r>
          </w:p>
        </w:tc>
        <w:tc>
          <w:tcPr>
            <w:tcW w:w="2219" w:type="pct"/>
            <w:gridSpan w:val="2"/>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rPr>
              <w:t>海洋直接向海洋排放污染物的海洋工程建设项目</w:t>
            </w:r>
          </w:p>
        </w:tc>
        <w:tc>
          <w:tcPr>
            <w:tcW w:w="1757" w:type="pct"/>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val="0"/>
                <w:bCs w:val="0"/>
                <w:color w:val="auto"/>
                <w:sz w:val="21"/>
                <w:szCs w:val="21"/>
              </w:rPr>
            </w:pPr>
            <w:r>
              <w:rPr>
                <w:rFonts w:cs="Times New Roman" w:hint="eastAsia"/>
                <w:b w:val="0"/>
                <w:bCs w:val="0"/>
                <w:color w:val="auto"/>
                <w:sz w:val="21"/>
                <w:szCs w:val="21"/>
                <w:lang w:val="en-US" w:eastAsia="zh-CN"/>
              </w:rPr>
              <w:t>本</w:t>
            </w:r>
            <w:r>
              <w:rPr>
                <w:rFonts w:ascii="Times New Roman" w:eastAsia="宋体" w:cs="Times New Roman" w:hAnsi="Times New Roman"/>
                <w:b w:val="0"/>
                <w:bCs w:val="0"/>
                <w:color w:val="auto"/>
                <w:sz w:val="21"/>
                <w:szCs w:val="21"/>
              </w:rPr>
              <w:t>项目不</w:t>
            </w:r>
            <w:r>
              <w:rPr>
                <w:rFonts w:cs="Times New Roman" w:hint="eastAsia"/>
                <w:b w:val="0"/>
                <w:bCs w:val="0"/>
                <w:color w:val="auto"/>
                <w:sz w:val="21"/>
                <w:szCs w:val="21"/>
                <w:lang w:val="en-US" w:eastAsia="zh-CN"/>
              </w:rPr>
              <w:t>涉及</w:t>
            </w:r>
            <w:r>
              <w:rPr>
                <w:rFonts w:ascii="Times New Roman" w:eastAsia="宋体" w:cs="Times New Roman" w:hAnsi="Times New Roman"/>
                <w:b w:val="0"/>
                <w:bCs w:val="0"/>
                <w:color w:val="auto"/>
                <w:sz w:val="21"/>
                <w:szCs w:val="21"/>
              </w:rPr>
              <w:t>海洋工程建设</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不设海洋专项评价。</w:t>
            </w:r>
          </w:p>
        </w:tc>
      </w:tr>
      <w:tr>
        <w:trPr>
          <w:trHeight w:val="449"/>
        </w:trPr>
        <w:tc>
          <w:tcPr>
            <w:tcW w:w="510"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规划</w:t>
            </w:r>
          </w:p>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情况</w:t>
            </w:r>
          </w:p>
        </w:tc>
        <w:tc>
          <w:tcPr>
            <w:tcW w:w="4489" w:type="pct"/>
            <w:gridSpan w:val="4"/>
            <w:tcBorders>
              <w:top w:val="single" w:sz="4" w:space="0" w:color="auto"/>
              <w:left w:val="single" w:sz="4" w:space="0" w:color="auto"/>
              <w:right w:val="single" w:sz="4" w:space="0" w:color="auto"/>
            </w:tcBorders>
            <w:noWrap/>
            <w:vAlign w:val="center"/>
          </w:tcPr>
          <w:p>
            <w:pPr>
              <w:bidi w:val="0"/>
              <w:spacing w:line="360" w:lineRule="auto"/>
              <w:jc w:val="both"/>
              <w:rPr>
                <w:rFonts w:cs="Times New Roman" w:hint="eastAsia"/>
                <w:b w:val="0"/>
                <w:bCs w:val="0"/>
                <w:color w:val="auto"/>
                <w:sz w:val="24"/>
                <w:szCs w:val="24"/>
                <w:lang w:val="en-US" w:eastAsia="zh-CN"/>
              </w:rPr>
            </w:pPr>
            <w:r>
              <w:rPr>
                <w:rFonts w:cs="Times New Roman" w:hint="eastAsia"/>
                <w:b/>
                <w:bCs/>
                <w:color w:val="auto"/>
                <w:sz w:val="24"/>
                <w:szCs w:val="24"/>
                <w:lang w:val="en-US" w:eastAsia="zh-CN"/>
              </w:rPr>
              <w:t>规划名称：</w:t>
            </w:r>
            <w:r>
              <w:rPr>
                <w:rFonts w:cs="Times New Roman" w:hint="eastAsia"/>
                <w:b w:val="0"/>
                <w:bCs w:val="0"/>
                <w:color w:val="auto"/>
                <w:sz w:val="24"/>
                <w:szCs w:val="24"/>
                <w:lang w:val="en-US" w:eastAsia="zh-CN"/>
              </w:rPr>
              <w:t>《四川浦江经济开发区等64家省级开发区》；</w:t>
            </w:r>
          </w:p>
          <w:p>
            <w:pPr>
              <w:bidi w:val="0"/>
              <w:spacing w:line="360" w:lineRule="auto"/>
              <w:jc w:val="both"/>
              <w:rPr>
                <w:rFonts w:cs="Times New Roman" w:hint="eastAsia"/>
                <w:b w:val="0"/>
                <w:bCs w:val="0"/>
                <w:color w:val="auto"/>
                <w:sz w:val="24"/>
                <w:szCs w:val="24"/>
                <w:lang w:val="en-US" w:eastAsia="zh-CN"/>
              </w:rPr>
            </w:pPr>
            <w:r>
              <w:rPr>
                <w:rFonts w:cs="Times New Roman" w:hint="eastAsia"/>
                <w:b/>
                <w:bCs/>
                <w:color w:val="auto"/>
                <w:sz w:val="24"/>
                <w:szCs w:val="24"/>
                <w:lang w:val="en-US" w:eastAsia="zh-CN"/>
              </w:rPr>
              <w:t>审批机关：</w:t>
            </w:r>
            <w:r>
              <w:rPr>
                <w:rFonts w:cs="Times New Roman" w:hint="eastAsia"/>
                <w:b w:val="0"/>
                <w:bCs w:val="0"/>
                <w:color w:val="auto"/>
                <w:sz w:val="24"/>
                <w:szCs w:val="24"/>
                <w:lang w:val="en-US" w:eastAsia="zh-CN"/>
              </w:rPr>
              <w:t>四川省人民政府；</w:t>
            </w:r>
          </w:p>
          <w:p>
            <w:pPr>
              <w:bidi w:val="0"/>
              <w:spacing w:line="360" w:lineRule="auto"/>
              <w:ind w:left="0" w:firstLine="0"/>
              <w:jc w:val="left"/>
              <w:rPr>
                <w:rFonts w:ascii="Times New Roman" w:eastAsia="宋体" w:cs="Times New Roman" w:hAnsi="Times New Roman" w:hint="eastAsia"/>
                <w:b w:val="0"/>
                <w:bCs w:val="0"/>
                <w:color w:val="auto"/>
                <w:sz w:val="24"/>
                <w:szCs w:val="24"/>
                <w:lang w:eastAsia="zh-CN"/>
              </w:rPr>
            </w:pPr>
            <w:r>
              <w:rPr>
                <w:rFonts w:cs="Times New Roman" w:hint="eastAsia"/>
                <w:b/>
                <w:bCs/>
                <w:color w:val="auto"/>
                <w:sz w:val="24"/>
                <w:szCs w:val="24"/>
                <w:lang w:val="en-US" w:eastAsia="zh-CN"/>
              </w:rPr>
              <w:t>审批文件名称及文号：</w:t>
            </w:r>
            <w:r>
              <w:rPr>
                <w:rFonts w:cs="Times New Roman" w:hint="eastAsia"/>
                <w:b w:val="0"/>
                <w:bCs w:val="0"/>
                <w:color w:val="auto"/>
                <w:sz w:val="24"/>
                <w:szCs w:val="24"/>
                <w:lang w:val="en-US" w:eastAsia="zh-CN"/>
              </w:rPr>
              <w:t>《四川省人民政府关于设立四川蒲江经济开发区等</w:t>
            </w:r>
            <w:r>
              <w:rPr>
                <w:rFonts w:cs="Times New Roman"/>
                <w:b w:val="0"/>
                <w:bCs w:val="0"/>
                <w:color w:val="auto"/>
                <w:sz w:val="24"/>
                <w:szCs w:val="24"/>
                <w:lang w:val="en-US" w:eastAsia="zh-CN"/>
              </w:rPr>
              <w:t>64</w:t>
            </w:r>
            <w:r>
              <w:rPr>
                <w:rFonts w:cs="Times New Roman" w:hint="eastAsia"/>
                <w:b w:val="0"/>
                <w:bCs w:val="0"/>
                <w:color w:val="auto"/>
                <w:sz w:val="24"/>
                <w:szCs w:val="24"/>
                <w:lang w:val="en-US" w:eastAsia="zh-CN"/>
              </w:rPr>
              <w:t>家省级开发区的批复》（川府函〔2019〕20号）</w:t>
            </w:r>
            <w:r>
              <w:rPr>
                <w:rFonts w:cs="Times New Roman" w:hint="eastAsia"/>
                <w:color w:val="auto"/>
                <w:sz w:val="24"/>
                <w:szCs w:val="24"/>
                <w:lang w:eastAsia="zh-CN"/>
              </w:rPr>
              <w:t>；</w:t>
            </w:r>
          </w:p>
        </w:tc>
      </w:tr>
      <w:tr>
        <w:trPr>
          <w:trHeight w:val="598"/>
        </w:trPr>
        <w:tc>
          <w:tcPr>
            <w:tcW w:w="510"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规划环境影响评价</w:t>
            </w:r>
          </w:p>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情况</w:t>
            </w:r>
          </w:p>
        </w:tc>
        <w:tc>
          <w:tcPr>
            <w:tcW w:w="4489" w:type="pct"/>
            <w:gridSpan w:val="4"/>
            <w:tcBorders>
              <w:top w:val="single" w:sz="4" w:space="0" w:color="auto"/>
              <w:left w:val="single" w:sz="4" w:space="0" w:color="auto"/>
              <w:right w:val="single" w:sz="4" w:space="0" w:color="auto"/>
            </w:tcBorders>
            <w:noWrap/>
            <w:vAlign w:val="center"/>
          </w:tcPr>
          <w:p>
            <w:pPr>
              <w:bidi w:val="0"/>
              <w:spacing w:line="360" w:lineRule="auto"/>
              <w:jc w:val="both"/>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规划环评名称：</w:t>
            </w:r>
            <w:r>
              <w:rPr>
                <w:rFonts w:ascii="Times New Roman" w:eastAsia="宋体" w:cs="Times New Roman" w:hAnsi="Times New Roman"/>
                <w:b w:val="0"/>
                <w:bCs w:val="0"/>
                <w:color w:val="auto"/>
                <w:sz w:val="24"/>
                <w:szCs w:val="24"/>
              </w:rPr>
              <w:t>《</w:t>
            </w:r>
            <w:r>
              <w:rPr>
                <w:rFonts w:cs="Times New Roman" w:hint="eastAsia"/>
                <w:b w:val="0"/>
                <w:bCs w:val="0"/>
                <w:color w:val="auto"/>
                <w:sz w:val="24"/>
                <w:szCs w:val="24"/>
                <w:lang w:eastAsia="zh-CN"/>
              </w:rPr>
              <w:t>四川大英经济开发区规划环境影响报告书</w:t>
            </w:r>
            <w:r>
              <w:rPr>
                <w:rFonts w:ascii="Times New Roman" w:eastAsia="宋体" w:cs="Times New Roman" w:hAnsi="Times New Roman"/>
                <w:b w:val="0"/>
                <w:bCs w:val="0"/>
                <w:color w:val="auto"/>
                <w:sz w:val="24"/>
                <w:szCs w:val="24"/>
              </w:rPr>
              <w:t>》；</w:t>
            </w:r>
          </w:p>
          <w:p>
            <w:pPr>
              <w:bidi w:val="0"/>
              <w:spacing w:line="360" w:lineRule="auto"/>
              <w:jc w:val="both"/>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召集审查机关：</w:t>
            </w:r>
            <w:r>
              <w:rPr>
                <w:rFonts w:ascii="Times New Roman" w:eastAsia="宋体" w:cs="Times New Roman" w:hAnsi="Times New Roman"/>
                <w:b w:val="0"/>
                <w:bCs w:val="0"/>
                <w:color w:val="auto"/>
                <w:sz w:val="24"/>
                <w:szCs w:val="24"/>
              </w:rPr>
              <w:t>四川省生态环境厅；</w:t>
            </w:r>
          </w:p>
          <w:p>
            <w:pPr>
              <w:bidi w:val="0"/>
              <w:spacing w:line="360" w:lineRule="auto"/>
              <w:ind w:left="0" w:firstLine="0"/>
              <w:jc w:val="both"/>
              <w:rPr>
                <w:rFonts w:ascii="Times New Roman" w:eastAsia="宋体" w:cs="Times New Roman" w:hAnsi="Times New Roman" w:hint="eastAsia"/>
                <w:b/>
                <w:bCs/>
                <w:color w:val="auto"/>
                <w:sz w:val="24"/>
                <w:szCs w:val="24"/>
                <w:lang w:eastAsia="zh-CN"/>
              </w:rPr>
            </w:pPr>
            <w:r>
              <w:rPr>
                <w:rFonts w:ascii="Times New Roman" w:eastAsia="宋体" w:cs="Times New Roman" w:hAnsi="Times New Roman"/>
                <w:b/>
                <w:bCs/>
                <w:color w:val="auto"/>
                <w:sz w:val="24"/>
                <w:szCs w:val="24"/>
              </w:rPr>
              <w:t>审查文件名称及文号：</w:t>
            </w:r>
            <w:r>
              <w:rPr>
                <w:rFonts w:ascii="Times New Roman" w:eastAsia="宋体" w:cs="Times New Roman" w:hAnsi="Times New Roman"/>
                <w:b w:val="0"/>
                <w:bCs w:val="0"/>
                <w:color w:val="auto"/>
                <w:sz w:val="24"/>
                <w:szCs w:val="24"/>
              </w:rPr>
              <w:t>《关于</w:t>
            </w:r>
            <w:r>
              <w:rPr>
                <w:rFonts w:cs="Times New Roman" w:hint="eastAsia"/>
                <w:b w:val="0"/>
                <w:bCs w:val="0"/>
                <w:color w:val="auto"/>
                <w:sz w:val="24"/>
                <w:szCs w:val="24"/>
                <w:lang w:eastAsia="zh-CN"/>
              </w:rPr>
              <w:t>四川大英经济开发区规划环境影响报告书</w:t>
            </w:r>
            <w:r>
              <w:rPr>
                <w:rFonts w:ascii="Times New Roman" w:eastAsia="宋体" w:cs="Times New Roman" w:hAnsi="Times New Roman"/>
                <w:b w:val="0"/>
                <w:bCs w:val="0"/>
                <w:color w:val="auto"/>
                <w:sz w:val="24"/>
                <w:szCs w:val="24"/>
              </w:rPr>
              <w:t>的审查意见》（</w:t>
            </w:r>
            <w:r>
              <w:rPr>
                <w:rFonts w:cs="Times New Roman" w:hint="eastAsia"/>
                <w:b w:val="0"/>
                <w:bCs w:val="0"/>
                <w:color w:val="auto"/>
                <w:sz w:val="24"/>
                <w:szCs w:val="24"/>
                <w:lang w:eastAsia="zh-CN"/>
              </w:rPr>
              <w:t>川环建函〔2019〕48号</w:t>
            </w:r>
            <w:r>
              <w:rPr>
                <w:rFonts w:ascii="Times New Roman" w:eastAsia="宋体" w:cs="Times New Roman" w:hAnsi="Times New Roman"/>
                <w:b w:val="0"/>
                <w:bCs w:val="0"/>
                <w:color w:val="auto"/>
                <w:sz w:val="24"/>
                <w:szCs w:val="24"/>
              </w:rPr>
              <w:t>）</w:t>
            </w:r>
            <w:r>
              <w:rPr>
                <w:rFonts w:cs="Times New Roman" w:hint="eastAsia"/>
                <w:b w:val="0"/>
                <w:bCs w:val="0"/>
                <w:color w:val="auto"/>
                <w:sz w:val="24"/>
                <w:szCs w:val="24"/>
                <w:lang w:eastAsia="zh-CN"/>
              </w:rPr>
              <w:t>（2019年8月）</w:t>
            </w:r>
            <w:r>
              <w:rPr>
                <w:rFonts w:cs="Times New Roman" w:hint="eastAsia"/>
                <w:color w:val="auto"/>
                <w:sz w:val="24"/>
                <w:szCs w:val="24"/>
                <w:lang w:eastAsia="zh-CN"/>
              </w:rPr>
              <w:t>；</w:t>
            </w:r>
          </w:p>
        </w:tc>
      </w:tr>
      <w:tr>
        <w:trPr>
          <w:trHeight w:val="3976"/>
        </w:trPr>
        <w:tc>
          <w:tcPr>
            <w:tcW w:w="510"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规划及规划环境影响评价符合性</w:t>
            </w:r>
          </w:p>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分析</w:t>
            </w:r>
          </w:p>
        </w:tc>
        <w:tc>
          <w:tcPr>
            <w:tcW w:w="4489" w:type="pct"/>
            <w:gridSpan w:val="4"/>
            <w:tcBorders>
              <w:top w:val="single" w:sz="4" w:space="0" w:color="auto"/>
              <w:left w:val="single" w:sz="4" w:space="0" w:color="auto"/>
              <w:right w:val="single" w:sz="4" w:space="0" w:color="auto"/>
            </w:tcBorders>
            <w:noWrap/>
            <w:vAlign w:val="center"/>
          </w:tcPr>
          <w:p>
            <w:pPr>
              <w:numPr>
                <w:ilvl w:val="0"/>
                <w:numId w:val="1"/>
              </w:numPr>
              <w:bidi w:val="0"/>
              <w:spacing w:line="360" w:lineRule="auto"/>
              <w:jc w:val="both"/>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与四川大英经济开发区的规划符合性分析</w:t>
            </w:r>
          </w:p>
          <w:p>
            <w:p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本项目位于四川大英经济开发区（原大英县工业集中发展区）</w:t>
            </w:r>
            <w:r>
              <w:rPr>
                <w:rFonts w:cs="Times New Roman" w:hint="eastAsia"/>
                <w:color w:val="auto"/>
                <w:sz w:val="24"/>
                <w:szCs w:val="24"/>
                <w:lang w:eastAsia="zh-CN"/>
              </w:rPr>
              <w:t>；</w:t>
            </w:r>
            <w:r>
              <w:rPr>
                <w:rFonts w:ascii="Times New Roman" w:eastAsia="宋体" w:cs="Times New Roman" w:hAnsi="Times New Roman"/>
                <w:color w:val="auto"/>
                <w:sz w:val="24"/>
                <w:szCs w:val="24"/>
              </w:rPr>
              <w:t>四川大英经济开发区（以下简称</w:t>
            </w:r>
            <w:r>
              <w:rPr>
                <w:rFonts w:ascii="宋体" w:eastAsia="宋体" w:cs="宋体" w:hint="eastAsia"/>
                <w:color w:val="auto"/>
                <w:sz w:val="24"/>
                <w:szCs w:val="24"/>
              </w:rPr>
              <w:t>“规划区”</w:t>
            </w:r>
            <w:r>
              <w:rPr>
                <w:rFonts w:ascii="Times New Roman" w:eastAsia="宋体" w:cs="Times New Roman" w:hAnsi="Times New Roman"/>
                <w:color w:val="auto"/>
                <w:sz w:val="24"/>
                <w:szCs w:val="24"/>
              </w:rPr>
              <w:t>）于2001年经大英县人民政府批准成立（中共大英县委</w:t>
            </w:r>
            <w:r>
              <w:rPr>
                <w:rFonts w:cs="Times New Roman" w:hint="eastAsia"/>
                <w:b w:val="0"/>
                <w:bCs w:val="0"/>
                <w:color w:val="auto"/>
                <w:sz w:val="24"/>
                <w:szCs w:val="24"/>
                <w:lang w:eastAsia="zh-CN"/>
              </w:rPr>
              <w:t>〔20</w:t>
            </w:r>
            <w:r>
              <w:rPr>
                <w:rFonts w:cs="Times New Roman" w:hint="eastAsia"/>
                <w:b w:val="0"/>
                <w:bCs w:val="0"/>
                <w:color w:val="auto"/>
                <w:sz w:val="24"/>
                <w:szCs w:val="24"/>
                <w:lang w:val="en-US" w:eastAsia="zh-CN"/>
              </w:rPr>
              <w:t>01</w:t>
            </w:r>
            <w:r>
              <w:rPr>
                <w:rFonts w:cs="Times New Roman" w:hint="eastAsia"/>
                <w:b w:val="0"/>
                <w:bCs w:val="0"/>
                <w:color w:val="auto"/>
                <w:sz w:val="24"/>
                <w:szCs w:val="24"/>
                <w:lang w:eastAsia="zh-CN"/>
              </w:rPr>
              <w:t>〕</w:t>
            </w:r>
            <w:r>
              <w:rPr>
                <w:rFonts w:ascii="Times New Roman" w:eastAsia="宋体" w:cs="Times New Roman" w:hAnsi="Times New Roman"/>
                <w:color w:val="auto"/>
                <w:sz w:val="24"/>
                <w:szCs w:val="24"/>
              </w:rPr>
              <w:t>31号）。</w:t>
            </w:r>
          </w:p>
          <w:p>
            <w:p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《大英县工业集中发展区区域环境影响报告书》于2008年通过原四川省环境保护局组织的审查（川环建函</w:t>
            </w:r>
            <w:r>
              <w:rPr>
                <w:rFonts w:cs="Times New Roman" w:hint="eastAsia"/>
                <w:b w:val="0"/>
                <w:bCs w:val="0"/>
                <w:color w:val="auto"/>
                <w:sz w:val="24"/>
                <w:szCs w:val="24"/>
                <w:lang w:eastAsia="zh-CN"/>
              </w:rPr>
              <w:t>〔20</w:t>
            </w:r>
            <w:r>
              <w:rPr>
                <w:rFonts w:cs="Times New Roman" w:hint="eastAsia"/>
                <w:b w:val="0"/>
                <w:bCs w:val="0"/>
                <w:color w:val="auto"/>
                <w:sz w:val="24"/>
                <w:szCs w:val="24"/>
                <w:lang w:val="en-US" w:eastAsia="zh-CN"/>
              </w:rPr>
              <w:t>08</w:t>
            </w:r>
            <w:r>
              <w:rPr>
                <w:rFonts w:cs="Times New Roman" w:hint="eastAsia"/>
                <w:b w:val="0"/>
                <w:bCs w:val="0"/>
                <w:color w:val="auto"/>
                <w:sz w:val="24"/>
                <w:szCs w:val="24"/>
                <w:lang w:eastAsia="zh-CN"/>
              </w:rPr>
              <w:t>〕</w:t>
            </w:r>
            <w:r>
              <w:rPr>
                <w:rFonts w:ascii="Times New Roman" w:eastAsia="宋体" w:cs="Times New Roman" w:hAnsi="Times New Roman"/>
                <w:color w:val="auto"/>
                <w:sz w:val="24"/>
                <w:szCs w:val="24"/>
              </w:rPr>
              <w:t>293号）。大英县工业集中发展区规划面积13.1km</w:t>
            </w:r>
            <w:r>
              <w:rPr>
                <w:rFonts w:ascii="Times New Roman" w:eastAsia="宋体" w:cs="Times New Roman" w:hAnsi="Times New Roman"/>
                <w:color w:val="auto"/>
                <w:sz w:val="24"/>
                <w:szCs w:val="24"/>
                <w:vertAlign w:val="superscript"/>
              </w:rPr>
              <w:t>2</w:t>
            </w:r>
            <w:r>
              <w:rPr>
                <w:rFonts w:ascii="Times New Roman" w:eastAsia="宋体" w:cs="Times New Roman" w:hAnsi="Times New Roman"/>
                <w:color w:val="auto"/>
                <w:sz w:val="24"/>
                <w:szCs w:val="24"/>
              </w:rPr>
              <w:t>，主导产业为化工、纺织、食品和机械制造业。为适应《大英县城市总体规划》（2013-2030年）修编要求，大英县工业集中发展区于2016年启动规划修编工作，同年启动省级经济开发区申报工作，因此规划区以四川大英经济开发区名义进行修编工作，委托编制了《大英县经开区控制性详细规划》。四川大英经济开发区经四川省人民政府批复设立（川府函</w:t>
            </w:r>
            <w:r>
              <w:rPr>
                <w:rFonts w:cs="Times New Roman" w:hint="eastAsia"/>
                <w:b w:val="0"/>
                <w:bCs w:val="0"/>
                <w:color w:val="auto"/>
                <w:sz w:val="24"/>
                <w:szCs w:val="24"/>
                <w:lang w:eastAsia="zh-CN"/>
              </w:rPr>
              <w:t>〔2019〕</w:t>
            </w:r>
            <w:r>
              <w:rPr>
                <w:rFonts w:ascii="Times New Roman" w:eastAsia="宋体" w:cs="Times New Roman" w:hAnsi="Times New Roman"/>
                <w:color w:val="auto"/>
                <w:sz w:val="24"/>
                <w:szCs w:val="24"/>
              </w:rPr>
              <w:t>20号），主导产业为石化、纺织、机电，核准面积370.67公顷，全部位于本次规划范围内。本次评价以《四川大英经济开发区规划环境影响报告书》及其审查意见（</w:t>
            </w:r>
            <w:r>
              <w:rPr>
                <w:rFonts w:cs="Times New Roman" w:hint="eastAsia"/>
                <w:color w:val="auto"/>
                <w:sz w:val="24"/>
                <w:szCs w:val="24"/>
                <w:lang w:val="en-US" w:eastAsia="zh-CN"/>
              </w:rPr>
              <w:t>文号：</w:t>
            </w:r>
            <w:r>
              <w:rPr>
                <w:rFonts w:ascii="Times New Roman" w:eastAsia="宋体" w:cs="Times New Roman" w:hAnsi="Times New Roman"/>
                <w:color w:val="auto"/>
                <w:sz w:val="24"/>
                <w:szCs w:val="24"/>
              </w:rPr>
              <w:t>川环建函</w:t>
            </w:r>
            <w:r>
              <w:rPr>
                <w:rFonts w:cs="Times New Roman" w:hint="eastAsia"/>
                <w:b w:val="0"/>
                <w:bCs w:val="0"/>
                <w:color w:val="auto"/>
                <w:sz w:val="24"/>
                <w:szCs w:val="24"/>
                <w:lang w:eastAsia="zh-CN"/>
              </w:rPr>
              <w:t>〔2019〕</w:t>
            </w:r>
            <w:r>
              <w:rPr>
                <w:rFonts w:ascii="Times New Roman" w:eastAsia="宋体" w:cs="Times New Roman" w:hAnsi="Times New Roman"/>
                <w:color w:val="auto"/>
                <w:sz w:val="24"/>
                <w:szCs w:val="24"/>
              </w:rPr>
              <w:t>48号）为准。</w:t>
            </w:r>
          </w:p>
          <w:p>
            <w:p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四川大英经济开发区西连射大路，东至隆盛镇打儿窝，南邻达成铁路，北至成南高速公路，规划总用地面积16.0km</w:t>
            </w:r>
            <w:r>
              <w:rPr>
                <w:rFonts w:cs="Times New Roman" w:hint="eastAsia"/>
                <w:color w:val="auto"/>
                <w:sz w:val="24"/>
                <w:szCs w:val="24"/>
                <w:vertAlign w:val="superscript"/>
                <w:lang w:val="en-US" w:eastAsia="zh-CN"/>
              </w:rPr>
              <w:t>2</w:t>
            </w:r>
            <w:r>
              <w:rPr>
                <w:rFonts w:ascii="Times New Roman" w:eastAsia="宋体" w:cs="Times New Roman" w:hAnsi="Times New Roman"/>
                <w:color w:val="auto"/>
                <w:sz w:val="24"/>
                <w:szCs w:val="24"/>
              </w:rPr>
              <w:t>，其中工业用地6.48km</w:t>
            </w:r>
            <w:r>
              <w:rPr>
                <w:rFonts w:cs="Times New Roman" w:hint="eastAsia"/>
                <w:color w:val="auto"/>
                <w:sz w:val="24"/>
                <w:szCs w:val="24"/>
                <w:vertAlign w:val="superscript"/>
                <w:lang w:val="en-US" w:eastAsia="zh-CN"/>
              </w:rPr>
              <w:t>2</w:t>
            </w:r>
            <w:r>
              <w:rPr>
                <w:rFonts w:ascii="Times New Roman" w:eastAsia="宋体" w:cs="Times New Roman" w:hAnsi="Times New Roman"/>
                <w:color w:val="auto"/>
                <w:sz w:val="24"/>
                <w:szCs w:val="24"/>
              </w:rPr>
              <w:t>。根据规划及规划环评最终确定：四川大英经济开发区沿郪江呈沿江块组团分布，其中，石油化工产业园（梁家坝和红花坝片区），占地</w:t>
            </w:r>
            <w:r>
              <w:rPr>
                <w:rFonts w:ascii="Times New Roman" w:eastAsia="宋体" w:cs="Times New Roman" w:hAnsi="Times New Roman" w:hint="eastAsia"/>
                <w:color w:val="auto"/>
                <w:sz w:val="24"/>
                <w:szCs w:val="24"/>
                <w:lang w:val="en-US" w:eastAsia="zh-CN"/>
              </w:rPr>
              <w:t>为</w:t>
            </w:r>
            <w:r>
              <w:rPr>
                <w:rFonts w:ascii="Times New Roman" w:eastAsia="宋体" w:cs="Times New Roman" w:hAnsi="Times New Roman"/>
                <w:color w:val="auto"/>
                <w:sz w:val="24"/>
                <w:szCs w:val="24"/>
              </w:rPr>
              <w:t>630公顷；机电轻纺产业园（马家坝片区和景家坝片区、梨子坝</w:t>
            </w:r>
            <w:r>
              <w:rPr>
                <w:rFonts w:cs="Times New Roman" w:hint="eastAsia"/>
                <w:color w:val="auto"/>
                <w:sz w:val="24"/>
                <w:szCs w:val="24"/>
                <w:lang w:eastAsia="zh-CN"/>
              </w:rPr>
              <w:t>—</w:t>
            </w:r>
            <w:r>
              <w:rPr>
                <w:rFonts w:ascii="Times New Roman" w:eastAsia="宋体" w:cs="Times New Roman" w:hAnsi="Times New Roman"/>
                <w:color w:val="auto"/>
                <w:sz w:val="24"/>
                <w:szCs w:val="24"/>
              </w:rPr>
              <w:t>尚家坝片区）；盐化工产业园（聂家坝片区），占地176公顷；电子产业园（聂家坝片区），占地45公顷；马家坝</w:t>
            </w:r>
            <w:r>
              <w:rPr>
                <w:rFonts w:cs="Times New Roman" w:hint="eastAsia"/>
                <w:color w:val="auto"/>
                <w:sz w:val="24"/>
                <w:szCs w:val="24"/>
                <w:lang w:eastAsia="zh-CN"/>
              </w:rPr>
              <w:t>—</w:t>
            </w:r>
            <w:r>
              <w:rPr>
                <w:rFonts w:ascii="Times New Roman" w:eastAsia="宋体" w:cs="Times New Roman" w:hAnsi="Times New Roman"/>
                <w:color w:val="auto"/>
                <w:sz w:val="24"/>
                <w:szCs w:val="24"/>
              </w:rPr>
              <w:t>景家坝片区为机械加工产业园，占地160公顷以及配套居住组团。</w:t>
            </w:r>
          </w:p>
          <w:p>
            <w:p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四川大英经济开发区产业定位为：以石化、纺织、机电等产业为主的综合型园区</w:t>
            </w:r>
            <w:r>
              <w:rPr>
                <w:rFonts w:cs="Times New Roman" w:hint="eastAsia"/>
                <w:color w:val="auto"/>
                <w:sz w:val="24"/>
                <w:szCs w:val="24"/>
                <w:lang w:eastAsia="zh-CN"/>
              </w:rPr>
              <w:t>；</w:t>
            </w:r>
            <w:r>
              <w:rPr>
                <w:rFonts w:ascii="Times New Roman" w:eastAsia="宋体" w:cs="Times New Roman" w:hAnsi="Times New Roman"/>
                <w:color w:val="auto"/>
                <w:sz w:val="24"/>
                <w:szCs w:val="24"/>
              </w:rPr>
              <w:t>本项目位于机械加工产业园内。</w:t>
            </w:r>
            <w:r>
              <w:rPr>
                <w:rFonts w:ascii="Times New Roman" w:eastAsia="宋体" w:cs="Times New Roman" w:hAnsi="Times New Roman"/>
                <w:b/>
                <w:bCs/>
                <w:color w:val="auto"/>
                <w:sz w:val="24"/>
                <w:szCs w:val="24"/>
              </w:rPr>
              <w:t>机械加工产业园</w:t>
            </w:r>
            <w:r>
              <w:rPr>
                <w:rFonts w:ascii="Times New Roman" w:eastAsia="宋体" w:cs="Times New Roman" w:hAnsi="Times New Roman"/>
                <w:color w:val="auto"/>
                <w:sz w:val="24"/>
                <w:szCs w:val="24"/>
              </w:rPr>
              <w:t>位于马家坝片区和景家坝片区，位于郪江河北岸，总面积约160公顷（含道路、绿化等附属用地）。承接重庆产业链，以汽车及摩托车配件生产项目为主，从事粉末冶金、结构件的研制开发生产销售。</w:t>
            </w:r>
          </w:p>
          <w:tbl>
            <w:tblPr>
              <w:jc w:val="center"/>
              <w:tblW w:w="8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437"/>
            </w:tblGrid>
            <w:tr>
              <w:tc>
                <w:tcPr>
                  <w:tcW w:w="8437" w:type="dxa"/>
                </w:tcPr>
                <w:p>
                  <w:pPr>
                    <w:bidi w:val="0"/>
                    <w:spacing w:line="360" w:lineRule="auto"/>
                    <w:jc w:val="center"/>
                    <w:rPr>
                      <w:rFonts w:cs="Times New Roman" w:hint="eastAsia"/>
                      <w:color w:val="auto"/>
                      <w:sz w:val="24"/>
                      <w:szCs w:val="24"/>
                      <w:vertAlign w:val="baseline"/>
                      <w:lang w:val="en-US" w:eastAsia="zh-CN"/>
                    </w:rPr>
                  </w:pPr>
                  <w:r>
                    <w:rPr>
                      <w:sz w:val="21"/>
                    </w:rPr>
                    <mc:AlternateContent>
                      <mc:Choice Requires="wps">
                        <w:drawing>
                          <wp:anchor distT="0" distB="0" distL="114298" distR="114298" simplePos="0" relativeHeight="96" behindDoc="0" locked="0" layoutInCell="1" hidden="0" allowOverlap="1">
                            <wp:simplePos x="0" y="0"/>
                            <wp:positionH relativeFrom="column">
                              <wp:posOffset>306704</wp:posOffset>
                            </wp:positionH>
                            <wp:positionV relativeFrom="paragraph">
                              <wp:posOffset>2646681</wp:posOffset>
                            </wp:positionV>
                            <wp:extent cx="890270" cy="816612"/>
                            <wp:effectExtent l="0" t="0" r="0" b="0"/>
                            <wp:wrapNone/>
                            <wp:docPr id="10" name="组合"/>
                            <wp:cNvGraphicFramePr>
                              <a:graphicFrameLocks noChangeAspect="0"/>
                            </wp:cNvGraphicFramePr>
                            <a:graphic>
                              <a:graphicData uri="http://schemas.microsoft.com/office/word/2010/wordprocessingGroup">
                                <wpg:wgp>
                                  <wpg:cNvPr id="11" name="组合 11"/>
                                  <wpg:cNvGrpSpPr/>
                                  <wpg:grpSpPr>
                                    <a:xfrm rot="0">
                                      <a:off x="0" y="0"/>
                                      <a:ext cx="890270" cy="816612"/>
                                      <a:chOff x="0" y="0"/>
                                      <a:chExt cx="890270" cy="816612"/>
                                    </a:xfrm>
                                    <a:prstGeom prst="rect"/>
                                    <a:solidFill>
                                      <a:srgbClr val="FFFFFF"/>
                                    </a:solidFill>
                                    <a:ln w="9525" cmpd="sng" cap="flat">
                                      <a:solidFill>
                                        <a:srgbClr val="000000"/>
                                      </a:solidFill>
                                      <a:prstDash val="solid"/>
                                      <a:miter/>
                                    </a:ln>
                                  </wpg:grpSpPr>
                                  <wps:wsp>
                                    <wps:cNvPr id="12" name="矩形标注 12"/>
                                    <wps:cNvSpPr/>
                                    <wps:spPr>
                                      <a:xfrm rot="0">
                                        <a:off x="0" y="523876"/>
                                        <a:ext cx="890270" cy="292735"/>
                                      </a:xfrm>
                                      <a:prstGeom prst="wedgeRectCallout">
                                        <a:avLst>
                                          <a:gd name="adj1" fmla="val 21254"/>
                                          <a:gd name="adj2" fmla="val -200976"/>
                                        </a:avLst>
                                      </a:prstGeom>
                                      <a:noFill/>
                                      <a:ln w="12700" cmpd="sng" cap="flat">
                                        <a:solidFill>
                                          <a:srgbClr val="FF0000"/>
                                        </a:solidFill>
                                        <a:prstDash val="solid"/>
                                        <a:miter/>
                                      </a:ln>
                                    </wps:spPr>
                                    <wps:txbx id="13">
                                      <w:txbxContent>
                                        <w:p>
                                          <w:pPr>
                                            <w:jc w:val="center"/>
                                            <w:rPr>
                                              <w:rFonts w:eastAsia="宋体"/>
                                              <w:color w:val="FF0000"/>
                                              <w:lang w:val="en-US" w:eastAsia="zh-CN"/>
                                            </w:rPr>
                                          </w:pPr>
                                          <w:r>
                                            <w:rPr>
                                              <w:rFonts w:hint="eastAsia"/>
                                              <w:color w:val="FF0000"/>
                                              <w:lang w:val="en-US" w:eastAsia="zh-CN"/>
                                            </w:rPr>
                                            <w:t>本项目位置</w:t>
                                          </w:r>
                                        </w:p>
                                      </w:txbxContent>
                                    </wps:txbx>
                                    <wps:bodyPr vert="horz" wrap="square" lIns="91440" tIns="45720" rIns="91440" bIns="45720" anchor="ctr" anchorCtr="0" upright="0">
                                      <a:noAutofit/>
                                    </wps:bodyPr>
                                  </wps:wsp>
                                  <wps:wsp>
                                    <wps:cNvPr id="14" name="矩形 14"/>
                                    <wps:cNvSpPr/>
                                    <wps:spPr>
                                      <a:xfrm rot="18660000">
                                        <a:off x="592455" y="0"/>
                                        <a:ext cx="76200" cy="76198"/>
                                      </a:xfrm>
                                      <a:prstGeom prst="rect"/>
                                      <a:noFill/>
                                      <a:ln w="25400" cmpd="sng" cap="flat">
                                        <a:solidFill>
                                          <a:srgbClr val="FF0000"/>
                                        </a:solidFill>
                                        <a:prstDash val="solid"/>
                                        <a:miter/>
                                      </a:ln>
                                    </wps:spPr>
                                    <wps:bodyPr vert="horz" wrap="square" lIns="91440" tIns="45720" rIns="91440" bIns="45720" anchor="ctr" anchorCtr="0" upright="1">
                                      <a:noAutofit/>
                                    </wps:bodyPr>
                                  </wps:wsp>
                                  <wps:bodyPr vert="horz" wrap="square" lIns="91440" tIns="45720" rIns="91440" bIns="45720" anchor="t" anchorCtr="0" upright="1">
                                    <a:noAutofit/>
                                  </wps:bodyPr>
                                </wpg:wgp>
                              </a:graphicData>
                            </a:graphic>
                          </wp:anchor>
                        </w:drawing>
                      </mc:Choice>
                      <mc:Fallback>
                        <w:pict>
                          <v:group type="#_x0000_t1" id="组合 15" o:spid="_x0000_s15" coordorigin="2811,8912" coordsize="1402,1286" style="position:absolute;margin-left:24.149996pt;margin-top:208.4001pt;width:70.100006pt;height:64.30022pt;z-index:96;mso-position-horizontal:absolute;mso-position-vertical:absolute;mso-wrap-distance-left:8.999863pt;mso-wrap-distance-right:8.999863pt;">
                            <v:shape type="#_x0000_t61" id="_s16" o:spid="_x0000_s16" style="position:absolute;left:2811;top:9737;width:1402;height:461;mso-wrap-style:square;" filled="f" stroked="t" strokeweight="1.0pt" adj="15391,-32611">
                              <v:textbox id="882" inset="2.54mm,1.27mm,2.54mm,1.27mm" o:insetmode="custom" style="layout-flow:horizontal;v-text-anchor:middle;">
                                <w:txbxContent>
                                  <w:p>
                                    <w:pPr>
                                      <w:jc w:val="center"/>
                                      <w:rPr>
                                        <w:rFonts w:eastAsia="宋体"/>
                                        <w:color w:val="FF0000"/>
                                        <w:lang w:val="en-US" w:eastAsia="zh-CN"/>
                                      </w:rPr>
                                    </w:pPr>
                                    <w:r>
                                      <w:rPr>
                                        <w:rFonts w:hint="eastAsia"/>
                                        <w:color w:val="FF0000"/>
                                        <w:lang w:val="en-US" w:eastAsia="zh-CN"/>
                                      </w:rPr>
                                      <w:t>本项目位置</w:t>
                                    </w:r>
                                  </w:p>
                                </w:txbxContent>
                              </v:textbox>
                              <v:stroke color="#FF0000"/>
                            </v:shape>
                            <v:rect type="#_x0000_t1" id="_s17" o:spid="_x0000_s17" style="position:absolute;left:3744;top:8912;width:120;height:119;rotation:311.0;" filled="f" stroked="t" strokeweight="2.0pt">
                              <v:stroke color="#FF0000"/>
                            </v:rect>
                          </v:group>
                        </w:pict>
                      </mc:Fallback>
                    </mc:AlternateContent>
                  </w:r>
                  <w:r>
                    <w:drawing>
                      <wp:inline distT="0" distB="0" distL="114300" distR="114300">
                        <wp:extent cx="4808855" cy="3510280"/>
                        <wp:effectExtent l="0" t="0" r="42" b="10"/>
                        <wp:docPr id="18" name="图片 12"/>
                        <wp:cNvGraphicFramePr>
                          <a:graphicFrameLocks noChangeAspect="1"/>
                        </wp:cNvGraphicFramePr>
                        <a:graphic>
                          <a:graphicData uri="http://schemas.openxmlformats.org/drawingml/2006/picture">
                            <pic:pic>
                              <pic:nvPicPr>
                                <pic:cNvPr id="20" name="图片 12 20"/>
                                <pic:cNvPicPr/>
                              </pic:nvPicPr>
                              <pic:blipFill>
                                <a:blip r:embed="rId9"/>
                                <a:stretch>
                                  <a:fillRect/>
                                </a:stretch>
                              </pic:blipFill>
                              <pic:spPr>
                                <a:xfrm rot="0">
                                  <a:off x="0" y="0"/>
                                  <a:ext cx="4808855" cy="3510280"/>
                                </a:xfrm>
                                <a:prstGeom prst="rect"/>
                                <a:noFill/>
                                <a:ln w="9525" cmpd="sng" cap="flat">
                                  <a:noFill/>
                                  <a:prstDash val="solid"/>
                                  <a:round/>
                                </a:ln>
                              </pic:spPr>
                            </pic:pic>
                          </a:graphicData>
                        </a:graphic>
                      </wp:inline>
                    </w:drawing>
                  </w:r>
                </w:p>
              </w:tc>
            </w:tr>
          </w:tbl>
          <w:p>
            <w:pPr>
              <w:bidi w:val="0"/>
              <w:spacing w:line="360" w:lineRule="auto"/>
              <w:jc w:val="center"/>
              <w:rPr>
                <w:rFonts w:cs="Times New Roman" w:hint="eastAsia"/>
                <w:b/>
                <w:bCs/>
                <w:color w:val="auto"/>
                <w:sz w:val="21"/>
                <w:szCs w:val="21"/>
                <w:lang w:val="en-US" w:eastAsia="zh-CN"/>
              </w:rPr>
            </w:pPr>
            <w:r>
              <w:rPr>
                <w:rFonts w:cs="Times New Roman" w:hint="eastAsia"/>
                <w:b/>
                <w:bCs/>
                <w:color w:val="auto"/>
                <w:sz w:val="21"/>
                <w:szCs w:val="21"/>
                <w:lang w:val="en-US" w:eastAsia="zh-CN"/>
              </w:rPr>
              <w:t>图1-1 四川大英经济开发区园区功能分区图</w:t>
            </w:r>
          </w:p>
          <w:p>
            <w:p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四川大英经济开发区环境准入条件及负面清单：</w:t>
            </w:r>
          </w:p>
          <w:p>
            <w:pPr>
              <w:numPr>
                <w:ilvl w:val="0"/>
                <w:numId w:val="2"/>
              </w:num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鼓励类</w:t>
            </w:r>
          </w:p>
          <w:p>
            <w:pPr>
              <w:numPr>
                <w:ilvl w:val="0"/>
                <w:numId w:val="3"/>
              </w:numPr>
              <w:bidi w:val="0"/>
              <w:spacing w:line="360" w:lineRule="auto"/>
              <w:ind w:left="0" w:firstLineChars="200" w:firstLine="480"/>
              <w:jc w:val="both"/>
              <w:rPr>
                <w:rFonts w:cs="Times New Roman" w:hint="eastAsia"/>
                <w:color w:val="auto"/>
                <w:sz w:val="24"/>
                <w:szCs w:val="24"/>
                <w:lang w:eastAsia="zh-CN"/>
              </w:rPr>
            </w:pPr>
            <w:r>
              <w:rPr>
                <w:rFonts w:ascii="Times New Roman" w:eastAsia="宋体" w:cs="Times New Roman" w:hAnsi="Times New Roman"/>
                <w:color w:val="auto"/>
                <w:sz w:val="24"/>
                <w:szCs w:val="24"/>
              </w:rPr>
              <w:t>鼓励发展环境友好的化工新材料和机械制造产业</w:t>
            </w:r>
            <w:r>
              <w:rPr>
                <w:rFonts w:cs="Times New Roman" w:hint="eastAsia"/>
                <w:color w:val="auto"/>
                <w:sz w:val="24"/>
                <w:szCs w:val="24"/>
                <w:lang w:eastAsia="zh-CN"/>
              </w:rPr>
              <w:t>；</w:t>
            </w:r>
          </w:p>
          <w:p>
            <w:pPr>
              <w:numPr>
                <w:ilvl w:val="0"/>
                <w:numId w:val="3"/>
              </w:num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与规划区主导产业相配套</w:t>
            </w:r>
            <w:r>
              <w:rPr>
                <w:rFonts w:cs="Times New Roman" w:hint="eastAsia"/>
                <w:color w:val="auto"/>
                <w:sz w:val="24"/>
                <w:szCs w:val="24"/>
                <w:lang w:val="en-US" w:eastAsia="zh-CN"/>
              </w:rPr>
              <w:t>的</w:t>
            </w:r>
            <w:r>
              <w:rPr>
                <w:rFonts w:ascii="Times New Roman" w:eastAsia="宋体" w:cs="Times New Roman" w:hAnsi="Times New Roman"/>
                <w:color w:val="auto"/>
                <w:sz w:val="24"/>
                <w:szCs w:val="24"/>
              </w:rPr>
              <w:t>产业，企业效益明显，对区域</w:t>
            </w:r>
            <w:r>
              <w:rPr>
                <w:rFonts w:cs="Times New Roman" w:hint="eastAsia"/>
                <w:color w:val="auto"/>
                <w:sz w:val="24"/>
                <w:szCs w:val="24"/>
                <w:lang w:val="en-US" w:eastAsia="zh-CN"/>
              </w:rPr>
              <w:t>不会</w:t>
            </w:r>
            <w:r>
              <w:rPr>
                <w:rFonts w:ascii="Times New Roman" w:eastAsia="宋体" w:cs="Times New Roman" w:hAnsi="Times New Roman"/>
                <w:color w:val="auto"/>
                <w:sz w:val="24"/>
                <w:szCs w:val="24"/>
              </w:rPr>
              <w:t>造成明显污染，遵循清洁生产及循环经济的项目。</w:t>
            </w:r>
          </w:p>
          <w:p>
            <w:pPr>
              <w:numPr>
                <w:ilvl w:val="0"/>
                <w:numId w:val="2"/>
              </w:num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负面清单</w:t>
            </w:r>
          </w:p>
          <w:p>
            <w:pPr>
              <w:bidi w:val="0"/>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规划区项目建设首先应符合《产业结构调整指导目录（2019年本）》、《产业转移指导目录（2012年本）》、《环境保护综合名录（2017年版）》、《外商投资产业指导目录（2015年修订）》等国家产业政策的要求，其次要符合四川省及遂宁市制定的相关产业政策的要求。清单中包括两类，一类是禁止类，涉及的项目禁止新建、改扩建；另一类是限制类，意为有条件发展的项目，现状已建项目可保留发展，禁止新建该类项目。</w:t>
            </w:r>
          </w:p>
          <w:p>
            <w:pPr>
              <w:bidi w:val="0"/>
              <w:spacing w:line="36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表1-</w:t>
            </w:r>
            <w:r>
              <w:rPr>
                <w:rFonts w:cs="Times New Roman" w:hint="eastAsia"/>
                <w:b/>
                <w:bCs/>
                <w:color w:val="auto"/>
                <w:sz w:val="21"/>
                <w:szCs w:val="21"/>
                <w:lang w:val="en-US" w:eastAsia="zh-CN"/>
              </w:rPr>
              <w:t xml:space="preserve">1 </w:t>
            </w:r>
            <w:r>
              <w:rPr>
                <w:rFonts w:ascii="Times New Roman" w:eastAsia="宋体" w:cs="Times New Roman" w:hAnsi="Times New Roman"/>
                <w:b/>
                <w:bCs/>
                <w:color w:val="auto"/>
                <w:sz w:val="21"/>
                <w:szCs w:val="21"/>
              </w:rPr>
              <w:t>四川大英经济开发区主导产业负面清单</w:t>
            </w:r>
          </w:p>
          <w:tbl>
            <w:tblPr>
              <w:jc w:val="center"/>
              <w:tblW w:w="838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shd w:val="clear" w:color="auto" w:fill="auto"/>
              <w:tblLayout w:type="fixed"/>
              <w:tblCellMar>
                <w:top w:w="0" w:type="dxa"/>
                <w:left w:w="108" w:type="dxa"/>
                <w:bottom w:w="0" w:type="dxa"/>
                <w:right w:w="108" w:type="dxa"/>
              </w:tblCellMar>
            </w:tblPr>
            <w:tblGrid>
              <w:gridCol w:w="736"/>
              <w:gridCol w:w="2869"/>
              <w:gridCol w:w="3769"/>
              <w:gridCol w:w="1008"/>
            </w:tblGrid>
            <w:tr>
              <w:trPr>
                <w:trHeight w:val="90"/>
              </w:trPr>
              <w:tc>
                <w:tcPr>
                  <w:tcW w:w="736"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kern w:val="0"/>
                      <w:sz w:val="21"/>
                      <w:szCs w:val="21"/>
                      <w:u w:val="none"/>
                      <w:lang w:val="en-US" w:eastAsia="zh-CN"/>
                    </w:rPr>
                  </w:pPr>
                  <w:r>
                    <w:rPr>
                      <w:rFonts w:ascii="Times New Roman" w:eastAsia="宋体" w:cs="Times New Roman" w:hAnsi="Times New Roman"/>
                      <w:b/>
                      <w:bCs/>
                      <w:i w:val="0"/>
                      <w:iCs w:val="0"/>
                      <w:color w:val="000000"/>
                      <w:kern w:val="0"/>
                      <w:sz w:val="21"/>
                      <w:szCs w:val="21"/>
                      <w:u w:val="none"/>
                      <w:lang w:val="en-US" w:eastAsia="zh-CN"/>
                    </w:rPr>
                    <w:t>行业</w:t>
                  </w:r>
                </w:p>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分类</w:t>
                  </w:r>
                </w:p>
              </w:tc>
              <w:tc>
                <w:tcPr>
                  <w:tcW w:w="2869"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大</w:t>
                  </w:r>
                  <w:r>
                    <w:rPr>
                      <w:rStyle w:val="49"/>
                      <w:rFonts w:ascii="Times New Roman" w:eastAsia="宋体" w:cs="Times New Roman" w:hAnsi="Times New Roman"/>
                      <w:b/>
                      <w:bCs/>
                      <w:sz w:val="21"/>
                      <w:szCs w:val="21"/>
                      <w:lang w:val="en-US" w:eastAsia="zh-CN"/>
                    </w:rPr>
                    <w:t>/</w:t>
                  </w:r>
                  <w:r>
                    <w:rPr>
                      <w:rStyle w:val="51"/>
                      <w:rFonts w:ascii="Times New Roman" w:eastAsia="宋体" w:cs="Times New Roman" w:hAnsi="Times New Roman"/>
                      <w:b/>
                      <w:bCs/>
                      <w:sz w:val="21"/>
                      <w:szCs w:val="21"/>
                      <w:vertAlign w:val="baseline"/>
                      <w:lang w:val="en-US" w:eastAsia="zh-CN"/>
                    </w:rPr>
                    <w:t>中类</w:t>
                  </w:r>
                </w:p>
              </w:tc>
              <w:tc>
                <w:tcPr>
                  <w:tcW w:w="3769"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禁止类</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限制类</w:t>
                  </w:r>
                </w:p>
              </w:tc>
            </w:tr>
            <w:tr>
              <w:trPr>
                <w:trHeight w:val="90"/>
              </w:trPr>
              <w:tc>
                <w:tcPr>
                  <w:tcW w:w="736"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石化</w:t>
                  </w: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251</w:t>
                  </w:r>
                  <w:r>
                    <w:rPr>
                      <w:rStyle w:val="53"/>
                      <w:rFonts w:ascii="Times New Roman" w:eastAsia="宋体" w:cs="Times New Roman" w:hAnsi="Times New Roman"/>
                      <w:sz w:val="21"/>
                      <w:szCs w:val="21"/>
                      <w:lang w:val="en-US" w:eastAsia="zh-CN"/>
                    </w:rPr>
                    <w:t>精炼石油产品制造</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新建原油炼制、扩建燃料油炼制项目；油品升级项目除外</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605"/>
              </w:trPr>
              <w:tc>
                <w:tcPr>
                  <w:tcW w:w="73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化工</w:t>
                  </w: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261</w:t>
                  </w:r>
                  <w:r>
                    <w:rPr>
                      <w:rStyle w:val="53"/>
                      <w:rFonts w:ascii="Times New Roman" w:eastAsia="宋体" w:cs="Times New Roman" w:hAnsi="Times New Roman"/>
                      <w:sz w:val="21"/>
                      <w:szCs w:val="21"/>
                      <w:lang w:val="en-US" w:eastAsia="zh-CN"/>
                    </w:rPr>
                    <w:t>基础化学原料制造</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宋体" w:eastAsia="宋体" w:cs="宋体" w:hint="eastAsia"/>
                      <w:i w:val="0"/>
                      <w:iCs w:val="0"/>
                      <w:color w:val="000000"/>
                      <w:kern w:val="0"/>
                      <w:sz w:val="21"/>
                      <w:szCs w:val="21"/>
                      <w:u w:val="none"/>
                      <w:lang w:val="en-US" w:eastAsia="zh-CN"/>
                    </w:rPr>
                    <w:t>“</w:t>
                  </w:r>
                  <w:r>
                    <w:rPr>
                      <w:rStyle w:val="53"/>
                      <w:rFonts w:ascii="宋体" w:eastAsia="宋体" w:cs="宋体" w:hint="eastAsia"/>
                      <w:sz w:val="21"/>
                      <w:szCs w:val="21"/>
                      <w:lang w:val="en-US" w:eastAsia="zh-CN"/>
                    </w:rPr>
                    <w:t>三酸两碱</w:t>
                  </w:r>
                  <w:r>
                    <w:rPr>
                      <w:rStyle w:val="52"/>
                      <w:rFonts w:ascii="宋体" w:eastAsia="宋体" w:cs="宋体" w:hint="eastAsia"/>
                      <w:sz w:val="21"/>
                      <w:szCs w:val="21"/>
                      <w:lang w:val="en-US" w:eastAsia="zh-CN"/>
                    </w:rPr>
                    <w:t>”</w:t>
                  </w:r>
                  <w:r>
                    <w:rPr>
                      <w:rStyle w:val="53"/>
                      <w:rFonts w:ascii="Times New Roman" w:eastAsia="宋体" w:cs="Times New Roman" w:hAnsi="Times New Roman"/>
                      <w:sz w:val="21"/>
                      <w:szCs w:val="21"/>
                      <w:lang w:val="en-US" w:eastAsia="zh-CN"/>
                    </w:rPr>
                    <w:t>（硫酸、盐酸、硝酸，烧碱、纯碱）项目；氯碱（</w:t>
                  </w:r>
                  <w:r>
                    <w:rPr>
                      <w:rStyle w:val="52"/>
                      <w:rFonts w:ascii="Times New Roman" w:eastAsia="宋体" w:cs="Times New Roman" w:hAnsi="Times New Roman"/>
                      <w:sz w:val="21"/>
                      <w:szCs w:val="21"/>
                      <w:lang w:val="en-US" w:eastAsia="zh-CN"/>
                    </w:rPr>
                    <w:t>PVC</w:t>
                  </w:r>
                  <w:r>
                    <w:rPr>
                      <w:rStyle w:val="53"/>
                      <w:rFonts w:ascii="Times New Roman" w:eastAsia="宋体" w:cs="Times New Roman" w:hAnsi="Times New Roman"/>
                      <w:sz w:val="21"/>
                      <w:szCs w:val="21"/>
                      <w:lang w:val="en-US" w:eastAsia="zh-CN"/>
                    </w:rPr>
                    <w:t>）项目</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262</w:t>
                  </w:r>
                  <w:r>
                    <w:rPr>
                      <w:rStyle w:val="53"/>
                      <w:rFonts w:ascii="Times New Roman" w:eastAsia="宋体" w:cs="Times New Roman" w:hAnsi="Times New Roman"/>
                      <w:sz w:val="21"/>
                      <w:szCs w:val="21"/>
                      <w:lang w:val="en-US" w:eastAsia="zh-CN"/>
                    </w:rPr>
                    <w:t>肥料制造</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除合成氨外的肥料制造项目</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合成氨</w:t>
                  </w:r>
                </w:p>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项目</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263</w:t>
                  </w:r>
                  <w:r>
                    <w:rPr>
                      <w:rStyle w:val="53"/>
                      <w:rFonts w:ascii="Times New Roman" w:eastAsia="宋体" w:cs="Times New Roman" w:hAnsi="Times New Roman"/>
                      <w:sz w:val="21"/>
                      <w:szCs w:val="21"/>
                      <w:lang w:val="en-US" w:eastAsia="zh-CN"/>
                    </w:rPr>
                    <w:t>农药制造</w:t>
                  </w:r>
                </w:p>
              </w:tc>
              <w:tc>
                <w:tcPr>
                  <w:tcW w:w="3769"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全部</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264</w:t>
                  </w:r>
                  <w:r>
                    <w:rPr>
                      <w:rStyle w:val="53"/>
                      <w:rFonts w:ascii="Times New Roman" w:eastAsia="宋体" w:cs="Times New Roman" w:hAnsi="Times New Roman"/>
                      <w:sz w:val="21"/>
                      <w:szCs w:val="21"/>
                      <w:lang w:val="en-US" w:eastAsia="zh-CN"/>
                    </w:rPr>
                    <w:t>涂料、油墨、颜料及类似产品制造</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涉及有机溶剂使用和挥发性有机物排放的低固份油性涂料生产</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50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265</w:t>
                  </w:r>
                  <w:r>
                    <w:rPr>
                      <w:rStyle w:val="53"/>
                      <w:rFonts w:ascii="Times New Roman" w:eastAsia="宋体" w:cs="Times New Roman" w:hAnsi="Times New Roman"/>
                      <w:sz w:val="21"/>
                      <w:szCs w:val="21"/>
                      <w:lang w:val="en-US" w:eastAsia="zh-CN"/>
                    </w:rPr>
                    <w:t>合成材料</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新建、改扩建溶剂型氯丁橡胶类、丁苯热塑性橡胶类、聚氨酯类和聚丙烯酸酯类等通用型胶粘剂生产项目；石油化学合成材料制造（丙烯、</w:t>
                  </w:r>
                  <w:r>
                    <w:rPr>
                      <w:rStyle w:val="52"/>
                      <w:rFonts w:ascii="Times New Roman" w:eastAsia="宋体" w:cs="Times New Roman" w:hAnsi="Times New Roman"/>
                      <w:sz w:val="21"/>
                      <w:szCs w:val="21"/>
                      <w:lang w:val="en-US" w:eastAsia="zh-CN"/>
                    </w:rPr>
                    <w:t>C4</w:t>
                  </w:r>
                  <w:r>
                    <w:rPr>
                      <w:rStyle w:val="53"/>
                      <w:rFonts w:ascii="Times New Roman" w:eastAsia="宋体" w:cs="Times New Roman" w:hAnsi="Times New Roman"/>
                      <w:sz w:val="21"/>
                      <w:szCs w:val="21"/>
                      <w:lang w:val="en-US" w:eastAsia="zh-CN"/>
                    </w:rPr>
                    <w:t>馏分下游产品制造除外）</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266</w:t>
                  </w:r>
                  <w:r>
                    <w:rPr>
                      <w:rStyle w:val="53"/>
                      <w:rFonts w:ascii="Times New Roman" w:eastAsia="宋体" w:cs="Times New Roman" w:hAnsi="Times New Roman"/>
                      <w:sz w:val="21"/>
                      <w:szCs w:val="21"/>
                      <w:lang w:val="en-US" w:eastAsia="zh-CN"/>
                    </w:rPr>
                    <w:t>专用化学产品制造</w:t>
                  </w:r>
                </w:p>
              </w:tc>
              <w:tc>
                <w:tcPr>
                  <w:tcW w:w="3769"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动物胶制造</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267</w:t>
                  </w:r>
                  <w:r>
                    <w:rPr>
                      <w:rStyle w:val="53"/>
                      <w:rFonts w:ascii="Times New Roman" w:eastAsia="宋体" w:cs="Times New Roman" w:hAnsi="Times New Roman"/>
                      <w:sz w:val="21"/>
                      <w:szCs w:val="21"/>
                      <w:lang w:val="en-US" w:eastAsia="zh-CN"/>
                    </w:rPr>
                    <w:t>炸药、火工及焰火产品制造</w:t>
                  </w:r>
                </w:p>
              </w:tc>
              <w:tc>
                <w:tcPr>
                  <w:tcW w:w="3769"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全部</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纺织</w:t>
                  </w: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17</w:t>
                  </w:r>
                  <w:r>
                    <w:rPr>
                      <w:rStyle w:val="53"/>
                      <w:rFonts w:ascii="Times New Roman" w:eastAsia="宋体" w:cs="Times New Roman" w:hAnsi="Times New Roman"/>
                      <w:sz w:val="21"/>
                      <w:szCs w:val="21"/>
                      <w:lang w:val="en-US" w:eastAsia="zh-CN"/>
                    </w:rPr>
                    <w:t>纺织业</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涉及印染、染整、脱胶工序或产生缫丝精炼废水的项目</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建材</w:t>
                  </w: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201</w:t>
                  </w:r>
                  <w:r>
                    <w:rPr>
                      <w:rStyle w:val="53"/>
                      <w:rFonts w:ascii="Times New Roman" w:eastAsia="宋体" w:cs="Times New Roman" w:hAnsi="Times New Roman"/>
                      <w:sz w:val="21"/>
                      <w:szCs w:val="21"/>
                      <w:lang w:val="en-US" w:eastAsia="zh-CN"/>
                    </w:rPr>
                    <w:t>木材加工</w:t>
                  </w:r>
                </w:p>
              </w:tc>
              <w:tc>
                <w:tcPr>
                  <w:tcW w:w="3769" w:type="dxa"/>
                  <w:vMerge w:val="restart"/>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涉及有机溶剂使用和挥发性有机物排放的沥青类防水材料生产、人造板项目</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202</w:t>
                  </w:r>
                  <w:r>
                    <w:rPr>
                      <w:rStyle w:val="53"/>
                      <w:rFonts w:ascii="Times New Roman" w:eastAsia="宋体" w:cs="Times New Roman" w:hAnsi="Times New Roman"/>
                      <w:sz w:val="21"/>
                      <w:szCs w:val="21"/>
                      <w:lang w:val="en-US" w:eastAsia="zh-CN"/>
                    </w:rPr>
                    <w:t>人造板制造</w:t>
                  </w:r>
                </w:p>
              </w:tc>
              <w:tc>
                <w:tcPr>
                  <w:tcW w:w="3769" w:type="dxa"/>
                  <w:vMerge/>
                  <w:tcBorders>
                    <w:tl2br w:val="nil"/>
                    <w:tr2bl w:val="nil"/>
                  </w:tcBorders>
                  <w:shd w:val="clear" w:color="auto" w:fill="auto"/>
                  <w:vAlign w:val="center"/>
                </w:tcP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vMerge/>
                  <w:tcBorders>
                    <w:tl2br w:val="nil"/>
                    <w:tr2bl w:val="nil"/>
                  </w:tcBorders>
                  <w:shd w:val="clear" w:color="auto" w:fill="auto"/>
                  <w:vAlign w:val="center"/>
                </w:tcP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203</w:t>
                  </w:r>
                  <w:r>
                    <w:rPr>
                      <w:rStyle w:val="53"/>
                      <w:rFonts w:ascii="Times New Roman" w:eastAsia="宋体" w:cs="Times New Roman" w:hAnsi="Times New Roman"/>
                      <w:sz w:val="21"/>
                      <w:szCs w:val="21"/>
                      <w:lang w:val="en-US" w:eastAsia="zh-CN"/>
                    </w:rPr>
                    <w:t>木质制品制造</w:t>
                  </w:r>
                </w:p>
              </w:tc>
              <w:tc>
                <w:tcPr>
                  <w:tcW w:w="37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使用粉末喷涂、水性涂料及</w:t>
                  </w:r>
                  <w:r>
                    <w:rPr>
                      <w:rStyle w:val="52"/>
                      <w:rFonts w:ascii="Times New Roman" w:eastAsia="宋体" w:cs="Times New Roman" w:hAnsi="Times New Roman"/>
                      <w:sz w:val="21"/>
                      <w:szCs w:val="21"/>
                      <w:lang w:val="en-US" w:eastAsia="zh-CN"/>
                    </w:rPr>
                    <w:t>UV</w:t>
                  </w:r>
                  <w:r>
                    <w:rPr>
                      <w:rStyle w:val="53"/>
                      <w:rFonts w:ascii="Times New Roman" w:eastAsia="宋体" w:cs="Times New Roman" w:hAnsi="Times New Roman"/>
                      <w:sz w:val="21"/>
                      <w:szCs w:val="21"/>
                      <w:lang w:val="en-US" w:eastAsia="zh-CN"/>
                    </w:rPr>
                    <w:t>涂料以及进入共享喷涂中心的项目除外</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r>
              <w:trPr>
                <w:trHeight w:val="90"/>
              </w:trPr>
              <w:tc>
                <w:tcPr>
                  <w:tcW w:w="736"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食品</w:t>
                  </w:r>
                </w:p>
              </w:tc>
              <w:tc>
                <w:tcPr>
                  <w:tcW w:w="2869" w:type="dxa"/>
                  <w:tcBorders>
                    <w:tl2br w:val="nil"/>
                    <w:tr2bl w:val="nil"/>
                  </w:tcBorders>
                  <w:shd w:val="clear" w:color="auto" w:fill="auto"/>
                  <w:vAlign w:val="center"/>
                </w:tcPr>
                <w:p>
                  <w:pPr>
                    <w:keepNext w:val="0"/>
                    <w:keepLines w:val="0"/>
                    <w:widowControl/>
                    <w:suppressLineNumbers w:val="0"/>
                    <w:jc w:val="both"/>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食品制造业</w:t>
                  </w:r>
                </w:p>
              </w:tc>
              <w:tc>
                <w:tcPr>
                  <w:tcW w:w="3769"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sz w:val="21"/>
                      <w:szCs w:val="21"/>
                      <w:u w:val="none"/>
                    </w:rPr>
                  </w:pPr>
                  <w:r>
                    <w:rPr>
                      <w:rFonts w:ascii="Times New Roman" w:eastAsia="宋体" w:cs="Times New Roman" w:hAnsi="Times New Roman"/>
                      <w:i w:val="0"/>
                      <w:iCs w:val="0"/>
                      <w:color w:val="000000"/>
                      <w:kern w:val="0"/>
                      <w:sz w:val="21"/>
                      <w:szCs w:val="21"/>
                      <w:u w:val="none"/>
                      <w:lang w:val="en-US" w:eastAsia="zh-CN"/>
                    </w:rPr>
                    <w:t>全部</w:t>
                  </w:r>
                </w:p>
              </w:tc>
              <w:tc>
                <w:tcPr>
                  <w:tcW w:w="1008" w:type="dxa"/>
                  <w:tcBorders>
                    <w:tl2br w:val="nil"/>
                    <w:tr2bl w:val="nil"/>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w:t>
                  </w:r>
                </w:p>
              </w:tc>
            </w:tr>
          </w:tbl>
          <w:p>
            <w:pPr>
              <w:numPr>
                <w:ilvl w:val="0"/>
                <w:numId w:val="2"/>
              </w:num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eastAsia="zh-CN"/>
              </w:rPr>
              <w:t>允许类</w:t>
            </w:r>
          </w:p>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eastAsia="zh-CN"/>
              </w:rPr>
              <w:t>原则上未被列入上述鼓励类、负面清单的属允许发展类，但在具体实施过程中切不可盲目引进项目，应注意按如下原则要求：</w:t>
            </w:r>
          </w:p>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eastAsia="zh-CN"/>
              </w:rPr>
              <w:t>对于不属于规划区规划主导产业和重点发展方向的建设项目，若与规划区产业定位有互补作用，或属于规划区重要项目的下游企业，或属于高品质、高附加值、低污染的企业，或有利于规划区实现循环经济理念和可持续发展，这一类企业若在建设项目环评中经论证分析与规划区规划无明显冲突，不会影响规划区规划实施的，建议允许此类建设项目入驻。</w:t>
            </w:r>
          </w:p>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eastAsia="zh-CN"/>
              </w:rPr>
              <w:t>本项目位于四川大英经济开发区内，</w:t>
            </w:r>
            <w:r>
              <w:rPr>
                <w:rFonts w:cs="Times New Roman" w:hint="eastAsia"/>
                <w:color w:val="auto"/>
                <w:sz w:val="24"/>
                <w:szCs w:val="24"/>
                <w:lang w:val="en-US" w:eastAsia="zh-CN"/>
              </w:rPr>
              <w:t>属于</w:t>
            </w:r>
            <w:r>
              <w:rPr>
                <w:rFonts w:cs="Times New Roman" w:hint="eastAsia"/>
                <w:color w:val="auto"/>
                <w:sz w:val="24"/>
                <w:szCs w:val="24"/>
                <w:lang w:eastAsia="zh-CN"/>
              </w:rPr>
              <w:t>废旧电器电子产品回收拆解综合利用项目，主要对</w:t>
            </w:r>
            <w:r>
              <w:rPr>
                <w:rFonts w:cs="Times New Roman" w:hint="eastAsia"/>
                <w:color w:val="auto"/>
                <w:sz w:val="24"/>
                <w:szCs w:val="24"/>
                <w:lang w:val="en-US" w:eastAsia="zh-CN"/>
              </w:rPr>
              <w:t>大英及周边区域内</w:t>
            </w:r>
            <w:r>
              <w:rPr>
                <w:rFonts w:cs="Times New Roman" w:hint="eastAsia"/>
                <w:color w:val="auto"/>
                <w:sz w:val="24"/>
                <w:szCs w:val="24"/>
                <w:lang w:eastAsia="zh-CN"/>
              </w:rPr>
              <w:t>废旧电器电子产品进行回收拆解综合利用；项目不属于鼓励类，不在四川大英经济开发区环保准入负面清单</w:t>
            </w:r>
            <w:r>
              <w:rPr>
                <w:rFonts w:cs="Times New Roman" w:hint="eastAsia"/>
                <w:color w:val="auto"/>
                <w:sz w:val="24"/>
                <w:szCs w:val="24"/>
                <w:lang w:val="en-US" w:eastAsia="zh-CN"/>
              </w:rPr>
              <w:t>内</w:t>
            </w:r>
            <w:r>
              <w:rPr>
                <w:rFonts w:cs="Times New Roman" w:hint="eastAsia"/>
                <w:color w:val="auto"/>
                <w:sz w:val="24"/>
                <w:szCs w:val="24"/>
                <w:lang w:eastAsia="zh-CN"/>
              </w:rPr>
              <w:t>，其有利于规划区实现循环经济理念和可持续发展，与规划区规划无明显冲突，不会影响规划区规划实施，属于允许类项目。</w:t>
            </w:r>
          </w:p>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val="en-US" w:eastAsia="zh-CN"/>
              </w:rPr>
              <w:t>综上</w:t>
            </w:r>
            <w:r>
              <w:rPr>
                <w:rFonts w:cs="Times New Roman" w:hint="eastAsia"/>
                <w:color w:val="auto"/>
                <w:sz w:val="24"/>
                <w:szCs w:val="24"/>
                <w:lang w:eastAsia="zh-CN"/>
              </w:rPr>
              <w:t>可知，本项目符合四川大英经济开发区产业规划和布局要求，</w:t>
            </w:r>
            <w:r>
              <w:rPr>
                <w:rFonts w:cs="Times New Roman" w:hint="eastAsia"/>
                <w:color w:val="auto"/>
                <w:sz w:val="24"/>
                <w:szCs w:val="24"/>
                <w:lang w:val="en-US" w:eastAsia="zh-CN"/>
              </w:rPr>
              <w:t>与</w:t>
            </w:r>
            <w:r>
              <w:rPr>
                <w:rFonts w:cs="Times New Roman" w:hint="eastAsia"/>
                <w:color w:val="auto"/>
                <w:sz w:val="24"/>
                <w:szCs w:val="24"/>
                <w:lang w:eastAsia="zh-CN"/>
              </w:rPr>
              <w:t>四川大英经济开发区的园区规划</w:t>
            </w:r>
            <w:r>
              <w:rPr>
                <w:rFonts w:cs="Times New Roman" w:hint="eastAsia"/>
                <w:color w:val="auto"/>
                <w:sz w:val="24"/>
                <w:szCs w:val="24"/>
                <w:lang w:val="en-US" w:eastAsia="zh-CN"/>
              </w:rPr>
              <w:t>相符</w:t>
            </w:r>
            <w:r>
              <w:rPr>
                <w:rFonts w:cs="Times New Roman" w:hint="eastAsia"/>
                <w:color w:val="auto"/>
                <w:sz w:val="24"/>
                <w:szCs w:val="24"/>
                <w:lang w:eastAsia="zh-CN"/>
              </w:rPr>
              <w:t>。</w:t>
            </w:r>
          </w:p>
          <w:p>
            <w:pPr>
              <w:numPr>
                <w:ilvl w:val="0"/>
                <w:numId w:val="1"/>
              </w:numPr>
              <w:bidi w:val="0"/>
              <w:spacing w:line="360" w:lineRule="auto"/>
              <w:ind w:left="0" w:firstLine="0"/>
              <w:jc w:val="both"/>
              <w:rPr>
                <w:rFonts w:cs="Times New Roman" w:hint="eastAsia"/>
                <w:b/>
                <w:bCs/>
                <w:color w:val="auto"/>
                <w:sz w:val="24"/>
                <w:szCs w:val="24"/>
                <w:lang w:eastAsia="zh-CN"/>
              </w:rPr>
            </w:pPr>
            <w:r>
              <w:rPr>
                <w:rFonts w:cs="Times New Roman" w:hint="eastAsia"/>
                <w:b/>
                <w:bCs/>
                <w:color w:val="auto"/>
                <w:sz w:val="24"/>
                <w:szCs w:val="24"/>
                <w:lang w:eastAsia="zh-CN"/>
              </w:rPr>
              <w:t>项目与园区规划环评生态环境准入要求符合性分析</w:t>
            </w:r>
          </w:p>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val="en-US" w:eastAsia="zh-CN"/>
              </w:rPr>
              <w:t>本</w:t>
            </w:r>
            <w:r>
              <w:rPr>
                <w:rFonts w:cs="Times New Roman" w:hint="eastAsia"/>
                <w:color w:val="auto"/>
                <w:sz w:val="24"/>
                <w:szCs w:val="24"/>
                <w:lang w:eastAsia="zh-CN"/>
              </w:rPr>
              <w:t>项目与四川大英经济开发区规划环评及批复的符合性见下表。</w:t>
            </w:r>
          </w:p>
          <w:p>
            <w:pPr>
              <w:bidi w:val="0"/>
              <w:spacing w:line="360" w:lineRule="auto"/>
              <w:jc w:val="center"/>
              <w:rPr>
                <w:rFonts w:cs="Times New Roman" w:hint="eastAsia"/>
                <w:b/>
                <w:bCs/>
                <w:color w:val="auto"/>
                <w:sz w:val="21"/>
                <w:szCs w:val="21"/>
                <w:lang w:eastAsia="zh-CN"/>
              </w:rPr>
            </w:pPr>
            <w:r>
              <w:rPr>
                <w:rFonts w:cs="Times New Roman" w:hint="eastAsia"/>
                <w:b/>
                <w:bCs/>
                <w:color w:val="auto"/>
                <w:sz w:val="21"/>
                <w:szCs w:val="21"/>
                <w:lang w:eastAsia="zh-CN"/>
              </w:rPr>
              <w:t>表1-</w:t>
            </w:r>
            <w:r>
              <w:rPr>
                <w:rFonts w:cs="Times New Roman" w:hint="eastAsia"/>
                <w:b/>
                <w:bCs/>
                <w:color w:val="auto"/>
                <w:sz w:val="21"/>
                <w:szCs w:val="21"/>
                <w:lang w:val="en-US" w:eastAsia="zh-CN"/>
              </w:rPr>
              <w:t xml:space="preserve">2 </w:t>
            </w:r>
            <w:r>
              <w:rPr>
                <w:rFonts w:cs="Times New Roman" w:hint="eastAsia"/>
                <w:b/>
                <w:bCs/>
                <w:color w:val="auto"/>
                <w:sz w:val="21"/>
                <w:szCs w:val="21"/>
                <w:lang w:eastAsia="zh-CN"/>
              </w:rPr>
              <w:t>项目与大英经济开发区规划环评及批复的符合性</w:t>
            </w:r>
          </w:p>
          <w:tbl>
            <w:tblPr>
              <w:jc w:val="left"/>
              <w:tblInd w:w="-5" w:type="dxa"/>
              <w:tblW w:w="8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auto"/>
              <w:tblLayout w:type="fixed"/>
              <w:tblCellMar>
                <w:top w:w="0" w:type="dxa"/>
                <w:left w:w="108" w:type="dxa"/>
                <w:bottom w:w="0" w:type="dxa"/>
                <w:right w:w="108" w:type="dxa"/>
              </w:tblCellMar>
            </w:tblPr>
            <w:tblGrid>
              <w:gridCol w:w="2578"/>
              <w:gridCol w:w="3114"/>
              <w:gridCol w:w="1826"/>
              <w:gridCol w:w="882"/>
            </w:tblGrid>
            <w:tr>
              <w:trPr>
                <w:trHeight w:val="90"/>
              </w:trPr>
              <w:tc>
                <w:tcPr>
                  <w:tcW w:w="2578"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b/>
                      <w:bCs/>
                      <w:i w:val="0"/>
                      <w:iCs w:val="0"/>
                      <w:color w:val="000000"/>
                      <w:sz w:val="21"/>
                      <w:szCs w:val="21"/>
                      <w:u w:val="none"/>
                    </w:rPr>
                  </w:pPr>
                  <w:r>
                    <w:rPr>
                      <w:rFonts w:ascii="宋体" w:eastAsia="宋体" w:cs="宋体" w:hint="eastAsia"/>
                      <w:b/>
                      <w:bCs/>
                      <w:i w:val="0"/>
                      <w:iCs w:val="0"/>
                      <w:color w:val="000000"/>
                      <w:kern w:val="0"/>
                      <w:sz w:val="21"/>
                      <w:szCs w:val="21"/>
                      <w:u w:val="none"/>
                      <w:lang w:val="en-US" w:eastAsia="zh-CN"/>
                    </w:rPr>
                    <w:t>规划环评要求</w:t>
                  </w:r>
                </w:p>
              </w:tc>
              <w:tc>
                <w:tcPr>
                  <w:tcW w:w="4940" w:type="dxa"/>
                  <w:gridSpan w:val="2"/>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b/>
                      <w:bCs/>
                      <w:i w:val="0"/>
                      <w:iCs w:val="0"/>
                      <w:color w:val="000000"/>
                      <w:sz w:val="21"/>
                      <w:szCs w:val="21"/>
                      <w:u w:val="none"/>
                    </w:rPr>
                  </w:pPr>
                  <w:r>
                    <w:rPr>
                      <w:rFonts w:ascii="宋体" w:eastAsia="宋体" w:cs="宋体" w:hint="eastAsia"/>
                      <w:b/>
                      <w:bCs/>
                      <w:i w:val="0"/>
                      <w:iCs w:val="0"/>
                      <w:color w:val="000000"/>
                      <w:kern w:val="0"/>
                      <w:sz w:val="21"/>
                      <w:szCs w:val="21"/>
                      <w:u w:val="none"/>
                      <w:lang w:val="en-US" w:eastAsia="zh-CN"/>
                    </w:rPr>
                    <w:t>本项目</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b/>
                      <w:bCs/>
                      <w:i w:val="0"/>
                      <w:iCs w:val="0"/>
                      <w:color w:val="000000"/>
                      <w:sz w:val="21"/>
                      <w:szCs w:val="21"/>
                      <w:u w:val="none"/>
                    </w:rPr>
                  </w:pPr>
                  <w:r>
                    <w:rPr>
                      <w:rFonts w:ascii="宋体" w:eastAsia="宋体" w:cs="宋体" w:hint="eastAsia"/>
                      <w:b/>
                      <w:bCs/>
                      <w:i w:val="0"/>
                      <w:iCs w:val="0"/>
                      <w:color w:val="000000"/>
                      <w:kern w:val="0"/>
                      <w:sz w:val="21"/>
                      <w:szCs w:val="21"/>
                      <w:u w:val="none"/>
                      <w:lang w:val="en-US" w:eastAsia="zh-CN"/>
                    </w:rPr>
                    <w:t>符合性</w:t>
                  </w:r>
                </w:p>
              </w:tc>
            </w:tr>
            <w:tr>
              <w:trPr>
                <w:trHeight w:val="90"/>
              </w:trPr>
              <w:tc>
                <w:tcPr>
                  <w:tcW w:w="2578" w:type="dxa"/>
                  <w:tcBorders>
                    <w:tl2br w:val="nil"/>
                    <w:tr2bl w:val="nil"/>
                  </w:tcBorders>
                  <w:shd w:val="clear" w:color="auto" w:fill="auto"/>
                  <w:vAlign w:val="center"/>
                </w:tcPr>
                <w:p>
                  <w:pPr>
                    <w:keepNext w:val="0"/>
                    <w:keepLines w:val="0"/>
                    <w:widowControl/>
                    <w:suppressLineNumbers w:val="0"/>
                    <w:jc w:val="both"/>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（一）禁止引入不符合国家行业准入条件的项目，列入国家产能过剩类别的项目，列入产业结构指导目录限制及禁止类的项目。</w:t>
                  </w:r>
                </w:p>
              </w:tc>
              <w:tc>
                <w:tcPr>
                  <w:tcW w:w="4940" w:type="dxa"/>
                  <w:gridSpan w:val="2"/>
                  <w:tcBorders>
                    <w:tl2br w:val="nil"/>
                    <w:tr2bl w:val="nil"/>
                  </w:tcBorders>
                  <w:shd w:val="clear" w:color="auto" w:fill="auto"/>
                  <w:vAlign w:val="center"/>
                </w:tcPr>
                <w:p>
                  <w:pPr>
                    <w:keepNext w:val="0"/>
                    <w:keepLines w:val="0"/>
                    <w:widowControl/>
                    <w:suppressLineNumbers w:val="0"/>
                    <w:jc w:val="both"/>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根据《国民经济行业分类》（</w:t>
                  </w:r>
                  <w:r>
                    <w:rPr>
                      <w:rFonts w:ascii="Times New Roman" w:eastAsia="宋体" w:cs="Times New Roman" w:hAnsi="Times New Roman"/>
                      <w:i w:val="0"/>
                      <w:iCs w:val="0"/>
                      <w:color w:val="000000"/>
                      <w:kern w:val="0"/>
                      <w:sz w:val="21"/>
                      <w:szCs w:val="21"/>
                      <w:u w:val="none"/>
                      <w:lang w:val="en-US" w:eastAsia="zh-CN"/>
                    </w:rPr>
                    <w:t>GB/T4754-2017</w:t>
                  </w:r>
                  <w:r>
                    <w:rPr>
                      <w:rFonts w:ascii="宋体" w:eastAsia="宋体" w:cs="宋体" w:hint="eastAsia"/>
                      <w:i w:val="0"/>
                      <w:iCs w:val="0"/>
                      <w:color w:val="000000"/>
                      <w:kern w:val="0"/>
                      <w:sz w:val="21"/>
                      <w:szCs w:val="21"/>
                      <w:u w:val="none"/>
                      <w:lang w:val="en-US" w:eastAsia="zh-CN"/>
                    </w:rPr>
                    <w:t>），本项目属于</w:t>
                  </w:r>
                  <w:r>
                    <w:rPr>
                      <w:rFonts w:ascii="Times New Roman" w:eastAsia="宋体" w:cs="Times New Roman" w:hAnsi="Times New Roman"/>
                      <w:i w:val="0"/>
                      <w:iCs w:val="0"/>
                      <w:color w:val="000000"/>
                      <w:kern w:val="0"/>
                      <w:sz w:val="21"/>
                      <w:szCs w:val="21"/>
                      <w:u w:val="none"/>
                      <w:lang w:val="en-US" w:eastAsia="zh-CN"/>
                    </w:rPr>
                    <w:t>C4210金属废料及碎屑加工处理</w:t>
                  </w:r>
                  <w:r>
                    <w:rPr>
                      <w:rFonts w:ascii="宋体" w:eastAsia="宋体" w:cs="宋体" w:hint="eastAsia"/>
                      <w:i w:val="0"/>
                      <w:iCs w:val="0"/>
                      <w:color w:val="000000"/>
                      <w:kern w:val="0"/>
                      <w:sz w:val="21"/>
                      <w:szCs w:val="21"/>
                      <w:u w:val="none"/>
                      <w:lang w:val="en-US" w:eastAsia="zh-CN"/>
                    </w:rPr>
                    <w:t>，根据《产业结构调整指导目录（</w:t>
                  </w:r>
                  <w:r>
                    <w:rPr>
                      <w:rFonts w:ascii="Times New Roman" w:eastAsia="宋体" w:cs="Times New Roman" w:hAnsi="Times New Roman"/>
                      <w:i w:val="0"/>
                      <w:iCs w:val="0"/>
                      <w:color w:val="000000"/>
                      <w:kern w:val="0"/>
                      <w:sz w:val="21"/>
                      <w:szCs w:val="21"/>
                      <w:u w:val="none"/>
                      <w:lang w:val="en-US" w:eastAsia="zh-CN"/>
                    </w:rPr>
                    <w:t>2024</w:t>
                  </w:r>
                  <w:r>
                    <w:rPr>
                      <w:rFonts w:ascii="宋体" w:eastAsia="宋体" w:cs="宋体" w:hint="eastAsia"/>
                      <w:i w:val="0"/>
                      <w:iCs w:val="0"/>
                      <w:color w:val="000000"/>
                      <w:kern w:val="0"/>
                      <w:sz w:val="21"/>
                      <w:szCs w:val="21"/>
                      <w:u w:val="none"/>
                      <w:lang w:val="en-US" w:eastAsia="zh-CN"/>
                    </w:rPr>
                    <w:t>年本）》，项目属于鼓励类“四十三、环境保护与资源节约综合利用”中“</w:t>
                  </w:r>
                  <w:r>
                    <w:rPr>
                      <w:rFonts w:ascii="Times New Roman" w:eastAsia="宋体" w:cs="Times New Roman" w:hAnsi="Times New Roman"/>
                      <w:i w:val="0"/>
                      <w:iCs w:val="0"/>
                      <w:color w:val="000000"/>
                      <w:kern w:val="0"/>
                      <w:sz w:val="21"/>
                      <w:szCs w:val="21"/>
                      <w:u w:val="none"/>
                      <w:lang w:val="en-US" w:eastAsia="zh-CN"/>
                    </w:rPr>
                    <w:t>27、</w:t>
                  </w:r>
                  <w:r>
                    <w:rPr>
                      <w:rFonts w:ascii="宋体" w:eastAsia="宋体" w:cs="宋体" w:hint="eastAsia"/>
                      <w:i w:val="0"/>
                      <w:iCs w:val="0"/>
                      <w:color w:val="000000"/>
                      <w:kern w:val="0"/>
                      <w:sz w:val="21"/>
                      <w:szCs w:val="21"/>
                      <w:u w:val="none"/>
                      <w:lang w:val="en-US" w:eastAsia="zh-CN"/>
                    </w:rPr>
                    <w:t>废旧电器电子产品资源循环再利用技术、设备开发及应用”</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符合</w:t>
                  </w:r>
                </w:p>
              </w:tc>
            </w:tr>
            <w:tr>
              <w:trPr>
                <w:trHeight w:val="1521"/>
              </w:trPr>
              <w:tc>
                <w:tcPr>
                  <w:tcW w:w="2578" w:type="dxa"/>
                  <w:tcBorders>
                    <w:tl2br w:val="nil"/>
                    <w:tr2bl w:val="nil"/>
                  </w:tcBorders>
                  <w:shd w:val="clear" w:color="auto" w:fill="auto"/>
                  <w:vAlign w:val="center"/>
                </w:tcPr>
                <w:p>
                  <w:pPr>
                    <w:keepNext w:val="0"/>
                    <w:keepLines w:val="0"/>
                    <w:widowControl/>
                    <w:suppressLineNumbers w:val="0"/>
                    <w:jc w:val="both"/>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（二）禁止引入不符合国家环保法律法规、各类污染防治规划及要求的项目。</w:t>
                  </w:r>
                </w:p>
              </w:tc>
              <w:tc>
                <w:tcPr>
                  <w:tcW w:w="4940" w:type="dxa"/>
                  <w:gridSpan w:val="2"/>
                  <w:tcBorders>
                    <w:tl2br w:val="nil"/>
                    <w:tr2bl w:val="nil"/>
                  </w:tcBorders>
                  <w:shd w:val="clear" w:color="auto" w:fill="auto"/>
                  <w:vAlign w:val="center"/>
                </w:tcPr>
                <w:p>
                  <w:pPr>
                    <w:keepNext w:val="0"/>
                    <w:keepLines w:val="0"/>
                    <w:widowControl/>
                    <w:suppressLineNumbers w:val="0"/>
                    <w:jc w:val="both"/>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本项目属于废旧电器电子产品回收拆解综合利用项目，主要大气污染物为清灰过程产生的粉</w:t>
                  </w:r>
                  <w:r>
                    <w:rPr>
                      <w:rFonts w:ascii="Times New Roman" w:eastAsia="宋体" w:cs="Times New Roman" w:hAnsi="Times New Roman"/>
                      <w:i w:val="0"/>
                      <w:iCs w:val="0"/>
                      <w:color w:val="000000"/>
                      <w:kern w:val="0"/>
                      <w:sz w:val="21"/>
                      <w:szCs w:val="21"/>
                      <w:u w:val="none"/>
                      <w:lang w:val="en-US" w:eastAsia="zh-CN"/>
                    </w:rPr>
                    <w:t>尘，</w:t>
                  </w:r>
                  <w:r>
                    <w:rPr>
                      <w:rFonts w:ascii="Times New Roman" w:eastAsia="宋体" w:cs="Times New Roman" w:hAnsi="Times New Roman" w:hint="eastAsia"/>
                      <w:i w:val="0"/>
                      <w:iCs w:val="0"/>
                      <w:color w:val="000000"/>
                      <w:kern w:val="0"/>
                      <w:sz w:val="21"/>
                      <w:szCs w:val="21"/>
                      <w:u w:val="none"/>
                      <w:lang w:val="en-US" w:eastAsia="zh-CN"/>
                    </w:rPr>
                    <w:t>通过</w:t>
                  </w:r>
                  <w:r>
                    <w:rPr>
                      <w:rFonts w:ascii="Times New Roman" w:eastAsia="宋体" w:cs="Times New Roman" w:hAnsi="Times New Roman"/>
                      <w:i w:val="0"/>
                      <w:iCs w:val="0"/>
                      <w:color w:val="000000"/>
                      <w:kern w:val="0"/>
                      <w:sz w:val="21"/>
                      <w:szCs w:val="21"/>
                      <w:u w:val="none"/>
                      <w:lang w:val="en-US" w:eastAsia="zh-CN"/>
                    </w:rPr>
                    <w:t>配套</w:t>
                  </w:r>
                  <w:r>
                    <w:rPr>
                      <w:rFonts w:ascii="Times New Roman" w:eastAsia="宋体" w:cs="Times New Roman" w:hAnsi="Times New Roman" w:hint="eastAsia"/>
                      <w:i w:val="0"/>
                      <w:iCs w:val="0"/>
                      <w:color w:val="000000"/>
                      <w:kern w:val="0"/>
                      <w:sz w:val="21"/>
                      <w:szCs w:val="21"/>
                      <w:u w:val="none"/>
                      <w:lang w:val="en-US" w:eastAsia="zh-CN"/>
                    </w:rPr>
                    <w:t>布袋除尘</w:t>
                  </w:r>
                  <w:r>
                    <w:rPr>
                      <w:rFonts w:ascii="Times New Roman" w:eastAsia="宋体" w:cs="Times New Roman" w:hAnsi="Times New Roman"/>
                      <w:i w:val="0"/>
                      <w:iCs w:val="0"/>
                      <w:color w:val="000000"/>
                      <w:kern w:val="0"/>
                      <w:sz w:val="21"/>
                      <w:szCs w:val="21"/>
                      <w:u w:val="none"/>
                      <w:lang w:val="en-US" w:eastAsia="zh-CN"/>
                    </w:rPr>
                    <w:t>器处理后有组织排放</w:t>
                  </w:r>
                  <w:r>
                    <w:rPr>
                      <w:rFonts w:ascii="宋体" w:eastAsia="宋体" w:cs="宋体" w:hint="eastAsia"/>
                      <w:i w:val="0"/>
                      <w:iCs w:val="0"/>
                      <w:color w:val="000000"/>
                      <w:kern w:val="0"/>
                      <w:sz w:val="21"/>
                      <w:szCs w:val="21"/>
                      <w:u w:val="none"/>
                      <w:lang w:val="en-US" w:eastAsia="zh-CN"/>
                    </w:rPr>
                    <w:t>；不产生生产废水，生活污水依托租赁厂区已建预处理池进行处理后排入污水管网；本项目符合国家法律法规、符合各类污染防治规划要求。</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符合</w:t>
                  </w:r>
                </w:p>
              </w:tc>
            </w:tr>
            <w:tr>
              <w:trPr>
                <w:trHeight w:val="90"/>
              </w:trPr>
              <w:tc>
                <w:tcPr>
                  <w:tcW w:w="5692" w:type="dxa"/>
                  <w:gridSpan w:val="2"/>
                  <w:tcBorders>
                    <w:tl2br w:val="nil"/>
                    <w:tr2bl w:val="nil"/>
                  </w:tcBorders>
                  <w:shd w:val="clear" w:color="auto" w:fill="auto"/>
                  <w:vAlign w:val="center"/>
                </w:tcPr>
                <w:p>
                  <w:pPr>
                    <w:keepNext w:val="0"/>
                    <w:keepLines w:val="0"/>
                    <w:widowControl/>
                    <w:suppressLineNumbers w:val="0"/>
                    <w:jc w:val="both"/>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（三）禁止新建燃煤火电、金属冶炼、制浆（含废纸制浆）屠宰、皮革鞣制、铅蓄电池制造、原油炼制、煤化工、印染项目，具体清单见《报告书》。</w:t>
                  </w:r>
                </w:p>
              </w:tc>
              <w:tc>
                <w:tcPr>
                  <w:tcW w:w="1826"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不涉及</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符合</w:t>
                  </w:r>
                </w:p>
              </w:tc>
            </w:tr>
            <w:tr>
              <w:trPr>
                <w:trHeight w:val="90"/>
              </w:trPr>
              <w:tc>
                <w:tcPr>
                  <w:tcW w:w="5692" w:type="dxa"/>
                  <w:gridSpan w:val="2"/>
                  <w:tcBorders>
                    <w:tl2br w:val="nil"/>
                    <w:tr2bl w:val="nil"/>
                  </w:tcBorders>
                  <w:shd w:val="clear" w:color="auto" w:fill="auto"/>
                  <w:vAlign w:val="center"/>
                </w:tcPr>
                <w:p>
                  <w:pPr>
                    <w:keepNext w:val="0"/>
                    <w:keepLines w:val="0"/>
                    <w:widowControl/>
                    <w:suppressLineNumbers w:val="0"/>
                    <w:jc w:val="both"/>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（四）经开区内现有盛马化工燃料油炼制规模不再扩大。</w:t>
                  </w:r>
                </w:p>
              </w:tc>
              <w:tc>
                <w:tcPr>
                  <w:tcW w:w="1826"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不涉及</w:t>
                  </w:r>
                </w:p>
              </w:tc>
              <w:tc>
                <w:tcPr>
                  <w:tcW w:w="882" w:type="dxa"/>
                  <w:tcBorders>
                    <w:tl2br w:val="nil"/>
                    <w:tr2bl w:val="nil"/>
                  </w:tcBorders>
                  <w:shd w:val="clear" w:color="auto" w:fill="auto"/>
                  <w:vAlign w:val="center"/>
                </w:tcPr>
                <w:p>
                  <w:pPr>
                    <w:keepNext w:val="0"/>
                    <w:keepLines w:val="0"/>
                    <w:widowControl/>
                    <w:suppressLineNumbers w:val="0"/>
                    <w:jc w:val="center"/>
                    <w:textAlignment w:val="center"/>
                    <w:rPr>
                      <w:rFonts w:ascii="宋体" w:eastAsia="宋体" w:cs="宋体" w:hint="eastAsia"/>
                      <w:i w:val="0"/>
                      <w:iCs w:val="0"/>
                      <w:color w:val="000000"/>
                      <w:sz w:val="21"/>
                      <w:szCs w:val="21"/>
                      <w:u w:val="none"/>
                    </w:rPr>
                  </w:pPr>
                  <w:r>
                    <w:rPr>
                      <w:rFonts w:ascii="宋体" w:eastAsia="宋体" w:cs="宋体" w:hint="eastAsia"/>
                      <w:i w:val="0"/>
                      <w:iCs w:val="0"/>
                      <w:color w:val="000000"/>
                      <w:kern w:val="0"/>
                      <w:sz w:val="21"/>
                      <w:szCs w:val="21"/>
                      <w:u w:val="none"/>
                      <w:lang w:val="en-US" w:eastAsia="zh-CN"/>
                    </w:rPr>
                    <w:t>符合</w:t>
                  </w:r>
                </w:p>
              </w:tc>
            </w:tr>
          </w:tbl>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eastAsia="zh-CN"/>
              </w:rPr>
              <w:t>综上，本项目符合四川大英经济开发区规划环评及批复要求。</w:t>
            </w:r>
          </w:p>
          <w:p>
            <w:pPr>
              <w:numPr>
                <w:ilvl w:val="0"/>
                <w:numId w:val="1"/>
              </w:numPr>
              <w:bidi w:val="0"/>
              <w:spacing w:line="360" w:lineRule="auto"/>
              <w:ind w:left="0" w:firstLine="0"/>
              <w:jc w:val="both"/>
              <w:rPr>
                <w:rFonts w:cs="Times New Roman" w:hint="eastAsia"/>
                <w:b/>
                <w:bCs/>
                <w:color w:val="auto"/>
                <w:sz w:val="24"/>
                <w:szCs w:val="24"/>
                <w:lang w:eastAsia="zh-CN"/>
              </w:rPr>
            </w:pPr>
            <w:r>
              <w:rPr>
                <w:rFonts w:cs="Times New Roman" w:hint="eastAsia"/>
                <w:b/>
                <w:bCs/>
                <w:color w:val="auto"/>
                <w:sz w:val="24"/>
                <w:szCs w:val="24"/>
                <w:lang w:eastAsia="zh-CN"/>
              </w:rPr>
              <w:t>与《大英县城市总体规划》（2012-2030）的符合性分析</w:t>
            </w:r>
          </w:p>
          <w:p>
            <w:pPr>
              <w:bidi w:val="0"/>
              <w:spacing w:line="360" w:lineRule="auto"/>
              <w:ind w:left="0" w:firstLineChars="200" w:firstLine="480"/>
              <w:jc w:val="both"/>
              <w:rPr>
                <w:rFonts w:cs="Times New Roman" w:hint="eastAsia"/>
                <w:color w:val="auto"/>
                <w:sz w:val="24"/>
                <w:szCs w:val="24"/>
                <w:lang w:eastAsia="zh-CN"/>
              </w:rPr>
            </w:pPr>
            <w:r>
              <w:rPr>
                <w:rFonts w:cs="Times New Roman" w:hint="eastAsia"/>
                <w:color w:val="auto"/>
                <w:sz w:val="24"/>
                <w:szCs w:val="24"/>
                <w:lang w:eastAsia="zh-CN"/>
              </w:rPr>
              <w:t>《大英县城市总体规划》（2012-2030）明确未来城市发展将围绕“新型工业县、优秀旅游城、生态示范区”的目标定位，努力把大英建设成“成渝走廊上快速崛起的现代产业高地、全国知名旅游目的地、现代生态田园城市”。空间结构“一带一心三城五片”，一带：郪江生态景观绿带；一心：县城中心；三城（一个主城，北部文化产业新城、东部工业新城）；五片：文化产业城郊野公园、太吉新区郊野公园、郪江新城郊野公园、蓬莱仙山郊野公园、城东郊野公园等城市周边五片生态郊野公园。</w:t>
            </w:r>
          </w:p>
          <w:p>
            <w:pPr>
              <w:bidi w:val="0"/>
              <w:spacing w:line="360" w:lineRule="auto"/>
              <w:ind w:left="0" w:firstLineChars="200" w:firstLine="480"/>
              <w:jc w:val="both"/>
              <w:rPr>
                <w:rFonts w:ascii="Times New Roman" w:eastAsia="宋体" w:cs="Times New Roman" w:hAnsi="Times New Roman"/>
                <w:b w:val="0"/>
                <w:bCs w:val="0"/>
                <w:color w:val="auto"/>
                <w:sz w:val="24"/>
                <w:szCs w:val="24"/>
                <w:lang w:eastAsia="zh-CN"/>
              </w:rPr>
            </w:pPr>
            <w:r>
              <w:rPr>
                <w:rFonts w:cs="Times New Roman" w:hint="eastAsia"/>
                <w:color w:val="auto"/>
                <w:sz w:val="24"/>
                <w:szCs w:val="24"/>
                <w:lang w:eastAsia="zh-CN"/>
              </w:rPr>
              <w:t>本项目位于四川大英经济开发区内，用地性质属于工业用地，用地性质与规划相符。因此，本项目建设符合《大英县城市总体规划》（2012-2030）。</w:t>
            </w:r>
          </w:p>
        </w:tc>
      </w:tr>
      <w:tr>
        <w:trPr>
          <w:trHeight w:val="31"/>
        </w:trPr>
        <w:tc>
          <w:tcPr>
            <w:tcW w:w="510" w:type="pct"/>
            <w:gridSpan w:val="2"/>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其他符合性</w:t>
            </w:r>
          </w:p>
          <w:p>
            <w:pPr>
              <w:bidi w:val="0"/>
              <w:spacing w:line="360" w:lineRule="auto"/>
              <w:jc w:val="center"/>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分析</w:t>
            </w:r>
          </w:p>
        </w:tc>
        <w:tc>
          <w:tcPr>
            <w:tcW w:w="4489" w:type="pct"/>
            <w:gridSpan w:val="4"/>
            <w:tcBorders>
              <w:top w:val="single" w:sz="4" w:space="0" w:color="auto"/>
              <w:left w:val="single" w:sz="4" w:space="0" w:color="auto"/>
              <w:right w:val="single" w:sz="4" w:space="0" w:color="auto"/>
            </w:tcBorders>
            <w:noWrap/>
            <w:vAlign w:val="center"/>
          </w:tcPr>
          <w:p>
            <w:pPr>
              <w:numPr>
                <w:ilvl w:val="0"/>
                <w:numId w:val="4"/>
              </w:numPr>
              <w:bidi w:val="0"/>
              <w:spacing w:line="360" w:lineRule="auto"/>
              <w:ind w:left="0" w:firstLine="0"/>
              <w:rPr>
                <w:rFonts w:cs="Times New Roman" w:hint="eastAsia"/>
                <w:b/>
                <w:bCs/>
                <w:color w:val="auto"/>
                <w:sz w:val="24"/>
                <w:szCs w:val="24"/>
                <w:lang w:val="en-US" w:eastAsia="zh-CN"/>
              </w:rPr>
            </w:pPr>
            <w:r>
              <w:rPr>
                <w:rFonts w:cs="Times New Roman" w:hint="eastAsia"/>
                <w:b/>
                <w:bCs/>
                <w:color w:val="auto"/>
                <w:sz w:val="24"/>
                <w:szCs w:val="24"/>
                <w:lang w:val="en-US" w:eastAsia="zh-CN"/>
              </w:rPr>
              <w:t>与用地规划符合性分析</w:t>
            </w:r>
          </w:p>
          <w:p>
            <w:pPr>
              <w:bidi w:val="0"/>
              <w:spacing w:line="360" w:lineRule="auto"/>
              <w:ind w:left="0" w:firstLineChars="200" w:firstLine="480"/>
              <w:rPr>
                <w:rFonts w:cs="Times New Roman"/>
                <w:b w:val="0"/>
                <w:bCs w:val="0"/>
                <w:color w:val="auto"/>
                <w:sz w:val="24"/>
                <w:szCs w:val="24"/>
                <w:lang w:val="en-US" w:eastAsia="zh-CN"/>
              </w:rPr>
            </w:pPr>
            <w:r>
              <w:rPr>
                <w:rFonts w:cs="Times New Roman" w:hint="eastAsia"/>
                <w:b w:val="0"/>
                <w:bCs w:val="0"/>
                <w:color w:val="auto"/>
                <w:sz w:val="24"/>
                <w:szCs w:val="24"/>
                <w:lang w:val="en-US" w:eastAsia="zh-CN"/>
              </w:rPr>
              <w:t>本项目选址遂宁市大英县蓬莱镇南华路，租赁大英县嘉泰城市建设投资开发有限责任公司已建标准厂房第20幢第3层（附件4租赁协议）；根据建设单位提供《不动产权证书》（川（2017）大英县不动产权第0009158号）及《四川大英经济技术开发区概念总体规划图》（附图4区域用地规划图），本项目选址区域规划用地性质为工业用地；同时，本项目取得了四川大英经济开发区管理委员会出具的同意项目入驻园区的《证明》（附件5园区同意入驻证明）。</w:t>
            </w:r>
          </w:p>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cs="Times New Roman" w:hint="eastAsia"/>
                <w:b w:val="0"/>
                <w:bCs w:val="0"/>
                <w:color w:val="auto"/>
                <w:sz w:val="24"/>
                <w:szCs w:val="24"/>
                <w:lang w:val="en-US" w:eastAsia="zh-CN"/>
              </w:rPr>
              <w:t>因此，本项目的建设与当地现行土地利用总体规划相符</w:t>
            </w:r>
            <w:r>
              <w:rPr>
                <w:rFonts w:ascii="Times New Roman" w:eastAsia="宋体" w:cs="Times New Roman" w:hAnsi="Times New Roman" w:hint="eastAsia"/>
                <w:b w:val="0"/>
                <w:bCs w:val="0"/>
                <w:color w:val="auto"/>
                <w:sz w:val="24"/>
                <w:szCs w:val="24"/>
                <w:lang w:val="en-US" w:eastAsia="zh-CN"/>
              </w:rPr>
              <w:t>。</w:t>
            </w:r>
          </w:p>
          <w:p>
            <w:pPr>
              <w:numPr>
                <w:ilvl w:val="0"/>
                <w:numId w:val="4"/>
              </w:numPr>
              <w:bidi w:val="0"/>
              <w:spacing w:line="360" w:lineRule="auto"/>
              <w:ind w:left="0" w:firstLine="0"/>
              <w:rPr>
                <w:rFonts w:cs="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产业政策符合性分析</w:t>
            </w:r>
          </w:p>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ascii="Times New Roman" w:eastAsia="宋体" w:cs="Times New Roman" w:hAnsi="Times New Roman" w:hint="eastAsia"/>
                <w:b w:val="0"/>
                <w:bCs w:val="0"/>
                <w:color w:val="auto"/>
                <w:sz w:val="24"/>
                <w:szCs w:val="24"/>
                <w:lang w:val="en-US" w:eastAsia="zh-CN"/>
              </w:rPr>
              <w:t>本项目</w:t>
            </w:r>
            <w:r>
              <w:rPr>
                <w:rFonts w:cs="Times New Roman" w:hint="eastAsia"/>
                <w:b w:val="0"/>
                <w:bCs w:val="0"/>
                <w:color w:val="auto"/>
                <w:sz w:val="24"/>
                <w:szCs w:val="24"/>
                <w:lang w:val="en-US" w:eastAsia="zh-CN"/>
              </w:rPr>
              <w:t>主要进行</w:t>
            </w:r>
            <w:r>
              <w:rPr>
                <w:rFonts w:ascii="Times New Roman" w:eastAsia="宋体" w:cs="Times New Roman" w:hAnsi="Times New Roman" w:hint="eastAsia"/>
                <w:b w:val="0"/>
                <w:bCs w:val="0"/>
                <w:color w:val="auto"/>
                <w:sz w:val="24"/>
                <w:szCs w:val="24"/>
                <w:lang w:val="en-US" w:eastAsia="zh-CN"/>
              </w:rPr>
              <w:t>废弃电器电子产品拆解</w:t>
            </w:r>
            <w:r>
              <w:rPr>
                <w:rFonts w:cs="Times New Roman" w:hint="eastAsia"/>
                <w:b w:val="0"/>
                <w:bCs w:val="0"/>
                <w:color w:val="auto"/>
                <w:sz w:val="24"/>
                <w:szCs w:val="24"/>
                <w:lang w:val="en-US" w:eastAsia="zh-CN"/>
              </w:rPr>
              <w:t>及</w:t>
            </w:r>
            <w:r>
              <w:rPr>
                <w:rFonts w:ascii="Times New Roman" w:eastAsia="宋体" w:cs="Times New Roman" w:hAnsi="Times New Roman" w:hint="eastAsia"/>
                <w:b w:val="0"/>
                <w:bCs w:val="0"/>
                <w:color w:val="auto"/>
                <w:sz w:val="24"/>
                <w:szCs w:val="24"/>
                <w:lang w:val="en-US" w:eastAsia="zh-CN"/>
              </w:rPr>
              <w:t>回收综合利用</w:t>
            </w:r>
            <w:r>
              <w:rPr>
                <w:rFonts w:cs="Times New Roman" w:hint="eastAsia"/>
                <w:b w:val="0"/>
                <w:bCs w:val="0"/>
                <w:color w:val="auto"/>
                <w:sz w:val="24"/>
                <w:szCs w:val="24"/>
                <w:lang w:val="en-US" w:eastAsia="zh-CN"/>
              </w:rPr>
              <w:t>；根据</w:t>
            </w:r>
            <w:r>
              <w:rPr>
                <w:rFonts w:ascii="Times New Roman" w:eastAsia="宋体" w:cs="Times New Roman" w:hAnsi="Times New Roman" w:hint="eastAsia"/>
                <w:b w:val="0"/>
                <w:bCs w:val="0"/>
                <w:color w:val="auto"/>
                <w:sz w:val="24"/>
                <w:szCs w:val="24"/>
                <w:lang w:val="en-US" w:eastAsia="zh-CN"/>
              </w:rPr>
              <w:t>《产业结构调整指导目录（</w:t>
            </w:r>
            <w:r>
              <w:rPr>
                <w:rFonts w:cs="Times New Roman" w:hint="eastAsia"/>
                <w:b w:val="0"/>
                <w:bCs w:val="0"/>
                <w:color w:val="auto"/>
                <w:sz w:val="24"/>
                <w:szCs w:val="24"/>
                <w:lang w:val="en-US" w:eastAsia="zh-CN"/>
              </w:rPr>
              <w:t>2024年本</w:t>
            </w:r>
            <w:r>
              <w:rPr>
                <w:rFonts w:ascii="Times New Roman" w:eastAsia="宋体" w:cs="Times New Roman" w:hAnsi="Times New Roman" w:hint="eastAsia"/>
                <w:b w:val="0"/>
                <w:bCs w:val="0"/>
                <w:color w:val="auto"/>
                <w:sz w:val="24"/>
                <w:szCs w:val="24"/>
                <w:lang w:val="en-US" w:eastAsia="zh-CN"/>
              </w:rPr>
              <w:t>）》</w:t>
            </w:r>
            <w:r>
              <w:rPr>
                <w:rFonts w:cs="Times New Roman" w:hint="eastAsia"/>
                <w:b w:val="0"/>
                <w:bCs w:val="0"/>
                <w:color w:val="auto"/>
                <w:sz w:val="24"/>
                <w:szCs w:val="24"/>
                <w:lang w:val="en-US" w:eastAsia="zh-CN"/>
              </w:rPr>
              <w:t>，项目属于</w:t>
            </w:r>
            <w:r>
              <w:rPr>
                <w:rFonts w:ascii="Times New Roman" w:eastAsia="宋体" w:cs="Times New Roman" w:hAnsi="Times New Roman" w:hint="eastAsia"/>
                <w:b w:val="0"/>
                <w:bCs w:val="0"/>
                <w:color w:val="auto"/>
                <w:sz w:val="24"/>
                <w:szCs w:val="24"/>
                <w:lang w:val="en-US" w:eastAsia="zh-CN"/>
              </w:rPr>
              <w:t>鼓励类“四十三、环境保护与资源节约综合利用”中“27、废旧木材、</w:t>
            </w:r>
            <w:r>
              <w:rPr>
                <w:rFonts w:ascii="Times New Roman" w:eastAsia="宋体" w:cs="Times New Roman" w:hAnsi="Times New Roman" w:hint="eastAsia"/>
                <w:b/>
                <w:bCs/>
                <w:color w:val="auto"/>
                <w:sz w:val="24"/>
                <w:szCs w:val="24"/>
                <w:lang w:val="en-US" w:eastAsia="zh-CN"/>
              </w:rPr>
              <w:t>废旧电器电子产品</w:t>
            </w:r>
            <w:r>
              <w:rPr>
                <w:rFonts w:ascii="Times New Roman" w:eastAsia="宋体" w:cs="Times New Roman" w:hAnsi="Times New Roman" w:hint="eastAsia"/>
                <w:b w:val="0"/>
                <w:bCs w:val="0"/>
                <w:color w:val="auto"/>
                <w:sz w:val="24"/>
                <w:szCs w:val="24"/>
                <w:lang w:val="en-US" w:eastAsia="zh-CN"/>
              </w:rPr>
              <w:t>、废印刷电路板、废旧电池、废旧船舶、废旧农机、废塑料、废旧纺织品及纺织废料和边角料、废（碎）玻璃、废橡胶、废弃油脂等废旧物资等资源循环再利用技术、设备开发及应用”</w:t>
            </w:r>
            <w:r>
              <w:rPr>
                <w:rFonts w:cs="Times New Roman" w:hint="eastAsia"/>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同时</w:t>
            </w:r>
            <w:r>
              <w:rPr>
                <w:rFonts w:cs="Times New Roman" w:hint="eastAsia"/>
                <w:b w:val="0"/>
                <w:bCs w:val="0"/>
                <w:color w:val="auto"/>
                <w:sz w:val="24"/>
                <w:szCs w:val="24"/>
                <w:lang w:val="en-US" w:eastAsia="zh-CN"/>
              </w:rPr>
              <w:t>本</w:t>
            </w:r>
            <w:r>
              <w:rPr>
                <w:rFonts w:ascii="Times New Roman" w:eastAsia="宋体" w:cs="Times New Roman" w:hAnsi="Times New Roman" w:hint="eastAsia"/>
                <w:b w:val="0"/>
                <w:bCs w:val="0"/>
                <w:color w:val="auto"/>
                <w:sz w:val="24"/>
                <w:szCs w:val="24"/>
                <w:lang w:val="en-US" w:eastAsia="zh-CN"/>
              </w:rPr>
              <w:t>项目已取得</w:t>
            </w:r>
            <w:r>
              <w:rPr>
                <w:rFonts w:cs="Times New Roman" w:hint="eastAsia"/>
                <w:b w:val="0"/>
                <w:bCs w:val="0"/>
                <w:color w:val="auto"/>
                <w:sz w:val="24"/>
                <w:szCs w:val="24"/>
                <w:lang w:val="en-US" w:eastAsia="zh-CN"/>
              </w:rPr>
              <w:t>大英县发展和改革局</w:t>
            </w:r>
            <w:r>
              <w:rPr>
                <w:rFonts w:ascii="Times New Roman" w:eastAsia="宋体" w:cs="Times New Roman" w:hAnsi="Times New Roman" w:hint="eastAsia"/>
                <w:b w:val="0"/>
                <w:bCs w:val="0"/>
                <w:color w:val="auto"/>
                <w:sz w:val="24"/>
                <w:szCs w:val="24"/>
                <w:lang w:val="en-US" w:eastAsia="zh-CN"/>
              </w:rPr>
              <w:t>出具的《四川省固定资产投资项目备案表》（</w:t>
            </w:r>
            <w:r>
              <w:rPr>
                <w:rFonts w:cs="Times New Roman" w:hint="eastAsia"/>
                <w:b w:val="0"/>
                <w:bCs w:val="0"/>
                <w:color w:val="auto"/>
                <w:sz w:val="24"/>
                <w:szCs w:val="24"/>
                <w:lang w:val="en-US" w:eastAsia="zh-CN"/>
              </w:rPr>
              <w:t>川投资备【2410-510923-04-01-687764】FGQB-0311号）</w:t>
            </w:r>
            <w:r>
              <w:rPr>
                <w:rFonts w:ascii="Times New Roman" w:eastAsia="宋体" w:cs="Times New Roman" w:hAnsi="Times New Roman" w:hint="eastAsia"/>
                <w:b w:val="0"/>
                <w:bCs w:val="0"/>
                <w:color w:val="auto"/>
                <w:sz w:val="24"/>
                <w:szCs w:val="24"/>
                <w:lang w:val="en-US" w:eastAsia="zh-CN"/>
              </w:rPr>
              <w:t>。</w:t>
            </w:r>
          </w:p>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ascii="Times New Roman" w:eastAsia="宋体" w:cs="Times New Roman" w:hAnsi="Times New Roman" w:hint="eastAsia"/>
                <w:b w:val="0"/>
                <w:bCs w:val="0"/>
                <w:color w:val="auto"/>
                <w:sz w:val="24"/>
                <w:szCs w:val="24"/>
                <w:lang w:val="en-US" w:eastAsia="zh-CN"/>
              </w:rPr>
              <w:t>《废弃电器电子产品回收处理管理条例》</w:t>
            </w:r>
            <w:r>
              <w:rPr>
                <w:rFonts w:cs="Times New Roman" w:hint="eastAsia"/>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中华人民共和国国务院第551号令颁布</w:t>
            </w:r>
            <w:r>
              <w:rPr>
                <w:rFonts w:cs="Times New Roman" w:hint="eastAsia"/>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cs="Times New Roman" w:hint="eastAsia"/>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因此，本项目属于国家鼓励发展的行业</w:t>
            </w:r>
            <w:r>
              <w:rPr>
                <w:rFonts w:cs="Times New Roman" w:hint="eastAsia"/>
                <w:b w:val="0"/>
                <w:bCs w:val="0"/>
                <w:color w:val="auto"/>
                <w:sz w:val="24"/>
                <w:szCs w:val="24"/>
                <w:lang w:val="en-US" w:eastAsia="zh-CN"/>
              </w:rPr>
              <w:t>。</w:t>
            </w:r>
          </w:p>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ascii="Times New Roman" w:eastAsia="宋体" w:cs="Times New Roman" w:hAnsi="Times New Roman" w:hint="eastAsia"/>
                <w:b w:val="0"/>
                <w:bCs w:val="0"/>
                <w:color w:val="auto"/>
                <w:sz w:val="24"/>
                <w:szCs w:val="24"/>
                <w:lang w:val="en-US" w:eastAsia="zh-CN"/>
              </w:rPr>
              <w:t>综上，本项目的建设符合国家现行产业政策。</w:t>
            </w:r>
          </w:p>
          <w:p>
            <w:pPr>
              <w:numPr>
                <w:ilvl w:val="0"/>
                <w:numId w:val="4"/>
              </w:numPr>
              <w:bidi w:val="0"/>
              <w:spacing w:line="360" w:lineRule="auto"/>
              <w:ind w:left="0" w:firstLine="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国家相关政策及要求符合性分析</w:t>
            </w:r>
          </w:p>
          <w:p>
            <w:pPr>
              <w:numPr>
                <w:ilvl w:val="0"/>
                <w:numId w:val="5"/>
              </w:num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与国家环境保护总局令第40号《电子废物污染环境防治管理办法》符合性分析</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本项目与《电子废物污染环境防治管理办法》符合性分析详见下表。</w:t>
            </w:r>
          </w:p>
          <w:p>
            <w:pPr>
              <w:bidi w:val="0"/>
              <w:spacing w:line="36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lang w:val="en-US" w:eastAsia="zh-CN"/>
              </w:rPr>
              <w:t>表1-3 项目与《电子废物污染环境防治管理办法》符合性分析</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688"/>
              <w:gridCol w:w="3688"/>
              <w:gridCol w:w="1004"/>
            </w:tblGrid>
            <w:tr>
              <w:tc>
                <w:tcPr>
                  <w:tcW w:w="2200" w:type="pct"/>
                  <w:vAlign w:val="center"/>
                </w:tcPr>
                <w:p>
                  <w:pPr>
                    <w:bidi w:val="0"/>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文件要求</w:t>
                  </w:r>
                </w:p>
              </w:tc>
              <w:tc>
                <w:tcPr>
                  <w:tcW w:w="2200" w:type="pct"/>
                  <w:vAlign w:val="center"/>
                </w:tcPr>
                <w:p>
                  <w:pPr>
                    <w:bidi w:val="0"/>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本项目情况</w:t>
                  </w:r>
                </w:p>
              </w:tc>
              <w:tc>
                <w:tcPr>
                  <w:tcW w:w="599" w:type="pct"/>
                  <w:vAlign w:val="center"/>
                </w:tcPr>
                <w:p>
                  <w:pPr>
                    <w:bidi w:val="0"/>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符合性</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本项目建成后将严格按“三同时”制度进行环保竣工验收。</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本项目符合国家现行产业政策；符合废弃电器电子产品处理有关技术规范的要求。</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本项目建成运营后将按照经验收合格的培训制度和计划进行培训。</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暂存间，拆解产生危险废物主要为废电路板及少量其他危险固废，分类收集暂存后，交由有资质的单位进一步处置；在拆解过程中将组件整体预先取出后优先二次利用，产生的</w:t>
                  </w:r>
                  <w:r>
                    <w:rPr>
                      <w:rFonts w:cs="Times New Roman" w:hint="eastAsia"/>
                      <w:b w:val="0"/>
                      <w:bCs w:val="0"/>
                      <w:color w:val="auto"/>
                      <w:sz w:val="21"/>
                      <w:szCs w:val="21"/>
                      <w:vertAlign w:val="baseline"/>
                      <w:lang w:val="en-US" w:eastAsia="zh-CN"/>
                    </w:rPr>
                    <w:t>废电路板、废矿物油、</w:t>
                  </w:r>
                  <w:r>
                    <w:rPr>
                      <w:rFonts w:ascii="Times New Roman" w:eastAsia="宋体" w:cs="Times New Roman" w:hAnsi="Times New Roman"/>
                      <w:b w:val="0"/>
                      <w:bCs w:val="0"/>
                      <w:color w:val="auto"/>
                      <w:sz w:val="21"/>
                      <w:szCs w:val="21"/>
                      <w:vertAlign w:val="baseline"/>
                      <w:lang w:val="en-US" w:eastAsia="zh-CN"/>
                    </w:rPr>
                    <w:t>废含汞元（器）件等</w:t>
                  </w:r>
                  <w:r>
                    <w:rPr>
                      <w:rFonts w:cs="Times New Roman" w:hint="eastAsia"/>
                      <w:b w:val="0"/>
                      <w:bCs w:val="0"/>
                      <w:color w:val="auto"/>
                      <w:sz w:val="21"/>
                      <w:szCs w:val="21"/>
                      <w:vertAlign w:val="baseline"/>
                      <w:lang w:val="en-US" w:eastAsia="zh-CN"/>
                    </w:rPr>
                    <w:t>危废</w:t>
                  </w:r>
                  <w:r>
                    <w:rPr>
                      <w:rFonts w:ascii="Times New Roman" w:eastAsia="宋体" w:cs="Times New Roman" w:hAnsi="Times New Roman"/>
                      <w:b w:val="0"/>
                      <w:bCs w:val="0"/>
                      <w:color w:val="auto"/>
                      <w:sz w:val="21"/>
                      <w:szCs w:val="21"/>
                      <w:vertAlign w:val="baseline"/>
                      <w:lang w:val="en-US" w:eastAsia="zh-CN"/>
                    </w:rPr>
                    <w:t>分类收集、贮存后交由有资质的单位进行处置；进厂电子废物贮存期一般为5~10d，不会超过1年。</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r>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中华人民共和国固体废物污染环境防治法》第二十三条的规定。转移过程中应当采取防止废弃电子电器产品或者电子电气设备破碎的措施。</w:t>
                  </w:r>
                </w:p>
              </w:tc>
              <w:tc>
                <w:tcPr>
                  <w:tcW w:w="2200" w:type="pct"/>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拆解产生不可利用零部件包括传感器、显示屏、电源等组件，委托第三方进行再拆解，拆解下来的废电路板与其他危险废物分类收集暂存后交由有资质的单位进一步处置，符合《中华人民共和国固体废物污染环境防治法》中第二十三条的规定。</w:t>
                  </w:r>
                </w:p>
              </w:tc>
              <w:tc>
                <w:tcPr>
                  <w:tcW w:w="599"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符合</w:t>
                  </w:r>
                </w:p>
              </w:tc>
            </w:tr>
          </w:tbl>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综上，本项目与《电子废物污染环境防治管理办法》（原国家环境保护总局令第40号）中相关要求相符。</w:t>
            </w:r>
          </w:p>
          <w:p>
            <w:pPr>
              <w:numPr>
                <w:ilvl w:val="0"/>
                <w:numId w:val="5"/>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与《废弃电器电子产品处理资格许可管理办法》（环境保护部令第13号公布）符合性分析</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pPr>
              <w:bidi w:val="0"/>
              <w:spacing w:line="360" w:lineRule="auto"/>
              <w:jc w:val="center"/>
              <w:rPr>
                <w:rFonts w:cs="Times New Roman"/>
                <w:b/>
                <w:bCs/>
                <w:color w:val="auto"/>
                <w:sz w:val="21"/>
                <w:szCs w:val="21"/>
                <w:vertAlign w:val="baseline"/>
                <w:lang w:val="en-US" w:eastAsia="zh-CN"/>
              </w:rPr>
            </w:pPr>
            <w:r>
              <w:rPr>
                <w:rFonts w:cs="Times New Roman" w:hint="eastAsia"/>
                <w:b/>
                <w:bCs/>
                <w:color w:val="auto"/>
                <w:sz w:val="21"/>
                <w:szCs w:val="21"/>
                <w:lang w:val="en-US" w:eastAsia="zh-CN"/>
              </w:rPr>
              <w:t>表1-4 项目拆解电器电子产品种类与《废弃电器电子产品处理目录》对比分析表</w:t>
            </w:r>
          </w:p>
          <w:tbl>
            <w:tblPr>
              <w:jc w:val="left"/>
              <w:tblInd w:w="0" w:type="dxa"/>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529"/>
              <w:gridCol w:w="3868"/>
            </w:tblGrid>
            <w:tr>
              <w:tc>
                <w:tcPr>
                  <w:tcW w:w="4529" w:type="dxa"/>
                </w:tcPr>
                <w:p>
                  <w:pPr>
                    <w:bidi w:val="0"/>
                    <w:spacing w:line="240" w:lineRule="auto"/>
                    <w:jc w:val="center"/>
                    <w:rPr>
                      <w:rFonts w:cs="Times New Roman"/>
                      <w:b/>
                      <w:bCs/>
                      <w:color w:val="auto"/>
                      <w:sz w:val="21"/>
                      <w:szCs w:val="21"/>
                      <w:vertAlign w:val="baseline"/>
                      <w:lang w:val="en-US" w:eastAsia="zh-CN"/>
                    </w:rPr>
                  </w:pPr>
                  <w:r>
                    <w:rPr>
                      <w:rFonts w:cs="Times New Roman"/>
                      <w:b/>
                      <w:bCs/>
                      <w:color w:val="auto"/>
                      <w:sz w:val="21"/>
                      <w:szCs w:val="21"/>
                      <w:vertAlign w:val="baseline"/>
                      <w:lang w:val="en-US" w:eastAsia="zh-CN"/>
                    </w:rPr>
                    <w:t>《废弃电器电子产品处理目录》（2014年版）</w:t>
                  </w:r>
                </w:p>
              </w:tc>
              <w:tc>
                <w:tcPr>
                  <w:tcW w:w="3868" w:type="dxa"/>
                </w:tcPr>
                <w:p>
                  <w:pPr>
                    <w:bidi w:val="0"/>
                    <w:spacing w:line="240" w:lineRule="auto"/>
                    <w:jc w:val="center"/>
                    <w:rPr>
                      <w:rFonts w:cs="Times New Roman"/>
                      <w:b/>
                      <w:bCs/>
                      <w:color w:val="auto"/>
                      <w:sz w:val="21"/>
                      <w:szCs w:val="21"/>
                      <w:vertAlign w:val="baseline"/>
                      <w:lang w:val="en-US" w:eastAsia="zh-CN"/>
                    </w:rPr>
                  </w:pPr>
                  <w:r>
                    <w:rPr>
                      <w:rFonts w:cs="Times New Roman" w:hint="eastAsia"/>
                      <w:b/>
                      <w:bCs/>
                      <w:color w:val="auto"/>
                      <w:sz w:val="21"/>
                      <w:szCs w:val="21"/>
                      <w:vertAlign w:val="baseline"/>
                      <w:lang w:val="en-US" w:eastAsia="zh-CN"/>
                    </w:rPr>
                    <w:t>本项目拆解电器电子产品种类</w:t>
                  </w:r>
                </w:p>
              </w:tc>
            </w:tr>
            <w:tr>
              <w:tc>
                <w:tcPr>
                  <w:tcW w:w="4529" w:type="dxa"/>
                  <w:tcBorders>
                    <w:top w:val="single" w:sz="4" w:space="0" w:color="auto"/>
                    <w:left w:val="single" w:sz="4" w:space="0" w:color="auto"/>
                    <w:right w:val="single" w:sz="4" w:space="0" w:color="auto"/>
                  </w:tcBorders>
                  <w:vAlign w:val="center"/>
                </w:tcPr>
                <w:p>
                  <w:pPr>
                    <w:bidi w:val="0"/>
                    <w:spacing w:line="240" w:lineRule="auto"/>
                    <w:jc w:val="both"/>
                    <w:rPr>
                      <w:rFonts w:cs="Times New Roman"/>
                      <w:b w:val="0"/>
                      <w:bCs w:val="0"/>
                      <w:color w:val="auto"/>
                      <w:sz w:val="21"/>
                      <w:szCs w:val="21"/>
                      <w:vertAlign w:val="baseline"/>
                      <w:lang w:val="en-US" w:eastAsia="zh-CN"/>
                    </w:rPr>
                  </w:pPr>
                  <w:r>
                    <w:rPr>
                      <w:rFonts w:cs="Times New Roman"/>
                      <w:b w:val="0"/>
                      <w:bCs w:val="0"/>
                      <w:color w:val="auto"/>
                      <w:sz w:val="21"/>
                      <w:szCs w:val="21"/>
                      <w:vertAlign w:val="baseline"/>
                      <w:lang w:val="en-US" w:eastAsia="zh-CN"/>
                    </w:rPr>
                    <w:t>电冰箱</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空气调节器</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吸油烟机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洗衣机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电热水器</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燃气热水器</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打印机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复印机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微型计算机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移动通信手持机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传真机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电视机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电话单机</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监视器</w:t>
                  </w:r>
                  <w:r>
                    <w:rPr>
                      <w:rFonts w:cs="Times New Roman" w:hint="eastAsia"/>
                      <w:b w:val="0"/>
                      <w:bCs w:val="0"/>
                      <w:color w:val="auto"/>
                      <w:sz w:val="21"/>
                      <w:szCs w:val="21"/>
                      <w:vertAlign w:val="baseline"/>
                      <w:lang w:val="en-US" w:eastAsia="zh-CN"/>
                    </w:rPr>
                    <w:t>；</w:t>
                  </w:r>
                </w:p>
              </w:tc>
              <w:tc>
                <w:tcPr>
                  <w:tcW w:w="3868" w:type="dxa"/>
                  <w:tcBorders>
                    <w:top w:val="single" w:sz="4" w:space="0" w:color="auto"/>
                    <w:left w:val="single" w:sz="4" w:space="0" w:color="auto"/>
                    <w:right w:val="single" w:sz="4" w:space="0" w:color="auto"/>
                  </w:tcBorders>
                  <w:vAlign w:val="center"/>
                </w:tcPr>
                <w:p>
                  <w:pPr>
                    <w:bidi w:val="0"/>
                    <w:spacing w:line="240" w:lineRule="auto"/>
                    <w:jc w:val="both"/>
                    <w:rPr>
                      <w:rFonts w:cs="Times New Roman"/>
                      <w:b w:val="0"/>
                      <w:bCs w:val="0"/>
                      <w:color w:val="auto"/>
                      <w:sz w:val="21"/>
                      <w:szCs w:val="21"/>
                      <w:vertAlign w:val="baseline"/>
                      <w:lang w:val="en-US" w:eastAsia="zh-CN"/>
                    </w:rPr>
                  </w:pPr>
                  <w:r>
                    <w:rPr>
                      <w:rFonts w:cs="Times New Roman"/>
                      <w:b w:val="0"/>
                      <w:bCs w:val="0"/>
                      <w:color w:val="auto"/>
                      <w:sz w:val="21"/>
                      <w:szCs w:val="21"/>
                      <w:vertAlign w:val="baseline"/>
                      <w:lang w:val="en-US" w:eastAsia="zh-CN"/>
                    </w:rPr>
                    <w:t>电脑服务器</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通讯设备</w:t>
                  </w:r>
                  <w:r>
                    <w:rPr>
                      <w:rFonts w:cs="Times New Roman" w:hint="eastAsia"/>
                      <w:b w:val="0"/>
                      <w:bCs w:val="0"/>
                      <w:color w:val="auto"/>
                      <w:sz w:val="21"/>
                      <w:szCs w:val="21"/>
                      <w:vertAlign w:val="superscript"/>
                      <w:lang w:val="en-US" w:eastAsia="zh-CN"/>
                    </w:rPr>
                    <w:t>①</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基站设备</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医疗设备</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网络设备</w:t>
                  </w:r>
                  <w:r>
                    <w:rPr>
                      <w:rFonts w:cs="Times New Roman" w:hint="eastAsia"/>
                      <w:b w:val="0"/>
                      <w:bCs w:val="0"/>
                      <w:color w:val="auto"/>
                      <w:sz w:val="21"/>
                      <w:szCs w:val="21"/>
                      <w:vertAlign w:val="baseline"/>
                      <w:lang w:val="en-US" w:eastAsia="zh-CN"/>
                    </w:rPr>
                    <w:t>；</w:t>
                  </w:r>
                  <w:r>
                    <w:rPr>
                      <w:rFonts w:cs="Times New Roman"/>
                      <w:b w:val="0"/>
                      <w:bCs w:val="0"/>
                      <w:color w:val="auto"/>
                      <w:sz w:val="21"/>
                      <w:szCs w:val="21"/>
                      <w:vertAlign w:val="baseline"/>
                      <w:lang w:val="en-US" w:eastAsia="zh-CN"/>
                    </w:rPr>
                    <w:t>其他电子设备</w:t>
                  </w:r>
                  <w:r>
                    <w:rPr>
                      <w:rFonts w:cs="Times New Roman" w:hint="eastAsia"/>
                      <w:b w:val="0"/>
                      <w:bCs w:val="0"/>
                      <w:color w:val="auto"/>
                      <w:sz w:val="21"/>
                      <w:szCs w:val="21"/>
                      <w:vertAlign w:val="superscript"/>
                      <w:lang w:val="en-US" w:eastAsia="zh-CN"/>
                    </w:rPr>
                    <w:t>②</w:t>
                  </w:r>
                  <w:r>
                    <w:rPr>
                      <w:rFonts w:cs="Times New Roman" w:hint="eastAsia"/>
                      <w:b w:val="0"/>
                      <w:bCs w:val="0"/>
                      <w:color w:val="auto"/>
                      <w:sz w:val="21"/>
                      <w:szCs w:val="21"/>
                      <w:vertAlign w:val="baseline"/>
                      <w:lang w:val="en-US" w:eastAsia="zh-CN"/>
                    </w:rPr>
                    <w:t>；</w:t>
                  </w:r>
                </w:p>
              </w:tc>
            </w:tr>
            <w:tr>
              <w:tc>
                <w:tcPr>
                  <w:tcW w:w="8397" w:type="dxa"/>
                  <w:gridSpan w:val="2"/>
                  <w:tcBorders>
                    <w:top w:val="single" w:sz="4" w:space="0" w:color="auto"/>
                    <w:left w:val="single" w:sz="4" w:space="0" w:color="auto"/>
                    <w:right w:val="single" w:sz="4" w:space="0" w:color="auto"/>
                  </w:tcBorders>
                  <w:vAlign w:val="center"/>
                </w:tcPr>
                <w:p>
                  <w:pPr>
                    <w:bidi w:val="0"/>
                    <w:spacing w:line="240" w:lineRule="auto"/>
                    <w:jc w:val="both"/>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注：①、②不包含《废弃电器电子产品处理目录》（2014年版）中电器电子产品；</w:t>
                  </w:r>
                </w:p>
              </w:tc>
            </w:tr>
          </w:tbl>
          <w:p>
            <w:p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环评要求：建设单位不得处理《废弃电器电子产品处理目录》中涉及的电器电子产品。</w:t>
            </w:r>
          </w:p>
          <w:p>
            <w:pPr>
              <w:numPr>
                <w:ilvl w:val="0"/>
                <w:numId w:val="5"/>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与《四川省电子废物拆解利用处置名录管理办法》（川环发〔2014〕140号）符合性分析</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cs="Times New Roman" w:hint="eastAsia"/>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cs="Times New Roman" w:hint="eastAsia"/>
                <w:b w:val="0"/>
                <w:bCs w:val="0"/>
                <w:color w:val="auto"/>
                <w:sz w:val="24"/>
                <w:szCs w:val="24"/>
                <w:lang w:val="en-US" w:eastAsia="zh-CN"/>
              </w:rPr>
              <w:t>。禁止任何个人和未列入名录（包括临时名录）的单位（包括个体工商户）从事拆解、利用、处置电子废物的活动。</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p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环评要求：建设单位在未纳入《电子废物拆解利用处置单位（包括个体工商户）名录》前不得正式投运。</w:t>
            </w:r>
          </w:p>
          <w:p>
            <w:pPr>
              <w:numPr>
                <w:ilvl w:val="0"/>
                <w:numId w:val="5"/>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与《四川省、重庆市长江经济带发展负面清单实施细则（试行，2022年版）》（川长江办〔2022〕17号）符合性分析</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pPr>
              <w:bidi w:val="0"/>
              <w:spacing w:line="360" w:lineRule="auto"/>
              <w:ind w:left="0" w:firstLineChars="200" w:firstLine="480"/>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2024年本）中的鼓励类项目；因此，本项目建设与（川长江办〔2022〕17号）的相关要求相符。</w:t>
            </w:r>
          </w:p>
          <w:p>
            <w:pPr>
              <w:numPr>
                <w:ilvl w:val="0"/>
                <w:numId w:val="5"/>
              </w:numPr>
              <w:bidi w:val="0"/>
              <w:spacing w:line="360" w:lineRule="auto"/>
              <w:ind w:left="0"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与《危险废物贮存污染控制标准》符合性分析</w:t>
            </w:r>
          </w:p>
          <w:p>
            <w:pPr>
              <w:bidi w:val="0"/>
              <w:spacing w:line="36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lang w:val="en-US" w:eastAsia="zh-CN"/>
              </w:rPr>
              <w:t>表1-</w:t>
            </w:r>
            <w:r>
              <w:rPr>
                <w:rFonts w:cs="Times New Roman" w:hint="eastAsia"/>
                <w:b/>
                <w:bCs/>
                <w:color w:val="auto"/>
                <w:sz w:val="21"/>
                <w:szCs w:val="21"/>
                <w:lang w:val="en-US" w:eastAsia="zh-CN"/>
              </w:rPr>
              <w:t xml:space="preserve">5 </w:t>
            </w:r>
            <w:r>
              <w:rPr>
                <w:rFonts w:ascii="Times New Roman" w:eastAsia="宋体" w:cs="Times New Roman" w:hAnsi="Times New Roman" w:hint="eastAsia"/>
                <w:b/>
                <w:bCs/>
                <w:color w:val="auto"/>
                <w:sz w:val="21"/>
                <w:szCs w:val="21"/>
                <w:lang w:val="en-US" w:eastAsia="zh-CN"/>
              </w:rPr>
              <w:t>与《危险废物贮存污染控制标准》（</w:t>
            </w:r>
            <w:r>
              <w:rPr>
                <w:rFonts w:cs="Times New Roman" w:hint="eastAsia"/>
                <w:b/>
                <w:bCs/>
                <w:color w:val="auto"/>
                <w:sz w:val="21"/>
                <w:szCs w:val="21"/>
                <w:lang w:val="en-US" w:eastAsia="zh-CN"/>
              </w:rPr>
              <w:t>GB18597-2023</w:t>
            </w:r>
            <w:r>
              <w:rPr>
                <w:rFonts w:ascii="Times New Roman" w:eastAsia="宋体" w:cs="Times New Roman" w:hAnsi="Times New Roman" w:hint="eastAsia"/>
                <w:b/>
                <w:bCs/>
                <w:color w:val="auto"/>
                <w:sz w:val="21"/>
                <w:szCs w:val="21"/>
                <w:lang w:val="en-US" w:eastAsia="zh-CN"/>
              </w:rPr>
              <w:t>）及其修改单符合性</w:t>
            </w:r>
          </w:p>
          <w:tbl>
            <w:tblPr>
              <w:jc w:val="cente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8"/>
              <w:gridCol w:w="3340"/>
              <w:gridCol w:w="3494"/>
              <w:gridCol w:w="876"/>
            </w:tblGrid>
            <w:tr>
              <w:tc>
                <w:tcPr>
                  <w:tcW w:w="4018" w:type="dxa"/>
                  <w:gridSpan w:val="2"/>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hint="eastAsia"/>
                      <w:b/>
                      <w:bCs/>
                    </w:rPr>
                    <w:t>标准要求</w:t>
                  </w:r>
                </w:p>
              </w:tc>
              <w:tc>
                <w:tcPr>
                  <w:tcW w:w="3494" w:type="dxa"/>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本项目情况</w:t>
                  </w:r>
                </w:p>
              </w:tc>
              <w:tc>
                <w:tcPr>
                  <w:tcW w:w="876" w:type="dxa"/>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符合性</w:t>
                  </w:r>
                </w:p>
              </w:tc>
            </w:tr>
            <w:tr>
              <w:tc>
                <w:tcPr>
                  <w:tcW w:w="678"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4</w:t>
                  </w:r>
                </w:p>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一般要求</w:t>
                  </w: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利用原有构筑物改建危险废物贮存</w:t>
                  </w:r>
                  <w:r>
                    <w:rPr>
                      <w:rFonts w:cs="Times New Roman" w:hint="eastAsia"/>
                      <w:b w:val="0"/>
                      <w:bCs w:val="0"/>
                      <w:color w:val="auto"/>
                      <w:sz w:val="21"/>
                      <w:szCs w:val="21"/>
                      <w:vertAlign w:val="baseline"/>
                      <w:lang w:val="en-US" w:eastAsia="zh-CN"/>
                    </w:rPr>
                    <w:t>间</w:t>
                  </w:r>
                  <w:r>
                    <w:rPr>
                      <w:rFonts w:ascii="Times New Roman" w:eastAsia="宋体" w:cs="Times New Roman" w:hAnsi="Times New Roman" w:hint="eastAsia"/>
                      <w:b w:val="0"/>
                      <w:bCs w:val="0"/>
                      <w:color w:val="auto"/>
                      <w:sz w:val="21"/>
                      <w:szCs w:val="21"/>
                      <w:vertAlign w:val="baseline"/>
                      <w:lang w:val="en-US" w:eastAsia="zh-CN"/>
                    </w:rPr>
                    <w:t>，危险废物贮存</w:t>
                  </w:r>
                  <w:r>
                    <w:rPr>
                      <w:rFonts w:cs="Times New Roman" w:hint="eastAsia"/>
                      <w:b w:val="0"/>
                      <w:bCs w:val="0"/>
                      <w:color w:val="auto"/>
                      <w:sz w:val="21"/>
                      <w:szCs w:val="21"/>
                      <w:vertAlign w:val="baseline"/>
                      <w:lang w:val="en-US" w:eastAsia="zh-CN"/>
                    </w:rPr>
                    <w:t>间</w:t>
                  </w:r>
                  <w:r>
                    <w:rPr>
                      <w:rFonts w:ascii="Times New Roman" w:eastAsia="宋体" w:cs="Times New Roman" w:hAnsi="Times New Roman" w:hint="eastAsia"/>
                      <w:b w:val="0"/>
                      <w:bCs w:val="0"/>
                      <w:color w:val="auto"/>
                      <w:sz w:val="21"/>
                      <w:szCs w:val="21"/>
                      <w:vertAlign w:val="baseline"/>
                      <w:lang w:val="en-US" w:eastAsia="zh-CN"/>
                    </w:rPr>
                    <w:t>及相关设施严格按照相关规定要求建设</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4.4除4.3规定外，必须将危险废物装入容器内</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本项目各类</w:t>
                  </w:r>
                  <w:r>
                    <w:rPr>
                      <w:rFonts w:ascii="Times New Roman" w:eastAsia="宋体" w:cs="Times New Roman" w:hAnsi="Times New Roman" w:hint="eastAsia"/>
                      <w:b w:val="0"/>
                      <w:bCs w:val="0"/>
                      <w:color w:val="auto"/>
                      <w:sz w:val="21"/>
                      <w:szCs w:val="21"/>
                      <w:vertAlign w:val="baseline"/>
                      <w:lang w:val="en-US" w:eastAsia="zh-CN"/>
                    </w:rPr>
                    <w:t>危险废物</w:t>
                  </w:r>
                  <w:r>
                    <w:rPr>
                      <w:rFonts w:cs="Times New Roman" w:hint="eastAsia"/>
                      <w:b w:val="0"/>
                      <w:bCs w:val="0"/>
                      <w:color w:val="auto"/>
                      <w:sz w:val="21"/>
                      <w:szCs w:val="21"/>
                      <w:vertAlign w:val="baseline"/>
                      <w:lang w:val="en-US" w:eastAsia="zh-CN"/>
                    </w:rPr>
                    <w:t>均分类收集放入专用暂存桶</w:t>
                  </w:r>
                  <w:r>
                    <w:rPr>
                      <w:rFonts w:ascii="Times New Roman" w:eastAsia="宋体" w:cs="Times New Roman" w:hAnsi="Times New Roman" w:hint="eastAsia"/>
                      <w:b w:val="0"/>
                      <w:bCs w:val="0"/>
                      <w:color w:val="auto"/>
                      <w:sz w:val="21"/>
                      <w:szCs w:val="21"/>
                      <w:vertAlign w:val="baseline"/>
                      <w:lang w:val="en-US" w:eastAsia="zh-CN"/>
                    </w:rPr>
                    <w:t>内</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4.7装载液体、半固态危险废物的容器内须留足够空间，容器顶部与液体表面之间保留100毫米以上的空间</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危险废物</w:t>
                  </w:r>
                  <w:r>
                    <w:rPr>
                      <w:rFonts w:cs="Times New Roman" w:hint="eastAsia"/>
                      <w:b w:val="0"/>
                      <w:bCs w:val="0"/>
                      <w:color w:val="auto"/>
                      <w:sz w:val="21"/>
                      <w:szCs w:val="21"/>
                      <w:vertAlign w:val="baseline"/>
                      <w:lang w:val="en-US" w:eastAsia="zh-CN"/>
                    </w:rPr>
                    <w:t>主要为</w:t>
                  </w:r>
                  <w:r>
                    <w:rPr>
                      <w:rFonts w:ascii="Times New Roman" w:eastAsia="宋体" w:cs="Times New Roman" w:hAnsi="Times New Roman" w:hint="eastAsia"/>
                      <w:b w:val="0"/>
                      <w:bCs w:val="0"/>
                      <w:color w:val="auto"/>
                      <w:sz w:val="21"/>
                      <w:szCs w:val="21"/>
                      <w:vertAlign w:val="baseline"/>
                      <w:lang w:val="en-US" w:eastAsia="zh-CN"/>
                    </w:rPr>
                    <w:t>固态</w:t>
                  </w:r>
                  <w:r>
                    <w:rPr>
                      <w:rFonts w:cs="Times New Roman" w:hint="eastAsia"/>
                      <w:b w:val="0"/>
                      <w:bCs w:val="0"/>
                      <w:color w:val="auto"/>
                      <w:sz w:val="21"/>
                      <w:szCs w:val="21"/>
                      <w:vertAlign w:val="baseline"/>
                      <w:lang w:val="en-US" w:eastAsia="zh-CN"/>
                    </w:rPr>
                    <w:t>物质，少量废矿物油暂存于专用废矿物油包装桶内。</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4.9盛装危险废物的容器上必须粘贴符合相应标准的标签</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贮存危险废物的容器严格按照要求粘贴相应的标签</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4.10危险废物贮存设施在施工前应做环境影响评价</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在施工前按要求编制环境影响评价报告</w:t>
                  </w:r>
                  <w:r>
                    <w:rPr>
                      <w:rFonts w:cs="Times New Roman" w:hint="eastAsia"/>
                      <w:b w:val="0"/>
                      <w:bCs w:val="0"/>
                      <w:color w:val="auto"/>
                      <w:sz w:val="21"/>
                      <w:szCs w:val="21"/>
                      <w:vertAlign w:val="baseline"/>
                      <w:lang w:val="en-US" w:eastAsia="zh-CN"/>
                    </w:rPr>
                    <w:t>表。</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5</w:t>
                  </w:r>
                </w:p>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危险废物贮存容器</w:t>
                  </w: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5.1应当使用符合标准的容器盛装危险废物</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本项目按要求</w:t>
                  </w:r>
                  <w:r>
                    <w:rPr>
                      <w:rFonts w:ascii="Times New Roman" w:eastAsia="宋体" w:cs="Times New Roman" w:hAnsi="Times New Roman" w:hint="eastAsia"/>
                      <w:b w:val="0"/>
                      <w:bCs w:val="0"/>
                      <w:color w:val="auto"/>
                      <w:sz w:val="21"/>
                      <w:szCs w:val="21"/>
                      <w:vertAlign w:val="baseline"/>
                      <w:lang w:val="en-US" w:eastAsia="zh-CN"/>
                    </w:rPr>
                    <w:t>使用符合标准的</w:t>
                  </w:r>
                  <w:r>
                    <w:rPr>
                      <w:rFonts w:cs="Times New Roman" w:hint="eastAsia"/>
                      <w:b w:val="0"/>
                      <w:bCs w:val="0"/>
                      <w:color w:val="auto"/>
                      <w:sz w:val="21"/>
                      <w:szCs w:val="21"/>
                      <w:vertAlign w:val="baseline"/>
                      <w:lang w:val="en-US" w:eastAsia="zh-CN"/>
                    </w:rPr>
                    <w:t>专用危废暂存桶</w:t>
                  </w:r>
                  <w:r>
                    <w:rPr>
                      <w:rFonts w:ascii="Times New Roman" w:eastAsia="宋体" w:cs="Times New Roman" w:hAnsi="Times New Roman" w:hint="eastAsia"/>
                      <w:b w:val="0"/>
                      <w:bCs w:val="0"/>
                      <w:color w:val="auto"/>
                      <w:sz w:val="21"/>
                      <w:szCs w:val="21"/>
                      <w:vertAlign w:val="baseline"/>
                      <w:lang w:val="en-US" w:eastAsia="zh-CN"/>
                    </w:rPr>
                    <w:t>盛装危险废物</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5.2装载危险废物的容器及材质要满足相应的强度要求</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本项目专用危废暂存桶</w:t>
                  </w:r>
                  <w:r>
                    <w:rPr>
                      <w:rFonts w:ascii="Times New Roman" w:eastAsia="宋体" w:cs="Times New Roman" w:hAnsi="Times New Roman" w:hint="eastAsia"/>
                      <w:b w:val="0"/>
                      <w:bCs w:val="0"/>
                      <w:color w:val="auto"/>
                      <w:sz w:val="21"/>
                      <w:szCs w:val="21"/>
                      <w:vertAlign w:val="baseline"/>
                      <w:lang w:val="en-US" w:eastAsia="zh-CN"/>
                    </w:rPr>
                    <w:t>可以满足承载强度要求</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5.3装载危险废物的容器必须完好无损</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危险废物贮存于完好无损的</w:t>
                  </w:r>
                  <w:r>
                    <w:rPr>
                      <w:rFonts w:cs="Times New Roman" w:hint="eastAsia"/>
                      <w:b w:val="0"/>
                      <w:bCs w:val="0"/>
                      <w:color w:val="auto"/>
                      <w:sz w:val="21"/>
                      <w:szCs w:val="21"/>
                      <w:vertAlign w:val="baseline"/>
                      <w:lang w:val="en-US" w:eastAsia="zh-CN"/>
                    </w:rPr>
                    <w:t>专用危废暂存桶内。</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5.4盛装危险废物的容器材质和衬里要与危险废物相容（不相互反应）</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本项目危废暂存桶</w:t>
                  </w:r>
                  <w:r>
                    <w:rPr>
                      <w:rFonts w:ascii="Times New Roman" w:eastAsia="宋体" w:cs="Times New Roman" w:hAnsi="Times New Roman" w:hint="eastAsia"/>
                      <w:b w:val="0"/>
                      <w:bCs w:val="0"/>
                      <w:color w:val="auto"/>
                      <w:sz w:val="21"/>
                      <w:szCs w:val="21"/>
                      <w:vertAlign w:val="baseline"/>
                      <w:lang w:val="en-US" w:eastAsia="zh-CN"/>
                    </w:rPr>
                    <w:t>的材质</w:t>
                  </w:r>
                  <w:r>
                    <w:rPr>
                      <w:rFonts w:cs="Times New Roman" w:hint="eastAsia"/>
                      <w:b w:val="0"/>
                      <w:bCs w:val="0"/>
                      <w:color w:val="auto"/>
                      <w:sz w:val="21"/>
                      <w:szCs w:val="21"/>
                      <w:vertAlign w:val="baseline"/>
                      <w:lang w:val="en-US" w:eastAsia="zh-CN"/>
                    </w:rPr>
                    <w:t>PVC</w:t>
                  </w:r>
                  <w:r>
                    <w:rPr>
                      <w:rFonts w:ascii="Times New Roman" w:eastAsia="宋体" w:cs="Times New Roman" w:hAnsi="Times New Roman" w:hint="eastAsia"/>
                      <w:b w:val="0"/>
                      <w:bCs w:val="0"/>
                      <w:color w:val="auto"/>
                      <w:sz w:val="21"/>
                      <w:szCs w:val="21"/>
                      <w:vertAlign w:val="baseline"/>
                      <w:lang w:val="en-US" w:eastAsia="zh-CN"/>
                    </w:rPr>
                    <w:t>，其与</w:t>
                  </w:r>
                  <w:r>
                    <w:rPr>
                      <w:rFonts w:cs="Times New Roman" w:hint="eastAsia"/>
                      <w:b w:val="0"/>
                      <w:bCs w:val="0"/>
                      <w:color w:val="auto"/>
                      <w:sz w:val="21"/>
                      <w:szCs w:val="21"/>
                      <w:vertAlign w:val="baseline"/>
                      <w:lang w:val="en-US" w:eastAsia="zh-CN"/>
                    </w:rPr>
                    <w:t>项目各类</w:t>
                  </w:r>
                  <w:r>
                    <w:rPr>
                      <w:rFonts w:ascii="Times New Roman" w:eastAsia="宋体" w:cs="Times New Roman" w:hAnsi="Times New Roman" w:hint="eastAsia"/>
                      <w:b w:val="0"/>
                      <w:bCs w:val="0"/>
                      <w:color w:val="auto"/>
                      <w:sz w:val="21"/>
                      <w:szCs w:val="21"/>
                      <w:vertAlign w:val="baseline"/>
                      <w:lang w:val="en-US" w:eastAsia="zh-CN"/>
                    </w:rPr>
                    <w:t>危险废物相容，不会相互反应</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hint="eastAsia"/>
                    </w:rPr>
                    <w:t>6.1危险废物贮存设施的选址</w:t>
                  </w: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6.1.1地质结构稳定，地震烈度不超过7度的区域内</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所在区域地质结构稳定，地震烈度为</w:t>
                  </w:r>
                  <w:r>
                    <w:rPr>
                      <w:rFonts w:cs="Times New Roman" w:hint="eastAsia"/>
                      <w:b w:val="0"/>
                      <w:bCs w:val="0"/>
                      <w:color w:val="auto"/>
                      <w:sz w:val="21"/>
                      <w:szCs w:val="21"/>
                      <w:vertAlign w:val="baseline"/>
                      <w:lang w:val="en-US" w:eastAsia="zh-CN"/>
                    </w:rPr>
                    <w:t>5</w:t>
                  </w:r>
                  <w:r>
                    <w:rPr>
                      <w:rFonts w:ascii="Times New Roman" w:eastAsia="宋体" w:cs="Times New Roman" w:hAnsi="Times New Roman" w:hint="eastAsia"/>
                      <w:b w:val="0"/>
                      <w:bCs w:val="0"/>
                      <w:color w:val="auto"/>
                      <w:sz w:val="21"/>
                      <w:szCs w:val="21"/>
                      <w:vertAlign w:val="baseline"/>
                      <w:lang w:val="en-US" w:eastAsia="zh-CN"/>
                    </w:rPr>
                    <w:t>度，未超过7度</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6.1.2设施底部必须高于地下水最高水位</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设施底部远高于区域地下水最高水位</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6.1.4应避免建在溶洞区或易遭受严重自然灾害如洪水、滑坡、泥石流、潮汐等影响的地区</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项目</w:t>
                  </w:r>
                  <w:r>
                    <w:rPr>
                      <w:rFonts w:ascii="Times New Roman" w:eastAsia="宋体" w:cs="Times New Roman" w:hAnsi="Times New Roman" w:hint="eastAsia"/>
                      <w:b w:val="0"/>
                      <w:bCs w:val="0"/>
                      <w:color w:val="auto"/>
                      <w:sz w:val="21"/>
                      <w:szCs w:val="21"/>
                      <w:vertAlign w:val="baseline"/>
                      <w:lang w:val="en-US" w:eastAsia="zh-CN"/>
                    </w:rPr>
                    <w:t>所选厂址区域无断层、滑坡、泥石流及地下溶洞等潜在危害因素，地质结构相对稳定</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6.1.5应在易燃、易爆等危险品仓库、高压输电线路防护区域以外</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选址区域不在易燃、易爆等危险品仓库和高压输电线路防护区</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6.1.6应位于居民中心区常年最大风频的下风向</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厂区位于</w:t>
                  </w:r>
                  <w:r>
                    <w:rPr>
                      <w:rFonts w:cs="Times New Roman" w:hint="eastAsia"/>
                      <w:b w:val="0"/>
                      <w:bCs w:val="0"/>
                      <w:color w:val="auto"/>
                      <w:sz w:val="21"/>
                      <w:szCs w:val="21"/>
                      <w:vertAlign w:val="baseline"/>
                      <w:lang w:val="en-US" w:eastAsia="zh-CN"/>
                    </w:rPr>
                    <w:t>大英县</w:t>
                  </w:r>
                  <w:r>
                    <w:rPr>
                      <w:rFonts w:ascii="Times New Roman" w:eastAsia="宋体" w:cs="Times New Roman" w:hAnsi="Times New Roman" w:hint="eastAsia"/>
                      <w:b w:val="0"/>
                      <w:bCs w:val="0"/>
                      <w:color w:val="auto"/>
                      <w:sz w:val="21"/>
                      <w:szCs w:val="21"/>
                      <w:vertAlign w:val="baseline"/>
                      <w:lang w:val="en-US" w:eastAsia="zh-CN"/>
                    </w:rPr>
                    <w:t>城镇居民中心主导风向的下风向</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hint="eastAsia"/>
                    </w:rPr>
                    <w:t>6.2贮存设施（仓库式设计原则</w:t>
                  </w: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6.2.1地面与裙脚要用坚固、防渗的材料建造，建筑材料必须与危险废物相容</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地面及裙角在建设过程均采取防渗措施且满足相关标准要求，建筑材料与危险废物相容</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6.2.2必须有泄漏液体收集装置、气体导出口及气体净化装置</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设置有导流槽和事故收集池并</w:t>
                  </w:r>
                  <w:r>
                    <w:rPr>
                      <w:rFonts w:cs="Times New Roman" w:hint="eastAsia"/>
                      <w:b w:val="0"/>
                      <w:bCs w:val="0"/>
                      <w:color w:val="auto"/>
                      <w:sz w:val="21"/>
                      <w:szCs w:val="21"/>
                      <w:vertAlign w:val="baseline"/>
                      <w:lang w:val="en-US" w:eastAsia="zh-CN"/>
                    </w:rPr>
                    <w:t>通风</w:t>
                  </w:r>
                  <w:r>
                    <w:rPr>
                      <w:rFonts w:ascii="Times New Roman" w:eastAsia="宋体" w:cs="Times New Roman" w:hAnsi="Times New Roman" w:hint="eastAsia"/>
                      <w:b w:val="0"/>
                      <w:bCs w:val="0"/>
                      <w:color w:val="auto"/>
                      <w:sz w:val="21"/>
                      <w:szCs w:val="21"/>
                      <w:vertAlign w:val="baseline"/>
                      <w:lang w:val="en-US" w:eastAsia="zh-CN"/>
                    </w:rPr>
                    <w:t>装置</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6.2.3设施内要有安全照明设施和观察窗口</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内设置安全防爆型照明装置和观察窗口</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6.2.4用以存放装载液体、半固态危险废物容器的地方，必须有耐腐蚀的硬化地面，且表面无裂隙</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建设的危险废物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在建设过程</w:t>
                  </w:r>
                  <w:r>
                    <w:rPr>
                      <w:rFonts w:cs="Times New Roman" w:hint="eastAsia"/>
                      <w:b w:val="0"/>
                      <w:bCs w:val="0"/>
                      <w:color w:val="auto"/>
                      <w:sz w:val="21"/>
                      <w:szCs w:val="21"/>
                      <w:vertAlign w:val="baseline"/>
                      <w:lang w:val="en-US" w:eastAsia="zh-CN"/>
                    </w:rPr>
                    <w:t>对</w:t>
                  </w:r>
                  <w:r>
                    <w:rPr>
                      <w:rFonts w:ascii="Times New Roman" w:eastAsia="宋体" w:cs="Times New Roman" w:hAnsi="Times New Roman" w:hint="eastAsia"/>
                      <w:b w:val="0"/>
                      <w:bCs w:val="0"/>
                      <w:color w:val="auto"/>
                      <w:sz w:val="21"/>
                      <w:szCs w:val="21"/>
                      <w:vertAlign w:val="baseline"/>
                      <w:lang w:val="en-US" w:eastAsia="zh-CN"/>
                    </w:rPr>
                    <w:t>地面采取防渗、防腐措施且满足表面无裂隙的要求</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6.2.5应设计堵截泄漏的裙脚，地面与裙脚所围建的容积不低于堵截最大容器的最大储量或总储量的五分之一</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严格按照要求设置堵截泄漏的裙脚</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268"/>
              </w:trPr>
              <w:tc>
                <w:tcPr>
                  <w:tcW w:w="678"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7</w:t>
                  </w:r>
                </w:p>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危险废物贮存设施的运行与管理</w:t>
                  </w:r>
                </w:p>
              </w:tc>
              <w:tc>
                <w:tcPr>
                  <w:tcW w:w="3340" w:type="dxa"/>
                  <w:tcBorders>
                    <w:top w:val="single" w:sz="4" w:space="0" w:color="auto"/>
                    <w:left w:val="single" w:sz="4" w:space="0" w:color="auto"/>
                    <w:right w:val="single" w:sz="4" w:space="0" w:color="auto"/>
                  </w:tcBorders>
                  <w:vAlign w:val="center"/>
                </w:tcPr>
                <w:p>
                  <w:pPr>
                    <w:bidi w:val="0"/>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7.5每个堆间应留有搬运通道</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贮存区留有搬运</w:t>
                  </w:r>
                  <w:r>
                    <w:rPr>
                      <w:rFonts w:cs="Times New Roman" w:hint="eastAsia"/>
                      <w:b w:val="0"/>
                      <w:bCs w:val="0"/>
                      <w:color w:val="auto"/>
                      <w:sz w:val="21"/>
                      <w:szCs w:val="21"/>
                      <w:vertAlign w:val="baseline"/>
                      <w:lang w:val="en-US" w:eastAsia="zh-CN"/>
                    </w:rPr>
                    <w:t>、检查</w:t>
                  </w:r>
                  <w:r>
                    <w:rPr>
                      <w:rFonts w:ascii="Times New Roman" w:eastAsia="宋体" w:cs="Times New Roman" w:hAnsi="Times New Roman" w:hint="eastAsia"/>
                      <w:b w:val="0"/>
                      <w:bCs w:val="0"/>
                      <w:color w:val="auto"/>
                      <w:sz w:val="21"/>
                      <w:szCs w:val="21"/>
                      <w:vertAlign w:val="baseline"/>
                      <w:lang w:val="en-US" w:eastAsia="zh-CN"/>
                    </w:rPr>
                    <w:t>通道</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20"/>
              </w:trP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7.6不得将不相容的废物混合或合并存放</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项目收集的</w:t>
                  </w:r>
                  <w:r>
                    <w:rPr>
                      <w:rFonts w:cs="Times New Roman" w:hint="eastAsia"/>
                      <w:b w:val="0"/>
                      <w:bCs w:val="0"/>
                      <w:color w:val="auto"/>
                      <w:sz w:val="21"/>
                      <w:szCs w:val="21"/>
                      <w:vertAlign w:val="baseline"/>
                      <w:lang w:val="en-US" w:eastAsia="zh-CN"/>
                    </w:rPr>
                    <w:t>各类危险废物</w:t>
                  </w:r>
                  <w:r>
                    <w:rPr>
                      <w:rFonts w:ascii="Times New Roman" w:eastAsia="宋体" w:cs="Times New Roman" w:hAnsi="Times New Roman" w:hint="eastAsia"/>
                      <w:b w:val="0"/>
                      <w:bCs w:val="0"/>
                      <w:color w:val="auto"/>
                      <w:sz w:val="21"/>
                      <w:szCs w:val="21"/>
                      <w:vertAlign w:val="baseline"/>
                      <w:lang w:val="en-US" w:eastAsia="zh-CN"/>
                    </w:rPr>
                    <w:t>分类收集分区存放</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1278"/>
              </w:trP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项目为危险废物产生者，运营阶段严格按要求作</w:t>
                  </w:r>
                  <w:r>
                    <w:rPr>
                      <w:rFonts w:cs="Times New Roman" w:hint="eastAsia"/>
                      <w:b w:val="0"/>
                      <w:bCs w:val="0"/>
                      <w:color w:val="auto"/>
                      <w:sz w:val="21"/>
                      <w:szCs w:val="21"/>
                      <w:vertAlign w:val="baseline"/>
                      <w:lang w:val="en-US" w:eastAsia="zh-CN"/>
                    </w:rPr>
                    <w:t>好</w:t>
                  </w:r>
                  <w:r>
                    <w:rPr>
                      <w:rFonts w:ascii="Times New Roman" w:eastAsia="宋体" w:cs="Times New Roman" w:hAnsi="Times New Roman" w:hint="eastAsia"/>
                      <w:b w:val="0"/>
                      <w:bCs w:val="0"/>
                      <w:color w:val="auto"/>
                      <w:sz w:val="21"/>
                      <w:szCs w:val="21"/>
                      <w:vertAlign w:val="baseline"/>
                      <w:lang w:val="en-US" w:eastAsia="zh-CN"/>
                    </w:rPr>
                    <w:t>危险废物情况的记录，记录注明危险废物的名称、来源</w:t>
                  </w:r>
                  <w:r>
                    <w:rPr>
                      <w:rFonts w:cs="Times New Roman" w:hint="eastAsia"/>
                      <w:b w:val="0"/>
                      <w:bCs w:val="0"/>
                      <w:color w:val="auto"/>
                      <w:sz w:val="21"/>
                      <w:szCs w:val="21"/>
                      <w:vertAlign w:val="baseline"/>
                      <w:lang w:val="en-US" w:eastAsia="zh-CN"/>
                    </w:rPr>
                    <w:t>及</w:t>
                  </w:r>
                  <w:r>
                    <w:rPr>
                      <w:rFonts w:ascii="Times New Roman" w:eastAsia="宋体" w:cs="Times New Roman" w:hAnsi="Times New Roman" w:hint="eastAsia"/>
                      <w:b w:val="0"/>
                      <w:bCs w:val="0"/>
                      <w:color w:val="auto"/>
                      <w:sz w:val="21"/>
                      <w:szCs w:val="21"/>
                      <w:vertAlign w:val="baseline"/>
                      <w:lang w:val="en-US" w:eastAsia="zh-CN"/>
                    </w:rPr>
                    <w:t>数量、特性和包装容器的类别、入库日期、存放库位、出库日期</w:t>
                  </w:r>
                  <w:r>
                    <w:rPr>
                      <w:rFonts w:cs="Times New Roman" w:hint="eastAsia"/>
                      <w:b w:val="0"/>
                      <w:bCs w:val="0"/>
                      <w:color w:val="auto"/>
                      <w:sz w:val="21"/>
                      <w:szCs w:val="21"/>
                      <w:vertAlign w:val="baseline"/>
                      <w:lang w:val="en-US" w:eastAsia="zh-CN"/>
                    </w:rPr>
                    <w:t>；</w:t>
                  </w:r>
                  <w:r>
                    <w:rPr>
                      <w:rFonts w:ascii="Times New Roman" w:eastAsia="宋体" w:cs="Times New Roman" w:hAnsi="Times New Roman" w:hint="eastAsia"/>
                      <w:b w:val="0"/>
                      <w:bCs w:val="0"/>
                      <w:color w:val="auto"/>
                      <w:sz w:val="21"/>
                      <w:szCs w:val="21"/>
                      <w:vertAlign w:val="baseline"/>
                      <w:lang w:val="en-US" w:eastAsia="zh-CN"/>
                    </w:rPr>
                    <w:t>危险废物的记录和货单在危险废物回取后继续保留三年</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260"/>
              </w:trP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7.8必须定期对所贮存的危险废物包装容器及贮存设施进行检查，发现破损，应及时采取措施清理更换</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项目要求定期对所贮存的危险废物包装容器及贮存设施进行检查，发现破损及时采取措施清理更换</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90"/>
              </w:trPr>
              <w:tc>
                <w:tcPr>
                  <w:tcW w:w="678"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8</w:t>
                  </w:r>
                </w:p>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危险废物贮存设施的安全防护与监测</w:t>
                  </w: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8.1.1危险废物贮存设施都必须按GB15562.2的规定设置警示标志</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项目建成后，按GB15562.2的规定设置警示标志</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20"/>
              </w:trP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项目危险废物</w:t>
                  </w:r>
                  <w:r>
                    <w:rPr>
                      <w:rFonts w:cs="Times New Roman" w:hint="eastAsia"/>
                      <w:b w:val="0"/>
                      <w:bCs w:val="0"/>
                      <w:color w:val="auto"/>
                      <w:sz w:val="21"/>
                      <w:szCs w:val="21"/>
                      <w:vertAlign w:val="baseline"/>
                      <w:lang w:val="en-US" w:eastAsia="zh-CN"/>
                    </w:rPr>
                    <w:t>贮存间</w:t>
                  </w:r>
                  <w:r>
                    <w:rPr>
                      <w:rFonts w:ascii="Times New Roman" w:eastAsia="宋体" w:cs="Times New Roman" w:hAnsi="Times New Roman" w:hint="eastAsia"/>
                      <w:b w:val="0"/>
                      <w:bCs w:val="0"/>
                      <w:color w:val="auto"/>
                      <w:sz w:val="21"/>
                      <w:szCs w:val="21"/>
                      <w:vertAlign w:val="baseline"/>
                      <w:lang w:val="en-US" w:eastAsia="zh-CN"/>
                    </w:rPr>
                    <w:t>内清理出来的泄漏物，一律按危险废物处理</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r>
              <w:trPr>
                <w:trHeight w:val="20"/>
              </w:trPr>
              <w:tc>
                <w:tcPr>
                  <w:tcW w:w="678" w:type="dxa"/>
                  <w:vMerge/>
                  <w:tcBorders>
                    <w:top w:val="single" w:sz="4" w:space="0" w:color="auto"/>
                    <w:left w:val="single" w:sz="4" w:space="0" w:color="auto"/>
                    <w:right w:val="single" w:sz="4" w:space="0" w:color="auto"/>
                  </w:tcBorders>
                  <w:vAlign w:val="center"/>
                </w:tcPr>
                <w:p/>
              </w:tc>
              <w:tc>
                <w:tcPr>
                  <w:tcW w:w="3340"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8.2按国家污染源管理要求对危险废物贮存设施进行监测</w:t>
                  </w:r>
                  <w:r>
                    <w:rPr>
                      <w:rFonts w:cs="Times New Roman" w:hint="eastAsia"/>
                      <w:b w:val="0"/>
                      <w:bCs w:val="0"/>
                      <w:color w:val="auto"/>
                      <w:sz w:val="21"/>
                      <w:szCs w:val="21"/>
                      <w:vertAlign w:val="baseline"/>
                      <w:lang w:val="en-US" w:eastAsia="zh-CN"/>
                    </w:rPr>
                    <w:t>；</w:t>
                  </w:r>
                </w:p>
              </w:tc>
              <w:tc>
                <w:tcPr>
                  <w:tcW w:w="3494"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项目严格按照国家污染源管理要求进行监测</w:t>
                  </w:r>
                  <w:r>
                    <w:rPr>
                      <w:rFonts w:cs="Times New Roman" w:hint="eastAsia"/>
                      <w:b w:val="0"/>
                      <w:bCs w:val="0"/>
                      <w:color w:val="auto"/>
                      <w:sz w:val="21"/>
                      <w:szCs w:val="21"/>
                      <w:vertAlign w:val="baseline"/>
                      <w:lang w:val="en-US" w:eastAsia="zh-CN"/>
                    </w:rPr>
                    <w:t>。</w:t>
                  </w:r>
                </w:p>
              </w:tc>
              <w:tc>
                <w:tcPr>
                  <w:tcW w:w="87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color w:val="auto"/>
                      <w:sz w:val="21"/>
                      <w:szCs w:val="21"/>
                    </w:rPr>
                    <w:t>符合</w:t>
                  </w:r>
                </w:p>
              </w:tc>
            </w:tr>
          </w:tbl>
          <w:p>
            <w:pPr>
              <w:numPr>
                <w:ilvl w:val="0"/>
                <w:numId w:val="5"/>
              </w:numPr>
              <w:bidi w:val="0"/>
              <w:spacing w:line="360" w:lineRule="auto"/>
              <w:ind w:left="0" w:firstLineChars="200" w:firstLine="480"/>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与</w:t>
            </w:r>
            <w:r>
              <w:rPr>
                <w:rFonts w:ascii="宋体" w:eastAsia="宋体" w:cs="宋体" w:hint="eastAsia"/>
                <w:b/>
                <w:bCs/>
                <w:color w:val="auto"/>
                <w:sz w:val="24"/>
                <w:szCs w:val="24"/>
              </w:rPr>
              <w:t>“十四五”循</w:t>
            </w:r>
            <w:r>
              <w:rPr>
                <w:rFonts w:ascii="Times New Roman" w:eastAsia="宋体" w:cs="Times New Roman" w:hAnsi="Times New Roman"/>
                <w:b/>
                <w:bCs/>
                <w:color w:val="auto"/>
                <w:sz w:val="24"/>
                <w:szCs w:val="24"/>
              </w:rPr>
              <w:t>环经济发展规划符合性分析</w:t>
            </w:r>
          </w:p>
          <w:p>
            <w:pPr>
              <w:bidi w:val="0"/>
              <w:spacing w:line="360" w:lineRule="auto"/>
              <w:ind w:left="0" w:firstLineChars="200" w:firstLine="480"/>
              <w:rPr>
                <w:rFonts w:ascii="宋体" w:eastAsia="宋体" w:cs="宋体" w:hint="eastAsia"/>
                <w:color w:val="auto"/>
                <w:sz w:val="24"/>
                <w:szCs w:val="24"/>
              </w:rPr>
            </w:pPr>
            <w:r>
              <w:rPr>
                <w:rFonts w:ascii="宋体" w:eastAsia="宋体" w:cs="宋体" w:hint="eastAsia"/>
                <w:color w:val="auto"/>
                <w:sz w:val="24"/>
                <w:szCs w:val="24"/>
              </w:rPr>
              <w:t>“十四五”时期我</w:t>
            </w:r>
            <w:r>
              <w:rPr>
                <w:rFonts w:ascii="Times New Roman" w:eastAsia="宋体" w:cs="Times New Roman" w:hAnsi="Times New Roman"/>
                <w:color w:val="auto"/>
                <w:sz w:val="24"/>
                <w:szCs w:val="24"/>
              </w:rPr>
              <w:t>国进入新发展阶段，2021年7月1日国家发展改革委发布（发改环资〔2021〕969号）《关于印</w:t>
            </w:r>
            <w:r>
              <w:rPr>
                <w:rFonts w:ascii="宋体" w:eastAsia="宋体" w:cs="宋体" w:hint="eastAsia"/>
                <w:color w:val="auto"/>
                <w:sz w:val="24"/>
                <w:szCs w:val="24"/>
              </w:rPr>
              <w:t>发“十四五”循环经济发展规</w:t>
            </w:r>
            <w:r>
              <w:rPr>
                <w:rFonts w:ascii="Times New Roman" w:eastAsia="宋体" w:cs="Times New Roman" w:hAnsi="Times New Roman"/>
                <w:color w:val="auto"/>
                <w:sz w:val="24"/>
                <w:szCs w:val="24"/>
              </w:rPr>
              <w:t>划的通知》</w:t>
            </w:r>
            <w:r>
              <w:rPr>
                <w:rFonts w:cs="Times New Roman" w:hint="eastAsia"/>
                <w:color w:val="auto"/>
                <w:sz w:val="24"/>
                <w:szCs w:val="24"/>
                <w:lang w:eastAsia="zh-CN"/>
              </w:rPr>
              <w:t>：</w:t>
            </w:r>
            <w:r>
              <w:rPr>
                <w:rFonts w:ascii="宋体" w:eastAsia="宋体" w:cs="宋体" w:hint="eastAsia"/>
                <w:color w:val="auto"/>
                <w:sz w:val="24"/>
                <w:szCs w:val="24"/>
              </w:rPr>
              <w:t>“一</w:t>
            </w:r>
            <w:r>
              <w:rPr>
                <w:rFonts w:ascii="Times New Roman" w:eastAsia="宋体" w:cs="Times New Roman" w:hAnsi="Times New Roman"/>
                <w:color w:val="auto"/>
                <w:sz w:val="24"/>
                <w:szCs w:val="24"/>
              </w:rPr>
              <w:t>、发展基础与面</w:t>
            </w:r>
            <w:r>
              <w:rPr>
                <w:rFonts w:ascii="宋体" w:eastAsia="宋体" w:cs="宋体" w:hint="eastAsia"/>
                <w:color w:val="auto"/>
                <w:sz w:val="24"/>
                <w:szCs w:val="24"/>
              </w:rPr>
              <w:t>临形势”提到“无论从全球绿色发展趋势和应对气候变化要求</w:t>
            </w:r>
            <w:r>
              <w:rPr>
                <w:rFonts w:ascii="Times New Roman" w:eastAsia="宋体" w:cs="Times New Roman" w:hAnsi="Times New Roman"/>
                <w:color w:val="auto"/>
                <w:sz w:val="24"/>
                <w:szCs w:val="24"/>
              </w:rPr>
              <w:t>看，还是从国内资源需求和利用水平看，我国都必须大力发展循环经济，着力解决突出矛盾和问题，实现资源高效利用和循环利用，推动经济社会高质量发展。</w:t>
            </w:r>
            <w:r>
              <w:rPr>
                <w:rFonts w:ascii="宋体" w:eastAsia="宋体" w:cs="宋体" w:hint="eastAsia"/>
                <w:color w:val="auto"/>
                <w:sz w:val="24"/>
                <w:szCs w:val="24"/>
              </w:rPr>
              <w:t>”</w:t>
            </w:r>
            <w:r>
              <w:rPr>
                <w:rFonts w:ascii="宋体" w:eastAsia="宋体" w:cs="宋体" w:hint="eastAsia"/>
                <w:color w:val="auto"/>
                <w:sz w:val="24"/>
                <w:szCs w:val="24"/>
                <w:lang w:eastAsia="zh-CN"/>
              </w:rPr>
              <w:t>；</w:t>
            </w:r>
            <w:r>
              <w:rPr>
                <w:rFonts w:ascii="宋体" w:eastAsia="宋体" w:cs="宋体" w:hint="eastAsia"/>
                <w:color w:val="auto"/>
                <w:sz w:val="24"/>
                <w:szCs w:val="24"/>
              </w:rPr>
              <w:t>“二</w:t>
            </w:r>
            <w:r>
              <w:rPr>
                <w:rFonts w:ascii="Times New Roman" w:eastAsia="宋体" w:cs="Times New Roman" w:hAnsi="Times New Roman"/>
                <w:color w:val="auto"/>
                <w:sz w:val="24"/>
                <w:szCs w:val="24"/>
              </w:rPr>
              <w:t>、总体</w:t>
            </w:r>
            <w:r>
              <w:rPr>
                <w:rFonts w:ascii="宋体" w:eastAsia="宋体" w:cs="宋体" w:hint="eastAsia"/>
                <w:color w:val="auto"/>
                <w:sz w:val="24"/>
                <w:szCs w:val="24"/>
              </w:rPr>
              <w:t>要求”提到“到</w:t>
            </w:r>
            <w:r>
              <w:rPr>
                <w:rFonts w:ascii="Times New Roman" w:eastAsia="宋体" w:cs="Times New Roman" w:hAnsi="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ascii="宋体" w:eastAsia="宋体" w:cs="宋体" w:hint="eastAsia"/>
                <w:color w:val="auto"/>
                <w:sz w:val="24"/>
                <w:szCs w:val="24"/>
              </w:rPr>
              <w:t>”</w:t>
            </w:r>
            <w:r>
              <w:rPr>
                <w:rFonts w:cs="Times New Roman" w:hint="eastAsia"/>
                <w:color w:val="auto"/>
                <w:sz w:val="24"/>
                <w:szCs w:val="24"/>
                <w:lang w:eastAsia="zh-CN"/>
              </w:rPr>
              <w:t>；</w:t>
            </w:r>
            <w:r>
              <w:rPr>
                <w:rFonts w:ascii="宋体" w:eastAsia="宋体" w:cs="宋体" w:hint="eastAsia"/>
                <w:color w:val="auto"/>
                <w:sz w:val="24"/>
                <w:szCs w:val="24"/>
              </w:rPr>
              <w:t>“三</w:t>
            </w:r>
            <w:r>
              <w:rPr>
                <w:rFonts w:ascii="Times New Roman" w:eastAsia="宋体" w:cs="Times New Roman" w:hAnsi="Times New Roman"/>
                <w:color w:val="auto"/>
                <w:sz w:val="24"/>
                <w:szCs w:val="24"/>
              </w:rPr>
              <w:t>、重点</w:t>
            </w:r>
            <w:r>
              <w:rPr>
                <w:rFonts w:ascii="宋体" w:eastAsia="宋体" w:cs="宋体" w:hint="eastAsia"/>
                <w:color w:val="auto"/>
                <w:sz w:val="24"/>
                <w:szCs w:val="24"/>
              </w:rPr>
              <w:t>任务”提到“推动再生资源</w:t>
            </w:r>
            <w:r>
              <w:rPr>
                <w:rFonts w:ascii="Times New Roman" w:eastAsia="宋体" w:cs="Times New Roman" w:hAnsi="Times New Roman"/>
                <w:color w:val="auto"/>
                <w:sz w:val="24"/>
                <w:szCs w:val="24"/>
              </w:rPr>
              <w:t>规模化规范化、清洁化利用，促进再生资源产业集聚发展，高水平建设现代</w:t>
            </w:r>
            <w:r>
              <w:rPr>
                <w:rFonts w:ascii="宋体" w:eastAsia="宋体" w:cs="宋体" w:hint="eastAsia"/>
                <w:color w:val="auto"/>
                <w:sz w:val="24"/>
                <w:szCs w:val="24"/>
              </w:rPr>
              <w:t>化“城市矿产”基地</w:t>
            </w:r>
            <w:r>
              <w:rPr>
                <w:rFonts w:ascii="Times New Roman" w:eastAsia="宋体" w:cs="Times New Roman" w:hAnsi="Times New Roman"/>
                <w:color w:val="auto"/>
                <w:sz w:val="24"/>
                <w:szCs w:val="24"/>
              </w:rPr>
              <w:t>。实施废钢铁、废有色金属、废塑料、废纸、废旧轮胎、废旧手机</w:t>
            </w:r>
            <w:r>
              <w:rPr>
                <w:rFonts w:cs="Times New Roman" w:hint="eastAsia"/>
                <w:color w:val="auto"/>
                <w:sz w:val="24"/>
                <w:szCs w:val="24"/>
                <w:lang w:val="en-US" w:eastAsia="zh-CN"/>
              </w:rPr>
              <w:t>及</w:t>
            </w:r>
            <w:r>
              <w:rPr>
                <w:rFonts w:ascii="Times New Roman" w:eastAsia="宋体" w:cs="Times New Roman" w:hAnsi="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ascii="宋体" w:eastAsia="宋体" w:cs="宋体" w:hint="eastAsia"/>
                <w:color w:val="auto"/>
                <w:sz w:val="24"/>
                <w:szCs w:val="24"/>
              </w:rPr>
              <w:t>”</w:t>
            </w:r>
          </w:p>
          <w:p>
            <w:pPr>
              <w:bidi w:val="0"/>
              <w:spacing w:line="360" w:lineRule="auto"/>
              <w:ind w:left="0" w:firstLineChars="200" w:firstLine="480"/>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本项目为废旧</w:t>
            </w:r>
            <w:r>
              <w:rPr>
                <w:rFonts w:cs="Times New Roman" w:hint="eastAsia"/>
                <w:color w:val="auto"/>
                <w:sz w:val="24"/>
                <w:szCs w:val="24"/>
                <w:lang w:val="en-US" w:eastAsia="zh-CN"/>
              </w:rPr>
              <w:t>电器</w:t>
            </w:r>
            <w:r>
              <w:rPr>
                <w:rFonts w:ascii="Times New Roman" w:eastAsia="宋体" w:cs="Times New Roman" w:hAnsi="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cs="Times New Roman" w:hint="eastAsia"/>
                <w:color w:val="auto"/>
                <w:sz w:val="24"/>
                <w:szCs w:val="24"/>
                <w:lang w:val="en-US" w:eastAsia="zh-CN"/>
              </w:rPr>
              <w:t>本</w:t>
            </w:r>
            <w:r>
              <w:rPr>
                <w:rFonts w:ascii="Times New Roman" w:eastAsia="宋体" w:cs="Times New Roman" w:hAnsi="Times New Roman"/>
                <w:color w:val="auto"/>
                <w:sz w:val="24"/>
                <w:szCs w:val="24"/>
              </w:rPr>
              <w:t>项目</w:t>
            </w:r>
            <w:r>
              <w:rPr>
                <w:rFonts w:ascii="宋体" w:eastAsia="宋体" w:cs="宋体" w:hint="eastAsia"/>
                <w:color w:val="auto"/>
                <w:sz w:val="24"/>
                <w:szCs w:val="24"/>
              </w:rPr>
              <w:t>符合“十四五”循环经济发展</w:t>
            </w:r>
            <w:r>
              <w:rPr>
                <w:rFonts w:ascii="Times New Roman" w:eastAsia="宋体" w:cs="Times New Roman" w:hAnsi="Times New Roman"/>
                <w:color w:val="auto"/>
                <w:sz w:val="24"/>
                <w:szCs w:val="24"/>
              </w:rPr>
              <w:t>规划要求。</w:t>
            </w:r>
          </w:p>
          <w:p>
            <w:pPr>
              <w:numPr>
                <w:ilvl w:val="0"/>
                <w:numId w:val="4"/>
              </w:numPr>
              <w:bidi w:val="0"/>
              <w:spacing w:line="360" w:lineRule="auto"/>
              <w:ind w:left="0" w:firstLine="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b/>
                <w:bCs/>
                <w:color w:val="auto"/>
                <w:sz w:val="24"/>
                <w:szCs w:val="24"/>
              </w:rPr>
              <w:t>项目</w:t>
            </w:r>
            <w:r>
              <w:rPr>
                <w:rFonts w:cs="Times New Roman" w:hint="eastAsia"/>
                <w:b/>
                <w:bCs/>
                <w:color w:val="auto"/>
                <w:sz w:val="24"/>
                <w:szCs w:val="24"/>
                <w:lang w:val="en-US" w:eastAsia="zh-CN"/>
              </w:rPr>
              <w:t>与生态环境分区管控符合性</w:t>
            </w:r>
          </w:p>
          <w:p>
            <w:pPr>
              <w:bidi w:val="0"/>
              <w:spacing w:line="360" w:lineRule="auto"/>
              <w:ind w:left="0" w:firstLineChars="200" w:firstLine="480"/>
              <w:rPr>
                <w:rFonts w:ascii="宋体" w:eastAsia="宋体" w:cs="宋体" w:hint="eastAsia"/>
                <w:color w:val="auto"/>
                <w:sz w:val="24"/>
                <w:szCs w:val="24"/>
              </w:rPr>
            </w:pPr>
            <w:r>
              <w:rPr>
                <w:rFonts w:ascii="Times New Roman" w:eastAsia="宋体" w:cs="Times New Roman" w:hAnsi="Times New Roman"/>
                <w:color w:val="auto"/>
                <w:sz w:val="24"/>
                <w:szCs w:val="24"/>
              </w:rPr>
              <w:t>根据2024年7月生态环境部印发的《生态环境分区管控管理暂行规定》（环环评〔2024〕41号）的通知，本次评价结合四川政务服务网</w:t>
            </w:r>
            <w:r>
              <w:rPr>
                <w:rFonts w:ascii="宋体" w:eastAsia="宋体" w:cs="宋体" w:hint="eastAsia"/>
                <w:color w:val="auto"/>
                <w:sz w:val="24"/>
                <w:szCs w:val="24"/>
              </w:rPr>
              <w:t>“生态环境分区管控符合性分析”</w:t>
            </w:r>
            <w:r>
              <w:rPr>
                <w:rFonts w:ascii="Times New Roman" w:eastAsia="宋体" w:cs="Times New Roman" w:hAnsi="Times New Roman"/>
                <w:color w:val="auto"/>
                <w:sz w:val="24"/>
                <w:szCs w:val="24"/>
              </w:rPr>
              <w:t>系统查询结果及《遂宁市2023年生态环境分区管控动态更新成果的通知》（遂环委〔2024〕2号）等相关文件，对本项目生态环境分区管控管理符合性进行分析。具体分析如下</w:t>
            </w:r>
            <w:r>
              <w:rPr>
                <w:rFonts w:ascii="宋体" w:eastAsia="宋体" w:cs="宋体" w:hint="eastAsia"/>
                <w:color w:val="auto"/>
                <w:sz w:val="24"/>
                <w:szCs w:val="24"/>
              </w:rPr>
              <w:t>：</w:t>
            </w:r>
          </w:p>
          <w:p>
            <w:pPr>
              <w:numPr>
                <w:ilvl w:val="0"/>
                <w:numId w:val="6"/>
              </w:numPr>
              <w:bidi w:val="0"/>
              <w:spacing w:line="360" w:lineRule="auto"/>
              <w:ind w:left="0" w:firstLineChars="200" w:firstLine="480"/>
              <w:rPr>
                <w:rFonts w:ascii="宋体" w:eastAsia="宋体" w:cs="宋体" w:hint="eastAsia"/>
                <w:b/>
                <w:bCs/>
                <w:color w:val="auto"/>
                <w:sz w:val="24"/>
                <w:szCs w:val="24"/>
                <w:lang w:eastAsia="zh-CN"/>
              </w:rPr>
            </w:pPr>
            <w:r>
              <w:rPr>
                <w:rFonts w:ascii="宋体" w:eastAsia="宋体" w:cs="宋体" w:hint="eastAsia"/>
                <w:b/>
                <w:bCs/>
                <w:color w:val="auto"/>
                <w:sz w:val="24"/>
                <w:szCs w:val="24"/>
              </w:rPr>
              <w:t>环境管控单元</w:t>
            </w:r>
          </w:p>
          <w:p>
            <w:pPr>
              <w:bidi w:val="0"/>
              <w:spacing w:line="360" w:lineRule="auto"/>
              <w:ind w:left="0" w:firstLineChars="200" w:firstLine="480"/>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根据遂宁市生态环境保护委员会《关于印发遂宁市2023年生态环境分区管控动态更新成果的通知》（遂环委〔2024〕2号）</w:t>
            </w:r>
            <w:r>
              <w:rPr>
                <w:rFonts w:ascii="Times New Roman" w:eastAsia="宋体" w:cs="Times New Roman" w:hAnsi="Times New Roman"/>
                <w:color w:val="auto"/>
                <w:sz w:val="24"/>
                <w:szCs w:val="24"/>
                <w:lang w:val="en-US" w:eastAsia="zh-CN"/>
              </w:rPr>
              <w:t>中相关内容</w:t>
            </w:r>
            <w:r>
              <w:rPr>
                <w:rFonts w:ascii="Times New Roman" w:eastAsia="宋体" w:cs="Times New Roman" w:hAnsi="Times New Roman"/>
                <w:color w:val="auto"/>
                <w:sz w:val="24"/>
                <w:szCs w:val="24"/>
              </w:rPr>
              <w:t>，遂宁市共划定环境管控单元47个，其中优先保护单元19个、重点管控单元26个、一般管控单元2个</w:t>
            </w:r>
            <w:r>
              <w:rPr>
                <w:rFonts w:ascii="Times New Roman" w:eastAsia="宋体" w:cs="Times New Roman" w:hAnsi="Times New Roman"/>
                <w:color w:val="auto"/>
                <w:sz w:val="24"/>
                <w:szCs w:val="24"/>
                <w:lang w:eastAsia="zh-CN"/>
              </w:rPr>
              <w:t>；</w:t>
            </w:r>
            <w:r>
              <w:rPr>
                <w:rFonts w:ascii="Times New Roman" w:eastAsia="宋体" w:cs="Times New Roman" w:hAnsi="Times New Roman"/>
                <w:color w:val="auto"/>
                <w:sz w:val="24"/>
                <w:szCs w:val="24"/>
              </w:rPr>
              <w:t>本项目位于遂宁市大英县蓬莱镇南华路</w:t>
            </w:r>
            <w:r>
              <w:rPr>
                <w:rFonts w:ascii="Times New Roman" w:eastAsia="宋体" w:cs="Times New Roman" w:hAnsi="Times New Roman"/>
                <w:color w:val="auto"/>
                <w:sz w:val="24"/>
                <w:szCs w:val="24"/>
                <w:lang w:eastAsia="zh-CN"/>
              </w:rPr>
              <w:t>，</w:t>
            </w:r>
            <w:r>
              <w:rPr>
                <w:rFonts w:ascii="Times New Roman" w:eastAsia="宋体" w:cs="Times New Roman" w:hAnsi="Times New Roman"/>
                <w:color w:val="auto"/>
                <w:sz w:val="24"/>
                <w:szCs w:val="24"/>
              </w:rPr>
              <w:t>不涉及生态保护红线。</w:t>
            </w:r>
          </w:p>
          <w:p>
            <w:pPr>
              <w:bidi w:val="0"/>
              <w:spacing w:line="360" w:lineRule="auto"/>
              <w:ind w:left="0" w:firstLineChars="200" w:firstLine="480"/>
            </w:pPr>
            <w:r>
              <w:rPr>
                <w:rFonts w:cs="Times New Roman" w:hint="eastAsia"/>
                <w:color w:val="auto"/>
                <w:sz w:val="24"/>
                <w:szCs w:val="24"/>
                <w:lang w:eastAsia="zh-CN"/>
              </w:rPr>
              <w:t>本项目</w:t>
            </w:r>
            <w:r>
              <w:rPr>
                <w:rFonts w:cs="Times New Roman" w:hint="eastAsia"/>
                <w:color w:val="auto"/>
                <w:sz w:val="24"/>
                <w:szCs w:val="24"/>
                <w:lang w:val="en-US" w:eastAsia="zh-CN"/>
              </w:rPr>
              <w:t>在</w:t>
            </w:r>
            <w:r>
              <w:rPr>
                <w:rFonts w:ascii="Times New Roman" w:eastAsia="宋体" w:cs="Times New Roman" w:hAnsi="Times New Roman"/>
                <w:color w:val="auto"/>
                <w:sz w:val="24"/>
                <w:szCs w:val="24"/>
              </w:rPr>
              <w:t>遂宁市生态保护红线图中位置见图1-</w:t>
            </w:r>
            <w:r>
              <w:rPr>
                <w:rFonts w:cs="Times New Roman" w:hint="eastAsia"/>
                <w:color w:val="auto"/>
                <w:sz w:val="24"/>
                <w:szCs w:val="24"/>
                <w:lang w:val="en-US" w:eastAsia="zh-CN"/>
              </w:rPr>
              <w:t>2</w:t>
            </w:r>
            <w:r>
              <w:rPr>
                <w:rFonts w:ascii="Times New Roman" w:eastAsia="宋体" w:cs="Times New Roman" w:hAnsi="Times New Roman"/>
                <w:color w:val="auto"/>
                <w:sz w:val="24"/>
                <w:szCs w:val="24"/>
              </w:rPr>
              <w:t>。</w:t>
            </w:r>
          </w:p>
          <w:p>
            <w:pPr>
              <w:pStyle w:val="28"/>
              <w:spacing w:line="360" w:lineRule="auto"/>
              <w:jc w:val="center"/>
              <w:rPr>
                <w:rFonts w:ascii="Times New Roman" w:eastAsia="宋体" w:cs="Times New Roman" w:hAnsi="Times New Roman"/>
                <w:b/>
                <w:bCs/>
                <w:color w:val="auto"/>
                <w:sz w:val="21"/>
                <w:szCs w:val="21"/>
                <w:lang w:val="en-US" w:eastAsia="zh-CN"/>
              </w:rPr>
            </w:pPr>
            <w:r>
              <w:drawing>
                <wp:inline distT="0" distB="0" distL="114300" distR="114300">
                  <wp:extent cx="5331459" cy="3777615"/>
                  <wp:effectExtent l="0" t="0" r="17" b="37"/>
                  <wp:docPr id="21" name="图片 4"/>
                  <wp:cNvGraphicFramePr>
                    <a:graphicFrameLocks noChangeAspect="1"/>
                  </wp:cNvGraphicFramePr>
                  <a:graphic>
                    <a:graphicData uri="http://schemas.openxmlformats.org/drawingml/2006/picture">
                      <pic:pic>
                        <pic:nvPicPr>
                          <pic:cNvPr id="23" name="图片 4 23"/>
                          <pic:cNvPicPr/>
                        </pic:nvPicPr>
                        <pic:blipFill>
                          <a:blip r:embed="rId10"/>
                          <a:stretch>
                            <a:fillRect/>
                          </a:stretch>
                        </pic:blipFill>
                        <pic:spPr>
                          <a:xfrm rot="0">
                            <a:off x="0" y="0"/>
                            <a:ext cx="5331459" cy="3777615"/>
                          </a:xfrm>
                          <a:prstGeom prst="rect"/>
                          <a:noFill/>
                          <a:ln w="9525" cmpd="sng" cap="flat">
                            <a:noFill/>
                            <a:prstDash val="solid"/>
                            <a:round/>
                          </a:ln>
                        </pic:spPr>
                      </pic:pic>
                    </a:graphicData>
                  </a:graphic>
                </wp:inline>
              </w:drawing>
            </w:r>
            <w:r>
              <w:rPr>
                <w:rFonts w:ascii="Times New Roman" w:cs="Times New Roman" w:hAnsi="Times New Roman" w:hint="eastAsia"/>
                <w:b/>
                <w:bCs/>
                <w:color w:val="auto"/>
                <w:sz w:val="21"/>
                <w:szCs w:val="21"/>
                <w:lang w:val="en-US" w:eastAsia="zh-CN"/>
              </w:rPr>
              <w:t xml:space="preserve">图1-2 </w:t>
            </w:r>
            <w:r>
              <w:rPr>
                <w:rFonts w:ascii="Times New Roman" w:eastAsia="宋体" w:cs="Times New Roman" w:hAnsi="Times New Roman" w:hint="eastAsia"/>
                <w:b/>
                <w:bCs/>
                <w:color w:val="auto"/>
                <w:sz w:val="21"/>
                <w:szCs w:val="21"/>
                <w:lang w:val="en-US" w:eastAsia="zh-CN"/>
              </w:rPr>
              <w:t>项目与遂宁市生态保护红线的位置关系</w:t>
            </w:r>
            <w:r>
              <w:rPr>
                <w:rFonts w:ascii="Times New Roman" w:cs="Times New Roman" w:hAnsi="Times New Roman" w:hint="eastAsia"/>
                <w:b/>
                <w:bCs/>
                <w:color w:val="auto"/>
                <w:sz w:val="21"/>
                <w:szCs w:val="21"/>
                <w:lang w:val="en-US" w:eastAsia="zh-CN"/>
              </w:rPr>
              <w:t>图</w:t>
            </w:r>
          </w:p>
          <w:p>
            <w:pPr>
              <w:bidi w:val="0"/>
              <w:spacing w:line="360" w:lineRule="auto"/>
              <w:ind w:left="0" w:firstLineChars="200" w:firstLine="480"/>
              <w:rPr>
                <w:rFonts w:ascii="Times New Roman" w:eastAsia="宋体" w:cs="Times New Roman" w:hAnsi="Times New Roman" w:hint="eastAsia"/>
                <w:color w:val="auto"/>
                <w:sz w:val="24"/>
                <w:szCs w:val="24"/>
                <w:lang w:eastAsia="zh-CN"/>
              </w:rPr>
            </w:pPr>
            <w:r>
              <w:rPr>
                <w:rFonts w:ascii="Times New Roman" w:eastAsia="宋体" w:cs="Times New Roman" w:hAnsi="Times New Roman"/>
                <w:color w:val="auto"/>
                <w:sz w:val="24"/>
                <w:szCs w:val="24"/>
              </w:rPr>
              <w:t>根据四川政务服务网</w:t>
            </w:r>
            <w:r>
              <w:rPr>
                <w:rFonts w:ascii="宋体" w:eastAsia="宋体" w:cs="宋体" w:hint="eastAsia"/>
                <w:color w:val="auto"/>
                <w:sz w:val="24"/>
                <w:szCs w:val="24"/>
              </w:rPr>
              <w:t>“生态环境分区管控符合性分析”</w:t>
            </w:r>
            <w:r>
              <w:rPr>
                <w:rFonts w:ascii="Times New Roman" w:eastAsia="宋体" w:cs="Times New Roman" w:hAnsi="Times New Roman"/>
                <w:color w:val="auto"/>
                <w:sz w:val="24"/>
                <w:szCs w:val="24"/>
              </w:rPr>
              <w:t>系统查询结果</w:t>
            </w:r>
            <w:r>
              <w:rPr>
                <w:rFonts w:ascii="Times New Roman" w:eastAsia="宋体" w:cs="Times New Roman" w:hAnsi="Times New Roman" w:hint="eastAsia"/>
                <w:color w:val="auto"/>
                <w:sz w:val="24"/>
                <w:szCs w:val="24"/>
                <w:lang w:eastAsia="zh-CN"/>
              </w:rPr>
              <w:t>（https:</w:t>
            </w:r>
          </w:p>
          <w:p>
            <w:pPr>
              <w:bidi w:val="0"/>
              <w:spacing w:line="360" w:lineRule="auto"/>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color w:val="auto"/>
                <w:sz w:val="24"/>
                <w:szCs w:val="24"/>
                <w:lang w:eastAsia="zh-CN"/>
              </w:rPr>
              <w:t>//www.sczwfw.gov.cn/tftb/jmopenpub/jmopen_files/webapp/html5/sxydctfx/index.html?areaCode=510000000000</w:t>
            </w:r>
            <w:r>
              <w:rPr>
                <w:rFonts w:cs="Times New Roman" w:hint="eastAsia"/>
                <w:color w:val="auto"/>
                <w:sz w:val="24"/>
                <w:szCs w:val="24"/>
                <w:lang w:eastAsia="zh-CN"/>
              </w:rPr>
              <w:t>）</w:t>
            </w:r>
            <w:r>
              <w:rPr>
                <w:rFonts w:ascii="Times New Roman" w:eastAsia="宋体" w:cs="Times New Roman" w:hAnsi="Times New Roman"/>
                <w:color w:val="auto"/>
                <w:sz w:val="24"/>
                <w:szCs w:val="24"/>
              </w:rPr>
              <w:t>，</w:t>
            </w:r>
            <w:r>
              <w:rPr>
                <w:rFonts w:ascii="Times New Roman" w:eastAsia="宋体" w:cs="Times New Roman" w:hAnsi="Times New Roman" w:hint="eastAsia"/>
                <w:color w:val="auto"/>
                <w:sz w:val="24"/>
                <w:szCs w:val="24"/>
                <w:lang w:val="en-US" w:eastAsia="zh-CN"/>
              </w:rPr>
              <w:t>本项目涉及的环境管控单元见下表</w:t>
            </w:r>
            <w:r>
              <w:rPr>
                <w:rFonts w:ascii="Times New Roman" w:eastAsia="宋体" w:cs="Times New Roman" w:hAnsi="Times New Roman"/>
                <w:color w:val="auto"/>
                <w:sz w:val="24"/>
                <w:szCs w:val="24"/>
              </w:rPr>
              <w:t>1-</w:t>
            </w:r>
            <w:r>
              <w:rPr>
                <w:rFonts w:cs="Times New Roman" w:hint="eastAsia"/>
                <w:color w:val="auto"/>
                <w:sz w:val="24"/>
                <w:szCs w:val="24"/>
                <w:lang w:val="en-US" w:eastAsia="zh-CN"/>
              </w:rPr>
              <w:t>6。</w:t>
            </w:r>
          </w:p>
          <w:p>
            <w:pPr>
              <w:bidi w:val="0"/>
              <w:spacing w:line="360" w:lineRule="auto"/>
              <w:jc w:val="center"/>
              <w:rPr>
                <w:rFonts w:cs="Times New Roman" w:hint="eastAsia"/>
                <w:b/>
                <w:bCs/>
                <w:color w:val="auto"/>
                <w:sz w:val="21"/>
                <w:szCs w:val="21"/>
                <w:lang w:val="en-US" w:eastAsia="zh-CN"/>
              </w:rPr>
            </w:pPr>
            <w:r>
              <w:rPr>
                <w:rFonts w:cs="Times New Roman" w:hint="eastAsia"/>
                <w:b/>
                <w:bCs/>
                <w:color w:val="auto"/>
                <w:sz w:val="21"/>
                <w:szCs w:val="21"/>
                <w:lang w:val="en-US" w:eastAsia="zh-CN"/>
              </w:rPr>
              <w:t>表1-6 项目涉及管控单元一览表</w:t>
            </w:r>
          </w:p>
          <w:tbl>
            <w:tblPr>
              <w:jc w:val="left"/>
              <w:tblInd w:w="0" w:type="dx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236"/>
              <w:gridCol w:w="2118"/>
              <w:gridCol w:w="887"/>
              <w:gridCol w:w="969"/>
              <w:gridCol w:w="1063"/>
              <w:gridCol w:w="2105"/>
            </w:tblGrid>
            <w:tr>
              <w:trPr>
                <w:cantSplit/>
                <w:trHeight w:val="312"/>
                <w:tblHeader/>
              </w:trPr>
              <w:tc>
                <w:tcPr>
                  <w:tcW w:w="737" w:type="pct"/>
                  <w:noWrap/>
                  <w:vAlign w:val="center"/>
                </w:tcPr>
                <w:p>
                  <w:pPr>
                    <w:widowControl/>
                    <w:spacing w:line="240" w:lineRule="auto"/>
                    <w:ind w:firstLine="0"/>
                    <w:jc w:val="center"/>
                    <w:rPr>
                      <w:rStyle w:val="15Cha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环境管控单元编码</w:t>
                  </w:r>
                </w:p>
              </w:tc>
              <w:tc>
                <w:tcPr>
                  <w:tcW w:w="1263" w:type="pct"/>
                  <w:noWrap/>
                  <w:vAlign w:val="center"/>
                </w:tcPr>
                <w:p>
                  <w:pPr>
                    <w:widowControl/>
                    <w:spacing w:line="240" w:lineRule="auto"/>
                    <w:ind w:firstLine="0"/>
                    <w:jc w:val="center"/>
                    <w:rPr>
                      <w:rStyle w:val="15Cha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环境管控单元名称</w:t>
                  </w:r>
                </w:p>
              </w:tc>
              <w:tc>
                <w:tcPr>
                  <w:tcW w:w="529" w:type="pct"/>
                  <w:noWrap/>
                  <w:vAlign w:val="center"/>
                </w:tcPr>
                <w:p>
                  <w:pPr>
                    <w:widowControl/>
                    <w:spacing w:line="240" w:lineRule="auto"/>
                    <w:ind w:firstLine="0"/>
                    <w:jc w:val="center"/>
                    <w:rPr>
                      <w:rStyle w:val="15Cha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所属市（州）</w:t>
                  </w:r>
                </w:p>
              </w:tc>
              <w:tc>
                <w:tcPr>
                  <w:tcW w:w="578" w:type="pct"/>
                  <w:noWrap/>
                  <w:vAlign w:val="center"/>
                </w:tcPr>
                <w:p>
                  <w:pPr>
                    <w:widowControl/>
                    <w:spacing w:line="240" w:lineRule="auto"/>
                    <w:ind w:firstLine="0"/>
                    <w:jc w:val="center"/>
                    <w:rP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所属</w:t>
                  </w:r>
                </w:p>
                <w:p>
                  <w:pPr>
                    <w:widowControl/>
                    <w:spacing w:line="240" w:lineRule="auto"/>
                    <w:ind w:firstLine="0"/>
                    <w:jc w:val="center"/>
                    <w:rPr>
                      <w:rStyle w:val="15Cha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区县</w:t>
                  </w:r>
                </w:p>
              </w:tc>
              <w:tc>
                <w:tcPr>
                  <w:tcW w:w="634" w:type="pct"/>
                  <w:noWrap/>
                  <w:vAlign w:val="center"/>
                </w:tcPr>
                <w:p>
                  <w:pPr>
                    <w:widowControl/>
                    <w:spacing w:line="240" w:lineRule="auto"/>
                    <w:ind w:firstLine="0"/>
                    <w:jc w:val="center"/>
                    <w:rP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准入清</w:t>
                  </w:r>
                </w:p>
                <w:p>
                  <w:pPr>
                    <w:widowControl/>
                    <w:spacing w:line="240" w:lineRule="auto"/>
                    <w:ind w:firstLine="0"/>
                    <w:jc w:val="center"/>
                    <w:rPr>
                      <w:rStyle w:val="15Cha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单类型</w:t>
                  </w:r>
                </w:p>
              </w:tc>
              <w:tc>
                <w:tcPr>
                  <w:tcW w:w="1255" w:type="pct"/>
                  <w:noWrap/>
                  <w:vAlign w:val="center"/>
                </w:tcPr>
                <w:p>
                  <w:pPr>
                    <w:widowControl/>
                    <w:spacing w:line="240" w:lineRule="auto"/>
                    <w:ind w:firstLine="0"/>
                    <w:jc w:val="center"/>
                    <w:rPr>
                      <w:rStyle w:val="15Char"/>
                      <w:rFonts w:ascii="Times New Roman" w:eastAsia="宋体" w:cs="Times New Roman" w:hAnsi="Times New Roman"/>
                      <w:b/>
                      <w:bCs/>
                      <w:color w:val="auto"/>
                      <w:kern w:val="0"/>
                      <w:sz w:val="21"/>
                      <w:szCs w:val="21"/>
                      <w:lang w:val="en-US" w:eastAsia="zh-CN" w:bidi="ar-SA"/>
                    </w:rPr>
                  </w:pPr>
                  <w:r>
                    <w:rPr>
                      <w:rFonts w:ascii="Times New Roman" w:eastAsia="宋体" w:cs="Times New Roman" w:hAnsi="Times New Roman"/>
                      <w:b/>
                      <w:bCs/>
                      <w:color w:val="auto"/>
                      <w:kern w:val="0"/>
                      <w:sz w:val="21"/>
                      <w:szCs w:val="21"/>
                      <w:lang w:val="en-US" w:eastAsia="zh-CN" w:bidi="ar-SA"/>
                    </w:rPr>
                    <w:t>管控类型</w:t>
                  </w:r>
                </w:p>
              </w:tc>
            </w:tr>
            <w:tr>
              <w:trPr>
                <w:cantSplit/>
                <w:trHeight w:val="516"/>
                <w:tblHeader/>
              </w:trPr>
              <w:tc>
                <w:tcPr>
                  <w:tcW w:w="737"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YS5109232310001</w:t>
                  </w:r>
                </w:p>
              </w:tc>
              <w:tc>
                <w:tcPr>
                  <w:tcW w:w="1263"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大英县工业集中发展区</w:t>
                  </w:r>
                  <w:r>
                    <w:rPr>
                      <w:rStyle w:val="15Char"/>
                      <w:rFonts w:ascii="Times New Roman" w:eastAsia="宋体" w:cs="Times New Roman" w:hAnsi="Times New Roman" w:hint="eastAsia"/>
                      <w:kern w:val="2"/>
                      <w:sz w:val="21"/>
                      <w:szCs w:val="21"/>
                      <w:lang w:val="en-US" w:eastAsia="zh-CN" w:bidi="ar-SA"/>
                    </w:rPr>
                    <w:t>（</w:t>
                  </w:r>
                  <w:r>
                    <w:rPr>
                      <w:rStyle w:val="15Char"/>
                      <w:rFonts w:ascii="Times New Roman" w:eastAsia="宋体" w:cs="Times New Roman" w:hAnsi="Times New Roman"/>
                      <w:kern w:val="2"/>
                      <w:sz w:val="21"/>
                      <w:szCs w:val="21"/>
                      <w:lang w:val="en-US" w:eastAsia="zh-CN" w:bidi="ar-SA"/>
                    </w:rPr>
                    <w:t>含经开区</w:t>
                  </w:r>
                  <w:r>
                    <w:rPr>
                      <w:rStyle w:val="15Char"/>
                      <w:rFonts w:ascii="Times New Roman" w:eastAsia="宋体" w:cs="Times New Roman" w:hAnsi="Times New Roman" w:hint="eastAsia"/>
                      <w:kern w:val="2"/>
                      <w:sz w:val="21"/>
                      <w:szCs w:val="21"/>
                      <w:lang w:val="en-US" w:eastAsia="zh-CN" w:bidi="ar-SA"/>
                    </w:rPr>
                    <w:t>）</w:t>
                  </w:r>
                </w:p>
              </w:tc>
              <w:tc>
                <w:tcPr>
                  <w:tcW w:w="529"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遂宁市</w:t>
                  </w:r>
                </w:p>
              </w:tc>
              <w:tc>
                <w:tcPr>
                  <w:tcW w:w="578"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w:t>
                  </w:r>
                </w:p>
              </w:tc>
              <w:tc>
                <w:tcPr>
                  <w:tcW w:w="634"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大气环境管控分区</w:t>
                  </w:r>
                </w:p>
              </w:tc>
              <w:tc>
                <w:tcPr>
                  <w:tcW w:w="1255"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大气环境高排放重点管控区</w:t>
                  </w:r>
                </w:p>
              </w:tc>
            </w:tr>
            <w:tr>
              <w:trPr>
                <w:cantSplit/>
                <w:trHeight w:val="516"/>
                <w:tblHeader/>
              </w:trPr>
              <w:tc>
                <w:tcPr>
                  <w:tcW w:w="737"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YS5109232540002</w:t>
                  </w:r>
                </w:p>
              </w:tc>
              <w:tc>
                <w:tcPr>
                  <w:tcW w:w="1263"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四川大英经济开发区</w:t>
                  </w:r>
                </w:p>
              </w:tc>
              <w:tc>
                <w:tcPr>
                  <w:tcW w:w="529"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遂宁市</w:t>
                  </w:r>
                </w:p>
              </w:tc>
              <w:tc>
                <w:tcPr>
                  <w:tcW w:w="578"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w:t>
                  </w:r>
                </w:p>
              </w:tc>
              <w:tc>
                <w:tcPr>
                  <w:tcW w:w="634"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资源管</w:t>
                  </w:r>
                </w:p>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控分区</w:t>
                  </w:r>
                </w:p>
              </w:tc>
              <w:tc>
                <w:tcPr>
                  <w:tcW w:w="1255"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高污染燃料禁燃区</w:t>
                  </w:r>
                </w:p>
              </w:tc>
            </w:tr>
            <w:tr>
              <w:trPr>
                <w:cantSplit/>
                <w:trHeight w:val="516"/>
                <w:tblHeader/>
              </w:trPr>
              <w:tc>
                <w:tcPr>
                  <w:tcW w:w="737"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YS5109232550001</w:t>
                  </w:r>
                </w:p>
              </w:tc>
              <w:tc>
                <w:tcPr>
                  <w:tcW w:w="1263"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大英县自然资源重点管控区</w:t>
                  </w:r>
                </w:p>
              </w:tc>
              <w:tc>
                <w:tcPr>
                  <w:tcW w:w="529"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遂宁市</w:t>
                  </w:r>
                </w:p>
              </w:tc>
              <w:tc>
                <w:tcPr>
                  <w:tcW w:w="578"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w:t>
                  </w:r>
                </w:p>
              </w:tc>
              <w:tc>
                <w:tcPr>
                  <w:tcW w:w="634"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资源管</w:t>
                  </w:r>
                </w:p>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控分区</w:t>
                  </w:r>
                </w:p>
              </w:tc>
              <w:tc>
                <w:tcPr>
                  <w:tcW w:w="1255"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自然资源重点管控区</w:t>
                  </w:r>
                </w:p>
              </w:tc>
            </w:tr>
            <w:tr>
              <w:trPr>
                <w:cantSplit/>
                <w:trHeight w:val="516"/>
                <w:tblHeader/>
              </w:trPr>
              <w:tc>
                <w:tcPr>
                  <w:tcW w:w="737"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ZH51092320002</w:t>
                  </w:r>
                </w:p>
              </w:tc>
              <w:tc>
                <w:tcPr>
                  <w:tcW w:w="1263"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大英县工业集中发展区</w:t>
                  </w:r>
                  <w:r>
                    <w:rPr>
                      <w:rStyle w:val="15Char"/>
                      <w:rFonts w:ascii="Times New Roman" w:eastAsia="宋体" w:cs="Times New Roman" w:hAnsi="Times New Roman" w:hint="eastAsia"/>
                      <w:kern w:val="2"/>
                      <w:sz w:val="21"/>
                      <w:szCs w:val="21"/>
                      <w:lang w:val="en-US" w:eastAsia="zh-CN" w:bidi="ar-SA"/>
                    </w:rPr>
                    <w:t>（</w:t>
                  </w:r>
                  <w:r>
                    <w:rPr>
                      <w:rStyle w:val="15Char"/>
                      <w:rFonts w:ascii="Times New Roman" w:eastAsia="宋体" w:cs="Times New Roman" w:hAnsi="Times New Roman"/>
                      <w:kern w:val="2"/>
                      <w:sz w:val="21"/>
                      <w:szCs w:val="21"/>
                      <w:lang w:val="en-US" w:eastAsia="zh-CN" w:bidi="ar-SA"/>
                    </w:rPr>
                    <w:t>含经开区</w:t>
                  </w:r>
                  <w:r>
                    <w:rPr>
                      <w:rStyle w:val="15Char"/>
                      <w:rFonts w:ascii="Times New Roman" w:eastAsia="宋体" w:cs="Times New Roman" w:hAnsi="Times New Roman" w:hint="eastAsia"/>
                      <w:kern w:val="2"/>
                      <w:sz w:val="21"/>
                      <w:szCs w:val="21"/>
                      <w:lang w:val="en-US" w:eastAsia="zh-CN" w:bidi="ar-SA"/>
                    </w:rPr>
                    <w:t>）</w:t>
                  </w:r>
                </w:p>
              </w:tc>
              <w:tc>
                <w:tcPr>
                  <w:tcW w:w="529"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遂宁市</w:t>
                  </w:r>
                </w:p>
              </w:tc>
              <w:tc>
                <w:tcPr>
                  <w:tcW w:w="578"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大英县</w:t>
                  </w:r>
                </w:p>
              </w:tc>
              <w:tc>
                <w:tcPr>
                  <w:tcW w:w="634"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环境综合管控单元</w:t>
                  </w:r>
                </w:p>
              </w:tc>
              <w:tc>
                <w:tcPr>
                  <w:tcW w:w="1255"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环境综合管控单元工业重点管控单元</w:t>
                  </w:r>
                </w:p>
              </w:tc>
            </w:tr>
          </w:tbl>
          <w:p>
            <w:pPr>
              <w:bidi w:val="0"/>
              <w:spacing w:line="360" w:lineRule="auto"/>
              <w:jc w:val="center"/>
            </w:pPr>
            <w:r>
              <w:drawing>
                <wp:inline distT="0" distB="0" distL="114300" distR="114300">
                  <wp:extent cx="5305425" cy="4290695"/>
                  <wp:effectExtent l="0" t="0" r="14" b="33"/>
                  <wp:docPr id="24" name="图片 6"/>
                  <wp:cNvGraphicFramePr>
                    <a:graphicFrameLocks noChangeAspect="1"/>
                  </wp:cNvGraphicFramePr>
                  <a:graphic>
                    <a:graphicData uri="http://schemas.openxmlformats.org/drawingml/2006/picture">
                      <pic:pic>
                        <pic:nvPicPr>
                          <pic:cNvPr id="26" name="图片 6 26"/>
                          <pic:cNvPicPr/>
                        </pic:nvPicPr>
                        <pic:blipFill>
                          <a:blip r:embed="rId11"/>
                          <a:stretch>
                            <a:fillRect/>
                          </a:stretch>
                        </pic:blipFill>
                        <pic:spPr>
                          <a:xfrm rot="0">
                            <a:off x="0" y="0"/>
                            <a:ext cx="5305425" cy="4290695"/>
                          </a:xfrm>
                          <a:prstGeom prst="rect"/>
                          <a:noFill/>
                          <a:ln w="9525" cmpd="sng" cap="flat">
                            <a:noFill/>
                            <a:prstDash val="solid"/>
                            <a:round/>
                          </a:ln>
                        </pic:spPr>
                      </pic:pic>
                    </a:graphicData>
                  </a:graphic>
                </wp:inline>
              </w:drawing>
            </w:r>
          </w:p>
          <w:p>
            <w:pPr>
              <w:bidi w:val="0"/>
              <w:spacing w:line="360" w:lineRule="auto"/>
              <w:jc w:val="center"/>
              <w:rPr>
                <w:rFonts w:cs="Times New Roman" w:hint="eastAsia"/>
                <w:b/>
                <w:bCs/>
                <w:color w:val="auto"/>
                <w:sz w:val="21"/>
                <w:szCs w:val="21"/>
                <w:lang w:val="en-US" w:eastAsia="zh-CN"/>
              </w:rPr>
            </w:pPr>
            <w:r>
              <w:rPr>
                <w:rFonts w:cs="Times New Roman" w:hint="eastAsia"/>
                <w:b/>
                <w:bCs/>
                <w:color w:val="auto"/>
                <w:sz w:val="21"/>
                <w:szCs w:val="21"/>
                <w:lang w:val="en-US" w:eastAsia="zh-CN"/>
              </w:rPr>
              <w:t>图1-3 生态环境分区管控符合性分析查询结果</w:t>
            </w:r>
          </w:p>
          <w:p>
            <w:pPr>
              <w:bidi w:val="0"/>
              <w:spacing w:line="360" w:lineRule="auto"/>
              <w:ind w:left="0" w:firstLineChars="200" w:firstLine="480"/>
              <w:jc w:val="both"/>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由表1-6可知，项目所在地为工业重点管控单元（管控单元名称：大英县工业集中发展区（含经开区），管控单元编号：ZH51092320002），项目与管控单元相对位置如下图所示（图中表示项目位置）。</w:t>
            </w:r>
          </w:p>
          <w:p>
            <w:pPr>
              <w:bidi w:val="0"/>
              <w:spacing w:line="360" w:lineRule="auto"/>
              <w:jc w:val="both"/>
              <w:rPr>
                <w:rFonts w:ascii="Helvetica" w:eastAsia="Helvetica" w:hAnsi="Helvetica"/>
                <w:b w:val="0"/>
                <w:bCs w:val="0"/>
                <w:sz w:val="24"/>
                <w:szCs w:val="24"/>
                <w:lang w:val="en-US"/>
              </w:rPr>
            </w:pPr>
          </w:p>
          <w:p>
            <w:pPr>
              <w:bidi w:val="0"/>
              <w:spacing w:line="360" w:lineRule="auto"/>
              <w:jc w:val="center"/>
              <w:rPr>
                <w:rFonts w:ascii="Helvetica" w:eastAsia="Helvetica" w:hAnsi="Helvetica"/>
                <w:sz w:val="28"/>
                <w:szCs w:val="24"/>
              </w:rPr>
            </w:pPr>
            <w:r>
              <w:rPr>
                <w:rFonts w:ascii="Helvetica" w:eastAsia="Helvetica" w:hAnsi="Helvetica"/>
                <w:sz w:val="28"/>
                <w:szCs w:val="24"/>
              </w:rPr>
              <w:drawing>
                <wp:inline distT="0" distB="0" distL="114300" distR="114300">
                  <wp:extent cx="5335904" cy="3773170"/>
                  <wp:effectExtent l="0" t="1" r="14" b="7"/>
                  <wp:docPr id="27" name="图片 5"/>
                  <wp:cNvGraphicFramePr>
                    <a:graphicFrameLocks noChangeAspect="1"/>
                  </wp:cNvGraphicFramePr>
                  <a:graphic>
                    <a:graphicData uri="http://schemas.openxmlformats.org/drawingml/2006/picture">
                      <pic:pic>
                        <pic:nvPicPr>
                          <pic:cNvPr id="29" name="图片 5 29"/>
                          <pic:cNvPicPr/>
                        </pic:nvPicPr>
                        <pic:blipFill>
                          <a:blip r:embed="rId12"/>
                          <a:stretch>
                            <a:fillRect/>
                          </a:stretch>
                        </pic:blipFill>
                        <pic:spPr>
                          <a:xfrm rot="0">
                            <a:off x="0" y="0"/>
                            <a:ext cx="5335904" cy="3773170"/>
                          </a:xfrm>
                          <a:prstGeom prst="rect"/>
                          <a:noFill/>
                          <a:ln w="9525" cmpd="sng" cap="flat">
                            <a:noFill/>
                            <a:prstDash val="solid"/>
                            <a:round/>
                          </a:ln>
                        </pic:spPr>
                      </pic:pic>
                    </a:graphicData>
                  </a:graphic>
                </wp:inline>
              </w:drawing>
            </w:r>
          </w:p>
          <w:p>
            <w:pPr>
              <w:bidi w:val="0"/>
              <w:spacing w:line="360" w:lineRule="auto"/>
              <w:jc w:val="center"/>
              <w:rPr>
                <w:rFonts w:cs="Times New Roman" w:hint="eastAsia"/>
                <w:b w:val="0"/>
                <w:bCs w:val="0"/>
                <w:color w:val="auto"/>
                <w:sz w:val="24"/>
                <w:szCs w:val="24"/>
                <w:lang w:val="en-US" w:eastAsia="zh-CN"/>
              </w:rPr>
            </w:pPr>
            <w:r>
              <w:rPr>
                <w:rFonts w:cs="Times New Roman" w:hint="eastAsia"/>
                <w:b/>
                <w:bCs/>
                <w:color w:val="auto"/>
                <w:sz w:val="21"/>
                <w:szCs w:val="21"/>
                <w:lang w:val="en-US" w:eastAsia="zh-CN"/>
              </w:rPr>
              <w:t xml:space="preserve">图1-4 </w:t>
            </w:r>
            <w:r>
              <w:rPr>
                <w:rFonts w:ascii="Times New Roman" w:eastAsia="宋体" w:cs="Times New Roman" w:hAnsi="Times New Roman"/>
                <w:b/>
                <w:bCs/>
                <w:color w:val="auto"/>
                <w:sz w:val="21"/>
                <w:szCs w:val="21"/>
              </w:rPr>
              <w:t>项目与管控单元相对位置如下图</w:t>
            </w:r>
          </w:p>
          <w:p>
            <w:pPr>
              <w:numPr>
                <w:ilvl w:val="0"/>
                <w:numId w:val="6"/>
              </w:numPr>
              <w:bidi w:val="0"/>
              <w:spacing w:line="360" w:lineRule="auto"/>
              <w:ind w:left="0" w:firstLineChars="200" w:firstLine="480"/>
              <w:jc w:val="both"/>
              <w:rPr>
                <w:rFonts w:cs="Times New Roman" w:hint="eastAsia"/>
                <w:b/>
                <w:bCs/>
                <w:color w:val="auto"/>
                <w:sz w:val="24"/>
                <w:szCs w:val="24"/>
                <w:lang w:val="en-US" w:eastAsia="zh-CN"/>
              </w:rPr>
            </w:pPr>
            <w:r>
              <w:rPr>
                <w:rFonts w:cs="Times New Roman" w:hint="eastAsia"/>
                <w:b/>
                <w:bCs/>
                <w:color w:val="auto"/>
                <w:sz w:val="24"/>
                <w:szCs w:val="24"/>
                <w:lang w:val="en-US" w:eastAsia="zh-CN"/>
              </w:rPr>
              <w:t>生态环境分区管控符合性</w:t>
            </w:r>
          </w:p>
          <w:p>
            <w:pPr>
              <w:bidi w:val="0"/>
              <w:spacing w:line="360" w:lineRule="auto"/>
              <w:ind w:left="0" w:firstLineChars="200" w:firstLine="480"/>
              <w:jc w:val="both"/>
              <w:rPr>
                <w:rFonts w:ascii="Times New Roman" w:eastAsia="宋体" w:cs="Times New Roman" w:hAnsi="Times New Roman"/>
                <w:b w:val="0"/>
                <w:bCs w:val="0"/>
                <w:color w:val="auto"/>
                <w:sz w:val="24"/>
                <w:szCs w:val="24"/>
                <w:lang w:val="en-US"/>
              </w:rPr>
            </w:pPr>
            <w:r>
              <w:rPr>
                <w:rFonts w:cs="Times New Roman" w:hint="eastAsia"/>
                <w:b w:val="0"/>
                <w:bCs w:val="0"/>
                <w:color w:val="auto"/>
                <w:sz w:val="24"/>
                <w:szCs w:val="24"/>
                <w:lang w:val="en-US" w:eastAsia="zh-CN"/>
              </w:rPr>
              <w:t>根据遂宁市生态环境保护委员会《关于印发遂宁市2023年生态环境分区管控动态更新成果的通知》（遂环委〔2024〕2号），本项目与遂宁市生态环境总体管控要求符合性分析见下表1-7。</w:t>
            </w: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cs="Times New Roman" w:hint="eastAsia"/>
                <w:b/>
                <w:bCs/>
                <w:color w:val="auto"/>
                <w:sz w:val="24"/>
                <w:szCs w:val="24"/>
                <w:lang w:val="en-US" w:eastAsia="zh-CN"/>
              </w:rPr>
            </w:pPr>
          </w:p>
          <w:p>
            <w:pPr>
              <w:bidi w:val="0"/>
              <w:spacing w:line="360" w:lineRule="auto"/>
              <w:jc w:val="both"/>
              <w:rPr>
                <w:rFonts w:ascii="Times New Roman" w:eastAsia="宋体" w:cs="Times New Roman" w:hAnsi="Times New Roman"/>
                <w:color w:val="auto"/>
                <w:sz w:val="24"/>
                <w:szCs w:val="24"/>
                <w:lang w:val="en-US"/>
              </w:rPr>
            </w:pPr>
          </w:p>
        </w:tc>
      </w:tr>
    </w:tbl>
    <w:p>
      <w:pPr>
        <w:tabs>
          <w:tab w:val="left" w:pos="7770"/>
        </w:tabs>
        <w:spacing w:line="360" w:lineRule="auto"/>
        <w:jc w:val="center"/>
        <w:rPr>
          <w:rFonts w:ascii="Times New Roman" w:eastAsia="宋体" w:cs="Times New Roman" w:hAnsi="Times New Roman" w:hint="eastAsia"/>
          <w:b/>
          <w:bCs/>
          <w:color w:val="auto"/>
          <w:sz w:val="28"/>
          <w:szCs w:val="28"/>
          <w:lang w:val="en-US" w:eastAsia="zh-CN"/>
        </w:rPr>
        <w:sectPr>
          <w:headerReference w:type="default" r:id="rId7"/>
          <w:footerReference w:type="default" r:id="rId8"/>
          <w:pgSz w:w="11906" w:h="16838"/>
          <w:pgMar w:top="1587" w:right="1247" w:bottom="1587" w:left="1247" w:header="851" w:footer="992" w:gutter="0"/>
          <w:pgNumType w:start="1"/>
          <w:rtlGutter/>
          <w:docGrid w:type="lines" w:linePitch="312" w:charSpace="0"/>
        </w:sectPr>
      </w:pP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880"/>
      </w:tblGrid>
      <w:tr>
        <w:tc>
          <w:tcPr>
            <w:tcW w:w="13880" w:type="dxa"/>
          </w:tcPr>
          <w:p>
            <w:pPr>
              <w:tabs>
                <w:tab w:val="left" w:pos="7770"/>
              </w:tabs>
              <w:spacing w:line="36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表1-</w:t>
            </w:r>
            <w:r>
              <w:rPr>
                <w:rFonts w:cs="Times New Roman" w:hint="eastAsia"/>
                <w:b/>
                <w:bCs/>
                <w:color w:val="auto"/>
                <w:sz w:val="21"/>
                <w:szCs w:val="21"/>
                <w:vertAlign w:val="baseline"/>
                <w:lang w:val="en-US" w:eastAsia="zh-CN"/>
              </w:rPr>
              <w:t xml:space="preserve">7 </w:t>
            </w:r>
            <w:r>
              <w:rPr>
                <w:rFonts w:ascii="Times New Roman" w:eastAsia="宋体" w:cs="Times New Roman" w:hAnsi="Times New Roman" w:hint="eastAsia"/>
                <w:b/>
                <w:bCs/>
                <w:color w:val="auto"/>
                <w:sz w:val="21"/>
                <w:szCs w:val="21"/>
                <w:vertAlign w:val="baseline"/>
                <w:lang w:val="en-US" w:eastAsia="zh-CN"/>
              </w:rPr>
              <w:t>项目与遂宁市生态环境总体管控要求符合性</w:t>
            </w:r>
          </w:p>
          <w:tbl>
            <w:tblPr>
              <w:jc w:val="left"/>
              <w:tblInd w:w="0" w:type="dx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09"/>
              <w:gridCol w:w="9044"/>
              <w:gridCol w:w="2583"/>
              <w:gridCol w:w="909"/>
            </w:tblGrid>
            <w:tr>
              <w:tc>
                <w:tcPr>
                  <w:tcW w:w="406"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区域</w:t>
                  </w:r>
                </w:p>
              </w:tc>
              <w:tc>
                <w:tcPr>
                  <w:tcW w:w="3312"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总体管控要求</w:t>
                  </w:r>
                </w:p>
              </w:tc>
              <w:tc>
                <w:tcPr>
                  <w:tcW w:w="946"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本项目</w:t>
                  </w:r>
                </w:p>
              </w:tc>
              <w:tc>
                <w:tcPr>
                  <w:tcW w:w="333" w:type="pct"/>
                  <w:vAlign w:val="center"/>
                </w:tcPr>
                <w:p>
                  <w:pPr>
                    <w:bidi w:val="0"/>
                    <w:spacing w:line="240" w:lineRule="auto"/>
                    <w:jc w:val="center"/>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符合性</w:t>
                  </w:r>
                </w:p>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color w:val="auto"/>
                      <w:sz w:val="21"/>
                      <w:szCs w:val="21"/>
                      <w:vertAlign w:val="baseline"/>
                      <w:lang w:eastAsia="zh-CN"/>
                    </w:rPr>
                    <w:t>分析</w:t>
                  </w:r>
                </w:p>
              </w:tc>
            </w:tr>
            <w:tr>
              <w:trPr>
                <w:trHeight w:val="2119"/>
              </w:trPr>
              <w:tc>
                <w:tcPr>
                  <w:tcW w:w="406"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遂宁市</w:t>
                  </w:r>
                </w:p>
              </w:tc>
              <w:tc>
                <w:tcPr>
                  <w:tcW w:w="3312" w:type="pct"/>
                  <w:tcBorders>
                    <w:top w:val="single" w:sz="4" w:space="0" w:color="auto"/>
                    <w:left w:val="single" w:sz="4" w:space="0" w:color="auto"/>
                    <w:right w:val="single" w:sz="4" w:space="0" w:color="auto"/>
                  </w:tcBorders>
                  <w:vAlign w:val="center"/>
                </w:tcPr>
                <w:p>
                  <w:pPr>
                    <w:numPr>
                      <w:ilvl w:val="0"/>
                      <w:numId w:val="7"/>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numPr>
                      <w:ilvl w:val="0"/>
                      <w:numId w:val="7"/>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锂电产业中锂离子电池行业引入，参考执行其行业资源环境绩效指标准入要求。</w:t>
                  </w:r>
                </w:p>
                <w:p>
                  <w:pPr>
                    <w:numPr>
                      <w:ilvl w:val="0"/>
                      <w:numId w:val="7"/>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全市大气污染物排放执行《四川省生态环境厅关于执行大气污染物特别排放限值的公告》相关要求。</w:t>
                  </w:r>
                </w:p>
                <w:p>
                  <w:pPr>
                    <w:numPr>
                      <w:ilvl w:val="0"/>
                      <w:numId w:val="7"/>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强化沿江化工企业与园区的污染治理与风险管控，细化突发环境事件风险管控措施，严控流域型环境风险；严格落实《生态环境部水利部关于建立跨省流域上下游突发水污染事件联防联控机制的指导意见》。</w:t>
                  </w:r>
                </w:p>
                <w:p>
                  <w:pPr>
                    <w:numPr>
                      <w:ilvl w:val="0"/>
                      <w:numId w:val="7"/>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优化中心城区园区布局。</w:t>
                  </w:r>
                </w:p>
                <w:p>
                  <w:pPr>
                    <w:numPr>
                      <w:ilvl w:val="0"/>
                      <w:numId w:val="7"/>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深化成都平原、川南、川东北地区大气污染联防联控工作机制，加强川渝地区联防联控。强化重污染天气区域应急联动机制，深化区域重污染天气联合应对。</w:t>
                  </w:r>
                </w:p>
              </w:tc>
              <w:tc>
                <w:tcPr>
                  <w:tcW w:w="946" w:type="pct"/>
                  <w:tcBorders>
                    <w:top w:val="single" w:sz="4" w:space="0" w:color="auto"/>
                    <w:left w:val="single" w:sz="4" w:space="0" w:color="auto"/>
                    <w:right w:val="single" w:sz="4" w:space="0" w:color="auto"/>
                  </w:tcBorders>
                  <w:vAlign w:val="center"/>
                </w:tcPr>
                <w:p>
                  <w:pPr>
                    <w:spacing w:line="240" w:lineRule="auto"/>
                    <w:rPr>
                      <w:rFonts w:ascii="Times New Roman" w:eastAsia="宋体" w:cs="Times New Roman" w:hAnsi="Times New Roman"/>
                      <w:sz w:val="21"/>
                      <w:szCs w:val="21"/>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eastAsia="zh-CN"/>
                    </w:rPr>
                    <w:t>项目主要进行废旧电器电子产品回收</w:t>
                  </w:r>
                  <w:r>
                    <w:rPr>
                      <w:rFonts w:cs="Times New Roman" w:hint="eastAsia"/>
                      <w:b w:val="0"/>
                      <w:bCs w:val="0"/>
                      <w:color w:val="auto"/>
                      <w:sz w:val="21"/>
                      <w:szCs w:val="21"/>
                      <w:vertAlign w:val="baseline"/>
                      <w:lang w:eastAsia="zh-CN"/>
                    </w:rPr>
                    <w:t>、</w:t>
                  </w:r>
                  <w:r>
                    <w:rPr>
                      <w:rFonts w:ascii="Times New Roman" w:eastAsia="宋体" w:cs="Times New Roman" w:hAnsi="Times New Roman" w:hint="eastAsia"/>
                      <w:b w:val="0"/>
                      <w:bCs w:val="0"/>
                      <w:color w:val="auto"/>
                      <w:sz w:val="21"/>
                      <w:szCs w:val="21"/>
                      <w:vertAlign w:val="baseline"/>
                      <w:lang w:eastAsia="zh-CN"/>
                    </w:rPr>
                    <w:t>检测</w:t>
                  </w:r>
                  <w:r>
                    <w:rPr>
                      <w:rFonts w:cs="Times New Roman" w:hint="eastAsia"/>
                      <w:b w:val="0"/>
                      <w:bCs w:val="0"/>
                      <w:color w:val="auto"/>
                      <w:sz w:val="21"/>
                      <w:szCs w:val="21"/>
                      <w:vertAlign w:val="baseline"/>
                      <w:lang w:eastAsia="zh-CN"/>
                    </w:rPr>
                    <w:t>、</w:t>
                  </w:r>
                  <w:r>
                    <w:rPr>
                      <w:rFonts w:ascii="Times New Roman" w:eastAsia="宋体" w:cs="Times New Roman" w:hAnsi="Times New Roman" w:hint="eastAsia"/>
                      <w:b w:val="0"/>
                      <w:bCs w:val="0"/>
                      <w:color w:val="auto"/>
                      <w:sz w:val="21"/>
                      <w:szCs w:val="21"/>
                      <w:vertAlign w:val="baseline"/>
                      <w:lang w:eastAsia="zh-CN"/>
                    </w:rPr>
                    <w:t>拆解再利用，</w:t>
                  </w:r>
                  <w:r>
                    <w:rPr>
                      <w:rFonts w:ascii="Times New Roman" w:eastAsia="宋体" w:cs="Times New Roman" w:hAnsi="Times New Roman"/>
                      <w:sz w:val="21"/>
                      <w:szCs w:val="21"/>
                    </w:rPr>
                    <w:t>不属于重点重金属污染物排放的建设项目以及有色冶炼、电镀、采选、化工、铅蓄电池制造业、皮革等涉重企业，也不属于锂电产业；大气污染物</w:t>
                  </w:r>
                  <w:r>
                    <w:rPr>
                      <w:rFonts w:ascii="Times New Roman" w:eastAsia="宋体" w:cs="Times New Roman" w:hAnsi="Times New Roman" w:hint="eastAsia"/>
                      <w:sz w:val="21"/>
                      <w:szCs w:val="21"/>
                      <w:lang w:val="en-US" w:eastAsia="zh-CN"/>
                    </w:rPr>
                    <w:t>经收集处理后达标</w:t>
                  </w:r>
                  <w:r>
                    <w:rPr>
                      <w:rFonts w:ascii="Times New Roman" w:eastAsia="宋体" w:cs="Times New Roman" w:hAnsi="Times New Roman"/>
                      <w:sz w:val="21"/>
                      <w:szCs w:val="21"/>
                    </w:rPr>
                    <w:t>排放。</w:t>
                  </w:r>
                </w:p>
              </w:tc>
              <w:tc>
                <w:tcPr>
                  <w:tcW w:w="3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符合</w:t>
                  </w:r>
                </w:p>
              </w:tc>
            </w:tr>
            <w:tr>
              <w:trPr>
                <w:trHeight w:val="90"/>
              </w:trPr>
              <w:tc>
                <w:tcPr>
                  <w:tcW w:w="406"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大英县</w:t>
                  </w:r>
                </w:p>
              </w:tc>
              <w:tc>
                <w:tcPr>
                  <w:tcW w:w="3312" w:type="pct"/>
                  <w:tcBorders>
                    <w:top w:val="single" w:sz="4" w:space="0" w:color="auto"/>
                    <w:left w:val="single" w:sz="4" w:space="0" w:color="auto"/>
                    <w:right w:val="single" w:sz="4" w:space="0" w:color="auto"/>
                  </w:tcBorders>
                  <w:vAlign w:val="center"/>
                </w:tcPr>
                <w:p>
                  <w:pPr>
                    <w:numPr>
                      <w:ilvl w:val="0"/>
                      <w:numId w:val="8"/>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加强郪江流域污染治理、农业面源污染治理，严格控制化肥农药使用量，科学划定禁养区，积极推广畜禽清洁养殖和畜禽粪污无害化、资源化处理技术。</w:t>
                  </w:r>
                </w:p>
                <w:p>
                  <w:pPr>
                    <w:numPr>
                      <w:ilvl w:val="0"/>
                      <w:numId w:val="8"/>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现有涉及五类重金属排放的企业，严控污染物排放。</w:t>
                  </w:r>
                </w:p>
                <w:p>
                  <w:pPr>
                    <w:numPr>
                      <w:ilvl w:val="0"/>
                      <w:numId w:val="8"/>
                    </w:numPr>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加强污染地块环境风险防控管理。</w:t>
                  </w:r>
                </w:p>
              </w:tc>
              <w:tc>
                <w:tcPr>
                  <w:tcW w:w="946" w:type="pct"/>
                  <w:tcBorders>
                    <w:top w:val="single" w:sz="4" w:space="0" w:color="auto"/>
                    <w:left w:val="single" w:sz="4" w:space="0" w:color="auto"/>
                    <w:right w:val="single" w:sz="4" w:space="0" w:color="auto"/>
                  </w:tcBorders>
                  <w:vAlign w:val="center"/>
                </w:tcPr>
                <w:p>
                  <w:pPr>
                    <w:spacing w:line="240" w:lineRule="auto"/>
                    <w:rPr>
                      <w:rFonts w:ascii="Times New Roman" w:eastAsia="宋体" w:cs="Times New Roman" w:hAnsi="Times New Roman"/>
                      <w:sz w:val="21"/>
                      <w:szCs w:val="21"/>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eastAsia="zh-CN"/>
                    </w:rPr>
                    <w:t>项</w:t>
                  </w:r>
                  <w:r>
                    <w:rPr>
                      <w:rFonts w:ascii="Times New Roman" w:eastAsia="宋体" w:cs="Times New Roman" w:hAnsi="Times New Roman"/>
                      <w:sz w:val="21"/>
                      <w:szCs w:val="21"/>
                    </w:rPr>
                    <w:t>目厂界距郪江</w:t>
                  </w:r>
                  <w:r>
                    <w:rPr>
                      <w:rFonts w:ascii="Times New Roman" w:eastAsia="宋体" w:cs="Times New Roman" w:hAnsi="Times New Roman" w:hint="eastAsia"/>
                      <w:sz w:val="21"/>
                      <w:szCs w:val="21"/>
                      <w:lang w:val="en-US" w:eastAsia="zh-CN"/>
                    </w:rPr>
                    <w:t>距离</w:t>
                  </w:r>
                  <w:r>
                    <w:rPr>
                      <w:rFonts w:ascii="Times New Roman" w:eastAsia="宋体" w:cs="Times New Roman" w:hAnsi="Times New Roman"/>
                      <w:sz w:val="21"/>
                      <w:szCs w:val="21"/>
                    </w:rPr>
                    <w:t>约</w:t>
                  </w:r>
                  <w:r>
                    <w:rPr>
                      <w:rFonts w:ascii="Times New Roman" w:eastAsia="宋体" w:cs="Times New Roman" w:hAnsi="Times New Roman" w:hint="eastAsia"/>
                      <w:sz w:val="21"/>
                      <w:szCs w:val="21"/>
                      <w:lang w:val="en-US" w:eastAsia="zh-CN"/>
                    </w:rPr>
                    <w:t>为466</w:t>
                  </w:r>
                  <w:r>
                    <w:rPr>
                      <w:rFonts w:ascii="Times New Roman" w:eastAsia="宋体" w:cs="Times New Roman" w:hAnsi="Times New Roman"/>
                      <w:sz w:val="21"/>
                      <w:szCs w:val="21"/>
                    </w:rPr>
                    <w:t>m，不属于畜禽养殖企业</w:t>
                  </w:r>
                  <w:r>
                    <w:rPr>
                      <w:rFonts w:ascii="Times New Roman" w:eastAsia="宋体" w:cs="Times New Roman" w:hAnsi="Times New Roman" w:hint="eastAsia"/>
                      <w:sz w:val="21"/>
                      <w:szCs w:val="21"/>
                      <w:lang w:eastAsia="zh-CN"/>
                    </w:rPr>
                    <w:t>，</w:t>
                  </w:r>
                  <w:r>
                    <w:rPr>
                      <w:rFonts w:ascii="Times New Roman" w:eastAsia="宋体" w:cs="Times New Roman" w:hAnsi="Times New Roman"/>
                      <w:sz w:val="21"/>
                      <w:szCs w:val="21"/>
                    </w:rPr>
                    <w:t>不涉及五类重金属排放</w:t>
                  </w:r>
                  <w:r>
                    <w:rPr>
                      <w:rFonts w:ascii="Times New Roman" w:eastAsia="宋体" w:cs="Times New Roman" w:hAnsi="Times New Roman" w:hint="eastAsia"/>
                      <w:sz w:val="21"/>
                      <w:szCs w:val="21"/>
                      <w:lang w:eastAsia="zh-CN"/>
                    </w:rPr>
                    <w:t>；</w:t>
                  </w:r>
                  <w:r>
                    <w:rPr>
                      <w:rFonts w:ascii="Times New Roman" w:eastAsia="宋体" w:cs="Times New Roman" w:hAnsi="Times New Roman"/>
                      <w:sz w:val="21"/>
                      <w:szCs w:val="21"/>
                    </w:rPr>
                    <w:t>拟建地块未列入污染地块。</w:t>
                  </w:r>
                </w:p>
              </w:tc>
              <w:tc>
                <w:tcPr>
                  <w:tcW w:w="3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符合</w:t>
                  </w:r>
                </w:p>
              </w:tc>
            </w:tr>
          </w:tbl>
          <w:p>
            <w:pPr>
              <w:tabs>
                <w:tab w:val="left" w:pos="7770"/>
              </w:tabs>
              <w:spacing w:line="360" w:lineRule="auto"/>
              <w:jc w:val="center"/>
              <w:rPr>
                <w:rFonts w:ascii="Times New Roman" w:eastAsia="宋体" w:cs="Times New Roman" w:hAnsi="Times New Roman" w:hint="eastAsia"/>
                <w:b/>
                <w:bCs/>
                <w:color w:val="auto"/>
                <w:sz w:val="28"/>
                <w:szCs w:val="28"/>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表1-</w:t>
            </w:r>
            <w:r>
              <w:rPr>
                <w:rFonts w:cs="Times New Roman" w:hint="eastAsia"/>
                <w:b/>
                <w:bCs/>
                <w:color w:val="auto"/>
                <w:sz w:val="21"/>
                <w:szCs w:val="21"/>
                <w:vertAlign w:val="baseline"/>
                <w:lang w:val="en-US" w:eastAsia="zh-CN"/>
              </w:rPr>
              <w:t xml:space="preserve">8 </w:t>
            </w:r>
            <w:r>
              <w:rPr>
                <w:rFonts w:ascii="Times New Roman" w:eastAsia="宋体" w:cs="Times New Roman" w:hAnsi="Times New Roman" w:hint="eastAsia"/>
                <w:b/>
                <w:bCs/>
                <w:color w:val="auto"/>
                <w:sz w:val="21"/>
                <w:szCs w:val="21"/>
                <w:vertAlign w:val="baseline"/>
                <w:lang w:val="en-US" w:eastAsia="zh-CN"/>
              </w:rPr>
              <w:t>项目与生态环境分区管控要求的符合性</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08"/>
              <w:gridCol w:w="1059"/>
              <w:gridCol w:w="1365"/>
              <w:gridCol w:w="6630"/>
              <w:gridCol w:w="2571"/>
              <w:gridCol w:w="906"/>
            </w:tblGrid>
            <w:tr>
              <w:trPr>
                <w:trHeight w:val="90"/>
              </w:trPr>
              <w:tc>
                <w:tcPr>
                  <w:tcW w:w="406" w:type="pct"/>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环境管控单元编码</w:t>
                  </w:r>
                </w:p>
              </w:tc>
              <w:tc>
                <w:tcPr>
                  <w:tcW w:w="388" w:type="pct"/>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环境管控单元名称</w:t>
                  </w:r>
                </w:p>
              </w:tc>
              <w:tc>
                <w:tcPr>
                  <w:tcW w:w="2929" w:type="pct"/>
                  <w:gridSpan w:val="2"/>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遂宁市普适性清单</w:t>
                  </w:r>
                </w:p>
              </w:tc>
              <w:tc>
                <w:tcPr>
                  <w:tcW w:w="942" w:type="pct"/>
                  <w:noWrap/>
                  <w:vAlign w:val="center"/>
                </w:tcPr>
                <w:p>
                  <w:pPr>
                    <w:bidi w:val="0"/>
                    <w:spacing w:line="240" w:lineRule="auto"/>
                    <w:ind w:left="0" w:firstLine="0"/>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项目对应情况介绍</w:t>
                  </w:r>
                </w:p>
              </w:tc>
              <w:tc>
                <w:tcPr>
                  <w:tcW w:w="332"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符合性</w:t>
                  </w:r>
                </w:p>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分析</w:t>
                  </w:r>
                </w:p>
              </w:tc>
            </w:tr>
            <w:tr>
              <w:trPr>
                <w:trHeight w:val="90"/>
              </w:trPr>
              <w:tc>
                <w:tcPr>
                  <w:tcW w:w="406" w:type="pct"/>
                  <w:vMerge w:val="restar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ZH51092320002</w:t>
                  </w:r>
                </w:p>
              </w:tc>
              <w:tc>
                <w:tcPr>
                  <w:tcW w:w="388" w:type="pct"/>
                  <w:vMerge w:val="restar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大英县工业集中发展区</w:t>
                  </w:r>
                  <w:r>
                    <w:rPr>
                      <w:rStyle w:val="15Char"/>
                      <w:rFonts w:ascii="Times New Roman" w:eastAsia="宋体" w:cs="Times New Roman" w:hAnsi="Times New Roman" w:hint="eastAsia"/>
                      <w:kern w:val="2"/>
                      <w:sz w:val="21"/>
                      <w:szCs w:val="21"/>
                      <w:lang w:val="en-US" w:eastAsia="zh-CN" w:bidi="ar-SA"/>
                    </w:rPr>
                    <w:t>（</w:t>
                  </w:r>
                  <w:r>
                    <w:rPr>
                      <w:rStyle w:val="15Char"/>
                      <w:rFonts w:ascii="Times New Roman" w:eastAsia="宋体" w:cs="Times New Roman" w:hAnsi="Times New Roman"/>
                      <w:kern w:val="2"/>
                      <w:sz w:val="21"/>
                      <w:szCs w:val="21"/>
                      <w:lang w:val="en-US" w:eastAsia="zh-CN" w:bidi="ar-SA"/>
                    </w:rPr>
                    <w:t>含经开区</w:t>
                  </w:r>
                  <w:r>
                    <w:rPr>
                      <w:rStyle w:val="15Char"/>
                      <w:rFonts w:ascii="Times New Roman" w:eastAsia="宋体" w:cs="Times New Roman" w:hAnsi="Times New Roman" w:hint="eastAsia"/>
                      <w:kern w:val="2"/>
                      <w:sz w:val="21"/>
                      <w:szCs w:val="21"/>
                      <w:lang w:val="en-US" w:eastAsia="zh-CN" w:bidi="ar-SA"/>
                    </w:rPr>
                    <w:t>）</w:t>
                  </w:r>
                </w:p>
              </w:tc>
              <w:tc>
                <w:tcPr>
                  <w:tcW w:w="2929" w:type="pct"/>
                  <w:gridSpan w:val="2"/>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空间布局约束：</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禁止开发建设活动的要求</w:t>
                  </w:r>
                </w:p>
                <w:p>
                  <w:pPr>
                    <w:numPr>
                      <w:ilvl w:val="0"/>
                      <w:numId w:val="9"/>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禁止引入不符合园区用地性质或产业规划的工业企业。</w:t>
                  </w:r>
                </w:p>
                <w:p>
                  <w:pPr>
                    <w:numPr>
                      <w:ilvl w:val="0"/>
                      <w:numId w:val="9"/>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禁止在长江干支流岸线一公里范围内新建、扩建化工园区和化工项目。</w:t>
                  </w:r>
                </w:p>
                <w:p>
                  <w:pPr>
                    <w:numPr>
                      <w:ilvl w:val="0"/>
                      <w:numId w:val="9"/>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禁止在长江流域河湖管理范围内倾倒、填埋、堆放、弃置、处理固体废物。</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限制开发建设活动的要求</w:t>
                  </w:r>
                </w:p>
                <w:p>
                  <w:pPr>
                    <w:numPr>
                      <w:ilvl w:val="0"/>
                      <w:numId w:val="10"/>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严控新建、扩建“两高”项目，对现存企业执行最严格排放标准和总量控制要求。</w:t>
                  </w:r>
                </w:p>
                <w:p>
                  <w:pPr>
                    <w:numPr>
                      <w:ilvl w:val="0"/>
                      <w:numId w:val="10"/>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长江干流及主要支流1公里范围内，严控新建石油化工、煤化工、涉磷、造纸、印染、制革等项目。</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现有属于禁止引入产业门类的企业，应按相关规定限期整治或退出。</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其他空间布局约束要求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暂无</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污染物排放管控：</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允许排放量要求</w:t>
                  </w:r>
                  <w:r>
                    <w:rPr>
                      <w:rFonts w:cs="Times New Roman" w:hint="eastAsia"/>
                      <w:b w:val="0"/>
                      <w:bCs w:val="0"/>
                      <w:color w:val="auto"/>
                      <w:sz w:val="21"/>
                      <w:szCs w:val="21"/>
                      <w:vertAlign w:val="baseline"/>
                      <w:lang w:val="en-US" w:eastAsia="zh-CN"/>
                    </w:rPr>
                    <w:t>：</w:t>
                  </w:r>
                  <w:r>
                    <w:rPr>
                      <w:rFonts w:ascii="Times New Roman" w:eastAsia="宋体" w:cs="Times New Roman" w:hAnsi="Times New Roman" w:hint="eastAsia"/>
                      <w:b w:val="0"/>
                      <w:bCs w:val="0"/>
                      <w:color w:val="auto"/>
                      <w:sz w:val="21"/>
                      <w:szCs w:val="21"/>
                      <w:vertAlign w:val="baseline"/>
                      <w:lang w:val="en-US" w:eastAsia="zh-CN"/>
                    </w:rPr>
                    <w:t>暂无</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现有源提标升级改造</w:t>
                  </w:r>
                </w:p>
                <w:p>
                  <w:pPr>
                    <w:numPr>
                      <w:ilvl w:val="0"/>
                      <w:numId w:val="11"/>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污水收集处理率达100%。</w:t>
                  </w:r>
                </w:p>
                <w:p>
                  <w:pPr>
                    <w:numPr>
                      <w:ilvl w:val="0"/>
                      <w:numId w:val="11"/>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园区污水处理厂达《城镇污水处理厂污染物排放标准》一级A标或更高标准。</w:t>
                  </w:r>
                </w:p>
                <w:p>
                  <w:pPr>
                    <w:numPr>
                      <w:ilvl w:val="0"/>
                      <w:numId w:val="11"/>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加快推进危险化学品生产企业搬迁改造工程。</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其他污染物排放管控要求</w:t>
                  </w:r>
                </w:p>
                <w:p>
                  <w:pPr>
                    <w:numPr>
                      <w:ilvl w:val="0"/>
                      <w:numId w:val="1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ascii="Times New Roman" w:eastAsia="宋体" w:cs="Times New Roman" w:hAnsi="Times New Roman" w:hint="eastAsia"/>
                      <w:b w:val="0"/>
                      <w:bCs w:val="0"/>
                      <w:color w:val="auto"/>
                      <w:sz w:val="21"/>
                      <w:szCs w:val="21"/>
                      <w:vertAlign w:val="subscript"/>
                      <w:lang w:val="en-US" w:eastAsia="zh-CN"/>
                    </w:rPr>
                    <w:t>2</w:t>
                  </w:r>
                  <w:r>
                    <w:rPr>
                      <w:rFonts w:ascii="Times New Roman" w:eastAsia="宋体" w:cs="Times New Roman" w:hAnsi="Times New Roman" w:hint="eastAsia"/>
                      <w:b w:val="0"/>
                      <w:bCs w:val="0"/>
                      <w:color w:val="auto"/>
                      <w:sz w:val="21"/>
                      <w:szCs w:val="21"/>
                      <w:vertAlign w:val="baseline"/>
                      <w:lang w:val="en-US" w:eastAsia="zh-CN"/>
                    </w:rPr>
                    <w:t>、工业烟粉尘</w:t>
                  </w:r>
                  <w:r>
                    <w:rPr>
                      <w:rFonts w:ascii="Times New Roman" w:cs="Times New Roman" w:hAnsi="Times New Roman" w:hint="eastAsia"/>
                      <w:b w:val="0"/>
                      <w:bCs w:val="0"/>
                      <w:color w:val="auto"/>
                      <w:sz w:val="21"/>
                      <w:szCs w:val="21"/>
                      <w:vertAlign w:val="baseline"/>
                      <w:lang w:val="en-US" w:eastAsia="zh-CN"/>
                    </w:rPr>
                    <w:t>、</w:t>
                  </w:r>
                  <w:r>
                    <w:rPr>
                      <w:rFonts w:ascii="Times New Roman" w:eastAsia="宋体" w:cs="Times New Roman" w:hAnsi="Times New Roman" w:hint="eastAsia"/>
                      <w:b w:val="0"/>
                      <w:bCs w:val="0"/>
                      <w:color w:val="auto"/>
                      <w:sz w:val="21"/>
                      <w:szCs w:val="21"/>
                      <w:vertAlign w:val="baseline"/>
                      <w:lang w:val="en-US" w:eastAsia="zh-CN"/>
                    </w:rPr>
                    <w:t>NO</w:t>
                  </w:r>
                  <w:r>
                    <w:rPr>
                      <w:rFonts w:cs="Times New Roman" w:hint="eastAsia"/>
                      <w:b w:val="0"/>
                      <w:bCs w:val="0"/>
                      <w:color w:val="auto"/>
                      <w:sz w:val="21"/>
                      <w:szCs w:val="21"/>
                      <w:vertAlign w:val="subscript"/>
                      <w:lang w:val="en-US" w:eastAsia="zh-CN"/>
                    </w:rPr>
                    <w:t>X</w:t>
                  </w:r>
                  <w:r>
                    <w:rPr>
                      <w:rFonts w:ascii="Times New Roman" w:eastAsia="宋体" w:cs="Times New Roman" w:hAnsi="Times New Roman" w:hint="eastAsia"/>
                      <w:b w:val="0"/>
                      <w:bCs w:val="0"/>
                      <w:color w:val="auto"/>
                      <w:sz w:val="21"/>
                      <w:szCs w:val="21"/>
                      <w:vertAlign w:val="baseline"/>
                      <w:lang w:val="en-US" w:eastAsia="zh-CN"/>
                    </w:rPr>
                    <w:t>和VOCs的项目实施现役源2倍削减量替代，其中射洪市执行1.5倍削减量替代。</w:t>
                  </w:r>
                </w:p>
                <w:p>
                  <w:pPr>
                    <w:numPr>
                      <w:ilvl w:val="0"/>
                      <w:numId w:val="1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新增源排放标准限值：对于国家排放标准中已规定大气污染物特别排放限值或特别控制要求的行业以及锅炉，新建企业（项目）执行《四川省生态环境厅关于执行大气污染物特别排放限值的公告》</w:t>
                  </w:r>
                  <w:r>
                    <w:rPr>
                      <w:rFonts w:ascii="Times New Roman" w:eastAsia="宋体" w:cs="Times New Roman" w:hAnsi="Times New Roman"/>
                      <w:color w:val="auto"/>
                      <w:sz w:val="21"/>
                      <w:szCs w:val="21"/>
                    </w:rPr>
                    <w:t>〔</w:t>
                  </w:r>
                  <w:r>
                    <w:rPr>
                      <w:rFonts w:ascii="Times New Roman" w:eastAsia="宋体" w:cs="Times New Roman" w:hAnsi="Times New Roman" w:hint="eastAsia"/>
                      <w:b w:val="0"/>
                      <w:bCs w:val="0"/>
                      <w:color w:val="auto"/>
                      <w:sz w:val="21"/>
                      <w:szCs w:val="21"/>
                      <w:vertAlign w:val="baseline"/>
                      <w:lang w:val="en-US" w:eastAsia="zh-CN"/>
                    </w:rPr>
                    <w:t>2020年第2号</w:t>
                  </w:r>
                  <w:r>
                    <w:rPr>
                      <w:rFonts w:ascii="Times New Roman" w:eastAsia="宋体" w:cs="Times New Roman" w:hAnsi="Times New Roman"/>
                      <w:color w:val="auto"/>
                      <w:sz w:val="21"/>
                      <w:szCs w:val="21"/>
                    </w:rPr>
                    <w:t>〕</w:t>
                  </w:r>
                  <w:r>
                    <w:rPr>
                      <w:rFonts w:ascii="Times New Roman" w:eastAsia="宋体" w:cs="Times New Roman" w:hAnsi="Times New Roman" w:hint="eastAsia"/>
                      <w:b w:val="0"/>
                      <w:bCs w:val="0"/>
                      <w:color w:val="auto"/>
                      <w:sz w:val="21"/>
                      <w:szCs w:val="21"/>
                      <w:vertAlign w:val="baseline"/>
                      <w:lang w:val="en-US" w:eastAsia="zh-CN"/>
                    </w:rPr>
                    <w:t>中相应标准颗粒物、二氧化硫、氮氧化物和挥发性有机物特别排放限值和特别控制要求。</w:t>
                  </w:r>
                </w:p>
                <w:p>
                  <w:pPr>
                    <w:numPr>
                      <w:ilvl w:val="0"/>
                      <w:numId w:val="1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环境风险防控：</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联防联控要求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其他环境风险防控要求</w:t>
                  </w:r>
                </w:p>
                <w:p>
                  <w:pPr>
                    <w:numPr>
                      <w:ilvl w:val="0"/>
                      <w:numId w:val="13"/>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企业环境风险防控要求：涉及有毒有害、易燃易爆物质的新建、改扩建项目，严控准入要求。</w:t>
                  </w:r>
                </w:p>
                <w:p>
                  <w:pPr>
                    <w:numPr>
                      <w:ilvl w:val="0"/>
                      <w:numId w:val="13"/>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园区环境风险防控要求：构建三级环境风险防控体系，强化危化品泄漏应急处置措施，确保风险可控。针对化工园区进一步强化风险防控。</w:t>
                  </w:r>
                </w:p>
                <w:p>
                  <w:pPr>
                    <w:numPr>
                      <w:ilvl w:val="0"/>
                      <w:numId w:val="13"/>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用地环境风险防控要求：化工、电镀等行业企业拆除生产设施设备、构筑物和污染治理设施，要事先制定残留污染物清理和安全处置方案，要严格按照有关规定实施安全处理处置，防范拆除活动污染土壤。</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资源开发利用效率要求：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水资源利用总量要求</w:t>
                  </w:r>
                </w:p>
                <w:p>
                  <w:pPr>
                    <w:numPr>
                      <w:ilvl w:val="0"/>
                      <w:numId w:val="14"/>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到2025年，万元工业增加值用水量下降到32.0m</w:t>
                  </w:r>
                  <w:r>
                    <w:rPr>
                      <w:rFonts w:ascii="Times New Roman" w:eastAsia="宋体" w:cs="Times New Roman" w:hAnsi="Times New Roman" w:hint="eastAsia"/>
                      <w:b w:val="0"/>
                      <w:bCs w:val="0"/>
                      <w:color w:val="auto"/>
                      <w:sz w:val="21"/>
                      <w:szCs w:val="21"/>
                      <w:vertAlign w:val="superscript"/>
                      <w:lang w:val="en-US" w:eastAsia="zh-CN"/>
                    </w:rPr>
                    <w:t>3</w:t>
                  </w:r>
                  <w:r>
                    <w:rPr>
                      <w:rFonts w:ascii="Times New Roman" w:eastAsia="宋体" w:cs="Times New Roman" w:hAnsi="Times New Roman" w:hint="eastAsia"/>
                      <w:b w:val="0"/>
                      <w:bCs w:val="0"/>
                      <w:color w:val="auto"/>
                      <w:sz w:val="21"/>
                      <w:szCs w:val="21"/>
                      <w:vertAlign w:val="baseline"/>
                      <w:lang w:val="en-US" w:eastAsia="zh-CN"/>
                    </w:rPr>
                    <w:t>万元，重复利用率提高到84%；</w:t>
                  </w:r>
                </w:p>
                <w:p>
                  <w:pPr>
                    <w:numPr>
                      <w:ilvl w:val="0"/>
                      <w:numId w:val="14"/>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至2030年，万元工业增加值用水量进一步减少为28.0m</w:t>
                  </w:r>
                  <w:r>
                    <w:rPr>
                      <w:rFonts w:ascii="Times New Roman" w:eastAsia="宋体" w:cs="Times New Roman" w:hAnsi="Times New Roman" w:hint="eastAsia"/>
                      <w:b w:val="0"/>
                      <w:bCs w:val="0"/>
                      <w:color w:val="auto"/>
                      <w:sz w:val="21"/>
                      <w:szCs w:val="21"/>
                      <w:vertAlign w:val="superscript"/>
                      <w:lang w:val="en-US" w:eastAsia="zh-CN"/>
                    </w:rPr>
                    <w:t>3</w:t>
                  </w:r>
                  <w:r>
                    <w:rPr>
                      <w:rFonts w:ascii="Times New Roman" w:eastAsia="宋体" w:cs="Times New Roman" w:hAnsi="Times New Roman" w:hint="eastAsia"/>
                      <w:b w:val="0"/>
                      <w:bCs w:val="0"/>
                      <w:color w:val="auto"/>
                      <w:sz w:val="21"/>
                      <w:szCs w:val="21"/>
                      <w:vertAlign w:val="baseline"/>
                      <w:lang w:val="en-US" w:eastAsia="zh-CN"/>
                    </w:rPr>
                    <w:t>万元，重复利用率提高到85%；</w:t>
                  </w:r>
                </w:p>
                <w:p>
                  <w:pPr>
                    <w:numPr>
                      <w:ilvl w:val="0"/>
                      <w:numId w:val="14"/>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新、改扩建项目水耗指标满足《四川省省级生态工业园区指标》综合类生态工业园区要求。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地下水开采要求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全面建设节水型社会，达到合理高效用水。</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能源利用总量及效率要求</w:t>
                  </w:r>
                </w:p>
                <w:p>
                  <w:pPr>
                    <w:numPr>
                      <w:ilvl w:val="0"/>
                      <w:numId w:val="1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扩大高污染燃料禁燃区范围，在市、县（区）、镇（乡）建成区全面实施“煤改气”“煤改电”。</w:t>
                  </w:r>
                </w:p>
                <w:p>
                  <w:pPr>
                    <w:numPr>
                      <w:ilvl w:val="0"/>
                      <w:numId w:val="1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新、改扩建项目能耗指标满足《四川省省级生态工业园区指标》综合类生态工业园区要求。</w:t>
                  </w:r>
                </w:p>
                <w:p>
                  <w:pPr>
                    <w:numPr>
                      <w:ilvl w:val="0"/>
                      <w:numId w:val="1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实施新建项目与煤炭消费总量控制挂钩机制，耗煤建设项目实行煤炭消耗等量减量替代。</w:t>
                  </w:r>
                </w:p>
                <w:p>
                  <w:pPr>
                    <w:numPr>
                      <w:ilvl w:val="0"/>
                      <w:numId w:val="1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提高煤炭利用效率和天然气利用占比，工业领域有序推进“煤改电”和“煤改气”。</w:t>
                  </w:r>
                </w:p>
                <w:p>
                  <w:pPr>
                    <w:numPr>
                      <w:ilvl w:val="0"/>
                      <w:numId w:val="1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到2030年，能源消费总量控制在1000万吨标准煤以内。</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禁燃区要求</w:t>
                  </w:r>
                </w:p>
                <w:p>
                  <w:pPr>
                    <w:numPr>
                      <w:ilvl w:val="0"/>
                      <w:numId w:val="16"/>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禁燃区内禁止燃烧以下高污染燃料：</w:t>
                  </w:r>
                </w:p>
                <w:p>
                  <w:pPr>
                    <w:numPr>
                      <w:ilvl w:val="0"/>
                      <w:numId w:val="17"/>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煤炭及其制品（包括原煤、散煤、煤矸石、煤泥、煤 粉、水浆煤、型煤、焦炭、兰炭、油类等常规燃料）。</w:t>
                  </w:r>
                </w:p>
                <w:p>
                  <w:pPr>
                    <w:numPr>
                      <w:ilvl w:val="0"/>
                      <w:numId w:val="17"/>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石油焦、油页岩、原油、重油、渣油、煤焦油。</w:t>
                  </w:r>
                </w:p>
                <w:p>
                  <w:pPr>
                    <w:numPr>
                      <w:ilvl w:val="0"/>
                      <w:numId w:val="17"/>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非专用锅炉或未配置高效除尘设施的专用锅炉燃用的 生物质成型燃料。</w:t>
                  </w:r>
                </w:p>
                <w:p>
                  <w:pPr>
                    <w:numPr>
                      <w:ilvl w:val="0"/>
                      <w:numId w:val="16"/>
                    </w:num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禁燃区内禁止新建、扩建燃用高污染燃料的锅炉、炉窑、 炉灶等燃烧设施（集中供热、电厂锅炉除外）。</w:t>
                  </w:r>
                </w:p>
                <w:p>
                  <w:pPr>
                    <w:numPr>
                      <w:ilvl w:val="0"/>
                      <w:numId w:val="16"/>
                    </w:num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自2020年1月1日起，禁燃区内禁止销售高污染燃料。</w:t>
                  </w:r>
                </w:p>
                <w:p>
                  <w:pPr>
                    <w:numPr>
                      <w:ilvl w:val="0"/>
                      <w:numId w:val="16"/>
                    </w:num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其他资源利用效率要求</w:t>
                  </w:r>
                </w:p>
                <w:p>
                  <w:p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暂无</w:t>
                  </w:r>
                </w:p>
              </w:tc>
              <w:tc>
                <w:tcPr>
                  <w:tcW w:w="942" w:type="pct"/>
                  <w:tcBorders>
                    <w:top w:val="single" w:sz="4" w:space="0" w:color="auto"/>
                    <w:left w:val="single" w:sz="4" w:space="0" w:color="auto"/>
                    <w:right w:val="single" w:sz="4" w:space="0" w:color="auto"/>
                  </w:tcBorders>
                  <w:noWrap/>
                  <w:vAlign w:val="center"/>
                </w:tcPr>
                <w:p>
                  <w:pPr>
                    <w:bidi w:val="0"/>
                    <w:spacing w:line="240" w:lineRule="auto"/>
                    <w:ind w:left="0" w:firstLine="0"/>
                    <w:jc w:val="both"/>
                    <w:rPr>
                      <w:rFonts w:ascii="Times New Roman" w:eastAsia="宋体" w:cs="Times New Roman" w:hAnsi="Times New Roman"/>
                      <w:b w:val="0"/>
                      <w:bCs w:val="0"/>
                      <w:color w:val="auto"/>
                      <w:sz w:val="21"/>
                      <w:szCs w:val="21"/>
                      <w:vertAlign w:val="baseline"/>
                      <w:lang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eastAsia="zh-CN"/>
                    </w:rPr>
                    <w:t>项目主要进行废旧电器电子产品回收</w:t>
                  </w:r>
                  <w:r>
                    <w:rPr>
                      <w:rFonts w:cs="Times New Roman" w:hint="eastAsia"/>
                      <w:b w:val="0"/>
                      <w:bCs w:val="0"/>
                      <w:color w:val="auto"/>
                      <w:sz w:val="21"/>
                      <w:szCs w:val="21"/>
                      <w:vertAlign w:val="baseline"/>
                      <w:lang w:eastAsia="zh-CN"/>
                    </w:rPr>
                    <w:t>、</w:t>
                  </w:r>
                  <w:r>
                    <w:rPr>
                      <w:rFonts w:ascii="Times New Roman" w:eastAsia="宋体" w:cs="Times New Roman" w:hAnsi="Times New Roman" w:hint="eastAsia"/>
                      <w:b w:val="0"/>
                      <w:bCs w:val="0"/>
                      <w:color w:val="auto"/>
                      <w:sz w:val="21"/>
                      <w:szCs w:val="21"/>
                      <w:vertAlign w:val="baseline"/>
                      <w:lang w:eastAsia="zh-CN"/>
                    </w:rPr>
                    <w:t>检测</w:t>
                  </w:r>
                  <w:r>
                    <w:rPr>
                      <w:rFonts w:cs="Times New Roman" w:hint="eastAsia"/>
                      <w:b w:val="0"/>
                      <w:bCs w:val="0"/>
                      <w:color w:val="auto"/>
                      <w:sz w:val="21"/>
                      <w:szCs w:val="21"/>
                      <w:vertAlign w:val="baseline"/>
                      <w:lang w:eastAsia="zh-CN"/>
                    </w:rPr>
                    <w:t>、</w:t>
                  </w:r>
                  <w:r>
                    <w:rPr>
                      <w:rFonts w:ascii="Times New Roman" w:eastAsia="宋体" w:cs="Times New Roman" w:hAnsi="Times New Roman" w:hint="eastAsia"/>
                      <w:b w:val="0"/>
                      <w:bCs w:val="0"/>
                      <w:color w:val="auto"/>
                      <w:sz w:val="21"/>
                      <w:szCs w:val="21"/>
                      <w:vertAlign w:val="baseline"/>
                      <w:lang w:eastAsia="zh-CN"/>
                    </w:rPr>
                    <w:t>拆解再利用，属于《产业结构调整指导目录（</w:t>
                  </w:r>
                  <w:r>
                    <w:rPr>
                      <w:rFonts w:cs="Times New Roman" w:hint="eastAsia"/>
                      <w:b w:val="0"/>
                      <w:bCs w:val="0"/>
                      <w:color w:val="auto"/>
                      <w:sz w:val="21"/>
                      <w:szCs w:val="21"/>
                      <w:vertAlign w:val="baseline"/>
                      <w:lang w:eastAsia="zh-CN"/>
                    </w:rPr>
                    <w:t>2024年本</w:t>
                  </w:r>
                  <w:r>
                    <w:rPr>
                      <w:rFonts w:ascii="Times New Roman" w:eastAsia="宋体" w:cs="Times New Roman" w:hAnsi="Times New Roman" w:hint="eastAsia"/>
                      <w:b w:val="0"/>
                      <w:bCs w:val="0"/>
                      <w:color w:val="auto"/>
                      <w:sz w:val="21"/>
                      <w:szCs w:val="21"/>
                      <w:vertAlign w:val="baseline"/>
                      <w:lang w:eastAsia="zh-CN"/>
                    </w:rPr>
                    <w:t>）》</w:t>
                  </w:r>
                  <w:r>
                    <w:rPr>
                      <w:rFonts w:cs="Times New Roman" w:hint="eastAsia"/>
                      <w:b w:val="0"/>
                      <w:bCs w:val="0"/>
                      <w:color w:val="auto"/>
                      <w:sz w:val="21"/>
                      <w:szCs w:val="21"/>
                      <w:vertAlign w:val="baseline"/>
                      <w:lang w:val="en-US" w:eastAsia="zh-CN"/>
                    </w:rPr>
                    <w:t>中鼓励</w:t>
                  </w:r>
                  <w:r>
                    <w:rPr>
                      <w:rFonts w:ascii="Times New Roman" w:eastAsia="宋体" w:cs="Times New Roman" w:hAnsi="Times New Roman" w:hint="eastAsia"/>
                      <w:b w:val="0"/>
                      <w:bCs w:val="0"/>
                      <w:color w:val="auto"/>
                      <w:sz w:val="21"/>
                      <w:szCs w:val="21"/>
                      <w:vertAlign w:val="baseline"/>
                      <w:lang w:eastAsia="zh-CN"/>
                    </w:rPr>
                    <w:t>类项目</w:t>
                  </w:r>
                  <w:r>
                    <w:rPr>
                      <w:rFonts w:cs="Times New Roman" w:hint="eastAsia"/>
                      <w:b w:val="0"/>
                      <w:bCs w:val="0"/>
                      <w:color w:val="auto"/>
                      <w:sz w:val="21"/>
                      <w:szCs w:val="21"/>
                      <w:vertAlign w:val="baseline"/>
                      <w:lang w:eastAsia="zh-CN"/>
                    </w:rPr>
                    <w:t>；</w:t>
                  </w:r>
                  <w:r>
                    <w:rPr>
                      <w:rFonts w:cs="Times New Roman" w:hint="eastAsia"/>
                      <w:b w:val="0"/>
                      <w:bCs w:val="0"/>
                      <w:color w:val="auto"/>
                      <w:sz w:val="21"/>
                      <w:szCs w:val="21"/>
                      <w:vertAlign w:val="baseline"/>
                      <w:lang w:val="en-US" w:eastAsia="zh-CN"/>
                    </w:rPr>
                    <w:t>租赁已建厂房建设，不新增用地；不涉及燃煤等高污染燃料使用；不涉及使用地下水，不属于高排放、高能耗项目，不属于化工企业；</w:t>
                  </w:r>
                  <w:r>
                    <w:rPr>
                      <w:rFonts w:ascii="Times New Roman" w:eastAsia="宋体" w:cs="Times New Roman" w:hAnsi="Times New Roman"/>
                      <w:b w:val="0"/>
                      <w:bCs w:val="0"/>
                      <w:color w:val="auto"/>
                      <w:sz w:val="21"/>
                      <w:szCs w:val="21"/>
                      <w:vertAlign w:val="baseline"/>
                      <w:lang w:eastAsia="zh-CN"/>
                    </w:rPr>
                    <w:t>采取严格的环保措施治理后，废气污水</w:t>
                  </w:r>
                  <w:r>
                    <w:rPr>
                      <w:rFonts w:cs="Times New Roman" w:hint="eastAsia"/>
                      <w:b w:val="0"/>
                      <w:bCs w:val="0"/>
                      <w:color w:val="auto"/>
                      <w:sz w:val="21"/>
                      <w:szCs w:val="21"/>
                      <w:vertAlign w:val="baseline"/>
                      <w:lang w:val="en-US" w:eastAsia="zh-CN"/>
                    </w:rPr>
                    <w:t>及</w:t>
                  </w:r>
                  <w:r>
                    <w:rPr>
                      <w:rFonts w:ascii="Times New Roman" w:eastAsia="宋体" w:cs="Times New Roman" w:hAnsi="Times New Roman"/>
                      <w:b w:val="0"/>
                      <w:bCs w:val="0"/>
                      <w:color w:val="auto"/>
                      <w:sz w:val="21"/>
                      <w:szCs w:val="21"/>
                      <w:vertAlign w:val="baseline"/>
                      <w:lang w:eastAsia="zh-CN"/>
                    </w:rPr>
                    <w:t>噪声均能达标排放，固废妥善处置；</w:t>
                  </w:r>
                  <w:r>
                    <w:rPr>
                      <w:rFonts w:ascii="Times New Roman" w:eastAsia="宋体" w:cs="Times New Roman" w:hAnsi="Times New Roman" w:hint="eastAsia"/>
                      <w:b w:val="0"/>
                      <w:bCs w:val="0"/>
                      <w:color w:val="auto"/>
                      <w:sz w:val="21"/>
                      <w:szCs w:val="21"/>
                      <w:vertAlign w:val="baseline"/>
                      <w:lang w:val="en-US" w:eastAsia="zh-CN"/>
                    </w:rPr>
                    <w:t>不涉及</w:t>
                  </w:r>
                  <w:r>
                    <w:rPr>
                      <w:rFonts w:ascii="Times New Roman" w:eastAsia="宋体" w:cs="Times New Roman" w:hAnsi="Times New Roman"/>
                      <w:b w:val="0"/>
                      <w:bCs w:val="0"/>
                      <w:color w:val="auto"/>
                      <w:sz w:val="21"/>
                      <w:szCs w:val="21"/>
                      <w:vertAlign w:val="baseline"/>
                      <w:lang w:eastAsia="zh-CN"/>
                    </w:rPr>
                    <w:t>自然保护敏感区，环境风险系数较小，风险可控，可满足管控要求</w:t>
                  </w:r>
                  <w:r>
                    <w:rPr>
                      <w:rFonts w:ascii="Times New Roman" w:eastAsia="宋体" w:cs="Times New Roman" w:hAnsi="Times New Roman" w:hint="eastAsia"/>
                      <w:b w:val="0"/>
                      <w:bCs w:val="0"/>
                      <w:color w:val="auto"/>
                      <w:sz w:val="21"/>
                      <w:szCs w:val="21"/>
                      <w:vertAlign w:val="baseline"/>
                      <w:lang w:eastAsia="zh-CN"/>
                    </w:rPr>
                    <w:t>。</w:t>
                  </w:r>
                </w:p>
              </w:tc>
              <w:tc>
                <w:tcPr>
                  <w:tcW w:w="33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val="0"/>
                      <w:bCs w:val="0"/>
                      <w:color w:val="auto"/>
                      <w:sz w:val="21"/>
                      <w:szCs w:val="21"/>
                      <w:vertAlign w:val="baseline"/>
                      <w:lang w:eastAsia="zh-CN"/>
                    </w:rPr>
                  </w:pPr>
                  <w:r>
                    <w:rPr>
                      <w:rFonts w:ascii="Times New Roman" w:eastAsia="宋体" w:cs="Times New Roman" w:hAnsi="Times New Roman"/>
                      <w:b w:val="0"/>
                      <w:bCs w:val="0"/>
                      <w:color w:val="auto"/>
                      <w:sz w:val="21"/>
                      <w:szCs w:val="21"/>
                      <w:vertAlign w:val="baseline"/>
                      <w:lang w:eastAsia="zh-CN"/>
                    </w:rPr>
                    <w:t>符合</w:t>
                  </w:r>
                </w:p>
              </w:tc>
            </w:tr>
            <w:t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管控</w:t>
                  </w:r>
                </w:p>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类别</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单元特性管控要求（环境综合管控单元一般管控单元</w:t>
                  </w:r>
                  <w:r>
                    <w:rPr>
                      <w:rFonts w:cs="Times New Roman" w:hint="eastAsia"/>
                      <w:b/>
                      <w:bCs/>
                      <w:color w:val="auto"/>
                      <w:sz w:val="21"/>
                      <w:szCs w:val="21"/>
                      <w:vertAlign w:val="baseline"/>
                      <w:lang w:val="en-US" w:eastAsia="zh-CN"/>
                    </w:rPr>
                    <w:t>）</w:t>
                  </w:r>
                </w:p>
              </w:tc>
              <w:tc>
                <w:tcPr>
                  <w:tcW w:w="94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项目对应情况介绍</w:t>
                  </w:r>
                </w:p>
              </w:tc>
              <w:tc>
                <w:tcPr>
                  <w:tcW w:w="332"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符合性</w:t>
                  </w:r>
                </w:p>
                <w:p>
                  <w:pPr>
                    <w:bidi w:val="0"/>
                    <w:spacing w:line="240" w:lineRule="auto"/>
                    <w:ind w:left="0" w:firstLine="0"/>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分析</w:t>
                  </w:r>
                </w:p>
              </w:tc>
            </w:tr>
            <w:t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空间布</w:t>
                  </w:r>
                </w:p>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局约束</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禁止开发建设活动的要求</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禁止新建纯碱、PVC项目</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禁止扩大合成氨或实施扩建氮肥项目</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禁止新引入涉及印染、染整、脱胶工序或产生缫丝、精炼废水的项目</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禁止引入印制电路板、集成电路制造、平板及柔性显示器件制造等耗、排水量大的项目</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禁止引进和新建涉及喷漆工艺家具制造（木制品加工）生产项目（使用粉末喷涂、水性涂料及UV涂料以及进入共享喷涂中心除外）</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禁止新建燃煤火电、金属冶炼、制浆（含废纸制浆）、屠宰、皮革鞣制、铅蓄电池制造、原油炼制、煤化工及发酵制药项目</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梨子坝、马家坝片区禁止新引入化工项目片区铅蓄电池生产企业限制发展，待远期条件成熟时，实现铅、汞、镉、铬、砷重金属污染物“零排放”或搬迁出园区</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规划区内郪江两侧自防洪堤外源控制线起50m区域纳入生态保护范围，禁止开展采矿、挖沙取土或工业活动</w:t>
                  </w:r>
                </w:p>
                <w:p>
                  <w:pPr>
                    <w:numPr>
                      <w:ilvl w:val="0"/>
                      <w:numId w:val="18"/>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其他参照遂宁市总体准入要求-工业重点管控单元</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限制开发建设活动的要求</w:t>
                  </w:r>
                </w:p>
                <w:p>
                  <w:pPr>
                    <w:numPr>
                      <w:ilvl w:val="0"/>
                      <w:numId w:val="19"/>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严格限制钢铁、水泥、平板玻璃、有色金属冶炼等高污染、高耗能项目</w:t>
                  </w:r>
                </w:p>
                <w:p>
                  <w:pPr>
                    <w:numPr>
                      <w:ilvl w:val="0"/>
                      <w:numId w:val="19"/>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限制引进和新建涉及有机溶剂使用和挥发性有机物排放的低固份油性涂料生产、沥青类防水材料生产、人造板生产等项目；</w:t>
                  </w:r>
                </w:p>
                <w:p>
                  <w:pPr>
                    <w:numPr>
                      <w:ilvl w:val="0"/>
                      <w:numId w:val="19"/>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限制高耗水、高污染企业入驻，严控入河污染物4.其他参照遂宁市总体准入要求-工业重点管控单元</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允许开发建设活动的要求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不符合空间布局要求活动的退出要求</w:t>
                  </w:r>
                </w:p>
                <w:p>
                  <w:pPr>
                    <w:numPr>
                      <w:ilvl w:val="0"/>
                      <w:numId w:val="20"/>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岸线一公里范围内的化工企业：</w:t>
                  </w:r>
                </w:p>
                <w:p>
                  <w:pPr>
                    <w:numPr>
                      <w:ilvl w:val="0"/>
                      <w:numId w:val="21"/>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根据《中华人民共和国长江保护法》，禁止在长江干支流岸线一公里范围内新建、扩建化工项目</w:t>
                  </w:r>
                </w:p>
                <w:p>
                  <w:pPr>
                    <w:numPr>
                      <w:ilvl w:val="0"/>
                      <w:numId w:val="21"/>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现存5家化工企业，符合所在法定保护地管理规定、具有合法手续且污染物排放及环境风险满足管理要求，可继续保留</w:t>
                  </w:r>
                </w:p>
                <w:p>
                  <w:pPr>
                    <w:numPr>
                      <w:ilvl w:val="0"/>
                      <w:numId w:val="20"/>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其他参照遂宁市总体准入要求-工业重点管控单元</w:t>
                  </w:r>
                </w:p>
                <w:p>
                  <w:p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其他空间布局约束要求</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w:t>
                  </w:r>
                  <w:r>
                    <w:rPr>
                      <w:rFonts w:cs="Times New Roman" w:hint="eastAsia"/>
                      <w:b w:val="0"/>
                      <w:bCs w:val="0"/>
                      <w:color w:val="auto"/>
                      <w:sz w:val="21"/>
                      <w:szCs w:val="21"/>
                      <w:vertAlign w:val="baseline"/>
                      <w:lang w:val="en-US" w:eastAsia="zh-CN"/>
                    </w:rPr>
                    <w:t>属于</w:t>
                  </w:r>
                  <w:r>
                    <w:rPr>
                      <w:rFonts w:ascii="Times New Roman" w:eastAsia="宋体" w:cs="Times New Roman" w:hAnsi="Times New Roman" w:hint="eastAsia"/>
                      <w:b w:val="0"/>
                      <w:bCs w:val="0"/>
                      <w:color w:val="auto"/>
                      <w:sz w:val="21"/>
                      <w:szCs w:val="21"/>
                      <w:vertAlign w:val="baseline"/>
                      <w:lang w:val="en-US" w:eastAsia="zh-CN"/>
                    </w:rPr>
                    <w:t>废旧电器电子产品回收拆解综合利用项目</w:t>
                  </w:r>
                  <w:r>
                    <w:rPr>
                      <w:rFonts w:cs="Times New Roman" w:hint="eastAsia"/>
                      <w:b w:val="0"/>
                      <w:bCs w:val="0"/>
                      <w:color w:val="auto"/>
                      <w:sz w:val="21"/>
                      <w:szCs w:val="21"/>
                      <w:vertAlign w:val="baseline"/>
                      <w:lang w:val="en-US" w:eastAsia="zh-CN"/>
                    </w:rPr>
                    <w:t>；各类污染物均能达标排放；属于《产业结构调整指导目录》中鼓励类项目，</w:t>
                  </w:r>
                  <w:r>
                    <w:rPr>
                      <w:rFonts w:ascii="Times New Roman" w:eastAsia="宋体" w:cs="Times New Roman" w:hAnsi="Times New Roman" w:hint="eastAsia"/>
                      <w:b w:val="0"/>
                      <w:bCs w:val="0"/>
                      <w:color w:val="auto"/>
                      <w:sz w:val="21"/>
                      <w:szCs w:val="21"/>
                      <w:vertAlign w:val="baseline"/>
                      <w:lang w:val="en-US" w:eastAsia="zh-CN"/>
                    </w:rPr>
                    <w:t>符合</w:t>
                  </w:r>
                  <w:r>
                    <w:rPr>
                      <w:rFonts w:cs="Times New Roman" w:hint="eastAsia"/>
                      <w:b w:val="0"/>
                      <w:bCs w:val="0"/>
                      <w:color w:val="auto"/>
                      <w:sz w:val="21"/>
                      <w:szCs w:val="21"/>
                      <w:vertAlign w:val="baseline"/>
                      <w:lang w:val="en-US" w:eastAsia="zh-CN"/>
                    </w:rPr>
                    <w:t>所在区域</w:t>
                  </w:r>
                  <w:r>
                    <w:rPr>
                      <w:rFonts w:ascii="Times New Roman" w:eastAsia="宋体" w:cs="Times New Roman" w:hAnsi="Times New Roman" w:hint="eastAsia"/>
                      <w:b w:val="0"/>
                      <w:bCs w:val="0"/>
                      <w:color w:val="auto"/>
                      <w:sz w:val="21"/>
                      <w:szCs w:val="21"/>
                      <w:vertAlign w:val="baseline"/>
                      <w:lang w:val="en-US" w:eastAsia="zh-CN"/>
                    </w:rPr>
                    <w:t>空间布局约束要求</w:t>
                  </w:r>
                  <w:r>
                    <w:rPr>
                      <w:rFonts w:cs="Times New Roman" w:hint="eastAsia"/>
                      <w:b w:val="0"/>
                      <w:bCs w:val="0"/>
                      <w:color w:val="auto"/>
                      <w:sz w:val="21"/>
                      <w:szCs w:val="21"/>
                      <w:vertAlign w:val="baseline"/>
                      <w:lang w:val="en-US" w:eastAsia="zh-CN"/>
                    </w:rPr>
                    <w:t>。</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eastAsia="zh-CN"/>
                    </w:rPr>
                    <w:t>符合</w:t>
                  </w:r>
                </w:p>
              </w:tc>
            </w:tr>
            <w:tr>
              <w:trPr>
                <w:trHeight w:val="62"/>
              </w:trP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污染物排放</w:t>
                  </w:r>
                </w:p>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管控</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现有源提标升级改造</w:t>
                  </w:r>
                </w:p>
                <w:p>
                  <w:pPr>
                    <w:numPr>
                      <w:ilvl w:val="0"/>
                      <w:numId w:val="2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燃煤热电锅炉完成超低排放改造，规模在20蒸吨/时及以上的现有大中型燃煤锅炉应全部实施脱硫，脱硫效率达到70%以上。</w:t>
                  </w:r>
                </w:p>
                <w:p>
                  <w:pPr>
                    <w:numPr>
                      <w:ilvl w:val="0"/>
                      <w:numId w:val="2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新建化工项目必须配套建设高效脱硫、脱硝、除尘设施，脱硝效率不低于70%。</w:t>
                  </w:r>
                </w:p>
                <w:p>
                  <w:pPr>
                    <w:numPr>
                      <w:ilvl w:val="0"/>
                      <w:numId w:val="2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预留用地建设中水回用设施，待条件成熟时逐步回用于工业企业的冷却用水等生产性用水，远期回用率达到30%；</w:t>
                  </w:r>
                </w:p>
                <w:p>
                  <w:pPr>
                    <w:numPr>
                      <w:ilvl w:val="0"/>
                      <w:numId w:val="22"/>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其他参照遂宁市总体准入要求-工业重点管控单元。</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新增源等量或倍量替代</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新增源排放标准限值</w:t>
                  </w:r>
                </w:p>
                <w:p>
                  <w:pPr>
                    <w:numPr>
                      <w:ilvl w:val="0"/>
                      <w:numId w:val="23"/>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项目产生的生产废水由企业自行处理达到《污水综合排放标准》三级或相应的行业排放标准后排入园区污水处理厂处理达《城镇污水处理厂污染物排放标准》一级A标或更严格标准后排放。</w:t>
                  </w:r>
                </w:p>
                <w:p>
                  <w:pPr>
                    <w:numPr>
                      <w:ilvl w:val="0"/>
                      <w:numId w:val="23"/>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其他参照遂宁市总体准入要求-工业重点管控单元。</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污染物排放绩效水平准入要求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其他污染物排放管控要求求</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本项目</w:t>
                  </w:r>
                  <w:r>
                    <w:rPr>
                      <w:rFonts w:cs="Times New Roman" w:hint="eastAsia"/>
                      <w:b w:val="0"/>
                      <w:bCs w:val="0"/>
                      <w:color w:val="auto"/>
                      <w:sz w:val="21"/>
                      <w:szCs w:val="21"/>
                      <w:vertAlign w:val="baseline"/>
                      <w:lang w:val="en-US" w:eastAsia="zh-CN"/>
                    </w:rPr>
                    <w:t>不涉及锅炉，无工业废水，</w:t>
                  </w:r>
                  <w:r>
                    <w:rPr>
                      <w:rFonts w:ascii="Times New Roman" w:eastAsia="宋体" w:cs="Times New Roman" w:hAnsi="Times New Roman" w:hint="eastAsia"/>
                      <w:b w:val="0"/>
                      <w:bCs w:val="0"/>
                      <w:color w:val="auto"/>
                      <w:sz w:val="21"/>
                      <w:szCs w:val="21"/>
                      <w:vertAlign w:val="baseline"/>
                      <w:lang w:val="en-US" w:eastAsia="zh-CN"/>
                    </w:rPr>
                    <w:t>建成运营后各类污染物均达标排放，固废收集处置率达100%，满足管控要求。</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eastAsia="zh-CN"/>
                    </w:rPr>
                    <w:t>符合</w:t>
                  </w:r>
                </w:p>
              </w:tc>
            </w:tr>
            <w:tr>
              <w:trPr>
                <w:trHeight w:val="62"/>
              </w:trP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环境风</w:t>
                  </w:r>
                </w:p>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险防控</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严格管控类农用地管控要求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安全利用类农用地管控要求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污染地块管控要求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jc w:val="both"/>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园区环境风险防控要求</w:t>
                  </w:r>
                </w:p>
                <w:p>
                  <w:pPr>
                    <w:numPr>
                      <w:ilvl w:val="0"/>
                      <w:numId w:val="24"/>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距城区500m范围内禁止引入环境风险潜势等级III级及以上的建设项目。</w:t>
                  </w:r>
                </w:p>
                <w:p>
                  <w:pPr>
                    <w:numPr>
                      <w:ilvl w:val="0"/>
                      <w:numId w:val="24"/>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其他参照遂宁市总体准入要求-工业重点管控单元</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企业环境风险防控要求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其他环境风险防控要求</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项目不涉及自然保护敏感区，</w:t>
                  </w:r>
                  <w:r>
                    <w:rPr>
                      <w:rFonts w:cs="Times New Roman" w:hint="eastAsia"/>
                      <w:b w:val="0"/>
                      <w:bCs w:val="0"/>
                      <w:color w:val="auto"/>
                      <w:sz w:val="21"/>
                      <w:szCs w:val="21"/>
                      <w:vertAlign w:val="baseline"/>
                      <w:lang w:val="en-US" w:eastAsia="zh-CN"/>
                    </w:rPr>
                    <w:t>在采取风险防范措施后</w:t>
                  </w:r>
                  <w:r>
                    <w:rPr>
                      <w:rFonts w:ascii="Times New Roman" w:eastAsia="宋体" w:cs="Times New Roman" w:hAnsi="Times New Roman" w:hint="eastAsia"/>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险防控要求。</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val="0"/>
                      <w:sz w:val="21"/>
                      <w:szCs w:val="21"/>
                      <w:vertAlign w:val="baseline"/>
                      <w:lang w:eastAsia="zh-CN"/>
                    </w:rPr>
                    <w:t>符合</w:t>
                  </w:r>
                </w:p>
              </w:tc>
            </w:tr>
            <w:tr>
              <w:trPr>
                <w:trHeight w:val="62"/>
              </w:trP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资源开发效率要求</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水资源利用效率要求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地下水开采要求</w:t>
                  </w:r>
                </w:p>
                <w:p>
                  <w:pPr>
                    <w:numPr>
                      <w:ilvl w:val="0"/>
                      <w:numId w:val="2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大英县2030年地下水开采控制控制量保持在0.06亿m</w:t>
                  </w:r>
                  <w:r>
                    <w:rPr>
                      <w:rFonts w:cs="Times New Roman" w:hint="eastAsia"/>
                      <w:b w:val="0"/>
                      <w:bCs w:val="0"/>
                      <w:color w:val="auto"/>
                      <w:sz w:val="21"/>
                      <w:szCs w:val="21"/>
                      <w:vertAlign w:val="superscript"/>
                      <w:lang w:val="en-US" w:eastAsia="zh-CN"/>
                    </w:rPr>
                    <w:t>3</w:t>
                  </w:r>
                  <w:r>
                    <w:rPr>
                      <w:rFonts w:ascii="Times New Roman" w:eastAsia="宋体" w:cs="Times New Roman" w:hAnsi="Times New Roman" w:hint="eastAsia"/>
                      <w:b w:val="0"/>
                      <w:bCs w:val="0"/>
                      <w:color w:val="auto"/>
                      <w:sz w:val="21"/>
                      <w:szCs w:val="21"/>
                      <w:vertAlign w:val="baseline"/>
                      <w:lang w:val="en-US" w:eastAsia="zh-CN"/>
                    </w:rPr>
                    <w:t>以内。</w:t>
                  </w:r>
                </w:p>
                <w:p>
                  <w:pPr>
                    <w:numPr>
                      <w:ilvl w:val="0"/>
                      <w:numId w:val="25"/>
                    </w:num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全面建设节水型社会，达到合理高效用水。</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能源利用效率要求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参照遂宁市总体准入要求-工业重点管控单元</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其他资源利用效率要求</w:t>
                  </w:r>
                </w:p>
                <w:p>
                  <w:pPr>
                    <w:tabs>
                      <w:tab w:val="left" w:pos="7770"/>
                    </w:tabs>
                    <w:spacing w:line="240" w:lineRule="auto"/>
                    <w:ind w:left="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禁燃区管控要求：参照遂宁市总体准入要求-工业重点管控单元</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本项目</w:t>
                  </w:r>
                  <w:r>
                    <w:rPr>
                      <w:rFonts w:ascii="Times New Roman" w:eastAsia="宋体" w:cs="Times New Roman" w:hAnsi="Times New Roman" w:hint="eastAsia"/>
                      <w:b w:val="0"/>
                      <w:bCs w:val="0"/>
                      <w:color w:val="auto"/>
                      <w:sz w:val="21"/>
                      <w:szCs w:val="21"/>
                      <w:vertAlign w:val="baseline"/>
                      <w:lang w:val="en-US" w:eastAsia="zh-CN"/>
                    </w:rPr>
                    <w:t>不涉及地下水的开采</w:t>
                  </w:r>
                  <w:r>
                    <w:rPr>
                      <w:rFonts w:cs="Times New Roman" w:hint="eastAsia"/>
                      <w:b w:val="0"/>
                      <w:bCs w:val="0"/>
                      <w:color w:val="auto"/>
                      <w:sz w:val="21"/>
                      <w:szCs w:val="21"/>
                      <w:vertAlign w:val="baseline"/>
                      <w:lang w:val="en-US" w:eastAsia="zh-CN"/>
                    </w:rPr>
                    <w:t>使用</w:t>
                  </w:r>
                  <w:r>
                    <w:rPr>
                      <w:rFonts w:ascii="Times New Roman" w:eastAsia="宋体" w:cs="Times New Roman" w:hAnsi="Times New Roman" w:hint="eastAsia"/>
                      <w:b w:val="0"/>
                      <w:bCs w:val="0"/>
                      <w:color w:val="auto"/>
                      <w:sz w:val="21"/>
                      <w:szCs w:val="21"/>
                      <w:vertAlign w:val="baseline"/>
                      <w:lang w:val="en-US" w:eastAsia="zh-CN"/>
                    </w:rPr>
                    <w:t>，</w:t>
                  </w:r>
                  <w:r>
                    <w:rPr>
                      <w:rFonts w:cs="Times New Roman" w:hint="eastAsia"/>
                      <w:b w:val="0"/>
                      <w:bCs w:val="0"/>
                      <w:color w:val="auto"/>
                      <w:sz w:val="21"/>
                      <w:szCs w:val="21"/>
                      <w:vertAlign w:val="baseline"/>
                      <w:lang w:val="en-US" w:eastAsia="zh-CN"/>
                    </w:rPr>
                    <w:t>水资源用量少，</w:t>
                  </w:r>
                  <w:r>
                    <w:rPr>
                      <w:rFonts w:ascii="Times New Roman" w:eastAsia="宋体" w:cs="Times New Roman" w:hAnsi="Times New Roman" w:hint="eastAsia"/>
                      <w:b w:val="0"/>
                      <w:bCs w:val="0"/>
                      <w:color w:val="auto"/>
                      <w:sz w:val="21"/>
                      <w:szCs w:val="21"/>
                      <w:vertAlign w:val="baseline"/>
                      <w:lang w:val="en-US" w:eastAsia="zh-CN"/>
                    </w:rPr>
                    <w:t>符合资源利用效率的管控要求。</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eastAsia="zh-CN"/>
                    </w:rPr>
                    <w:t>符合</w:t>
                  </w:r>
                </w:p>
              </w:tc>
            </w:tr>
            <w:tr>
              <w:trPr>
                <w:trHeight w:val="62"/>
              </w:trPr>
              <w:tc>
                <w:tcPr>
                  <w:tcW w:w="406"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环境管控单元编码</w:t>
                  </w:r>
                </w:p>
              </w:tc>
              <w:tc>
                <w:tcPr>
                  <w:tcW w:w="388"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环境管控单元名称</w:t>
                  </w: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管控</w:t>
                  </w:r>
                </w:p>
                <w:p>
                  <w:pPr>
                    <w:tabs>
                      <w:tab w:val="left" w:pos="7770"/>
                    </w:tabs>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类别</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单元特性管控要求</w:t>
                  </w:r>
                </w:p>
              </w:tc>
              <w:tc>
                <w:tcPr>
                  <w:tcW w:w="94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项目对应情况介绍</w:t>
                  </w:r>
                </w:p>
              </w:tc>
              <w:tc>
                <w:tcPr>
                  <w:tcW w:w="33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符合性分析</w:t>
                  </w:r>
                </w:p>
              </w:tc>
            </w:tr>
            <w:tr>
              <w:trPr>
                <w:trHeight w:val="90"/>
              </w:trPr>
              <w:tc>
                <w:tcPr>
                  <w:tcW w:w="406" w:type="pct"/>
                  <w:vMerge w:val="restar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YS5109232310001</w:t>
                  </w:r>
                </w:p>
              </w:tc>
              <w:tc>
                <w:tcPr>
                  <w:tcW w:w="388" w:type="pct"/>
                  <w:vMerge w:val="restar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大英县工业集中发展区（含经开区）</w:t>
                  </w:r>
                </w:p>
              </w:tc>
              <w:tc>
                <w:tcPr>
                  <w:tcW w:w="500" w:type="pc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空间布</w:t>
                  </w:r>
                </w:p>
                <w:p>
                  <w:pPr>
                    <w:pStyle w:val="90"/>
                    <w:widowControl/>
                    <w:spacing w:line="240" w:lineRule="auto"/>
                    <w:ind w:firstLineChars="0" w:firstLine="0"/>
                    <w:jc w:val="center"/>
                    <w:rPr>
                      <w:rFonts w:ascii="Times New Roman" w:eastAsia="宋体" w:cs="Times New Roman" w:hAnsi="Times New Roman"/>
                      <w:b w:val="0"/>
                      <w:bCs w:val="0"/>
                      <w:color w:val="auto"/>
                      <w:kern w:val="2"/>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局约束</w:t>
                  </w:r>
                </w:p>
              </w:tc>
              <w:tc>
                <w:tcPr>
                  <w:tcW w:w="2429" w:type="pct"/>
                  <w:tcBorders>
                    <w:top w:val="single" w:sz="4" w:space="0" w:color="auto"/>
                    <w:left w:val="single" w:sz="4" w:space="0" w:color="auto"/>
                    <w:right w:val="single" w:sz="4" w:space="0" w:color="auto"/>
                  </w:tcBorders>
                  <w:noWrap/>
                  <w:vAlign w:val="center"/>
                </w:tcPr>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禁止开发建设活动的要求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限制开发建设活动的要求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允许开发建设活动的要求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不符合空间布局要求活动的退出要求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其他空间布局约束要求</w:t>
                  </w:r>
                </w:p>
              </w:tc>
              <w:tc>
                <w:tcPr>
                  <w:tcW w:w="942" w:type="pct"/>
                  <w:tcBorders>
                    <w:top w:val="single" w:sz="4" w:space="0" w:color="auto"/>
                    <w:left w:val="single" w:sz="4" w:space="0" w:color="auto"/>
                    <w:right w:val="single" w:sz="4" w:space="0" w:color="auto"/>
                  </w:tcBorders>
                  <w:shd w:val="clear" w:color="auto" w:fill="auto"/>
                  <w:noWrap/>
                  <w:vAlign w:val="center"/>
                </w:tcPr>
                <w:p>
                  <w:pPr>
                    <w:tabs>
                      <w:tab w:val="left" w:pos="7770"/>
                    </w:tabs>
                    <w:spacing w:line="240" w:lineRule="auto"/>
                    <w:jc w:val="both"/>
                    <w:rPr>
                      <w:rFonts w:ascii="Times New Roman" w:eastAsia="宋体" w:cs="Times New Roman" w:hAnsi="Times New Roman"/>
                      <w:b w:val="0"/>
                      <w:bCs w:val="0"/>
                      <w:color w:val="auto"/>
                      <w:kern w:val="2"/>
                      <w:sz w:val="21"/>
                      <w:szCs w:val="21"/>
                      <w:vertAlign w:val="baseline"/>
                      <w:lang w:val="en-US" w:eastAsia="zh-CN" w:bidi="ar-SA"/>
                    </w:rPr>
                  </w:pPr>
                  <w:r>
                    <w:rPr>
                      <w:rFonts w:cs="Times New Roman" w:hint="eastAsia"/>
                      <w:b w:val="0"/>
                      <w:bCs w:val="0"/>
                      <w:color w:val="auto"/>
                      <w:sz w:val="21"/>
                      <w:szCs w:val="21"/>
                      <w:vertAlign w:val="baseline"/>
                      <w:lang w:val="en-US" w:eastAsia="zh-CN"/>
                    </w:rPr>
                    <w:t>本</w:t>
                  </w:r>
                  <w:r>
                    <w:rPr>
                      <w:rFonts w:ascii="Times New Roman" w:eastAsia="宋体" w:cs="Times New Roman" w:hAnsi="Times New Roman" w:hint="eastAsia"/>
                      <w:b w:val="0"/>
                      <w:bCs w:val="0"/>
                      <w:color w:val="auto"/>
                      <w:sz w:val="21"/>
                      <w:szCs w:val="21"/>
                      <w:vertAlign w:val="baseline"/>
                      <w:lang w:val="en-US" w:eastAsia="zh-CN"/>
                    </w:rPr>
                    <w:t>项目</w:t>
                  </w:r>
                  <w:r>
                    <w:rPr>
                      <w:rFonts w:cs="Times New Roman" w:hint="eastAsia"/>
                      <w:b w:val="0"/>
                      <w:bCs w:val="0"/>
                      <w:color w:val="auto"/>
                      <w:sz w:val="21"/>
                      <w:szCs w:val="21"/>
                      <w:vertAlign w:val="baseline"/>
                      <w:lang w:val="en-US" w:eastAsia="zh-CN"/>
                    </w:rPr>
                    <w:t>属于《产业结构调整指导目录》中鼓励类项目，</w:t>
                  </w:r>
                  <w:r>
                    <w:rPr>
                      <w:rFonts w:ascii="Times New Roman" w:eastAsia="宋体" w:cs="Times New Roman" w:hAnsi="Times New Roman" w:hint="eastAsia"/>
                      <w:b w:val="0"/>
                      <w:bCs w:val="0"/>
                      <w:color w:val="auto"/>
                      <w:sz w:val="21"/>
                      <w:szCs w:val="21"/>
                      <w:vertAlign w:val="baseline"/>
                      <w:lang w:val="en-US" w:eastAsia="zh-CN"/>
                    </w:rPr>
                    <w:t>符合</w:t>
                  </w:r>
                  <w:r>
                    <w:rPr>
                      <w:rFonts w:cs="Times New Roman" w:hint="eastAsia"/>
                      <w:b w:val="0"/>
                      <w:bCs w:val="0"/>
                      <w:color w:val="auto"/>
                      <w:sz w:val="21"/>
                      <w:szCs w:val="21"/>
                      <w:vertAlign w:val="baseline"/>
                      <w:lang w:val="en-US" w:eastAsia="zh-CN"/>
                    </w:rPr>
                    <w:t>所在区域</w:t>
                  </w:r>
                  <w:r>
                    <w:rPr>
                      <w:rFonts w:ascii="Times New Roman" w:eastAsia="宋体" w:cs="Times New Roman" w:hAnsi="Times New Roman" w:hint="eastAsia"/>
                      <w:b w:val="0"/>
                      <w:bCs w:val="0"/>
                      <w:color w:val="auto"/>
                      <w:sz w:val="21"/>
                      <w:szCs w:val="21"/>
                      <w:vertAlign w:val="baseline"/>
                      <w:lang w:val="en-US" w:eastAsia="zh-CN"/>
                    </w:rPr>
                    <w:t>空间布局约束要求</w:t>
                  </w:r>
                  <w:r>
                    <w:rPr>
                      <w:rFonts w:cs="Times New Roman" w:hint="eastAsia"/>
                      <w:b w:val="0"/>
                      <w:bCs w:val="0"/>
                      <w:color w:val="auto"/>
                      <w:sz w:val="21"/>
                      <w:szCs w:val="21"/>
                      <w:vertAlign w:val="baseline"/>
                      <w:lang w:val="en-US" w:eastAsia="zh-CN"/>
                    </w:rPr>
                    <w:t>。</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eastAsia="zh-CN"/>
                    </w:rPr>
                    <w:t>符合</w:t>
                  </w:r>
                </w:p>
              </w:tc>
            </w:tr>
            <w:tr>
              <w:trPr>
                <w:trHeight w:val="90"/>
              </w:trP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污染物排放管控</w:t>
                  </w:r>
                </w:p>
              </w:tc>
              <w:tc>
                <w:tcPr>
                  <w:tcW w:w="2429" w:type="pct"/>
                  <w:tcBorders>
                    <w:top w:val="single" w:sz="4" w:space="0" w:color="auto"/>
                    <w:left w:val="single" w:sz="4" w:space="0" w:color="auto"/>
                    <w:right w:val="single" w:sz="4" w:space="0" w:color="auto"/>
                  </w:tcBorders>
                  <w:noWrap/>
                  <w:vAlign w:val="center"/>
                </w:tcPr>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大气环境质量执行标准</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《环境空气质量标准》（GB3095-2012）：二级</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区域大气污染物削减/替代要求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燃煤和其他能源大气污染控制要求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工业废气污染控制要求</w:t>
                  </w:r>
                </w:p>
                <w:p>
                  <w:pPr>
                    <w:pStyle w:val="90"/>
                    <w:widowControl/>
                    <w:numPr>
                      <w:ilvl w:val="0"/>
                      <w:numId w:val="26"/>
                    </w:numPr>
                    <w:shd w:val="clear" w:color="auto" w:fill="FFFFFF"/>
                    <w:spacing w:line="240" w:lineRule="auto"/>
                    <w:ind w:left="0"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全面淘汰10蒸吨/小时及以下燃煤锅炉，原则上不再新建35蒸吨/小时及以下的燃煤锅炉，推进县级及以上城市建成区淘汰35蒸吨/小时及以下燃煤锅炉，以工业余热、电厂热力、清洁能源等替代煤炭。</w:t>
                  </w:r>
                </w:p>
                <w:p>
                  <w:pPr>
                    <w:pStyle w:val="90"/>
                    <w:widowControl/>
                    <w:numPr>
                      <w:ilvl w:val="0"/>
                      <w:numId w:val="26"/>
                    </w:numPr>
                    <w:shd w:val="clear" w:color="auto" w:fill="FFFFFF"/>
                    <w:spacing w:line="240" w:lineRule="auto"/>
                    <w:ind w:left="0"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机动车船大气污染控制要求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扬尘污染控制要求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农业生产经营活动大气污染控制要求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重点行业企业专项治理要求</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其他大气污染物排放管控要求</w:t>
                  </w:r>
                </w:p>
              </w:tc>
              <w:tc>
                <w:tcPr>
                  <w:tcW w:w="942" w:type="pct"/>
                  <w:tcBorders>
                    <w:top w:val="single" w:sz="4" w:space="0" w:color="auto"/>
                    <w:left w:val="single" w:sz="4" w:space="0" w:color="auto"/>
                    <w:right w:val="single" w:sz="4" w:space="0" w:color="auto"/>
                  </w:tcBorders>
                  <w:shd w:val="clear" w:color="auto" w:fill="auto"/>
                  <w:noWrap/>
                  <w:vAlign w:val="center"/>
                </w:tcPr>
                <w:p>
                  <w:pPr>
                    <w:tabs>
                      <w:tab w:val="left" w:pos="7770"/>
                    </w:tabs>
                    <w:spacing w:line="240" w:lineRule="auto"/>
                    <w:jc w:val="both"/>
                    <w:rPr>
                      <w:rFonts w:ascii="Times New Roman" w:eastAsia="宋体" w:cs="Times New Roman" w:hAnsi="Times New Roman" w:hint="eastAsia"/>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本项目</w:t>
                  </w:r>
                  <w:r>
                    <w:rPr>
                      <w:rFonts w:cs="Times New Roman" w:hint="eastAsia"/>
                      <w:b w:val="0"/>
                      <w:bCs w:val="0"/>
                      <w:color w:val="auto"/>
                      <w:sz w:val="21"/>
                      <w:szCs w:val="21"/>
                      <w:vertAlign w:val="baseline"/>
                      <w:lang w:val="en-US" w:eastAsia="zh-CN"/>
                    </w:rPr>
                    <w:t>不涉及锅炉，不产生VOCs，</w:t>
                  </w:r>
                  <w:r>
                    <w:rPr>
                      <w:rFonts w:ascii="Times New Roman" w:eastAsia="宋体" w:cs="Times New Roman" w:hAnsi="Times New Roman" w:hint="eastAsia"/>
                      <w:b w:val="0"/>
                      <w:bCs w:val="0"/>
                      <w:color w:val="auto"/>
                      <w:sz w:val="21"/>
                      <w:szCs w:val="21"/>
                      <w:vertAlign w:val="baseline"/>
                      <w:lang w:val="en-US" w:eastAsia="zh-CN"/>
                    </w:rPr>
                    <w:t>建成运营后各类污染物均达标排放，固废收集处置率达100%，满足管控要求。</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eastAsia="zh-CN"/>
                    </w:rPr>
                  </w:pPr>
                </w:p>
              </w:tc>
            </w:tr>
            <w:tr>
              <w:trPr>
                <w:trHeight w:val="39"/>
              </w:trPr>
              <w:tc>
                <w:tcPr>
                  <w:tcW w:w="406"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环境管控单元编码</w:t>
                  </w:r>
                </w:p>
              </w:tc>
              <w:tc>
                <w:tcPr>
                  <w:tcW w:w="388"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环境管控单元名称</w:t>
                  </w: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管控</w:t>
                  </w:r>
                </w:p>
                <w:p>
                  <w:pPr>
                    <w:tabs>
                      <w:tab w:val="left" w:pos="7770"/>
                    </w:tabs>
                    <w:spacing w:line="240" w:lineRule="auto"/>
                    <w:jc w:val="center"/>
                    <w:rPr>
                      <w:rStyle w:val="15Char"/>
                      <w:rFonts w:ascii="Times New Roman" w:eastAsia="宋体" w:cs="Times New Roman" w:hAnsi="Times New Roman"/>
                      <w:kern w:val="2"/>
                      <w:sz w:val="21"/>
                      <w:szCs w:val="21"/>
                      <w:lang w:val="en-US" w:eastAsia="zh-CN" w:bidi="ar-SA"/>
                    </w:rPr>
                  </w:pPr>
                  <w:r>
                    <w:rPr>
                      <w:rFonts w:ascii="Times New Roman" w:eastAsia="宋体" w:cs="Times New Roman" w:hAnsi="Times New Roman" w:hint="eastAsia"/>
                      <w:b/>
                      <w:bCs/>
                      <w:color w:val="auto"/>
                      <w:sz w:val="21"/>
                      <w:szCs w:val="21"/>
                      <w:vertAlign w:val="baseline"/>
                      <w:lang w:val="en-US" w:eastAsia="zh-CN"/>
                    </w:rPr>
                    <w:t>类别</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单元特性管控要求</w:t>
                  </w:r>
                </w:p>
              </w:tc>
              <w:tc>
                <w:tcPr>
                  <w:tcW w:w="94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项目对应情况介绍</w:t>
                  </w:r>
                </w:p>
              </w:tc>
              <w:tc>
                <w:tcPr>
                  <w:tcW w:w="332"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符合性</w:t>
                  </w:r>
                </w:p>
                <w:p>
                  <w:pPr>
                    <w:bidi w:val="0"/>
                    <w:spacing w:line="240" w:lineRule="auto"/>
                    <w:ind w:left="0" w:firstLine="0"/>
                    <w:jc w:val="center"/>
                    <w:rPr>
                      <w:rFonts w:ascii="Times New Roman" w:eastAsia="宋体" w:cs="Times New Roman" w:hAnsi="Times New Roman"/>
                      <w:b w:val="0"/>
                      <w:bCs w:val="0"/>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分析</w:t>
                  </w:r>
                </w:p>
              </w:tc>
            </w:tr>
            <w:tr>
              <w:trPr>
                <w:trHeight w:val="39"/>
              </w:trPr>
              <w:tc>
                <w:tcPr>
                  <w:tcW w:w="406" w:type="pct"/>
                  <w:vMerge w:val="restar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YS5109232540002</w:t>
                  </w:r>
                </w:p>
              </w:tc>
              <w:tc>
                <w:tcPr>
                  <w:tcW w:w="388" w:type="pct"/>
                  <w:vMerge w:val="restar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四川大英经济开发区</w:t>
                  </w:r>
                </w:p>
              </w:tc>
              <w:tc>
                <w:tcPr>
                  <w:tcW w:w="500" w:type="pc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Style w:val="15Char"/>
                      <w:rFonts w:ascii="Times New Roman" w:eastAsia="宋体" w:cs="Times New Roman" w:hAnsi="Times New Roman"/>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空间布</w:t>
                  </w:r>
                </w:p>
                <w:p>
                  <w:pPr>
                    <w:pStyle w:val="90"/>
                    <w:widowControl/>
                    <w:spacing w:line="240" w:lineRule="auto"/>
                    <w:ind w:firstLineChars="0" w:firstLine="0"/>
                    <w:jc w:val="center"/>
                    <w:rPr>
                      <w:rFonts w:ascii="Times New Roman" w:eastAsia="宋体" w:cs="Times New Roman" w:hAnsi="Times New Roman" w:hint="eastAsia"/>
                      <w:b/>
                      <w:bCs/>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局约束</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坚决遏制“两高一低”项目盲目发展</w:t>
                    <w:tab/>
                    <w:t>本项目建成运营后各类污染物均达标排放，固废收集处置率达100%，满足管控要求。</w:t>
                    <w:tab/>
                    <w:t>符合</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hint="eastAsia"/>
                      <w:b w:val="0"/>
                      <w:bCs w:val="0"/>
                      <w:color w:val="auto"/>
                      <w:sz w:val="21"/>
                      <w:szCs w:val="21"/>
                      <w:vertAlign w:val="baseline"/>
                      <w:lang w:val="en-US" w:eastAsia="zh-CN"/>
                    </w:rPr>
                    <w:t>本项目</w:t>
                  </w:r>
                  <w:r>
                    <w:rPr>
                      <w:rFonts w:cs="Times New Roman" w:hint="eastAsia"/>
                      <w:b w:val="0"/>
                      <w:bCs w:val="0"/>
                      <w:color w:val="auto"/>
                      <w:sz w:val="21"/>
                      <w:szCs w:val="21"/>
                      <w:vertAlign w:val="baseline"/>
                      <w:lang w:val="en-US" w:eastAsia="zh-CN"/>
                    </w:rPr>
                    <w:t>不属</w:t>
                  </w:r>
                  <w:r>
                    <w:rPr>
                      <w:rFonts w:ascii="Times New Roman" w:eastAsia="宋体" w:cs="Times New Roman" w:hAnsi="Times New Roman" w:hint="eastAsia"/>
                      <w:b w:val="0"/>
                      <w:bCs w:val="0"/>
                      <w:color w:val="auto"/>
                      <w:sz w:val="21"/>
                      <w:szCs w:val="21"/>
                      <w:vertAlign w:val="baseline"/>
                      <w:lang w:val="en-US" w:eastAsia="zh-CN"/>
                    </w:rPr>
                    <w:t>“两高一低”项目，符合</w:t>
                  </w:r>
                  <w:r>
                    <w:rPr>
                      <w:rFonts w:cs="Times New Roman" w:hint="eastAsia"/>
                      <w:b w:val="0"/>
                      <w:bCs w:val="0"/>
                      <w:color w:val="auto"/>
                      <w:sz w:val="21"/>
                      <w:szCs w:val="21"/>
                      <w:vertAlign w:val="baseline"/>
                      <w:lang w:val="en-US" w:eastAsia="zh-CN"/>
                    </w:rPr>
                    <w:t>所在区域</w:t>
                  </w:r>
                  <w:r>
                    <w:rPr>
                      <w:rFonts w:ascii="Times New Roman" w:eastAsia="宋体" w:cs="Times New Roman" w:hAnsi="Times New Roman" w:hint="eastAsia"/>
                      <w:b w:val="0"/>
                      <w:bCs w:val="0"/>
                      <w:color w:val="auto"/>
                      <w:sz w:val="21"/>
                      <w:szCs w:val="21"/>
                      <w:vertAlign w:val="baseline"/>
                      <w:lang w:val="en-US" w:eastAsia="zh-CN"/>
                    </w:rPr>
                    <w:t>空间布局约束要求</w:t>
                  </w:r>
                  <w:r>
                    <w:rPr>
                      <w:rFonts w:cs="Times New Roman" w:hint="eastAsia"/>
                      <w:b w:val="0"/>
                      <w:bCs w:val="0"/>
                      <w:color w:val="auto"/>
                      <w:sz w:val="21"/>
                      <w:szCs w:val="21"/>
                      <w:vertAlign w:val="baseline"/>
                      <w:lang w:val="en-US" w:eastAsia="zh-CN"/>
                    </w:rPr>
                    <w:t>。</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b w:val="0"/>
                      <w:bCs w:val="0"/>
                      <w:color w:val="auto"/>
                      <w:sz w:val="21"/>
                      <w:szCs w:val="21"/>
                      <w:vertAlign w:val="baseline"/>
                      <w:lang w:eastAsia="zh-CN"/>
                    </w:rPr>
                    <w:t>符合</w:t>
                  </w:r>
                </w:p>
              </w:tc>
            </w:tr>
            <w:tr>
              <w:trPr>
                <w:trHeight w:val="39"/>
              </w:trPr>
              <w:tc>
                <w:tcPr>
                  <w:tcW w:w="406" w:type="pct"/>
                  <w:vMerge/>
                  <w:tcBorders>
                    <w:top w:val="single" w:sz="4" w:space="0" w:color="auto"/>
                    <w:left w:val="single" w:sz="4" w:space="0" w:color="auto"/>
                    <w:right w:val="single" w:sz="4" w:space="0" w:color="auto"/>
                  </w:tcBorders>
                  <w:noWrap/>
                  <w:vAlign w:val="center"/>
                </w:tcPr>
                <w:p/>
              </w:tc>
              <w:tc>
                <w:tcPr>
                  <w:tcW w:w="388" w:type="pct"/>
                  <w:vMerge/>
                  <w:tcBorders>
                    <w:top w:val="single" w:sz="4" w:space="0" w:color="auto"/>
                    <w:left w:val="single" w:sz="4" w:space="0" w:color="auto"/>
                    <w:right w:val="single" w:sz="4" w:space="0" w:color="auto"/>
                  </w:tcBorders>
                  <w:noWrap/>
                  <w:vAlign w:val="center"/>
                </w:tcPr>
                <w:p/>
              </w:tc>
              <w:tc>
                <w:tcPr>
                  <w:tcW w:w="500" w:type="pc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Style w:val="15Char"/>
                      <w:rFonts w:ascii="Times New Roman" w:eastAsia="宋体" w:cs="Times New Roman" w:hAnsi="Times New Roman"/>
                      <w:color w:val="auto"/>
                      <w:kern w:val="2"/>
                      <w:sz w:val="21"/>
                      <w:szCs w:val="21"/>
                      <w:lang w:val="en-US" w:eastAsia="zh-CN" w:bidi="ar-SA"/>
                    </w:rPr>
                  </w:pPr>
                  <w:r>
                    <w:rPr>
                      <w:rStyle w:val="15Char"/>
                      <w:rFonts w:ascii="Times New Roman" w:eastAsia="宋体" w:cs="Times New Roman" w:hAnsi="Times New Roman"/>
                      <w:kern w:val="2"/>
                      <w:sz w:val="21"/>
                      <w:szCs w:val="21"/>
                      <w:lang w:val="en-US" w:eastAsia="zh-CN" w:bidi="ar-SA"/>
                    </w:rPr>
                    <w:t>资源开发效率要求</w:t>
                  </w:r>
                </w:p>
              </w:tc>
              <w:tc>
                <w:tcPr>
                  <w:tcW w:w="2429" w:type="pct"/>
                  <w:tcBorders>
                    <w:top w:val="single" w:sz="4" w:space="0" w:color="auto"/>
                    <w:left w:val="single" w:sz="4" w:space="0" w:color="auto"/>
                    <w:right w:val="single" w:sz="4" w:space="0" w:color="auto"/>
                  </w:tcBorders>
                  <w:noWrap/>
                  <w:vAlign w:val="center"/>
                </w:tcPr>
                <w:p>
                  <w:pPr>
                    <w:pStyle w:val="90"/>
                    <w:widowControl/>
                    <w:shd w:val="clear" w:color="auto" w:fill="FFFFFF"/>
                    <w:spacing w:line="240" w:lineRule="auto"/>
                    <w:ind w:firstLineChars="0" w:firstLine="0"/>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土地资源开发效率要求</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本项目</w:t>
                  </w:r>
                  <w:r>
                    <w:rPr>
                      <w:rFonts w:cs="Times New Roman" w:hint="eastAsia"/>
                      <w:b w:val="0"/>
                      <w:bCs w:val="0"/>
                      <w:color w:val="auto"/>
                      <w:sz w:val="21"/>
                      <w:szCs w:val="21"/>
                      <w:vertAlign w:val="baseline"/>
                      <w:lang w:val="en-US" w:eastAsia="zh-CN"/>
                    </w:rPr>
                    <w:t>为租赁已建厂房建设，不新增用地，</w:t>
                  </w:r>
                  <w:r>
                    <w:rPr>
                      <w:rFonts w:ascii="Times New Roman" w:eastAsia="宋体" w:cs="Times New Roman" w:hAnsi="Times New Roman" w:hint="eastAsia"/>
                      <w:b w:val="0"/>
                      <w:bCs w:val="0"/>
                      <w:color w:val="auto"/>
                      <w:sz w:val="21"/>
                      <w:szCs w:val="21"/>
                      <w:vertAlign w:val="baseline"/>
                      <w:lang w:val="en-US" w:eastAsia="zh-CN"/>
                    </w:rPr>
                    <w:t>符合资源利用效率的管控要求。</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FF0000"/>
                      <w:sz w:val="21"/>
                      <w:szCs w:val="21"/>
                      <w:vertAlign w:val="baseline"/>
                      <w:lang w:eastAsia="zh-CN"/>
                    </w:rPr>
                  </w:pPr>
                </w:p>
              </w:tc>
            </w:tr>
            <w:tr>
              <w:trPr>
                <w:trHeight w:val="20"/>
              </w:trPr>
              <w:tc>
                <w:tcPr>
                  <w:tcW w:w="406"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环境管控单元编码</w:t>
                  </w:r>
                </w:p>
              </w:tc>
              <w:tc>
                <w:tcPr>
                  <w:tcW w:w="388"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环境管控单元名称</w:t>
                  </w:r>
                </w:p>
              </w:tc>
              <w:tc>
                <w:tcPr>
                  <w:tcW w:w="500"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管控</w:t>
                  </w:r>
                </w:p>
                <w:p>
                  <w:pPr>
                    <w:tabs>
                      <w:tab w:val="left" w:pos="7770"/>
                    </w:tabs>
                    <w:spacing w:line="240" w:lineRule="auto"/>
                    <w:jc w:val="center"/>
                    <w:rPr>
                      <w:rStyle w:val="15Char"/>
                      <w:rFonts w:ascii="Times New Roman" w:eastAsia="宋体" w:cs="Times New Roman" w:hAnsi="Times New Roman"/>
                      <w:color w:val="auto"/>
                      <w:kern w:val="2"/>
                      <w:sz w:val="21"/>
                      <w:szCs w:val="21"/>
                      <w:lang w:val="en-US" w:eastAsia="zh-CN" w:bidi="ar-SA"/>
                    </w:rPr>
                  </w:pPr>
                  <w:r>
                    <w:rPr>
                      <w:rFonts w:ascii="Times New Roman" w:eastAsia="宋体" w:cs="Times New Roman" w:hAnsi="Times New Roman" w:hint="eastAsia"/>
                      <w:b/>
                      <w:bCs/>
                      <w:color w:val="auto"/>
                      <w:sz w:val="21"/>
                      <w:szCs w:val="21"/>
                      <w:vertAlign w:val="baseline"/>
                      <w:lang w:val="en-US" w:eastAsia="zh-CN"/>
                    </w:rPr>
                    <w:t>类别</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center"/>
                    <w:rPr>
                      <w:rStyle w:val="15Char"/>
                      <w:rFonts w:ascii="Times New Roman" w:eastAsia="宋体" w:cs="Times New Roman" w:hAnsi="Times New Roman"/>
                      <w:color w:val="auto"/>
                      <w:kern w:val="2"/>
                      <w:sz w:val="21"/>
                      <w:szCs w:val="21"/>
                      <w:lang w:val="en-US" w:eastAsia="zh-CN" w:bidi="ar-SA"/>
                    </w:rPr>
                  </w:pPr>
                  <w:r>
                    <w:rPr>
                      <w:rFonts w:ascii="Times New Roman" w:eastAsia="宋体" w:cs="Times New Roman" w:hAnsi="Times New Roman" w:hint="eastAsia"/>
                      <w:b/>
                      <w:bCs/>
                      <w:color w:val="auto"/>
                      <w:sz w:val="21"/>
                      <w:szCs w:val="21"/>
                      <w:vertAlign w:val="baseline"/>
                      <w:lang w:val="en-US" w:eastAsia="zh-CN"/>
                    </w:rPr>
                    <w:t>单元特性管控要求</w:t>
                  </w:r>
                </w:p>
              </w:tc>
              <w:tc>
                <w:tcPr>
                  <w:tcW w:w="94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bCs/>
                      <w:color w:val="auto"/>
                      <w:sz w:val="21"/>
                      <w:szCs w:val="21"/>
                      <w:vertAlign w:val="baseline"/>
                      <w:lang w:eastAsia="zh-CN"/>
                    </w:rPr>
                    <w:t>项目对应情况介绍</w:t>
                  </w:r>
                </w:p>
              </w:tc>
              <w:tc>
                <w:tcPr>
                  <w:tcW w:w="332"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bCs/>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符合性</w:t>
                  </w:r>
                </w:p>
                <w:p>
                  <w:pPr>
                    <w:bidi w:val="0"/>
                    <w:spacing w:line="240" w:lineRule="auto"/>
                    <w:ind w:left="0" w:firstLine="0"/>
                    <w:jc w:val="center"/>
                    <w:rPr>
                      <w:rFonts w:ascii="Times New Roman" w:eastAsia="宋体" w:cs="Times New Roman" w:hAnsi="Times New Roman"/>
                      <w:b w:val="0"/>
                      <w:bCs w:val="0"/>
                      <w:color w:val="auto"/>
                      <w:sz w:val="21"/>
                      <w:szCs w:val="21"/>
                      <w:vertAlign w:val="baseline"/>
                      <w:lang w:eastAsia="zh-CN"/>
                    </w:rPr>
                  </w:pPr>
                  <w:r>
                    <w:rPr>
                      <w:rFonts w:ascii="Times New Roman" w:eastAsia="宋体" w:cs="Times New Roman" w:hAnsi="Times New Roman"/>
                      <w:b/>
                      <w:bCs/>
                      <w:color w:val="auto"/>
                      <w:sz w:val="21"/>
                      <w:szCs w:val="21"/>
                      <w:vertAlign w:val="baseline"/>
                      <w:lang w:eastAsia="zh-CN"/>
                    </w:rPr>
                    <w:t>分析</w:t>
                  </w:r>
                </w:p>
              </w:tc>
            </w:tr>
            <w:tr>
              <w:trPr>
                <w:trHeight w:val="20"/>
              </w:trPr>
              <w:tc>
                <w:tcPr>
                  <w:tcW w:w="406"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YS5109232550001</w:t>
                  </w:r>
                </w:p>
              </w:tc>
              <w:tc>
                <w:tcPr>
                  <w:tcW w:w="388" w:type="pct"/>
                  <w:tcBorders>
                    <w:top w:val="single" w:sz="4" w:space="0" w:color="auto"/>
                    <w:left w:val="single" w:sz="4" w:space="0" w:color="auto"/>
                    <w:right w:val="single" w:sz="4" w:space="0" w:color="auto"/>
                  </w:tcBorders>
                  <w:noWrap/>
                  <w:vAlign w:val="center"/>
                </w:tcPr>
                <w:p>
                  <w:pPr>
                    <w:pStyle w:val="89"/>
                    <w:widowControl/>
                    <w:spacing w:line="240" w:lineRule="auto"/>
                    <w:ind w:firstLineChars="0" w:firstLine="0"/>
                    <w:jc w:val="center"/>
                    <w:rPr>
                      <w:rFonts w:ascii="Times New Roman" w:eastAsia="宋体" w:cs="Times New Roman" w:hAnsi="Times New Roman"/>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大英县自然资源重点管控区</w:t>
                  </w:r>
                </w:p>
              </w:tc>
              <w:tc>
                <w:tcPr>
                  <w:tcW w:w="500" w:type="pct"/>
                  <w:tcBorders>
                    <w:top w:val="single" w:sz="4" w:space="0" w:color="auto"/>
                    <w:left w:val="single" w:sz="4" w:space="0" w:color="auto"/>
                    <w:right w:val="single" w:sz="4" w:space="0" w:color="auto"/>
                  </w:tcBorders>
                  <w:noWrap/>
                  <w:vAlign w:val="center"/>
                </w:tcPr>
                <w:p>
                  <w:pPr>
                    <w:pStyle w:val="90"/>
                    <w:widowControl/>
                    <w:spacing w:line="240" w:lineRule="auto"/>
                    <w:ind w:firstLineChars="0" w:firstLine="0"/>
                    <w:jc w:val="center"/>
                    <w:rPr>
                      <w:rFonts w:ascii="Times New Roman" w:eastAsia="宋体" w:cs="Times New Roman" w:hAnsi="Times New Roman" w:hint="eastAsia"/>
                      <w:b w:val="0"/>
                      <w:bCs w:val="0"/>
                      <w:color w:val="auto"/>
                      <w:sz w:val="21"/>
                      <w:szCs w:val="21"/>
                      <w:vertAlign w:val="baseline"/>
                      <w:lang w:val="en-US" w:eastAsia="zh-CN"/>
                    </w:rPr>
                  </w:pPr>
                  <w:r>
                    <w:rPr>
                      <w:rStyle w:val="15Char"/>
                      <w:rFonts w:ascii="Times New Roman" w:eastAsia="宋体" w:cs="Times New Roman" w:hAnsi="Times New Roman"/>
                      <w:kern w:val="2"/>
                      <w:sz w:val="21"/>
                      <w:szCs w:val="21"/>
                      <w:lang w:val="en-US" w:eastAsia="zh-CN" w:bidi="ar-SA"/>
                    </w:rPr>
                    <w:t>资源开发效率要求</w:t>
                  </w:r>
                </w:p>
              </w:tc>
              <w:tc>
                <w:tcPr>
                  <w:tcW w:w="2429"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土地资源开发效率要求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能源资源开发效率要求</w:t>
                  </w:r>
                </w:p>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其他资源开发效率要求</w:t>
                    <w:tab/>
                    <w:t>本项目建成运营后各类污染物均达标排放，固废收集处置率达100%，满足管控要求。</w:t>
                    <w:tab/>
                    <w:t>符合</w:t>
                  </w:r>
                </w:p>
              </w:tc>
              <w:tc>
                <w:tcPr>
                  <w:tcW w:w="942" w:type="pct"/>
                  <w:tcBorders>
                    <w:top w:val="single" w:sz="4" w:space="0" w:color="auto"/>
                    <w:left w:val="single" w:sz="4" w:space="0" w:color="auto"/>
                    <w:right w:val="single" w:sz="4" w:space="0" w:color="auto"/>
                  </w:tcBorders>
                  <w:noWrap/>
                  <w:vAlign w:val="center"/>
                </w:tcPr>
                <w:p>
                  <w:pPr>
                    <w:tabs>
                      <w:tab w:val="left" w:pos="7770"/>
                    </w:tabs>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本项目</w:t>
                  </w:r>
                  <w:r>
                    <w:rPr>
                      <w:rFonts w:cs="Times New Roman" w:hint="eastAsia"/>
                      <w:b w:val="0"/>
                      <w:bCs w:val="0"/>
                      <w:color w:val="auto"/>
                      <w:sz w:val="21"/>
                      <w:szCs w:val="21"/>
                      <w:vertAlign w:val="baseline"/>
                      <w:lang w:val="en-US" w:eastAsia="zh-CN"/>
                    </w:rPr>
                    <w:t>不新增用地，</w:t>
                  </w:r>
                  <w:r>
                    <w:rPr>
                      <w:rFonts w:ascii="Times New Roman" w:eastAsia="宋体" w:cs="Times New Roman" w:hAnsi="Times New Roman" w:hint="eastAsia"/>
                      <w:b w:val="0"/>
                      <w:bCs w:val="0"/>
                      <w:color w:val="auto"/>
                      <w:sz w:val="21"/>
                      <w:szCs w:val="21"/>
                      <w:vertAlign w:val="baseline"/>
                      <w:lang w:val="en-US" w:eastAsia="zh-CN"/>
                    </w:rPr>
                    <w:t>不涉及地下水的开采</w:t>
                  </w:r>
                  <w:r>
                    <w:rPr>
                      <w:rFonts w:cs="Times New Roman" w:hint="eastAsia"/>
                      <w:b w:val="0"/>
                      <w:bCs w:val="0"/>
                      <w:color w:val="auto"/>
                      <w:sz w:val="21"/>
                      <w:szCs w:val="21"/>
                      <w:vertAlign w:val="baseline"/>
                      <w:lang w:val="en-US" w:eastAsia="zh-CN"/>
                    </w:rPr>
                    <w:t>使用</w:t>
                  </w:r>
                  <w:r>
                    <w:rPr>
                      <w:rFonts w:ascii="Times New Roman" w:eastAsia="宋体" w:cs="Times New Roman" w:hAnsi="Times New Roman" w:hint="eastAsia"/>
                      <w:b w:val="0"/>
                      <w:bCs w:val="0"/>
                      <w:color w:val="auto"/>
                      <w:sz w:val="21"/>
                      <w:szCs w:val="21"/>
                      <w:vertAlign w:val="baseline"/>
                      <w:lang w:val="en-US" w:eastAsia="zh-CN"/>
                    </w:rPr>
                    <w:t>，符合区域资源利用效率的管控要求。</w:t>
                  </w:r>
                </w:p>
              </w:tc>
              <w:tc>
                <w:tcPr>
                  <w:tcW w:w="33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eastAsia="zh-CN"/>
                    </w:rPr>
                    <w:t>符合</w:t>
                  </w:r>
                </w:p>
              </w:tc>
            </w:tr>
          </w:tbl>
          <w:p>
            <w:pPr>
              <w:tabs>
                <w:tab w:val="left" w:pos="7770"/>
              </w:tabs>
              <w:spacing w:line="360" w:lineRule="auto"/>
              <w:ind w:firstLineChars="200" w:firstLine="480"/>
              <w:jc w:val="both"/>
              <w:rPr>
                <w:rFonts w:ascii="Times New Roman" w:eastAsia="宋体" w:cs="Times New Roman" w:hAnsi="Times New Roman"/>
                <w:b/>
                <w:bCs/>
                <w:color w:val="auto"/>
                <w:sz w:val="28"/>
                <w:szCs w:val="28"/>
                <w:vertAlign w:val="baseline"/>
                <w:lang w:val="en-US" w:eastAsia="zh-CN"/>
              </w:rPr>
            </w:pPr>
            <w:r>
              <w:rPr>
                <w:rFonts w:ascii="Times New Roman" w:eastAsia="宋体" w:cs="Times New Roman" w:hAnsi="Times New Roman" w:hint="eastAsia"/>
                <w:b w:val="0"/>
                <w:bCs w:val="0"/>
                <w:color w:val="auto"/>
                <w:sz w:val="24"/>
                <w:szCs w:val="24"/>
                <w:vertAlign w:val="baseline"/>
                <w:lang w:val="en-US" w:eastAsia="zh-CN"/>
              </w:rPr>
              <w:t>综上，本项目符合遂宁市生态环境分区管控要求。</w:t>
            </w:r>
          </w:p>
        </w:tc>
      </w:tr>
    </w:tbl>
    <w:p>
      <w:pPr>
        <w:tabs>
          <w:tab w:val="left" w:pos="7770"/>
        </w:tabs>
        <w:spacing w:line="360" w:lineRule="auto"/>
        <w:jc w:val="center"/>
        <w:rPr>
          <w:rFonts w:ascii="Times New Roman" w:eastAsia="宋体" w:cs="Times New Roman" w:hAnsi="Times New Roman" w:hint="eastAsia"/>
          <w:b/>
          <w:bCs/>
          <w:color w:val="auto"/>
          <w:sz w:val="28"/>
          <w:szCs w:val="28"/>
          <w:lang w:val="en-US" w:eastAsia="zh-CN"/>
        </w:rPr>
        <w:sectPr>
          <w:pgSz w:w="16838" w:h="11906" w:orient="landscape"/>
          <w:pgMar w:top="1417" w:right="1587" w:bottom="1417" w:left="1587" w:header="851" w:footer="992" w:gutter="0"/>
          <w:pgNumType/>
          <w:rtlGutter/>
          <w:docGrid w:type="lines" w:linePitch="312" w:charSpace="0"/>
        </w:sectPr>
      </w:pPr>
    </w:p>
    <w:p>
      <w:pPr>
        <w:tabs>
          <w:tab w:val="left" w:pos="7770"/>
        </w:tabs>
        <w:spacing w:line="360" w:lineRule="auto"/>
        <w:jc w:val="center"/>
        <w:rPr>
          <w:rFonts w:ascii="Times New Roman" w:eastAsia="宋体" w:cs="Times New Roman" w:hAnsi="Times New Roman"/>
          <w:b/>
          <w:bCs/>
          <w:color w:val="auto"/>
          <w:sz w:val="28"/>
          <w:szCs w:val="28"/>
          <w:lang w:val="en-US" w:eastAsia="zh-CN"/>
        </w:rPr>
      </w:pPr>
      <w:r>
        <w:rPr>
          <w:rFonts w:ascii="Times New Roman" w:eastAsia="宋体" w:cs="Times New Roman" w:hAnsi="Times New Roman" w:hint="eastAsia"/>
          <w:b/>
          <w:bCs/>
          <w:color w:val="auto"/>
          <w:sz w:val="28"/>
          <w:szCs w:val="28"/>
          <w:lang w:val="en-US" w:eastAsia="zh-CN"/>
        </w:rPr>
        <w:t>二</w:t>
      </w:r>
      <w:r>
        <w:rPr>
          <w:rFonts w:cs="Times New Roman" w:hint="eastAsia"/>
          <w:b/>
          <w:bCs/>
          <w:color w:val="auto"/>
          <w:sz w:val="28"/>
          <w:szCs w:val="28"/>
          <w:lang w:val="en-US" w:eastAsia="zh-CN"/>
        </w:rPr>
        <w:t>、</w:t>
      </w:r>
      <w:r>
        <w:rPr>
          <w:rFonts w:ascii="Times New Roman" w:eastAsia="宋体" w:cs="Times New Roman" w:hAnsi="Times New Roman" w:hint="eastAsia"/>
          <w:b/>
          <w:bCs/>
          <w:color w:val="auto"/>
          <w:sz w:val="28"/>
          <w:szCs w:val="28"/>
          <w:lang w:val="en-US" w:eastAsia="zh-CN"/>
        </w:rPr>
        <w:t>建设内容</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24"/>
        <w:gridCol w:w="8598"/>
      </w:tblGrid>
      <w:tr>
        <w:trPr>
          <w:trHeight w:val="683"/>
        </w:trPr>
        <w:tc>
          <w:tcPr>
            <w:tcW w:w="532" w:type="pct"/>
            <w:noWrap/>
            <w:vAlign w:val="center"/>
          </w:tcPr>
          <w:p>
            <w:pPr>
              <w:spacing w:line="360" w:lineRule="auto"/>
              <w:jc w:val="center"/>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建设</w:t>
            </w:r>
          </w:p>
          <w:p>
            <w:pPr>
              <w:spacing w:line="360" w:lineRule="auto"/>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b/>
                <w:bCs/>
                <w:color w:val="auto"/>
                <w:sz w:val="24"/>
                <w:szCs w:val="24"/>
                <w:lang w:val="en-US" w:eastAsia="zh-CN"/>
              </w:rPr>
              <w:t>内容</w:t>
            </w:r>
          </w:p>
        </w:tc>
        <w:tc>
          <w:tcPr>
            <w:tcW w:w="4467" w:type="pct"/>
            <w:noWrap/>
            <w:vAlign w:val="center"/>
          </w:tcPr>
          <w:p>
            <w:pPr>
              <w:keepNext w:val="0"/>
              <w:keepLines w:val="0"/>
              <w:pageBreakBefore w:val="0"/>
              <w:widowControl w:val="0"/>
              <w:numPr>
                <w:ilvl w:val="0"/>
                <w:numId w:val="27"/>
              </w:numPr>
              <w:kinsoku/>
              <w:wordWrap/>
              <w:overflowPunct/>
              <w:topLinePunct w:val="0"/>
              <w:autoSpaceDE/>
              <w:autoSpaceDN/>
              <w:bidi w:val="0"/>
              <w:adjustRightInd/>
              <w:snapToGrid/>
              <w:spacing w:line="360" w:lineRule="auto"/>
              <w:jc w:val="both"/>
              <w:textAlignment w:val="auto"/>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项目由来</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四川鼎信环保科技有限公司成立于2024年09月，注册地位于四川省遂宁市大英县蓬莱镇南华路嘉泰城市建设投资开发公司20幢厂房第3层；主要从事废弃电器电子产品循环再利用；资源再生利用技术研发；再生资源回收（除生产性废旧金属）。</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随着科学技术的发展，新兴电子产品更新速度越来越快，全国淘汰电子产品数量增长迅猛。国家多次提出让资源循环利用，发改委也一直在鼓励二手电子产品进入循环市场，这也是“碳中和”，甚至“负碳排”的重要环节。为适应市场发展需求，四川鼎信环保科技有限公司拟投资200万元选址遂宁市大英县蓬莱镇南华路大英县嘉泰城市建设投资开发有限责任公司20幢厂房第3层，租赁已建厂房，建设“废弃电器电子产品拆解综合利用生产线建设项目”。</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“废弃电器电子产品拆解综合利用生产线建设项目”建筑面积500平方米，建设二手电子产品库一座，设置电子产品拆解检查台2台，配置检测维修设备及仪器；计划年拆解综合利用废弃电器电子产品10万台/套。</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b w:val="0"/>
                <w:bCs w:val="0"/>
                <w:color w:val="auto"/>
                <w:sz w:val="24"/>
                <w:szCs w:val="24"/>
                <w:lang w:val="en-US" w:eastAsia="zh-CN"/>
              </w:rPr>
            </w:pPr>
            <w:r>
              <w:rPr>
                <w:rFonts w:ascii="Times New Roman" w:eastAsia="宋体" w:cs="Times New Roman" w:hAnsi="Times New Roman"/>
                <w:b w:val="0"/>
                <w:bCs w:val="0"/>
                <w:color w:val="auto"/>
                <w:sz w:val="24"/>
                <w:szCs w:val="24"/>
                <w:lang w:val="en-US" w:eastAsia="zh-CN"/>
              </w:rPr>
              <w:t>根据《中华人民共和国环境影响评价法》</w:t>
            </w:r>
            <w:r>
              <w:rPr>
                <w:rFonts w:ascii="Times New Roman" w:eastAsia="宋体" w:cs="Times New Roman" w:hAnsi="Times New Roman" w:hint="eastAsia"/>
                <w:b w:val="0"/>
                <w:bCs w:val="0"/>
                <w:color w:val="auto"/>
                <w:sz w:val="24"/>
                <w:szCs w:val="24"/>
                <w:lang w:val="en-US" w:eastAsia="zh-CN"/>
              </w:rPr>
              <w:t>及</w:t>
            </w:r>
            <w:r>
              <w:rPr>
                <w:rFonts w:ascii="Times New Roman" w:eastAsia="宋体" w:cs="Times New Roman" w:hAnsi="Times New Roman"/>
                <w:b w:val="0"/>
                <w:bCs w:val="0"/>
                <w:color w:val="auto"/>
                <w:sz w:val="24"/>
                <w:szCs w:val="24"/>
                <w:lang w:val="en-US" w:eastAsia="zh-CN"/>
              </w:rPr>
              <w:t>《建设项目环境保护管理条例》中有关规定</w:t>
            </w:r>
            <w:r>
              <w:rPr>
                <w:rFonts w:cs="Times New Roman" w:hint="eastAsia"/>
                <w:b w:val="0"/>
                <w:bCs w:val="0"/>
                <w:color w:val="auto"/>
                <w:sz w:val="24"/>
                <w:szCs w:val="24"/>
                <w:lang w:val="en-US" w:eastAsia="zh-CN"/>
              </w:rPr>
              <w:t>，</w:t>
            </w:r>
            <w:r>
              <w:rPr>
                <w:rFonts w:eastAsia="宋体" w:cs="Times New Roman" w:hint="eastAsia"/>
                <w:b w:val="0"/>
                <w:bCs w:val="0"/>
                <w:color w:val="auto"/>
                <w:sz w:val="24"/>
                <w:szCs w:val="24"/>
                <w:lang w:val="en-US" w:eastAsia="zh-CN"/>
              </w:rPr>
              <w:t>本</w:t>
            </w:r>
            <w:r>
              <w:rPr>
                <w:rFonts w:ascii="Times New Roman" w:eastAsia="宋体" w:cs="Times New Roman" w:hAnsi="Times New Roman"/>
                <w:b w:val="0"/>
                <w:bCs w:val="0"/>
                <w:color w:val="auto"/>
                <w:sz w:val="24"/>
                <w:szCs w:val="24"/>
                <w:lang w:val="en-US" w:eastAsia="zh-CN"/>
              </w:rPr>
              <w:t>项目应进行环境影响评价</w:t>
            </w:r>
            <w:r>
              <w:rPr>
                <w:rFonts w:ascii="Times New Roman" w:eastAsia="宋体" w:cs="Times New Roman" w:hAnsi="Times New Roman" w:hint="eastAsia"/>
                <w:b w:val="0"/>
                <w:bCs w:val="0"/>
                <w:color w:val="auto"/>
                <w:sz w:val="24"/>
                <w:szCs w:val="24"/>
                <w:lang w:val="en-US" w:eastAsia="zh-CN"/>
              </w:rPr>
              <w:t>；同时</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根据《建设项目环境影响评价分类管理名录</w:t>
            </w:r>
            <w:r>
              <w:rPr>
                <w:rFonts w:ascii="Times New Roman" w:eastAsia="宋体" w:cs="Times New Roman" w:hAnsi="Times New Roman" w:hint="eastAsia"/>
                <w:b w:val="0"/>
                <w:bCs w:val="0"/>
                <w:color w:val="auto"/>
                <w:sz w:val="24"/>
                <w:szCs w:val="24"/>
                <w:lang w:val="en-US" w:eastAsia="zh-CN"/>
              </w:rPr>
              <w:t>（2021年版</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中相关内容</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项目类别</w:t>
            </w:r>
            <w:r>
              <w:rPr>
                <w:rFonts w:ascii="Times New Roman" w:eastAsia="宋体" w:cs="Times New Roman" w:hAnsi="Times New Roman" w:hint="eastAsia"/>
                <w:b w:val="0"/>
                <w:bCs w:val="0"/>
                <w:color w:val="auto"/>
                <w:sz w:val="24"/>
                <w:szCs w:val="24"/>
                <w:lang w:val="en-US" w:eastAsia="zh-CN"/>
              </w:rPr>
              <w:t>属于</w:t>
            </w:r>
            <w:r>
              <w:rPr>
                <w:rFonts w:cs="Times New Roman" w:hint="eastAsia"/>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ascii="Times New Roman" w:eastAsia="宋体" w:cs="Times New Roman" w:hAnsi="Times New Roman"/>
                <w:b w:val="0"/>
                <w:bCs w:val="0"/>
                <w:color w:val="auto"/>
                <w:sz w:val="24"/>
                <w:szCs w:val="24"/>
                <w:lang w:val="en-US" w:eastAsia="zh-CN"/>
              </w:rPr>
              <w:t>应编制环境影响报告表</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由此受</w:t>
            </w:r>
            <w:r>
              <w:rPr>
                <w:rFonts w:cs="Times New Roman" w:hint="eastAsia"/>
                <w:b w:val="0"/>
                <w:bCs w:val="0"/>
                <w:color w:val="auto"/>
                <w:sz w:val="24"/>
                <w:szCs w:val="24"/>
                <w:lang w:val="en-US" w:eastAsia="zh-CN"/>
              </w:rPr>
              <w:t>本</w:t>
            </w:r>
            <w:r>
              <w:rPr>
                <w:rFonts w:ascii="Times New Roman" w:eastAsia="宋体" w:cs="Times New Roman" w:hAnsi="Times New Roman"/>
                <w:b w:val="0"/>
                <w:bCs w:val="0"/>
                <w:color w:val="auto"/>
                <w:sz w:val="24"/>
                <w:szCs w:val="24"/>
                <w:lang w:val="en-US" w:eastAsia="zh-CN"/>
              </w:rPr>
              <w:t>项目业主</w:t>
            </w:r>
            <w:r>
              <w:rPr>
                <w:rFonts w:cs="Times New Roman" w:hint="eastAsia"/>
                <w:b w:val="0"/>
                <w:bCs w:val="0"/>
                <w:color w:val="auto"/>
                <w:sz w:val="24"/>
                <w:szCs w:val="24"/>
                <w:lang w:val="en-US" w:eastAsia="zh-CN"/>
              </w:rPr>
              <w:t>四川鼎信环保科技有限公司</w:t>
            </w:r>
            <w:r>
              <w:rPr>
                <w:rFonts w:ascii="Times New Roman" w:eastAsia="宋体" w:cs="Times New Roman" w:hAnsi="Times New Roman"/>
                <w:b w:val="0"/>
                <w:bCs w:val="0"/>
                <w:color w:val="auto"/>
                <w:sz w:val="24"/>
                <w:szCs w:val="24"/>
                <w:lang w:val="en-US" w:eastAsia="zh-CN"/>
              </w:rPr>
              <w:t>委托</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四川新云蓝天环保科技有限公司接受了该项目环境影响报告表编制工作</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并开展了现场踏勘、资料收集、整理工作</w:t>
            </w:r>
            <w:r>
              <w:rPr>
                <w:rFonts w:ascii="Times New Roman" w:eastAsia="宋体" w:cs="Times New Roman" w:hAnsi="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评价单位在掌握了充分的资料数据基础上</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按照有关技术规范要求</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编制了</w:t>
            </w:r>
            <w:r>
              <w:rPr>
                <w:rFonts w:cs="Times New Roman" w:hint="eastAsia"/>
                <w:b w:val="0"/>
                <w:bCs w:val="0"/>
                <w:color w:val="auto"/>
                <w:sz w:val="24"/>
                <w:szCs w:val="24"/>
                <w:lang w:val="en-US" w:eastAsia="zh-CN"/>
              </w:rPr>
              <w:t>本</w:t>
            </w:r>
            <w:r>
              <w:rPr>
                <w:rFonts w:ascii="Times New Roman" w:eastAsia="宋体" w:cs="Times New Roman" w:hAnsi="Times New Roman"/>
                <w:b w:val="0"/>
                <w:bCs w:val="0"/>
                <w:color w:val="auto"/>
                <w:sz w:val="24"/>
                <w:szCs w:val="24"/>
                <w:lang w:val="en-US" w:eastAsia="zh-CN"/>
              </w:rPr>
              <w:t>项目环境影响报告表。</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0"/>
              <w:jc w:val="both"/>
              <w:textAlignment w:val="auto"/>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项目概况</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项目名称</w:t>
            </w:r>
            <w:r>
              <w:rPr>
                <w:rFonts w:cs="Times New Roman" w:hint="eastAsia"/>
                <w:b/>
                <w:bCs/>
                <w:color w:val="auto"/>
                <w:sz w:val="24"/>
                <w:szCs w:val="24"/>
                <w:lang w:val="en-US" w:eastAsia="zh-CN"/>
              </w:rPr>
              <w:t>、</w:t>
            </w:r>
            <w:r>
              <w:rPr>
                <w:rFonts w:ascii="Times New Roman" w:eastAsia="宋体" w:cs="Times New Roman" w:hAnsi="Times New Roman"/>
                <w:b/>
                <w:bCs/>
                <w:color w:val="auto"/>
                <w:sz w:val="24"/>
                <w:szCs w:val="24"/>
                <w:lang w:val="en-US" w:eastAsia="zh-CN"/>
              </w:rPr>
              <w:t>性质</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ascii="Times New Roman" w:eastAsia="宋体" w:cs="Times New Roman" w:hAnsi="Times New Roman"/>
                <w:b w:val="0"/>
                <w:bCs w:val="0"/>
                <w:color w:val="auto"/>
                <w:sz w:val="24"/>
                <w:szCs w:val="24"/>
                <w:lang w:val="en-US" w:eastAsia="zh-CN"/>
              </w:rPr>
              <w:t>项目名称</w:t>
            </w:r>
            <w:r>
              <w:rPr>
                <w:rFonts w:cs="Times New Roman" w:hint="eastAsia"/>
                <w:b w:val="0"/>
                <w:bCs w:val="0"/>
                <w:color w:val="auto"/>
                <w:sz w:val="24"/>
                <w:szCs w:val="24"/>
                <w:lang w:val="en-US" w:eastAsia="zh-CN"/>
              </w:rPr>
              <w:t>：废弃电器电子产品拆解综合利用生产线建设项目</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b w:val="0"/>
                <w:bCs w:val="0"/>
                <w:color w:val="auto"/>
                <w:sz w:val="24"/>
                <w:szCs w:val="24"/>
                <w:lang w:val="en-US" w:eastAsia="zh-CN"/>
              </w:rPr>
            </w:pPr>
            <w:r>
              <w:rPr>
                <w:rFonts w:ascii="Times New Roman" w:eastAsia="宋体" w:cs="Times New Roman" w:hAnsi="Times New Roman"/>
                <w:b w:val="0"/>
                <w:bCs w:val="0"/>
                <w:color w:val="auto"/>
                <w:sz w:val="24"/>
                <w:szCs w:val="24"/>
                <w:lang w:val="en-US" w:eastAsia="zh-CN"/>
              </w:rPr>
              <w:t>建设性质</w:t>
            </w:r>
            <w:r>
              <w:rPr>
                <w:rFonts w:cs="Times New Roman" w:hint="eastAsia"/>
                <w:b w:val="0"/>
                <w:bCs w:val="0"/>
                <w:color w:val="auto"/>
                <w:sz w:val="24"/>
                <w:szCs w:val="24"/>
                <w:lang w:val="en-US" w:eastAsia="zh-CN"/>
              </w:rPr>
              <w:t>：</w:t>
            </w:r>
            <w:r>
              <w:rPr>
                <w:rFonts w:ascii="Times New Roman" w:eastAsia="宋体" w:cs="Times New Roman" w:hAnsi="Times New Roman"/>
                <w:b w:val="0"/>
                <w:bCs w:val="0"/>
                <w:color w:val="auto"/>
                <w:sz w:val="24"/>
                <w:szCs w:val="24"/>
                <w:lang w:val="en-US" w:eastAsia="zh-CN"/>
              </w:rPr>
              <w:t>新建</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b w:val="0"/>
                <w:bCs w:val="0"/>
                <w:color w:val="auto"/>
                <w:sz w:val="24"/>
                <w:szCs w:val="24"/>
                <w:lang w:val="en-US" w:eastAsia="zh-CN"/>
              </w:rPr>
            </w:pPr>
            <w:r>
              <w:rPr>
                <w:rFonts w:ascii="Times New Roman" w:eastAsia="宋体" w:cs="Times New Roman" w:hAnsi="Times New Roman"/>
                <w:b w:val="0"/>
                <w:bCs w:val="0"/>
                <w:color w:val="auto"/>
                <w:sz w:val="24"/>
                <w:szCs w:val="24"/>
                <w:lang w:val="en-US" w:eastAsia="zh-CN"/>
              </w:rPr>
              <w:t>建设地点</w:t>
            </w:r>
            <w:r>
              <w:rPr>
                <w:rFonts w:cs="Times New Roman" w:hint="eastAsia"/>
                <w:b w:val="0"/>
                <w:bCs w:val="0"/>
                <w:color w:val="auto"/>
                <w:sz w:val="24"/>
                <w:szCs w:val="24"/>
                <w:lang w:val="en-US" w:eastAsia="zh-CN"/>
              </w:rPr>
              <w:t>：遂宁市大英县蓬莱镇南华路大英县嘉泰城市建设投资开发有限责任公司20幢厂房第3层</w:t>
            </w:r>
            <w:r>
              <w:rPr>
                <w:rFonts w:ascii="Times New Roman" w:eastAsia="宋体" w:cs="Times New Roman" w:hAnsi="Times New Roman"/>
                <w:b w:val="0"/>
                <w:bCs w:val="0"/>
                <w:color w:val="auto"/>
                <w:sz w:val="24"/>
                <w:szCs w:val="24"/>
                <w:lang w:val="en-US" w:eastAsia="zh-CN"/>
              </w:rPr>
              <w:t>（地理坐标E</w:t>
            </w:r>
            <w:r>
              <w:rPr>
                <w:rFonts w:cs="Times New Roman" w:hint="eastAsia"/>
                <w:b w:val="0"/>
                <w:bCs w:val="0"/>
                <w:color w:val="auto"/>
                <w:sz w:val="24"/>
                <w:szCs w:val="24"/>
                <w:lang w:val="en-US" w:eastAsia="zh-CN"/>
              </w:rPr>
              <w:t xml:space="preserve"> 105.264999，</w:t>
            </w:r>
            <w:r>
              <w:rPr>
                <w:rFonts w:ascii="Times New Roman" w:eastAsia="宋体" w:cs="Times New Roman" w:hAnsi="Times New Roman"/>
                <w:b w:val="0"/>
                <w:bCs w:val="0"/>
                <w:color w:val="auto"/>
                <w:sz w:val="24"/>
                <w:szCs w:val="24"/>
                <w:lang w:val="en-US" w:eastAsia="zh-CN"/>
              </w:rPr>
              <w:t>N</w:t>
            </w:r>
            <w:r>
              <w:rPr>
                <w:rFonts w:cs="Times New Roman" w:hint="eastAsia"/>
                <w:b w:val="0"/>
                <w:bCs w:val="0"/>
                <w:color w:val="auto"/>
                <w:sz w:val="24"/>
                <w:szCs w:val="24"/>
                <w:lang w:val="en-US" w:eastAsia="zh-CN"/>
              </w:rPr>
              <w:t xml:space="preserve"> 30.578918）</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color w:val="auto"/>
                <w:sz w:val="24"/>
                <w:szCs w:val="24"/>
                <w:lang w:val="en-US" w:eastAsia="zh-CN"/>
              </w:rPr>
            </w:pPr>
            <w:r>
              <w:rPr>
                <w:rFonts w:ascii="Times New Roman" w:eastAsia="宋体" w:cs="Times New Roman" w:hAnsi="Times New Roman"/>
                <w:b/>
                <w:bCs/>
                <w:color w:val="auto"/>
                <w:sz w:val="24"/>
                <w:szCs w:val="24"/>
                <w:lang w:val="en-US" w:eastAsia="zh-CN"/>
              </w:rPr>
              <w:t>项目主要工程内容</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本项目由主体工程、辅助工程、储运工程、公用工程及环保工程组成；具体工程内容及所产生的环境问题见表2-</w:t>
            </w:r>
            <w:r>
              <w:rPr>
                <w:rFonts w:cs="Times New Roman" w:hint="eastAsia"/>
                <w:color w:val="auto"/>
                <w:sz w:val="24"/>
                <w:szCs w:val="24"/>
                <w:lang w:val="en-US" w:eastAsia="zh-CN"/>
              </w:rPr>
              <w:t>1</w:t>
            </w:r>
            <w:r>
              <w:rPr>
                <w:rFonts w:ascii="Times New Roman" w:eastAsia="宋体" w:cs="Times New Roman" w:hAnsi="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cs="Times New Roman" w:hint="eastAsia"/>
                <w:b/>
                <w:bCs/>
                <w:color w:val="auto"/>
                <w:sz w:val="21"/>
                <w:szCs w:val="21"/>
                <w:lang w:val="en-US" w:eastAsia="zh-CN"/>
              </w:rPr>
            </w:pPr>
            <w:r>
              <w:rPr>
                <w:rFonts w:cs="Times New Roman" w:hint="eastAsia"/>
                <w:b/>
                <w:bCs/>
                <w:color w:val="auto"/>
                <w:sz w:val="21"/>
                <w:szCs w:val="21"/>
                <w:lang w:val="en-US" w:eastAsia="zh-CN"/>
              </w:rPr>
              <w:t>表2-1 项目主要工程内容及主要环境问题一览表</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48"/>
              <w:gridCol w:w="921"/>
              <w:gridCol w:w="3970"/>
              <w:gridCol w:w="983"/>
              <w:gridCol w:w="1200"/>
              <w:gridCol w:w="646"/>
            </w:tblGrid>
            <w:tr>
              <w:trPr>
                <w:trHeight w:val="307"/>
              </w:trPr>
              <w:tc>
                <w:tcPr>
                  <w:tcW w:w="387" w:type="pct"/>
                  <w:vMerge w:val="restart"/>
                  <w:noWrap/>
                  <w:vAlign w:val="center"/>
                </w:tcPr>
                <w:p>
                  <w:pPr>
                    <w:spacing w:line="240" w:lineRule="auto"/>
                    <w:jc w:val="center"/>
                    <w:rPr>
                      <w:rFonts w:ascii="Times New Roman" w:eastAsia="宋体" w:cs="Times New Roman" w:hAnsi="Times New Roman"/>
                      <w:b/>
                      <w:bCs/>
                      <w:color w:val="auto"/>
                      <w:sz w:val="21"/>
                      <w:szCs w:val="21"/>
                      <w:vertAlign w:val="baseline"/>
                    </w:rPr>
                  </w:pPr>
                  <w:r>
                    <w:rPr>
                      <w:rFonts w:ascii="Times New Roman" w:eastAsia="宋体" w:cs="Times New Roman" w:hAnsi="Times New Roman"/>
                      <w:b/>
                      <w:bCs/>
                      <w:color w:val="auto"/>
                      <w:sz w:val="21"/>
                      <w:szCs w:val="21"/>
                      <w:vertAlign w:val="baseline"/>
                    </w:rPr>
                    <w:t>工程类别</w:t>
                  </w:r>
                </w:p>
              </w:tc>
              <w:tc>
                <w:tcPr>
                  <w:tcW w:w="2922" w:type="pct"/>
                  <w:gridSpan w:val="2"/>
                  <w:vMerge w:val="restart"/>
                  <w:noWrap/>
                  <w:vAlign w:val="center"/>
                </w:tcPr>
                <w:p>
                  <w:pPr>
                    <w:spacing w:line="240" w:lineRule="auto"/>
                    <w:jc w:val="center"/>
                    <w:rPr>
                      <w:rFonts w:ascii="Times New Roman" w:eastAsia="宋体" w:cs="Times New Roman" w:hAnsi="Times New Roman"/>
                      <w:b/>
                      <w:bCs/>
                      <w:color w:val="auto"/>
                      <w:sz w:val="21"/>
                      <w:szCs w:val="21"/>
                      <w:vertAlign w:val="baseline"/>
                    </w:rPr>
                  </w:pPr>
                  <w:r>
                    <w:rPr>
                      <w:rFonts w:ascii="Times New Roman" w:eastAsia="宋体" w:cs="Times New Roman" w:hAnsi="Times New Roman"/>
                      <w:b/>
                      <w:bCs/>
                      <w:sz w:val="21"/>
                      <w:szCs w:val="21"/>
                    </w:rPr>
                    <w:t>建设内容及规模</w:t>
                  </w:r>
                </w:p>
              </w:tc>
              <w:tc>
                <w:tcPr>
                  <w:tcW w:w="1304" w:type="pct"/>
                  <w:gridSpan w:val="2"/>
                  <w:noWrap/>
                  <w:vAlign w:val="center"/>
                </w:tcPr>
                <w:p>
                  <w:pPr>
                    <w:spacing w:line="240" w:lineRule="auto"/>
                    <w:jc w:val="center"/>
                    <w:rPr>
                      <w:rFonts w:ascii="Times New Roman" w:eastAsia="宋体" w:cs="Times New Roman" w:hAnsi="Times New Roman"/>
                      <w:b/>
                      <w:bCs/>
                      <w:color w:val="auto"/>
                      <w:sz w:val="21"/>
                      <w:szCs w:val="21"/>
                      <w:vertAlign w:val="baseline"/>
                    </w:rPr>
                  </w:pPr>
                  <w:r>
                    <w:rPr>
                      <w:rFonts w:ascii="Times New Roman" w:eastAsia="宋体" w:cs="Times New Roman" w:hAnsi="Times New Roman"/>
                      <w:b/>
                      <w:bCs/>
                      <w:sz w:val="21"/>
                      <w:szCs w:val="21"/>
                    </w:rPr>
                    <w:t>可能产生的环境问题</w:t>
                  </w:r>
                </w:p>
              </w:tc>
              <w:tc>
                <w:tcPr>
                  <w:tcW w:w="386" w:type="pct"/>
                  <w:vMerge w:val="restart"/>
                  <w:noWrap/>
                  <w:vAlign w:val="center"/>
                </w:tcPr>
                <w:p>
                  <w:pPr>
                    <w:spacing w:line="240" w:lineRule="auto"/>
                    <w:ind w:left="0" w:firstLine="0"/>
                    <w:jc w:val="center"/>
                    <w:rPr>
                      <w:rFonts w:ascii="Times New Roman" w:eastAsia="宋体" w:cs="Times New Roman" w:hAnsi="Times New Roman"/>
                      <w:b/>
                      <w:bCs/>
                      <w:color w:val="auto"/>
                      <w:sz w:val="21"/>
                      <w:szCs w:val="21"/>
                      <w:vertAlign w:val="baseline"/>
                    </w:rPr>
                  </w:pPr>
                  <w:r>
                    <w:rPr>
                      <w:rFonts w:ascii="Times New Roman" w:eastAsia="宋体" w:cs="Times New Roman" w:hAnsi="Times New Roman"/>
                      <w:b/>
                      <w:bCs/>
                      <w:sz w:val="21"/>
                      <w:szCs w:val="21"/>
                    </w:rPr>
                    <w:t>备注</w:t>
                  </w:r>
                </w:p>
              </w:tc>
            </w:tr>
            <w:tr>
              <w:trPr>
                <w:trHeight w:val="307"/>
              </w:trPr>
              <w:tc>
                <w:tcPr>
                  <w:tcW w:w="387" w:type="pct"/>
                  <w:vMerge/>
                  <w:tcBorders>
                    <w:top w:val="single" w:sz="4" w:space="0" w:color="auto"/>
                    <w:left w:val="single" w:sz="4" w:space="0" w:color="auto"/>
                    <w:right w:val="single" w:sz="4" w:space="0" w:color="auto"/>
                  </w:tcBorders>
                  <w:noWrap/>
                  <w:vAlign w:val="center"/>
                </w:tcPr>
                <w:p/>
              </w:tc>
              <w:tc>
                <w:tcPr>
                  <w:tcW w:w="2922" w:type="pct"/>
                  <w:gridSpan w:val="2"/>
                  <w:vMerge/>
                  <w:tcBorders>
                    <w:top w:val="single" w:sz="4" w:space="0" w:color="auto"/>
                    <w:left w:val="single" w:sz="4" w:space="0" w:color="auto"/>
                    <w:right w:val="single" w:sz="4" w:space="0" w:color="auto"/>
                  </w:tcBorders>
                  <w:noWrap/>
                  <w:vAlign w:val="center"/>
                </w:tcPr>
                <w:p/>
              </w:tc>
              <w:tc>
                <w:tcPr>
                  <w:tcW w:w="587"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bCs/>
                      <w:color w:val="auto"/>
                      <w:sz w:val="21"/>
                      <w:szCs w:val="21"/>
                      <w:vertAlign w:val="baseline"/>
                    </w:rPr>
                  </w:pPr>
                  <w:r>
                    <w:rPr>
                      <w:rFonts w:ascii="Times New Roman" w:eastAsia="宋体" w:cs="Times New Roman" w:hAnsi="Times New Roman"/>
                      <w:b/>
                      <w:bCs/>
                      <w:sz w:val="21"/>
                      <w:szCs w:val="21"/>
                    </w:rPr>
                    <w:t>施工期</w:t>
                  </w:r>
                </w:p>
              </w:tc>
              <w:tc>
                <w:tcPr>
                  <w:tcW w:w="71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bCs/>
                      <w:color w:val="auto"/>
                      <w:sz w:val="21"/>
                      <w:szCs w:val="21"/>
                      <w:vertAlign w:val="baseline"/>
                    </w:rPr>
                  </w:pPr>
                  <w:r>
                    <w:rPr>
                      <w:rFonts w:ascii="Times New Roman" w:eastAsia="宋体" w:cs="Times New Roman" w:hAnsi="Times New Roman"/>
                      <w:b/>
                      <w:bCs/>
                      <w:sz w:val="21"/>
                      <w:szCs w:val="21"/>
                    </w:rPr>
                    <w:t>营运期</w:t>
                  </w:r>
                </w:p>
              </w:tc>
              <w:tc>
                <w:tcPr>
                  <w:tcW w:w="386" w:type="pct"/>
                  <w:vMerge/>
                  <w:tcBorders>
                    <w:top w:val="single" w:sz="4" w:space="0" w:color="auto"/>
                    <w:left w:val="single" w:sz="4" w:space="0" w:color="auto"/>
                    <w:right w:val="single" w:sz="4" w:space="0" w:color="auto"/>
                  </w:tcBorders>
                  <w:noWrap/>
                  <w:vAlign w:val="center"/>
                </w:tcPr>
                <w:p/>
              </w:tc>
            </w:tr>
            <w:tr>
              <w:trPr>
                <w:trHeight w:val="307"/>
              </w:trPr>
              <w:tc>
                <w:tcPr>
                  <w:tcW w:w="387" w:type="pct"/>
                  <w:vMerge w:val="restar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主体</w:t>
                  </w:r>
                </w:p>
                <w:p>
                  <w:pPr>
                    <w:pStyle w:val="92"/>
                    <w:spacing w:line="240" w:lineRule="auto"/>
                    <w:jc w:val="center"/>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sz w:val="21"/>
                      <w:szCs w:val="21"/>
                    </w:rPr>
                    <w:t>工程</w:t>
                  </w:r>
                </w:p>
              </w:tc>
              <w:tc>
                <w:tcPr>
                  <w:tcW w:w="550" w:type="pct"/>
                  <w:vMerge w:val="restart"/>
                  <w:tcBorders>
                    <w:top w:val="single" w:sz="4" w:space="0" w:color="auto"/>
                    <w:left w:val="single" w:sz="4" w:space="0" w:color="auto"/>
                    <w:right w:val="single" w:sz="4" w:space="0" w:color="auto"/>
                  </w:tcBorders>
                  <w:noWrap/>
                  <w:vAlign w:val="center"/>
                </w:tcPr>
                <w:p>
                  <w:pPr>
                    <w:pStyle w:val="92"/>
                    <w:spacing w:line="240" w:lineRule="auto"/>
                    <w:jc w:val="center"/>
                    <w:rPr>
                      <w:rFonts w:cs="Times New Roman" w:hint="eastAsia"/>
                      <w:kern w:val="0"/>
                      <w:sz w:val="21"/>
                      <w:szCs w:val="21"/>
                      <w:lang w:val="en-US" w:eastAsia="zh-CN"/>
                    </w:rPr>
                  </w:pPr>
                  <w:r>
                    <w:rPr>
                      <w:rFonts w:cs="Times New Roman" w:hint="eastAsia"/>
                      <w:kern w:val="0"/>
                      <w:sz w:val="21"/>
                      <w:szCs w:val="21"/>
                      <w:lang w:val="en-US" w:eastAsia="zh-CN"/>
                    </w:rPr>
                    <w:t>生产</w:t>
                  </w:r>
                </w:p>
                <w:p>
                  <w:pPr>
                    <w:pStyle w:val="92"/>
                    <w:spacing w:line="240" w:lineRule="auto"/>
                    <w:jc w:val="center"/>
                    <w:rPr>
                      <w:rFonts w:ascii="Times New Roman" w:eastAsia="宋体" w:cs="Times New Roman" w:hAnsi="Times New Roman"/>
                      <w:b w:val="0"/>
                      <w:bCs w:val="0"/>
                      <w:color w:val="auto"/>
                      <w:sz w:val="21"/>
                      <w:szCs w:val="21"/>
                      <w:vertAlign w:val="baseline"/>
                    </w:rPr>
                  </w:pPr>
                  <w:r>
                    <w:rPr>
                      <w:rFonts w:cs="Times New Roman" w:hint="eastAsia"/>
                      <w:kern w:val="0"/>
                      <w:sz w:val="21"/>
                      <w:szCs w:val="21"/>
                      <w:lang w:val="en-US" w:eastAsia="zh-CN"/>
                    </w:rPr>
                    <w:t>车间</w:t>
                  </w:r>
                </w:p>
              </w:tc>
              <w:tc>
                <w:tcPr>
                  <w:tcW w:w="2371"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both"/>
                    <w:rPr>
                      <w:rFonts w:ascii="Times New Roman" w:eastAsia="宋体" w:cs="Times New Roman" w:hAnsi="Times New Roman"/>
                      <w:b w:val="0"/>
                      <w:bCs w:val="0"/>
                      <w:color w:val="auto"/>
                      <w:sz w:val="21"/>
                      <w:szCs w:val="21"/>
                      <w:vertAlign w:val="baseline"/>
                      <w:lang w:eastAsia="zh-CN"/>
                    </w:rPr>
                  </w:pPr>
                  <w:r>
                    <w:rPr>
                      <w:rFonts w:ascii="Times New Roman" w:eastAsia="宋体" w:cs="Times New Roman" w:hAnsi="Times New Roman"/>
                      <w:kern w:val="0"/>
                      <w:sz w:val="21"/>
                      <w:szCs w:val="21"/>
                      <w:lang w:val="en-US" w:eastAsia="zh-CN"/>
                    </w:rPr>
                    <w:t>拆解区：</w:t>
                  </w:r>
                  <w:r>
                    <w:rPr>
                      <w:rFonts w:ascii="Times New Roman" w:eastAsia="宋体" w:cs="Times New Roman" w:hAnsi="Times New Roman"/>
                      <w:kern w:val="0"/>
                      <w:sz w:val="21"/>
                      <w:szCs w:val="21"/>
                      <w:lang w:eastAsia="zh-CN"/>
                    </w:rPr>
                    <w:t>建筑面积</w:t>
                  </w:r>
                  <w:r>
                    <w:rPr>
                      <w:rFonts w:ascii="Times New Roman" w:eastAsia="宋体" w:cs="Times New Roman" w:hAnsi="Times New Roman"/>
                      <w:kern w:val="0"/>
                      <w:sz w:val="21"/>
                      <w:szCs w:val="21"/>
                      <w:lang w:val="en-US" w:eastAsia="zh-CN"/>
                    </w:rPr>
                    <w:t>约</w:t>
                  </w:r>
                  <w:r>
                    <w:rPr>
                      <w:rFonts w:cs="Times New Roman" w:hint="eastAsia"/>
                      <w:kern w:val="0"/>
                      <w:sz w:val="21"/>
                      <w:szCs w:val="21"/>
                      <w:lang w:val="en-US" w:eastAsia="zh-CN"/>
                    </w:rPr>
                    <w:t>5</w:t>
                  </w:r>
                  <w:r>
                    <w:rPr>
                      <w:rFonts w:ascii="Times New Roman" w:eastAsia="宋体" w:cs="Times New Roman" w:hAnsi="Times New Roman"/>
                      <w:kern w:val="0"/>
                      <w:sz w:val="21"/>
                      <w:szCs w:val="21"/>
                      <w:lang w:val="en-US" w:eastAsia="zh-CN"/>
                    </w:rPr>
                    <w:t>0</w:t>
                  </w:r>
                  <w:r>
                    <w:rPr>
                      <w:rFonts w:cs="Times New Roman" w:hint="eastAsia"/>
                      <w:kern w:val="0"/>
                      <w:sz w:val="21"/>
                      <w:szCs w:val="21"/>
                      <w:lang w:val="en-US" w:eastAsia="zh-CN"/>
                    </w:rPr>
                    <w:t>.0</w:t>
                  </w:r>
                  <w:r>
                    <w:rPr>
                      <w:rFonts w:ascii="Times New Roman" w:eastAsia="宋体" w:cs="Times New Roman" w:hAnsi="Times New Roman"/>
                      <w:kern w:val="0"/>
                      <w:sz w:val="21"/>
                      <w:szCs w:val="21"/>
                      <w:lang w:val="en-US" w:eastAsia="zh-CN"/>
                    </w:rPr>
                    <w:t>m</w:t>
                  </w:r>
                  <w:r>
                    <w:rPr>
                      <w:rFonts w:ascii="Times New Roman" w:eastAsia="宋体" w:cs="Times New Roman" w:hAnsi="Times New Roman"/>
                      <w:kern w:val="0"/>
                      <w:sz w:val="21"/>
                      <w:szCs w:val="21"/>
                      <w:vertAlign w:val="superscript"/>
                      <w:lang w:val="en-US" w:eastAsia="zh-CN"/>
                    </w:rPr>
                    <w:t>2</w:t>
                  </w:r>
                  <w:r>
                    <w:rPr>
                      <w:rFonts w:ascii="Times New Roman" w:eastAsia="宋体" w:cs="Times New Roman" w:hAnsi="Times New Roman"/>
                      <w:kern w:val="0"/>
                      <w:sz w:val="21"/>
                      <w:szCs w:val="21"/>
                      <w:lang w:val="en-US" w:eastAsia="zh-CN"/>
                    </w:rPr>
                    <w:t>，设置</w:t>
                  </w:r>
                  <w:r>
                    <w:rPr>
                      <w:rFonts w:cs="Times New Roman" w:hint="eastAsia"/>
                      <w:kern w:val="0"/>
                      <w:sz w:val="21"/>
                      <w:szCs w:val="21"/>
                      <w:lang w:val="en-US" w:eastAsia="zh-CN"/>
                    </w:rPr>
                    <w:t>2</w:t>
                  </w:r>
                  <w:r>
                    <w:rPr>
                      <w:rFonts w:ascii="Times New Roman" w:eastAsia="宋体" w:cs="Times New Roman" w:hAnsi="Times New Roman"/>
                      <w:kern w:val="0"/>
                      <w:sz w:val="21"/>
                      <w:szCs w:val="21"/>
                      <w:lang w:val="en-US" w:eastAsia="zh-CN"/>
                    </w:rPr>
                    <w:t>座</w:t>
                  </w:r>
                  <w:r>
                    <w:rPr>
                      <w:rFonts w:cs="Times New Roman" w:hint="eastAsia"/>
                      <w:kern w:val="0"/>
                      <w:sz w:val="21"/>
                      <w:szCs w:val="21"/>
                      <w:lang w:val="en-US" w:eastAsia="zh-CN"/>
                    </w:rPr>
                    <w:t>拆解检查通风橱</w:t>
                  </w:r>
                  <w:r>
                    <w:rPr>
                      <w:rFonts w:ascii="Times New Roman" w:eastAsia="宋体" w:cs="Times New Roman" w:hAnsi="Times New Roman"/>
                      <w:kern w:val="0"/>
                      <w:sz w:val="21"/>
                      <w:szCs w:val="21"/>
                      <w:lang w:val="en-US" w:eastAsia="zh-CN"/>
                    </w:rPr>
                    <w:t>，用于已</w:t>
                  </w:r>
                  <w:r>
                    <w:rPr>
                      <w:rFonts w:cs="Times New Roman" w:hint="eastAsia"/>
                      <w:kern w:val="0"/>
                      <w:sz w:val="21"/>
                      <w:szCs w:val="21"/>
                      <w:lang w:val="en-US" w:eastAsia="zh-CN"/>
                    </w:rPr>
                    <w:t>废旧</w:t>
                  </w:r>
                  <w:r>
                    <w:rPr>
                      <w:rFonts w:ascii="Times New Roman" w:eastAsia="宋体" w:cs="Times New Roman" w:hAnsi="Times New Roman"/>
                      <w:kern w:val="0"/>
                      <w:sz w:val="21"/>
                      <w:szCs w:val="21"/>
                      <w:lang w:val="en-US" w:eastAsia="zh-CN"/>
                    </w:rPr>
                    <w:t>电子设备的拆解以及对拆解后产品的进行分类；</w:t>
                  </w:r>
                </w:p>
              </w:tc>
              <w:tc>
                <w:tcPr>
                  <w:tcW w:w="587" w:type="pct"/>
                  <w:vMerge w:val="restar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b w:val="0"/>
                      <w:bCs w:val="0"/>
                      <w:color w:val="auto"/>
                      <w:sz w:val="21"/>
                      <w:szCs w:val="21"/>
                      <w:vertAlign w:val="baseline"/>
                    </w:rPr>
                    <w:t>设备安装噪声</w:t>
                  </w:r>
                </w:p>
                <w:p>
                  <w:pPr>
                    <w:spacing w:line="240" w:lineRule="auto"/>
                    <w:jc w:val="center"/>
                    <w:rPr>
                      <w:rFonts w:ascii="Times New Roman" w:eastAsia="宋体" w:cs="Times New Roman" w:hAnsi="Times New Roman"/>
                      <w:b w:val="0"/>
                      <w:bCs w:val="0"/>
                      <w:color w:val="auto"/>
                      <w:sz w:val="21"/>
                      <w:szCs w:val="21"/>
                      <w:vertAlign w:val="baseline"/>
                    </w:rPr>
                  </w:pPr>
                </w:p>
                <w:p>
                  <w:pPr>
                    <w:spacing w:line="240" w:lineRule="auto"/>
                    <w:jc w:val="center"/>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b w:val="0"/>
                      <w:bCs w:val="0"/>
                      <w:color w:val="auto"/>
                      <w:sz w:val="21"/>
                      <w:szCs w:val="21"/>
                      <w:vertAlign w:val="baseline"/>
                    </w:rPr>
                    <w:t>安装人员生活</w:t>
                  </w:r>
                </w:p>
                <w:p>
                  <w:pPr>
                    <w:spacing w:line="240" w:lineRule="auto"/>
                    <w:jc w:val="center"/>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b w:val="0"/>
                      <w:bCs w:val="0"/>
                      <w:color w:val="auto"/>
                      <w:sz w:val="21"/>
                      <w:szCs w:val="21"/>
                      <w:vertAlign w:val="baseline"/>
                    </w:rPr>
                    <w:t>污水</w:t>
                  </w:r>
                </w:p>
              </w:tc>
              <w:tc>
                <w:tcPr>
                  <w:tcW w:w="716" w:type="pct"/>
                  <w:vMerge w:val="restar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sz w:val="21"/>
                      <w:szCs w:val="21"/>
                    </w:rPr>
                    <w:t>废气、噪声、固废</w:t>
                  </w:r>
                </w:p>
              </w:tc>
              <w:tc>
                <w:tcPr>
                  <w:tcW w:w="386" w:type="pct"/>
                  <w:vMerge w:val="restar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hint="eastAsia"/>
                    </w:rPr>
                    <w:t>依托现有</w:t>
                  </w:r>
                  <w:r>
                    <w:rPr>
                      <w:rFonts w:hint="eastAsia"/>
                      <w:lang w:val="en-US" w:eastAsia="zh-CN"/>
                    </w:rPr>
                    <w:t>厂房分区设置</w:t>
                  </w:r>
                </w:p>
              </w:tc>
            </w:tr>
            <w:tr>
              <w:trPr>
                <w:trHeight w:val="307"/>
              </w:trPr>
              <w:tc>
                <w:tcPr>
                  <w:tcW w:w="387" w:type="pct"/>
                  <w:vMerge/>
                  <w:tcBorders>
                    <w:top w:val="single" w:sz="4" w:space="0" w:color="auto"/>
                    <w:left w:val="single" w:sz="4" w:space="0" w:color="auto"/>
                    <w:right w:val="single" w:sz="4" w:space="0" w:color="auto"/>
                  </w:tcBorders>
                  <w:noWrap/>
                  <w:vAlign w:val="center"/>
                </w:tcPr>
                <w:p/>
              </w:tc>
              <w:tc>
                <w:tcPr>
                  <w:tcW w:w="550" w:type="pct"/>
                  <w:vMerge/>
                  <w:tcBorders>
                    <w:top w:val="single" w:sz="4" w:space="0" w:color="auto"/>
                    <w:left w:val="single" w:sz="4" w:space="0" w:color="auto"/>
                    <w:right w:val="single" w:sz="4" w:space="0" w:color="auto"/>
                  </w:tcBorders>
                  <w:noWrap/>
                  <w:vAlign w:val="center"/>
                </w:tcPr>
                <w:p/>
              </w:tc>
              <w:tc>
                <w:tcPr>
                  <w:tcW w:w="2371"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both"/>
                    <w:rPr>
                      <w:rFonts w:ascii="Times New Roman" w:eastAsia="宋体" w:cs="Times New Roman" w:hAnsi="Times New Roman"/>
                      <w:kern w:val="0"/>
                      <w:sz w:val="21"/>
                      <w:szCs w:val="21"/>
                      <w:lang w:val="en-US" w:eastAsia="zh-CN"/>
                    </w:rPr>
                  </w:pPr>
                  <w:r>
                    <w:rPr>
                      <w:rFonts w:ascii="Times New Roman" w:eastAsia="宋体" w:cs="Times New Roman" w:hAnsi="Times New Roman"/>
                      <w:kern w:val="0"/>
                      <w:sz w:val="21"/>
                      <w:szCs w:val="21"/>
                      <w:lang w:val="en-US" w:eastAsia="zh-CN"/>
                    </w:rPr>
                    <w:t>检测区：</w:t>
                  </w:r>
                  <w:r>
                    <w:rPr>
                      <w:rFonts w:ascii="Times New Roman" w:eastAsia="宋体" w:cs="Times New Roman" w:hAnsi="Times New Roman"/>
                      <w:kern w:val="0"/>
                      <w:sz w:val="21"/>
                      <w:szCs w:val="21"/>
                      <w:lang w:eastAsia="zh-CN"/>
                    </w:rPr>
                    <w:t>建筑面积</w:t>
                  </w:r>
                  <w:r>
                    <w:rPr>
                      <w:rFonts w:ascii="Times New Roman" w:eastAsia="宋体" w:cs="Times New Roman" w:hAnsi="Times New Roman"/>
                      <w:kern w:val="0"/>
                      <w:sz w:val="21"/>
                      <w:szCs w:val="21"/>
                      <w:lang w:val="en-US" w:eastAsia="zh-CN"/>
                    </w:rPr>
                    <w:t>约</w:t>
                  </w:r>
                  <w:r>
                    <w:rPr>
                      <w:rFonts w:cs="Times New Roman" w:hint="eastAsia"/>
                      <w:kern w:val="0"/>
                      <w:sz w:val="21"/>
                      <w:szCs w:val="21"/>
                      <w:lang w:val="en-US" w:eastAsia="zh-CN"/>
                    </w:rPr>
                    <w:t>50.0</w:t>
                  </w:r>
                  <w:r>
                    <w:rPr>
                      <w:rFonts w:ascii="Times New Roman" w:eastAsia="宋体" w:cs="Times New Roman" w:hAnsi="Times New Roman"/>
                      <w:kern w:val="0"/>
                      <w:sz w:val="21"/>
                      <w:szCs w:val="21"/>
                      <w:lang w:val="en-US" w:eastAsia="zh-CN"/>
                    </w:rPr>
                    <w:t>m</w:t>
                  </w:r>
                  <w:r>
                    <w:rPr>
                      <w:rFonts w:ascii="Times New Roman" w:eastAsia="宋体" w:cs="Times New Roman" w:hAnsi="Times New Roman"/>
                      <w:kern w:val="0"/>
                      <w:sz w:val="21"/>
                      <w:szCs w:val="21"/>
                      <w:vertAlign w:val="superscript"/>
                      <w:lang w:val="en-US" w:eastAsia="zh-CN"/>
                    </w:rPr>
                    <w:t>2</w:t>
                  </w:r>
                  <w:r>
                    <w:rPr>
                      <w:rFonts w:ascii="Times New Roman" w:eastAsia="宋体" w:cs="Times New Roman" w:hAnsi="Times New Roman"/>
                      <w:kern w:val="0"/>
                      <w:sz w:val="21"/>
                      <w:szCs w:val="21"/>
                      <w:lang w:val="en-US" w:eastAsia="zh-CN"/>
                    </w:rPr>
                    <w:t>，设置网络分析仪，测试电源，数据甄别系统等检测仪器，用于检测分析废旧电子设备功能是否正常；</w:t>
                  </w:r>
                </w:p>
              </w:tc>
              <w:tc>
                <w:tcPr>
                  <w:tcW w:w="587" w:type="pct"/>
                  <w:vMerge/>
                  <w:tcBorders>
                    <w:top w:val="single" w:sz="4" w:space="0" w:color="auto"/>
                    <w:left w:val="single" w:sz="4" w:space="0" w:color="auto"/>
                    <w:right w:val="single" w:sz="4" w:space="0" w:color="auto"/>
                  </w:tcBorders>
                  <w:noWrap/>
                  <w:vAlign w:val="center"/>
                </w:tcPr>
                <w:p/>
              </w:tc>
              <w:tc>
                <w:tcPr>
                  <w:tcW w:w="716" w:type="pct"/>
                  <w:vMerge/>
                  <w:tcBorders>
                    <w:top w:val="single" w:sz="4" w:space="0" w:color="auto"/>
                    <w:left w:val="single" w:sz="4" w:space="0" w:color="auto"/>
                    <w:right w:val="single" w:sz="4" w:space="0" w:color="auto"/>
                  </w:tcBorders>
                  <w:noWrap/>
                  <w:vAlign w:val="center"/>
                </w:tcPr>
                <w:p/>
              </w:tc>
              <w:tc>
                <w:tcPr>
                  <w:tcW w:w="386" w:type="pct"/>
                  <w:vMerge/>
                  <w:tcBorders>
                    <w:top w:val="single" w:sz="4" w:space="0" w:color="auto"/>
                    <w:left w:val="single" w:sz="4" w:space="0" w:color="auto"/>
                    <w:right w:val="single" w:sz="4" w:space="0" w:color="auto"/>
                  </w:tcBorders>
                  <w:noWrap/>
                  <w:vAlign w:val="center"/>
                </w:tcPr>
                <w:p/>
              </w:tc>
            </w:tr>
            <w:tr>
              <w:trPr>
                <w:trHeight w:val="90"/>
              </w:trPr>
              <w:tc>
                <w:tcPr>
                  <w:tcW w:w="387" w:type="pct"/>
                  <w:vMerge w:val="restar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hint="eastAsia"/>
                    </w:rPr>
                    <w:t>储运工程</w:t>
                  </w:r>
                </w:p>
              </w:tc>
              <w:tc>
                <w:tcPr>
                  <w:tcW w:w="550"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center"/>
                    <w:rPr>
                      <w:rFonts w:ascii="Times New Roman" w:eastAsia="宋体" w:cs="Times New Roman" w:hAnsi="Times New Roman"/>
                      <w:b w:val="0"/>
                      <w:bCs w:val="0"/>
                      <w:sz w:val="21"/>
                      <w:szCs w:val="21"/>
                      <w:lang w:val="en-US" w:eastAsia="zh-CN"/>
                    </w:rPr>
                  </w:pPr>
                  <w:r>
                    <w:rPr>
                      <w:rFonts w:hint="eastAsia"/>
                    </w:rPr>
                    <w:t>废旧电子设备堆放区</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left"/>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kern w:val="0"/>
                      <w:sz w:val="21"/>
                      <w:szCs w:val="21"/>
                      <w:lang w:eastAsia="zh-CN"/>
                    </w:rPr>
                    <w:t>建筑面积</w:t>
                  </w:r>
                  <w:r>
                    <w:rPr>
                      <w:rFonts w:ascii="Times New Roman" w:eastAsia="宋体" w:cs="Times New Roman" w:hAnsi="Times New Roman"/>
                    </w:rPr>
                    <w:t>约</w:t>
                  </w:r>
                  <w:r>
                    <w:rPr>
                      <w:rFonts w:ascii="Times New Roman" w:cs="Times New Roman" w:hAnsi="Times New Roman" w:hint="eastAsia"/>
                      <w:lang w:val="en-US" w:eastAsia="zh-CN"/>
                    </w:rPr>
                    <w:t>80.0</w:t>
                  </w:r>
                  <w:r>
                    <w:rPr>
                      <w:rFonts w:ascii="Times New Roman" w:eastAsia="宋体" w:cs="Times New Roman" w:hAnsi="Times New Roman"/>
                    </w:rPr>
                    <w:t>m</w:t>
                  </w:r>
                  <w:r>
                    <w:rPr>
                      <w:rFonts w:ascii="Times New Roman" w:eastAsia="宋体" w:cs="Times New Roman" w:hAnsi="Times New Roman"/>
                      <w:vertAlign w:val="superscript"/>
                    </w:rPr>
                    <w:t>2</w:t>
                  </w:r>
                  <w:r>
                    <w:rPr>
                      <w:rFonts w:ascii="Times New Roman" w:eastAsia="宋体" w:cs="Times New Roman" w:hAnsi="Times New Roman"/>
                    </w:rPr>
                    <w:t>，用于回收的废旧</w:t>
                  </w:r>
                  <w:r>
                    <w:rPr>
                      <w:rFonts w:ascii="Times New Roman" w:eastAsia="宋体" w:cs="Times New Roman" w:hAnsi="Times New Roman"/>
                      <w:lang w:val="en-US" w:eastAsia="zh-CN"/>
                    </w:rPr>
                    <w:t>电器</w:t>
                  </w:r>
                  <w:r>
                    <w:rPr>
                      <w:rFonts w:ascii="Times New Roman" w:eastAsia="宋体" w:cs="Times New Roman" w:hAnsi="Times New Roman"/>
                    </w:rPr>
                    <w:t>电子设备的临时</w:t>
                  </w:r>
                  <w:r>
                    <w:rPr>
                      <w:rFonts w:ascii="Times New Roman" w:cs="Times New Roman" w:hAnsi="Times New Roman" w:hint="eastAsia"/>
                      <w:lang w:val="en-US" w:eastAsia="zh-CN"/>
                    </w:rPr>
                    <w:t>堆存</w:t>
                  </w:r>
                  <w:r>
                    <w:rPr>
                      <w:rFonts w:ascii="Times New Roman" w:eastAsia="宋体" w:cs="Times New Roman" w:hAnsi="Times New Roman"/>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sz w:val="21"/>
                      <w:szCs w:val="21"/>
                    </w:rPr>
                    <w:t>固废</w:t>
                  </w:r>
                </w:p>
              </w:tc>
              <w:tc>
                <w:tcPr>
                  <w:tcW w:w="386" w:type="pct"/>
                  <w:vMerge/>
                  <w:tcBorders>
                    <w:top w:val="single" w:sz="4" w:space="0" w:color="auto"/>
                    <w:left w:val="single" w:sz="4" w:space="0" w:color="auto"/>
                    <w:right w:val="single" w:sz="4" w:space="0" w:color="auto"/>
                  </w:tcBorders>
                  <w:noWrap/>
                  <w:vAlign w:val="center"/>
                </w:tcP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center"/>
                    <w:rPr>
                      <w:rFonts w:hint="eastAsia"/>
                    </w:rPr>
                  </w:pPr>
                  <w:r>
                    <w:rPr>
                      <w:rFonts w:ascii="Times New Roman" w:eastAsia="宋体" w:cs="Times New Roman" w:hAnsi="Times New Roman"/>
                      <w:kern w:val="0"/>
                      <w:sz w:val="21"/>
                      <w:szCs w:val="21"/>
                      <w:lang w:eastAsia="zh-CN"/>
                    </w:rPr>
                    <w:t>二手电子产品存放区</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left"/>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建筑面积约</w:t>
                  </w:r>
                  <w:r>
                    <w:rPr>
                      <w:rFonts w:ascii="Times New Roman" w:cs="Times New Roman" w:hAnsi="Times New Roman" w:hint="eastAsia"/>
                      <w:kern w:val="0"/>
                      <w:sz w:val="21"/>
                      <w:szCs w:val="21"/>
                      <w:lang w:val="en-US" w:eastAsia="zh-CN"/>
                    </w:rPr>
                    <w:t>80.0</w:t>
                  </w:r>
                  <w:r>
                    <w:rPr>
                      <w:rFonts w:ascii="Times New Roman" w:eastAsia="宋体" w:cs="Times New Roman" w:hAnsi="Times New Roman"/>
                      <w:kern w:val="0"/>
                      <w:sz w:val="21"/>
                      <w:szCs w:val="21"/>
                      <w:lang w:eastAsia="zh-CN"/>
                    </w:rPr>
                    <w:t>m</w:t>
                  </w:r>
                  <w:r>
                    <w:rPr>
                      <w:rFonts w:ascii="Times New Roman" w:eastAsia="宋体" w:cs="Times New Roman" w:hAnsi="Times New Roman"/>
                      <w:kern w:val="0"/>
                      <w:sz w:val="21"/>
                      <w:szCs w:val="21"/>
                      <w:vertAlign w:val="superscript"/>
                      <w:lang w:eastAsia="zh-CN"/>
                    </w:rPr>
                    <w:t>2</w:t>
                  </w:r>
                  <w:r>
                    <w:rPr>
                      <w:rFonts w:ascii="Times New Roman" w:eastAsia="宋体" w:cs="Times New Roman" w:hAnsi="Times New Roman"/>
                      <w:kern w:val="0"/>
                      <w:sz w:val="21"/>
                      <w:szCs w:val="21"/>
                      <w:lang w:eastAsia="zh-CN"/>
                    </w:rPr>
                    <w:t>，用于经过测试功能正常的整机设备临时</w:t>
                  </w:r>
                  <w:r>
                    <w:rPr>
                      <w:rFonts w:ascii="Times New Roman" w:cs="Times New Roman" w:hAnsi="Times New Roman" w:hint="eastAsia"/>
                      <w:lang w:val="en-US" w:eastAsia="zh-CN"/>
                    </w:rPr>
                    <w:t>堆存</w:t>
                  </w:r>
                  <w:r>
                    <w:rPr>
                      <w:rFonts w:ascii="Times New Roman" w:eastAsia="宋体" w:cs="Times New Roman" w:hAnsi="Times New Roman"/>
                      <w:kern w:val="0"/>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w:t>
                  </w:r>
                </w:p>
              </w:tc>
              <w:tc>
                <w:tcPr>
                  <w:tcW w:w="386" w:type="pct"/>
                  <w:vMerge/>
                  <w:tcBorders>
                    <w:top w:val="single" w:sz="4" w:space="0" w:color="auto"/>
                    <w:left w:val="single" w:sz="4" w:space="0" w:color="auto"/>
                    <w:right w:val="single" w:sz="4" w:space="0" w:color="auto"/>
                  </w:tcBorders>
                  <w:noWrap/>
                  <w:vAlign w:val="center"/>
                </w:tcP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center"/>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零部件存放区</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both"/>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建筑面积约</w:t>
                  </w:r>
                  <w:r>
                    <w:rPr>
                      <w:rFonts w:ascii="Times New Roman" w:cs="Times New Roman" w:hAnsi="Times New Roman" w:hint="eastAsia"/>
                      <w:kern w:val="0"/>
                      <w:sz w:val="21"/>
                      <w:szCs w:val="21"/>
                      <w:lang w:val="en-US" w:eastAsia="zh-CN"/>
                    </w:rPr>
                    <w:t>50.0</w:t>
                  </w:r>
                  <w:r>
                    <w:rPr>
                      <w:rFonts w:ascii="Times New Roman" w:eastAsia="宋体" w:cs="Times New Roman" w:hAnsi="Times New Roman"/>
                      <w:kern w:val="0"/>
                      <w:sz w:val="21"/>
                      <w:szCs w:val="21"/>
                      <w:lang w:eastAsia="zh-CN"/>
                    </w:rPr>
                    <w:t>m</w:t>
                  </w:r>
                  <w:r>
                    <w:rPr>
                      <w:rFonts w:ascii="Times New Roman" w:eastAsia="宋体" w:cs="Times New Roman" w:hAnsi="Times New Roman"/>
                      <w:kern w:val="0"/>
                      <w:sz w:val="21"/>
                      <w:szCs w:val="21"/>
                      <w:vertAlign w:val="superscript"/>
                      <w:lang w:eastAsia="zh-CN"/>
                    </w:rPr>
                    <w:t>2</w:t>
                  </w:r>
                  <w:r>
                    <w:rPr>
                      <w:rFonts w:ascii="Times New Roman" w:eastAsia="宋体" w:cs="Times New Roman" w:hAnsi="Times New Roman"/>
                      <w:kern w:val="0"/>
                      <w:sz w:val="21"/>
                      <w:szCs w:val="21"/>
                      <w:lang w:eastAsia="zh-CN"/>
                    </w:rPr>
                    <w:t>，用于</w:t>
                  </w:r>
                  <w:r>
                    <w:rPr>
                      <w:rFonts w:ascii="Times New Roman" w:cs="Times New Roman" w:hAnsi="Times New Roman" w:hint="eastAsia"/>
                      <w:kern w:val="0"/>
                      <w:sz w:val="21"/>
                      <w:szCs w:val="21"/>
                      <w:lang w:val="en-US" w:eastAsia="zh-CN"/>
                    </w:rPr>
                    <w:t>用塑料桶收集的</w:t>
                  </w:r>
                  <w:r>
                    <w:rPr>
                      <w:rFonts w:ascii="Times New Roman" w:eastAsia="宋体" w:cs="Times New Roman" w:hAnsi="Times New Roman"/>
                      <w:kern w:val="0"/>
                      <w:sz w:val="21"/>
                      <w:szCs w:val="21"/>
                      <w:lang w:eastAsia="zh-CN"/>
                    </w:rPr>
                    <w:t>经过测试功能正常的电子零部件的临时存放；</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w:t>
                  </w:r>
                </w:p>
              </w:tc>
              <w:tc>
                <w:tcPr>
                  <w:tcW w:w="386" w:type="pct"/>
                  <w:vMerge/>
                  <w:tcBorders>
                    <w:top w:val="single" w:sz="4" w:space="0" w:color="auto"/>
                    <w:left w:val="single" w:sz="4" w:space="0" w:color="auto"/>
                    <w:right w:val="single" w:sz="4" w:space="0" w:color="auto"/>
                  </w:tcBorders>
                  <w:noWrap/>
                  <w:vAlign w:val="center"/>
                </w:tcP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center"/>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金属堆放区</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left"/>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建筑面积约</w:t>
                  </w:r>
                  <w:r>
                    <w:rPr>
                      <w:rFonts w:ascii="Times New Roman" w:cs="Times New Roman" w:hAnsi="Times New Roman" w:hint="eastAsia"/>
                      <w:kern w:val="0"/>
                      <w:sz w:val="21"/>
                      <w:szCs w:val="21"/>
                      <w:lang w:val="en-US" w:eastAsia="zh-CN"/>
                    </w:rPr>
                    <w:t>50.0</w:t>
                  </w:r>
                  <w:r>
                    <w:rPr>
                      <w:rFonts w:ascii="Times New Roman" w:eastAsia="宋体" w:cs="Times New Roman" w:hAnsi="Times New Roman"/>
                      <w:kern w:val="0"/>
                      <w:sz w:val="21"/>
                      <w:szCs w:val="21"/>
                      <w:lang w:eastAsia="zh-CN"/>
                    </w:rPr>
                    <w:t>m</w:t>
                  </w:r>
                  <w:r>
                    <w:rPr>
                      <w:rFonts w:ascii="Times New Roman" w:eastAsia="宋体" w:cs="Times New Roman" w:hAnsi="Times New Roman"/>
                      <w:kern w:val="0"/>
                      <w:sz w:val="21"/>
                      <w:szCs w:val="21"/>
                      <w:vertAlign w:val="superscript"/>
                      <w:lang w:eastAsia="zh-CN"/>
                    </w:rPr>
                    <w:t>2</w:t>
                  </w:r>
                  <w:r>
                    <w:rPr>
                      <w:rFonts w:ascii="Times New Roman" w:eastAsia="宋体" w:cs="Times New Roman" w:hAnsi="Times New Roman"/>
                      <w:kern w:val="0"/>
                      <w:sz w:val="21"/>
                      <w:szCs w:val="21"/>
                      <w:lang w:eastAsia="zh-CN"/>
                    </w:rPr>
                    <w:t>，用于拆解后可利用金属的临时</w:t>
                  </w:r>
                  <w:r>
                    <w:rPr>
                      <w:rFonts w:ascii="Times New Roman" w:cs="Times New Roman" w:hAnsi="Times New Roman" w:hint="eastAsia"/>
                      <w:lang w:val="en-US" w:eastAsia="zh-CN"/>
                    </w:rPr>
                    <w:t>堆存</w:t>
                  </w:r>
                  <w:r>
                    <w:rPr>
                      <w:rFonts w:ascii="Times New Roman" w:eastAsia="宋体" w:cs="Times New Roman" w:hAnsi="Times New Roman"/>
                      <w:kern w:val="0"/>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w:t>
                  </w:r>
                </w:p>
              </w:tc>
              <w:tc>
                <w:tcPr>
                  <w:tcW w:w="386" w:type="pct"/>
                  <w:vMerge/>
                  <w:tcBorders>
                    <w:top w:val="single" w:sz="4" w:space="0" w:color="auto"/>
                    <w:left w:val="single" w:sz="4" w:space="0" w:color="auto"/>
                    <w:right w:val="single" w:sz="4" w:space="0" w:color="auto"/>
                  </w:tcBorders>
                  <w:noWrap/>
                  <w:vAlign w:val="center"/>
                </w:tcP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center"/>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塑料堆放区</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left"/>
                    <w:rPr>
                      <w:rFonts w:ascii="Times New Roman" w:eastAsia="宋体" w:cs="Times New Roman" w:hAnsi="Times New Roman"/>
                      <w:kern w:val="0"/>
                      <w:sz w:val="21"/>
                      <w:szCs w:val="21"/>
                      <w:lang w:eastAsia="zh-CN"/>
                    </w:rPr>
                  </w:pPr>
                  <w:r>
                    <w:rPr>
                      <w:rFonts w:ascii="Times New Roman" w:eastAsia="宋体" w:cs="Times New Roman" w:hAnsi="Times New Roman"/>
                      <w:kern w:val="0"/>
                      <w:sz w:val="21"/>
                      <w:szCs w:val="21"/>
                      <w:lang w:eastAsia="zh-CN"/>
                    </w:rPr>
                    <w:t>建筑面积约</w:t>
                  </w:r>
                  <w:r>
                    <w:rPr>
                      <w:rFonts w:ascii="Times New Roman" w:cs="Times New Roman" w:hAnsi="Times New Roman" w:hint="eastAsia"/>
                      <w:kern w:val="0"/>
                      <w:sz w:val="21"/>
                      <w:szCs w:val="21"/>
                      <w:lang w:val="en-US" w:eastAsia="zh-CN"/>
                    </w:rPr>
                    <w:t>50.0</w:t>
                  </w:r>
                  <w:r>
                    <w:rPr>
                      <w:rFonts w:ascii="Times New Roman" w:eastAsia="宋体" w:cs="Times New Roman" w:hAnsi="Times New Roman"/>
                      <w:kern w:val="0"/>
                      <w:sz w:val="21"/>
                      <w:szCs w:val="21"/>
                      <w:lang w:eastAsia="zh-CN"/>
                    </w:rPr>
                    <w:t>m</w:t>
                  </w:r>
                  <w:r>
                    <w:rPr>
                      <w:rFonts w:ascii="Times New Roman" w:eastAsia="宋体" w:cs="Times New Roman" w:hAnsi="Times New Roman"/>
                      <w:kern w:val="0"/>
                      <w:sz w:val="21"/>
                      <w:szCs w:val="21"/>
                      <w:vertAlign w:val="superscript"/>
                      <w:lang w:eastAsia="zh-CN"/>
                    </w:rPr>
                    <w:t>2</w:t>
                  </w:r>
                  <w:r>
                    <w:rPr>
                      <w:rFonts w:ascii="Times New Roman" w:eastAsia="宋体" w:cs="Times New Roman" w:hAnsi="Times New Roman"/>
                      <w:kern w:val="0"/>
                      <w:sz w:val="21"/>
                      <w:szCs w:val="21"/>
                      <w:lang w:eastAsia="zh-CN"/>
                    </w:rPr>
                    <w:t>，用于可利用塑料的临时</w:t>
                  </w:r>
                  <w:r>
                    <w:rPr>
                      <w:rFonts w:ascii="Times New Roman" w:cs="Times New Roman" w:hAnsi="Times New Roman" w:hint="eastAsia"/>
                      <w:lang w:val="en-US" w:eastAsia="zh-CN"/>
                    </w:rPr>
                    <w:t>堆存</w:t>
                  </w:r>
                  <w:r>
                    <w:rPr>
                      <w:rFonts w:ascii="Times New Roman" w:eastAsia="宋体" w:cs="Times New Roman" w:hAnsi="Times New Roman"/>
                      <w:kern w:val="0"/>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w:t>
                  </w:r>
                </w:p>
              </w:tc>
              <w:tc>
                <w:tcPr>
                  <w:tcW w:w="386" w:type="pct"/>
                  <w:vMerge/>
                  <w:tcBorders>
                    <w:top w:val="single" w:sz="4" w:space="0" w:color="auto"/>
                    <w:left w:val="single" w:sz="4" w:space="0" w:color="auto"/>
                    <w:right w:val="single" w:sz="4" w:space="0" w:color="auto"/>
                  </w:tcBorders>
                  <w:noWrap/>
                  <w:vAlign w:val="center"/>
                </w:tcPr>
                <w:p/>
              </w:tc>
            </w:tr>
            <w:tr>
              <w:trPr>
                <w:trHeight w:val="153"/>
              </w:trPr>
              <w:tc>
                <w:tcPr>
                  <w:tcW w:w="387" w:type="pct"/>
                  <w:tcBorders>
                    <w:top w:val="single" w:sz="4" w:space="0" w:color="auto"/>
                    <w:left w:val="single" w:sz="4" w:space="0" w:color="auto"/>
                    <w:right w:val="single" w:sz="4" w:space="0" w:color="auto"/>
                  </w:tcBorders>
                  <w:noWrap/>
                  <w:vAlign w:val="center"/>
                </w:tcPr>
                <w:p>
                  <w:pPr>
                    <w:spacing w:line="240" w:lineRule="auto"/>
                    <w:jc w:val="both"/>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val="en-US" w:eastAsia="zh-CN"/>
                    </w:rPr>
                    <w:t>辅助工程</w:t>
                  </w:r>
                </w:p>
              </w:tc>
              <w:tc>
                <w:tcPr>
                  <w:tcW w:w="550"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cs="Times New Roman" w:hAnsi="Times New Roman" w:hint="eastAsia"/>
                      <w:sz w:val="21"/>
                      <w:szCs w:val="21"/>
                      <w:lang w:val="en-US" w:eastAsia="zh-CN"/>
                    </w:rPr>
                    <w:t>办公室</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both"/>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color w:val="000000"/>
                      <w:sz w:val="21"/>
                      <w:szCs w:val="21"/>
                    </w:rPr>
                    <w:t>位于车间内</w:t>
                  </w:r>
                  <w:r>
                    <w:rPr>
                      <w:rFonts w:ascii="Times New Roman" w:cs="Times New Roman" w:hAnsi="Times New Roman" w:hint="eastAsia"/>
                      <w:color w:val="000000"/>
                      <w:sz w:val="21"/>
                      <w:szCs w:val="21"/>
                      <w:lang w:val="en-US" w:eastAsia="zh-CN"/>
                    </w:rPr>
                    <w:t>南</w:t>
                  </w:r>
                  <w:r>
                    <w:rPr>
                      <w:rFonts w:ascii="Times New Roman" w:eastAsia="宋体" w:cs="Times New Roman" w:hAnsi="Times New Roman"/>
                      <w:color w:val="000000"/>
                      <w:sz w:val="21"/>
                      <w:szCs w:val="21"/>
                    </w:rPr>
                    <w:t>侧，面积约</w:t>
                  </w:r>
                  <w:r>
                    <w:rPr>
                      <w:rFonts w:ascii="Times New Roman" w:cs="Times New Roman" w:hAnsi="Times New Roman" w:hint="eastAsia"/>
                      <w:color w:val="000000"/>
                      <w:sz w:val="21"/>
                      <w:szCs w:val="21"/>
                      <w:lang w:val="en-US" w:eastAsia="zh-CN"/>
                    </w:rPr>
                    <w:t>20.0</w:t>
                  </w:r>
                  <w:r>
                    <w:rPr>
                      <w:rFonts w:ascii="Times New Roman" w:eastAsia="宋体" w:cs="Times New Roman" w:hAnsi="Times New Roman"/>
                      <w:color w:val="000000"/>
                      <w:sz w:val="21"/>
                      <w:szCs w:val="21"/>
                    </w:rPr>
                    <w:t>m</w:t>
                  </w:r>
                  <w:r>
                    <w:rPr>
                      <w:rFonts w:ascii="Times New Roman" w:eastAsia="宋体" w:cs="Times New Roman" w:hAnsi="Times New Roman"/>
                      <w:color w:val="000000"/>
                      <w:sz w:val="21"/>
                      <w:szCs w:val="21"/>
                      <w:vertAlign w:val="superscript"/>
                    </w:rPr>
                    <w:t>2</w:t>
                  </w:r>
                  <w:r>
                    <w:rPr>
                      <w:rFonts w:ascii="Times New Roman" w:eastAsia="宋体" w:cs="Times New Roman" w:hAnsi="Times New Roman"/>
                      <w:color w:val="000000"/>
                      <w:sz w:val="21"/>
                      <w:szCs w:val="21"/>
                    </w:rPr>
                    <w:t>，设置办公室和</w:t>
                  </w:r>
                  <w:r>
                    <w:rPr>
                      <w:rFonts w:ascii="Times New Roman" w:eastAsia="宋体" w:cs="Times New Roman" w:hAnsi="Times New Roman"/>
                      <w:color w:val="000000"/>
                      <w:sz w:val="21"/>
                      <w:szCs w:val="21"/>
                      <w:lang w:val="en-US" w:eastAsia="zh-CN"/>
                    </w:rPr>
                    <w:t>休息室</w:t>
                  </w:r>
                  <w:r>
                    <w:rPr>
                      <w:rFonts w:ascii="Times New Roman" w:eastAsia="宋体" w:cs="Times New Roman" w:hAnsi="Times New Roman"/>
                      <w:color w:val="000000"/>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sz w:val="21"/>
                      <w:szCs w:val="21"/>
                    </w:rPr>
                    <w:t>生活垃圾</w:t>
                  </w:r>
                  <w:r>
                    <w:rPr>
                      <w:rFonts w:ascii="Times New Roman" w:eastAsia="宋体" w:cs="Times New Roman" w:hAnsi="Times New Roman" w:hint="eastAsia"/>
                      <w:sz w:val="21"/>
                      <w:szCs w:val="21"/>
                      <w:lang w:eastAsia="zh-CN"/>
                    </w:rPr>
                    <w:t>生活污水</w:t>
                  </w:r>
                </w:p>
              </w:tc>
              <w:tc>
                <w:tcPr>
                  <w:tcW w:w="386" w:type="pct"/>
                  <w:vMerge/>
                  <w:tcBorders>
                    <w:top w:val="single" w:sz="4" w:space="0" w:color="auto"/>
                    <w:left w:val="single" w:sz="4" w:space="0" w:color="auto"/>
                    <w:right w:val="single" w:sz="4" w:space="0" w:color="auto"/>
                  </w:tcBorders>
                  <w:noWrap/>
                  <w:vAlign w:val="center"/>
                </w:tcPr>
                <w:p/>
              </w:tc>
            </w:tr>
            <w:tr>
              <w:trPr>
                <w:trHeight w:val="90"/>
              </w:trPr>
              <w:tc>
                <w:tcPr>
                  <w:tcW w:w="387" w:type="pct"/>
                  <w:vMerge w:val="restar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sz w:val="21"/>
                      <w:szCs w:val="21"/>
                    </w:rPr>
                    <w:t>公用工程</w:t>
                  </w: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供电</w:t>
                  </w:r>
                </w:p>
                <w:p>
                  <w:pPr>
                    <w:pStyle w:val="92"/>
                    <w:spacing w:line="240" w:lineRule="auto"/>
                    <w:rPr>
                      <w:rFonts w:ascii="Times New Roman" w:eastAsia="宋体" w:cs="Times New Roman" w:hAnsi="Times New Roman"/>
                      <w:b w:val="0"/>
                      <w:bCs w:val="0"/>
                      <w:color w:val="000000"/>
                      <w:sz w:val="21"/>
                      <w:szCs w:val="21"/>
                      <w:vertAlign w:val="baseline"/>
                      <w:lang w:eastAsia="zh-CN"/>
                    </w:rPr>
                  </w:pPr>
                  <w:r>
                    <w:rPr>
                      <w:rFonts w:ascii="Times New Roman" w:eastAsia="宋体" w:cs="Times New Roman" w:hAnsi="Times New Roman"/>
                      <w:sz w:val="21"/>
                      <w:szCs w:val="21"/>
                    </w:rPr>
                    <w:t>系统</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both"/>
                    <w:rPr>
                      <w:rFonts w:ascii="Times New Roman" w:eastAsia="宋体" w:cs="Times New Roman" w:hAnsi="Times New Roman"/>
                      <w:b w:val="0"/>
                      <w:bCs w:val="0"/>
                      <w:color w:val="auto"/>
                      <w:sz w:val="21"/>
                      <w:szCs w:val="21"/>
                      <w:vertAlign w:val="baseline"/>
                      <w:lang w:eastAsia="zh-CN"/>
                    </w:rPr>
                  </w:pPr>
                  <w:r>
                    <w:rPr>
                      <w:rFonts w:ascii="Times New Roman" w:eastAsia="宋体" w:cs="Times New Roman" w:hAnsi="Times New Roman"/>
                      <w:color w:val="000000"/>
                      <w:sz w:val="21"/>
                      <w:szCs w:val="21"/>
                    </w:rPr>
                    <w:t>市政电网集中供电</w:t>
                  </w:r>
                  <w:r>
                    <w:rPr>
                      <w:rFonts w:ascii="Times New Roman" w:eastAsia="宋体" w:cs="Times New Roman" w:hAnsi="Times New Roman"/>
                      <w:color w:val="000000"/>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sz w:val="21"/>
                      <w:szCs w:val="21"/>
                    </w:rPr>
                    <w:t>/</w:t>
                  </w:r>
                </w:p>
              </w:tc>
              <w:tc>
                <w:tcPr>
                  <w:tcW w:w="38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sz w:val="21"/>
                      <w:szCs w:val="21"/>
                      <w:lang w:val="en-US" w:eastAsia="zh-CN"/>
                    </w:rPr>
                    <w:t>依托现有</w:t>
                  </w: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供水</w:t>
                  </w:r>
                </w:p>
                <w:p>
                  <w:pPr>
                    <w:pStyle w:val="92"/>
                    <w:spacing w:line="240" w:lineRule="auto"/>
                    <w:rPr>
                      <w:rFonts w:ascii="Times New Roman" w:eastAsia="宋体" w:cs="Times New Roman" w:hAnsi="Times New Roman"/>
                      <w:b w:val="0"/>
                      <w:bCs w:val="0"/>
                      <w:sz w:val="21"/>
                      <w:szCs w:val="21"/>
                    </w:rPr>
                  </w:pPr>
                  <w:r>
                    <w:rPr>
                      <w:rFonts w:ascii="Times New Roman" w:eastAsia="宋体" w:cs="Times New Roman" w:hAnsi="Times New Roman"/>
                      <w:sz w:val="21"/>
                      <w:szCs w:val="21"/>
                    </w:rPr>
                    <w:t>系统</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both"/>
                    <w:rPr>
                      <w:rFonts w:ascii="Times New Roman" w:eastAsia="宋体" w:cs="Times New Roman" w:hAnsi="Times New Roman"/>
                      <w:b w:val="0"/>
                      <w:bCs w:val="0"/>
                      <w:sz w:val="21"/>
                      <w:szCs w:val="21"/>
                      <w:lang w:eastAsia="zh-CN"/>
                    </w:rPr>
                  </w:pPr>
                  <w:r>
                    <w:rPr>
                      <w:rFonts w:ascii="Times New Roman" w:cs="Times New Roman" w:hAnsi="Times New Roman" w:hint="eastAsia"/>
                      <w:color w:val="000000"/>
                      <w:sz w:val="21"/>
                      <w:szCs w:val="21"/>
                      <w:lang w:val="en-US" w:eastAsia="zh-CN"/>
                    </w:rPr>
                    <w:t>依托市政供水网供水</w:t>
                  </w:r>
                  <w:r>
                    <w:rPr>
                      <w:rFonts w:ascii="Times New Roman" w:eastAsia="宋体" w:cs="Times New Roman" w:hAnsi="Times New Roman" w:hint="eastAsia"/>
                      <w:color w:val="000000"/>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sz w:val="21"/>
                      <w:szCs w:val="21"/>
                    </w:rPr>
                    <w:t>/</w:t>
                  </w:r>
                </w:p>
              </w:tc>
              <w:tc>
                <w:tcPr>
                  <w:tcW w:w="38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sz w:val="21"/>
                      <w:szCs w:val="21"/>
                    </w:rPr>
                  </w:pPr>
                  <w:r>
                    <w:rPr>
                      <w:rFonts w:ascii="Times New Roman" w:eastAsia="宋体" w:cs="Times New Roman" w:hAnsi="Times New Roman"/>
                      <w:sz w:val="21"/>
                      <w:szCs w:val="21"/>
                      <w:lang w:val="en-US" w:eastAsia="zh-CN"/>
                    </w:rPr>
                    <w:t>依托现有</w:t>
                  </w: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sz w:val="21"/>
                      <w:szCs w:val="21"/>
                    </w:rPr>
                  </w:pPr>
                  <w:r>
                    <w:rPr>
                      <w:rFonts w:ascii="Times New Roman" w:eastAsia="宋体" w:cs="Times New Roman" w:hAnsi="Times New Roman"/>
                      <w:sz w:val="21"/>
                      <w:szCs w:val="21"/>
                    </w:rPr>
                    <w:t>排水</w:t>
                  </w:r>
                </w:p>
                <w:p>
                  <w:pPr>
                    <w:pStyle w:val="92"/>
                    <w:spacing w:line="240" w:lineRule="auto"/>
                    <w:rPr>
                      <w:rFonts w:ascii="Times New Roman" w:eastAsia="宋体" w:cs="Times New Roman" w:hAnsi="Times New Roman"/>
                      <w:b w:val="0"/>
                      <w:bCs w:val="0"/>
                      <w:sz w:val="21"/>
                      <w:szCs w:val="21"/>
                    </w:rPr>
                  </w:pPr>
                  <w:r>
                    <w:rPr>
                      <w:rFonts w:ascii="Times New Roman" w:eastAsia="宋体" w:cs="Times New Roman" w:hAnsi="Times New Roman"/>
                      <w:sz w:val="21"/>
                      <w:szCs w:val="21"/>
                    </w:rPr>
                    <w:t>系统</w:t>
                  </w:r>
                </w:p>
              </w:tc>
              <w:tc>
                <w:tcPr>
                  <w:tcW w:w="2371"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hint="eastAsia"/>
                    </w:rPr>
                    <w:t>依托</w:t>
                  </w:r>
                  <w:r>
                    <w:rPr>
                      <w:rFonts w:hint="eastAsia"/>
                      <w:lang w:eastAsia="zh-CN"/>
                    </w:rPr>
                    <w:t>大英县嘉泰城市建设投资开发有限责任公司</w:t>
                  </w:r>
                  <w:r>
                    <w:rPr>
                      <w:rFonts w:hint="eastAsia"/>
                    </w:rPr>
                    <w:t>厂区</w:t>
                  </w:r>
                  <w:r>
                    <w:rPr>
                      <w:rFonts w:hint="eastAsia"/>
                      <w:lang w:val="en-US" w:eastAsia="zh-CN"/>
                    </w:rPr>
                    <w:t>已建</w:t>
                  </w:r>
                  <w:r>
                    <w:rPr>
                      <w:rFonts w:hint="eastAsia"/>
                    </w:rPr>
                    <w:t>雨水管网、污水管网</w:t>
                  </w:r>
                  <w:r>
                    <w:rPr>
                      <w:rFonts w:hint="eastAsia"/>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sz w:val="21"/>
                      <w:szCs w:val="21"/>
                      <w:lang w:val="en-US" w:eastAsia="zh-CN"/>
                    </w:rPr>
                    <w:t>废水</w:t>
                  </w:r>
                </w:p>
              </w:tc>
              <w:tc>
                <w:tcPr>
                  <w:tcW w:w="38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rPr>
                  </w:pPr>
                  <w:r>
                    <w:rPr>
                      <w:rFonts w:ascii="Times New Roman" w:eastAsia="宋体" w:cs="Times New Roman" w:hAnsi="Times New Roman"/>
                      <w:sz w:val="21"/>
                      <w:szCs w:val="21"/>
                      <w:lang w:val="en-US" w:eastAsia="zh-CN"/>
                    </w:rPr>
                    <w:t>依托现有</w:t>
                  </w:r>
                </w:p>
              </w:tc>
            </w:tr>
            <w:tr>
              <w:trPr>
                <w:trHeight w:val="307"/>
              </w:trPr>
              <w:tc>
                <w:tcPr>
                  <w:tcW w:w="387" w:type="pct"/>
                  <w:vMerge w:val="restar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val="en-US" w:eastAsia="zh-CN"/>
                    </w:rPr>
                    <w:t>环保工程</w:t>
                  </w: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color w:val="auto"/>
                      <w:sz w:val="21"/>
                      <w:szCs w:val="21"/>
                    </w:rPr>
                  </w:pPr>
                  <w:r>
                    <w:rPr>
                      <w:rFonts w:ascii="Times New Roman" w:eastAsia="宋体" w:cs="Times New Roman" w:hAnsi="Times New Roman"/>
                      <w:color w:val="auto"/>
                      <w:sz w:val="21"/>
                      <w:szCs w:val="21"/>
                    </w:rPr>
                    <w:t>废气</w:t>
                  </w:r>
                </w:p>
                <w:p>
                  <w:pPr>
                    <w:pStyle w:val="92"/>
                    <w:spacing w:line="240" w:lineRule="auto"/>
                    <w:rPr>
                      <w:rFonts w:ascii="Times New Roman" w:eastAsia="宋体" w:cs="Times New Roman" w:hAnsi="Times New Roman"/>
                      <w:b w:val="0"/>
                      <w:bCs w:val="0"/>
                      <w:color w:val="auto"/>
                      <w:sz w:val="21"/>
                      <w:szCs w:val="21"/>
                      <w:vertAlign w:val="baseline"/>
                    </w:rPr>
                  </w:pPr>
                  <w:r>
                    <w:rPr>
                      <w:rFonts w:ascii="Times New Roman" w:eastAsia="宋体" w:cs="Times New Roman" w:hAnsi="Times New Roman"/>
                      <w:color w:val="auto"/>
                      <w:sz w:val="21"/>
                      <w:szCs w:val="21"/>
                    </w:rPr>
                    <w:t>治理</w:t>
                  </w:r>
                </w:p>
              </w:tc>
              <w:tc>
                <w:tcPr>
                  <w:tcW w:w="2371" w:type="pct"/>
                  <w:tcBorders>
                    <w:top w:val="single" w:sz="4" w:space="0" w:color="auto"/>
                    <w:left w:val="single" w:sz="4" w:space="0" w:color="auto"/>
                    <w:right w:val="single" w:sz="4" w:space="0" w:color="auto"/>
                  </w:tcBorders>
                  <w:noWrap/>
                  <w:vAlign w:val="center"/>
                </w:tcPr>
                <w:p>
                  <w:pPr>
                    <w:spacing w:line="240" w:lineRule="auto"/>
                    <w:jc w:val="both"/>
                    <w:rPr>
                      <w:rFonts w:ascii="Times New Roman" w:eastAsia="宋体" w:cs="Times New Roman" w:hAnsi="Times New Roman"/>
                      <w:b w:val="0"/>
                      <w:bCs w:val="0"/>
                      <w:color w:val="auto"/>
                      <w:sz w:val="21"/>
                      <w:szCs w:val="21"/>
                      <w:vertAlign w:val="baseline"/>
                      <w:lang w:eastAsia="zh-CN"/>
                    </w:rPr>
                  </w:pPr>
                  <w:r>
                    <w:rPr>
                      <w:rFonts w:hint="eastAsia"/>
                    </w:rPr>
                    <w:t>拆解作业均在</w:t>
                  </w:r>
                  <w:r>
                    <w:rPr>
                      <w:rFonts w:hint="eastAsia"/>
                      <w:lang w:eastAsia="zh-CN"/>
                    </w:rPr>
                    <w:t>拆解通风橱</w:t>
                  </w:r>
                  <w:r>
                    <w:rPr>
                      <w:rFonts w:hint="eastAsia"/>
                      <w:lang w:val="en-US" w:eastAsia="zh-CN"/>
                    </w:rPr>
                    <w:t>内</w:t>
                  </w:r>
                  <w:r>
                    <w:rPr>
                      <w:rFonts w:hint="eastAsia"/>
                    </w:rPr>
                    <w:t>进行，清灰过程产生粉尘经</w:t>
                  </w:r>
                  <w:r>
                    <w:rPr>
                      <w:rFonts w:hint="eastAsia"/>
                      <w:lang w:val="en-US" w:eastAsia="zh-CN"/>
                    </w:rPr>
                    <w:t>配套</w:t>
                  </w:r>
                  <w:r>
                    <w:rPr>
                      <w:rFonts w:hint="eastAsia"/>
                      <w:lang w:eastAsia="zh-CN"/>
                    </w:rPr>
                    <w:t>布袋除尘</w:t>
                  </w:r>
                  <w:r>
                    <w:rPr>
                      <w:rFonts w:hint="eastAsia"/>
                    </w:rPr>
                    <w:t>器处理后</w:t>
                  </w:r>
                  <w:r>
                    <w:rPr>
                      <w:rFonts w:hint="eastAsia"/>
                      <w:lang w:val="en-US" w:eastAsia="zh-CN"/>
                    </w:rPr>
                    <w:t>经</w:t>
                  </w:r>
                  <w:r>
                    <w:rPr>
                      <w:rFonts w:hint="eastAsia"/>
                    </w:rPr>
                    <w:t>废气管道通过</w:t>
                  </w:r>
                  <w:r>
                    <w:rPr>
                      <w:rFonts w:hint="eastAsia"/>
                      <w:lang w:val="en-US" w:eastAsia="zh-CN"/>
                    </w:rPr>
                    <w:t>21</w:t>
                  </w:r>
                  <w:r>
                    <w:rPr>
                      <w:rFonts w:hint="eastAsia"/>
                    </w:rPr>
                    <w:t>m排气筒（DA001）有组织排放。</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color w:val="auto"/>
                      <w:sz w:val="21"/>
                      <w:szCs w:val="21"/>
                    </w:rPr>
                    <w:t>废气</w:t>
                  </w:r>
                </w:p>
              </w:tc>
              <w:tc>
                <w:tcPr>
                  <w:tcW w:w="386" w:type="pct"/>
                  <w:tcBorders>
                    <w:top w:val="single" w:sz="4" w:space="0" w:color="auto"/>
                    <w:left w:val="single" w:sz="4" w:space="0" w:color="auto"/>
                    <w:right w:val="single" w:sz="4" w:space="0" w:color="auto"/>
                  </w:tcBorders>
                  <w:noWrap/>
                  <w:vAlign w:val="center"/>
                </w:tcPr>
                <w:p>
                  <w:pPr>
                    <w:spacing w:line="240" w:lineRule="auto"/>
                    <w:ind w:left="0" w:firstLine="0"/>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vertAlign w:val="baseline"/>
                      <w:lang w:val="en-US" w:eastAsia="zh-CN"/>
                    </w:rPr>
                    <w:t>新建</w:t>
                  </w:r>
                </w:p>
              </w:tc>
            </w:tr>
            <w:tr>
              <w:trPr>
                <w:trHeight w:val="307"/>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color w:val="auto"/>
                      <w:sz w:val="21"/>
                      <w:szCs w:val="21"/>
                    </w:rPr>
                  </w:pPr>
                  <w:r>
                    <w:rPr>
                      <w:rFonts w:ascii="Times New Roman" w:eastAsia="宋体" w:cs="Times New Roman" w:hAnsi="Times New Roman"/>
                      <w:color w:val="auto"/>
                      <w:sz w:val="21"/>
                      <w:szCs w:val="21"/>
                    </w:rPr>
                    <w:t>废水</w:t>
                  </w:r>
                </w:p>
                <w:p>
                  <w:pPr>
                    <w:pStyle w:val="92"/>
                    <w:spacing w:line="240" w:lineRule="auto"/>
                    <w:rPr>
                      <w:rFonts w:ascii="Times New Roman" w:eastAsia="宋体" w:cs="Times New Roman" w:hAnsi="Times New Roman"/>
                      <w:sz w:val="21"/>
                      <w:szCs w:val="21"/>
                    </w:rPr>
                  </w:pPr>
                  <w:r>
                    <w:rPr>
                      <w:rFonts w:ascii="Times New Roman" w:eastAsia="宋体" w:cs="Times New Roman" w:hAnsi="Times New Roman"/>
                      <w:color w:val="auto"/>
                      <w:sz w:val="21"/>
                      <w:szCs w:val="21"/>
                    </w:rPr>
                    <w:t>治理</w:t>
                  </w:r>
                </w:p>
              </w:tc>
              <w:tc>
                <w:tcPr>
                  <w:tcW w:w="2371"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both"/>
                    <w:rPr>
                      <w:rFonts w:ascii="Times New Roman" w:eastAsia="宋体" w:cs="Times New Roman" w:hAnsi="Times New Roman"/>
                      <w:color w:val="auto"/>
                      <w:sz w:val="21"/>
                      <w:szCs w:val="21"/>
                    </w:rPr>
                  </w:pPr>
                  <w:r>
                    <w:rPr>
                      <w:rFonts w:ascii="Times New Roman" w:eastAsia="宋体" w:cs="Times New Roman" w:hAnsi="Times New Roman" w:hint="eastAsia"/>
                      <w:color w:val="auto"/>
                      <w:kern w:val="0"/>
                      <w:sz w:val="21"/>
                      <w:szCs w:val="21"/>
                      <w:lang w:eastAsia="zh-CN"/>
                    </w:rPr>
                    <w:t>厂区采取雨污分流</w:t>
                  </w:r>
                  <w:r>
                    <w:rPr>
                      <w:rFonts w:cs="Times New Roman" w:hint="eastAsia"/>
                      <w:color w:val="auto"/>
                      <w:kern w:val="0"/>
                      <w:sz w:val="21"/>
                      <w:szCs w:val="21"/>
                      <w:lang w:eastAsia="zh-CN"/>
                    </w:rPr>
                    <w:t>；</w:t>
                  </w:r>
                  <w:r>
                    <w:rPr>
                      <w:rFonts w:ascii="Times New Roman" w:eastAsia="宋体" w:cs="Times New Roman" w:hAnsi="Times New Roman" w:hint="eastAsia"/>
                      <w:color w:val="auto"/>
                      <w:kern w:val="0"/>
                      <w:sz w:val="21"/>
                      <w:szCs w:val="21"/>
                      <w:lang w:eastAsia="zh-CN"/>
                    </w:rPr>
                    <w:t>生活污水依托已建</w:t>
                  </w:r>
                  <w:r>
                    <w:rPr>
                      <w:rFonts w:cs="Times New Roman" w:hint="eastAsia"/>
                      <w:color w:val="auto"/>
                      <w:kern w:val="0"/>
                      <w:sz w:val="21"/>
                      <w:szCs w:val="21"/>
                      <w:lang w:eastAsia="zh-CN"/>
                    </w:rPr>
                    <w:t>预处理池</w:t>
                  </w:r>
                  <w:r>
                    <w:rPr>
                      <w:rFonts w:ascii="Times New Roman" w:eastAsia="宋体" w:cs="Times New Roman" w:hAnsi="Times New Roman" w:hint="eastAsia"/>
                      <w:color w:val="auto"/>
                      <w:kern w:val="0"/>
                      <w:sz w:val="21"/>
                      <w:szCs w:val="21"/>
                      <w:lang w:eastAsia="zh-CN"/>
                    </w:rPr>
                    <w:t>（容积</w:t>
                  </w:r>
                  <w:r>
                    <w:rPr>
                      <w:rFonts w:cs="Times New Roman" w:hint="eastAsia"/>
                      <w:color w:val="auto"/>
                      <w:kern w:val="0"/>
                      <w:sz w:val="21"/>
                      <w:szCs w:val="21"/>
                      <w:lang w:val="en-US" w:eastAsia="zh-CN"/>
                    </w:rPr>
                    <w:t>100</w:t>
                  </w:r>
                  <w:r>
                    <w:rPr>
                      <w:rFonts w:ascii="Times New Roman" w:eastAsia="宋体" w:cs="Times New Roman" w:hAnsi="Times New Roman" w:hint="eastAsia"/>
                      <w:color w:val="auto"/>
                      <w:kern w:val="0"/>
                      <w:sz w:val="21"/>
                      <w:szCs w:val="21"/>
                      <w:lang w:eastAsia="zh-CN"/>
                    </w:rPr>
                    <w:t>m</w:t>
                  </w:r>
                  <w:r>
                    <w:rPr>
                      <w:rFonts w:ascii="Times New Roman" w:eastAsia="宋体" w:cs="Times New Roman" w:hAnsi="Times New Roman" w:hint="eastAsia"/>
                      <w:color w:val="auto"/>
                      <w:kern w:val="0"/>
                      <w:sz w:val="21"/>
                      <w:szCs w:val="21"/>
                      <w:vertAlign w:val="superscript"/>
                      <w:lang w:eastAsia="zh-CN"/>
                    </w:rPr>
                    <w:t>3</w:t>
                  </w:r>
                  <w:r>
                    <w:rPr>
                      <w:rFonts w:ascii="Times New Roman" w:eastAsia="宋体" w:cs="Times New Roman" w:hAnsi="Times New Roman" w:hint="eastAsia"/>
                      <w:color w:val="auto"/>
                      <w:kern w:val="0"/>
                      <w:sz w:val="21"/>
                      <w:szCs w:val="21"/>
                      <w:lang w:eastAsia="zh-CN"/>
                    </w:rPr>
                    <w:t>）处理达《污水综合排放标准》（GB8978-1996）三级标准后排入园区污水管网，进入</w:t>
                  </w:r>
                  <w:r>
                    <w:rPr>
                      <w:rFonts w:cs="Times New Roman" w:hint="eastAsia"/>
                      <w:color w:val="auto"/>
                      <w:kern w:val="0"/>
                      <w:sz w:val="21"/>
                      <w:szCs w:val="21"/>
                      <w:lang w:eastAsia="zh-CN"/>
                    </w:rPr>
                    <w:t>大英县工业污水处理厂</w:t>
                  </w:r>
                  <w:r>
                    <w:rPr>
                      <w:rFonts w:ascii="Times New Roman" w:eastAsia="宋体" w:cs="Times New Roman" w:hAnsi="Times New Roman" w:hint="eastAsia"/>
                      <w:color w:val="auto"/>
                      <w:kern w:val="0"/>
                      <w:sz w:val="21"/>
                      <w:szCs w:val="21"/>
                      <w:lang w:eastAsia="zh-CN"/>
                    </w:rPr>
                    <w:t>达标处理</w:t>
                  </w:r>
                  <w:r>
                    <w:rPr>
                      <w:rFonts w:ascii="Times New Roman" w:eastAsia="宋体" w:cs="Times New Roman" w:hAnsi="Times New Roman"/>
                      <w:color w:val="auto"/>
                      <w:kern w:val="0"/>
                      <w:sz w:val="21"/>
                      <w:szCs w:val="21"/>
                    </w:rPr>
                    <w:t>；</w:t>
                  </w:r>
                  <w:r>
                    <w:rPr>
                      <w:rFonts w:ascii="Times New Roman" w:eastAsia="宋体" w:cs="Times New Roman" w:hAnsi="Times New Roman" w:hint="eastAsia"/>
                      <w:color w:val="auto"/>
                      <w:kern w:val="0"/>
                      <w:sz w:val="21"/>
                      <w:szCs w:val="21"/>
                      <w:lang w:eastAsia="zh-CN"/>
                    </w:rPr>
                    <w:t>无生产废水；</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废水</w:t>
                  </w:r>
                </w:p>
              </w:tc>
              <w:tc>
                <w:tcPr>
                  <w:tcW w:w="38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lang w:val="en-US" w:eastAsia="zh-CN"/>
                    </w:rPr>
                    <w:t>依托现有</w:t>
                  </w:r>
                </w:p>
              </w:tc>
            </w:tr>
            <w:tr>
              <w:trPr>
                <w:trHeight w:val="90"/>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b/>
                      <w:bCs/>
                      <w:color w:val="auto"/>
                      <w:sz w:val="21"/>
                      <w:szCs w:val="21"/>
                    </w:rPr>
                  </w:pPr>
                  <w:r>
                    <w:rPr>
                      <w:rFonts w:ascii="Times New Roman" w:eastAsia="宋体" w:cs="Times New Roman" w:hAnsi="Times New Roman"/>
                      <w:color w:val="auto"/>
                      <w:sz w:val="21"/>
                      <w:szCs w:val="21"/>
                    </w:rPr>
                    <w:t>固废</w:t>
                  </w:r>
                </w:p>
              </w:tc>
              <w:tc>
                <w:tcPr>
                  <w:tcW w:w="2371" w:type="pct"/>
                  <w:tcBorders>
                    <w:top w:val="single" w:sz="4" w:space="0" w:color="auto"/>
                    <w:left w:val="single" w:sz="4" w:space="0" w:color="auto"/>
                    <w:right w:val="single" w:sz="4" w:space="0" w:color="auto"/>
                  </w:tcBorders>
                  <w:noWrap/>
                  <w:vAlign w:val="center"/>
                </w:tcPr>
                <w:p>
                  <w:pPr>
                    <w:autoSpaceDE w:val="0"/>
                    <w:autoSpaceDN w:val="0"/>
                    <w:adjustRightInd w:val="0"/>
                    <w:spacing w:line="240" w:lineRule="auto"/>
                    <w:jc w:val="both"/>
                    <w:rPr>
                      <w:rFonts w:cs="Times New Roman" w:hint="eastAsia"/>
                      <w:color w:val="auto"/>
                      <w:kern w:val="0"/>
                      <w:sz w:val="21"/>
                      <w:szCs w:val="21"/>
                      <w:lang w:eastAsia="zh-CN"/>
                    </w:rPr>
                  </w:pPr>
                  <w:r>
                    <w:rPr>
                      <w:rFonts w:ascii="Times New Roman" w:eastAsia="宋体" w:cs="Times New Roman" w:hAnsi="Times New Roman"/>
                      <w:color w:val="auto"/>
                      <w:kern w:val="0"/>
                      <w:sz w:val="21"/>
                      <w:szCs w:val="21"/>
                    </w:rPr>
                    <w:t>厂区设置一间危废暂存间（</w:t>
                  </w:r>
                  <w:r>
                    <w:rPr>
                      <w:rFonts w:cs="Times New Roman" w:hint="eastAsia"/>
                      <w:color w:val="auto"/>
                      <w:kern w:val="0"/>
                      <w:sz w:val="21"/>
                      <w:szCs w:val="21"/>
                      <w:lang w:val="en-US" w:eastAsia="zh-CN"/>
                    </w:rPr>
                    <w:t>20.0</w:t>
                  </w:r>
                  <w:r>
                    <w:rPr>
                      <w:rFonts w:ascii="Times New Roman" w:eastAsia="宋体" w:cs="Times New Roman" w:hAnsi="Times New Roman"/>
                      <w:color w:val="auto"/>
                      <w:kern w:val="0"/>
                      <w:sz w:val="21"/>
                      <w:szCs w:val="21"/>
                    </w:rPr>
                    <w:t>m</w:t>
                  </w:r>
                  <w:r>
                    <w:rPr>
                      <w:rFonts w:ascii="Times New Roman" w:eastAsia="宋体" w:cs="Times New Roman" w:hAnsi="Times New Roman"/>
                      <w:color w:val="auto"/>
                      <w:kern w:val="0"/>
                      <w:sz w:val="21"/>
                      <w:szCs w:val="21"/>
                      <w:vertAlign w:val="superscript"/>
                    </w:rPr>
                    <w:t>2</w:t>
                  </w:r>
                  <w:r>
                    <w:rPr>
                      <w:rFonts w:ascii="Times New Roman" w:eastAsia="宋体" w:cs="Times New Roman" w:hAnsi="Times New Roman"/>
                      <w:color w:val="auto"/>
                      <w:kern w:val="0"/>
                      <w:sz w:val="21"/>
                      <w:szCs w:val="21"/>
                    </w:rPr>
                    <w:t>），位于车间内</w:t>
                  </w:r>
                  <w:r>
                    <w:rPr>
                      <w:rFonts w:cs="Times New Roman" w:hint="eastAsia"/>
                      <w:color w:val="auto"/>
                      <w:kern w:val="0"/>
                      <w:sz w:val="21"/>
                      <w:szCs w:val="21"/>
                      <w:lang w:val="en-US" w:eastAsia="zh-CN"/>
                    </w:rPr>
                    <w:t>北</w:t>
                  </w:r>
                  <w:r>
                    <w:rPr>
                      <w:rFonts w:ascii="Times New Roman" w:eastAsia="宋体" w:cs="Times New Roman" w:hAnsi="Times New Roman"/>
                      <w:color w:val="auto"/>
                      <w:kern w:val="0"/>
                      <w:sz w:val="21"/>
                      <w:szCs w:val="21"/>
                    </w:rPr>
                    <w:t>侧，按照《危险废物贮存污染控制标准》（GB18597-2023）要求进行</w:t>
                  </w:r>
                  <w:r>
                    <w:rPr>
                      <w:rFonts w:cs="Times New Roman" w:hint="eastAsia"/>
                      <w:color w:val="auto"/>
                      <w:kern w:val="0"/>
                      <w:sz w:val="21"/>
                      <w:szCs w:val="21"/>
                      <w:lang w:val="en-US" w:eastAsia="zh-CN"/>
                    </w:rPr>
                    <w:t>设计</w:t>
                  </w:r>
                  <w:r>
                    <w:rPr>
                      <w:rFonts w:ascii="Times New Roman" w:eastAsia="宋体" w:cs="Times New Roman" w:hAnsi="Times New Roman"/>
                      <w:color w:val="auto"/>
                      <w:kern w:val="0"/>
                      <w:sz w:val="21"/>
                      <w:szCs w:val="21"/>
                    </w:rPr>
                    <w:t>建设，项目产生危险废物</w:t>
                  </w:r>
                  <w:r>
                    <w:rPr>
                      <w:rFonts w:cs="Times New Roman" w:hint="eastAsia"/>
                      <w:color w:val="auto"/>
                      <w:kern w:val="0"/>
                      <w:sz w:val="21"/>
                      <w:szCs w:val="21"/>
                      <w:lang w:val="en-US" w:eastAsia="zh-CN"/>
                    </w:rPr>
                    <w:t>用塑料桶</w:t>
                  </w:r>
                  <w:r>
                    <w:rPr>
                      <w:rFonts w:ascii="Times New Roman" w:eastAsia="宋体" w:cs="Times New Roman" w:hAnsi="Times New Roman"/>
                      <w:color w:val="auto"/>
                      <w:kern w:val="0"/>
                      <w:sz w:val="21"/>
                      <w:szCs w:val="21"/>
                    </w:rPr>
                    <w:t>分类收集后暂存于危废暂存间，定期交由有资质单位进行处置</w:t>
                  </w:r>
                  <w:r>
                    <w:rPr>
                      <w:rFonts w:cs="Times New Roman" w:hint="eastAsia"/>
                      <w:color w:val="auto"/>
                      <w:kern w:val="0"/>
                      <w:sz w:val="21"/>
                      <w:szCs w:val="21"/>
                      <w:lang w:eastAsia="zh-CN"/>
                    </w:rPr>
                    <w:t>；</w:t>
                  </w:r>
                </w:p>
                <w:p>
                  <w:pPr>
                    <w:autoSpaceDE w:val="0"/>
                    <w:autoSpaceDN w:val="0"/>
                    <w:adjustRightInd w:val="0"/>
                    <w:spacing w:line="240" w:lineRule="auto"/>
                    <w:jc w:val="both"/>
                    <w:rPr>
                      <w:rFonts w:ascii="Times New Roman" w:eastAsia="宋体" w:cs="Times New Roman" w:hAnsi="Times New Roman" w:hint="eastAsia"/>
                      <w:color w:val="auto"/>
                      <w:kern w:val="0"/>
                      <w:sz w:val="21"/>
                      <w:szCs w:val="21"/>
                      <w:lang w:eastAsia="zh-CN"/>
                    </w:rPr>
                  </w:pPr>
                  <w:r>
                    <w:rPr>
                      <w:rFonts w:ascii="Times New Roman" w:eastAsia="宋体" w:cs="Times New Roman" w:hAnsi="Times New Roman"/>
                      <w:color w:val="auto"/>
                      <w:kern w:val="0"/>
                      <w:sz w:val="21"/>
                      <w:szCs w:val="21"/>
                    </w:rPr>
                    <w:t>废包装材料、拆解产生不可利用物</w:t>
                  </w:r>
                  <w:r>
                    <w:rPr>
                      <w:rFonts w:cs="Times New Roman" w:hint="eastAsia"/>
                      <w:color w:val="auto"/>
                      <w:kern w:val="0"/>
                      <w:sz w:val="21"/>
                      <w:szCs w:val="21"/>
                      <w:lang w:val="en-US" w:eastAsia="zh-CN"/>
                    </w:rPr>
                    <w:t>等</w:t>
                  </w:r>
                  <w:r>
                    <w:rPr>
                      <w:rFonts w:ascii="Times New Roman" w:eastAsia="宋体" w:cs="Times New Roman" w:hAnsi="Times New Roman"/>
                      <w:color w:val="auto"/>
                      <w:kern w:val="0"/>
                      <w:sz w:val="21"/>
                      <w:szCs w:val="21"/>
                    </w:rPr>
                    <w:t>收集后暂存于一般固废暂存区（</w:t>
                  </w:r>
                  <w:r>
                    <w:rPr>
                      <w:rFonts w:cs="Times New Roman" w:hint="eastAsia"/>
                      <w:color w:val="auto"/>
                      <w:kern w:val="0"/>
                      <w:sz w:val="21"/>
                      <w:szCs w:val="21"/>
                      <w:lang w:val="en-US" w:eastAsia="zh-CN"/>
                    </w:rPr>
                    <w:t>35.0</w:t>
                  </w:r>
                  <w:r>
                    <w:rPr>
                      <w:rFonts w:ascii="Times New Roman" w:eastAsia="宋体" w:cs="Times New Roman" w:hAnsi="Times New Roman"/>
                      <w:color w:val="auto"/>
                      <w:kern w:val="0"/>
                      <w:sz w:val="21"/>
                      <w:szCs w:val="21"/>
                    </w:rPr>
                    <w:t>m</w:t>
                  </w:r>
                  <w:r>
                    <w:rPr>
                      <w:rFonts w:ascii="Times New Roman" w:eastAsia="宋体" w:cs="Times New Roman" w:hAnsi="Times New Roman"/>
                      <w:color w:val="auto"/>
                      <w:kern w:val="0"/>
                      <w:sz w:val="21"/>
                      <w:szCs w:val="21"/>
                      <w:vertAlign w:val="superscript"/>
                    </w:rPr>
                    <w:t>2</w:t>
                  </w:r>
                  <w:r>
                    <w:rPr>
                      <w:rFonts w:ascii="Times New Roman" w:eastAsia="宋体" w:cs="Times New Roman" w:hAnsi="Times New Roman"/>
                      <w:color w:val="auto"/>
                      <w:kern w:val="0"/>
                      <w:sz w:val="21"/>
                      <w:szCs w:val="21"/>
                    </w:rPr>
                    <w:t>），定期外售至废品回收站；除尘器收集粉尘定期清理交由环卫部门处置</w:t>
                  </w:r>
                  <w:r>
                    <w:rPr>
                      <w:rFonts w:cs="Times New Roman" w:hint="eastAsia"/>
                      <w:color w:val="auto"/>
                      <w:kern w:val="0"/>
                      <w:sz w:val="21"/>
                      <w:szCs w:val="21"/>
                      <w:lang w:eastAsia="zh-CN"/>
                    </w:rPr>
                    <w:t>；</w:t>
                  </w:r>
                </w:p>
                <w:p>
                  <w:pPr>
                    <w:autoSpaceDE w:val="0"/>
                    <w:autoSpaceDN w:val="0"/>
                    <w:adjustRightInd w:val="0"/>
                    <w:spacing w:line="240" w:lineRule="auto"/>
                    <w:jc w:val="both"/>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color w:val="auto"/>
                      <w:kern w:val="0"/>
                      <w:sz w:val="21"/>
                      <w:szCs w:val="21"/>
                    </w:rPr>
                    <w:t>生活垃圾袋装收集后，定期由环卫部门统一清运处理；</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sz w:val="21"/>
                      <w:szCs w:val="21"/>
                      <w:lang w:val="en-US" w:eastAsia="zh-CN"/>
                    </w:rPr>
                  </w:pPr>
                  <w:r>
                    <w:rPr>
                      <w:rFonts w:ascii="Times New Roman" w:eastAsia="宋体" w:cs="Times New Roman" w:hAnsi="Times New Roman"/>
                      <w:sz w:val="21"/>
                      <w:szCs w:val="21"/>
                    </w:rPr>
                    <w:t>固</w:t>
                  </w:r>
                  <w:r>
                    <w:rPr>
                      <w:rFonts w:ascii="Times New Roman" w:cs="Times New Roman" w:hAnsi="Times New Roman" w:hint="eastAsia"/>
                      <w:sz w:val="21"/>
                      <w:szCs w:val="21"/>
                      <w:lang w:val="en-US" w:eastAsia="zh-CN"/>
                    </w:rPr>
                    <w:t>体废物</w:t>
                  </w:r>
                </w:p>
              </w:tc>
              <w:tc>
                <w:tcPr>
                  <w:tcW w:w="38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sz w:val="21"/>
                      <w:szCs w:val="21"/>
                    </w:rPr>
                    <w:t>新建</w:t>
                  </w:r>
                </w:p>
              </w:tc>
            </w:tr>
            <w:tr>
              <w:trPr>
                <w:trHeight w:val="307"/>
              </w:trPr>
              <w:tc>
                <w:tcPr>
                  <w:tcW w:w="387" w:type="pct"/>
                  <w:vMerge/>
                  <w:tcBorders>
                    <w:top w:val="single" w:sz="4" w:space="0" w:color="auto"/>
                    <w:left w:val="single" w:sz="4" w:space="0" w:color="auto"/>
                    <w:right w:val="single" w:sz="4" w:space="0" w:color="auto"/>
                  </w:tcBorders>
                  <w:noWrap/>
                  <w:vAlign w:val="center"/>
                </w:tcPr>
                <w:p/>
              </w:tc>
              <w:tc>
                <w:tcPr>
                  <w:tcW w:w="550" w:type="pct"/>
                  <w:tcBorders>
                    <w:top w:val="single" w:sz="4" w:space="0" w:color="auto"/>
                    <w:left w:val="single" w:sz="4" w:space="0" w:color="auto"/>
                    <w:right w:val="single" w:sz="4" w:space="0" w:color="auto"/>
                  </w:tcBorders>
                  <w:noWrap/>
                  <w:vAlign w:val="center"/>
                </w:tcPr>
                <w:p>
                  <w:pPr>
                    <w:pStyle w:val="92"/>
                    <w:spacing w:line="240" w:lineRule="auto"/>
                    <w:rPr>
                      <w:rFonts w:ascii="Times New Roman" w:eastAsia="宋体" w:cs="Times New Roman" w:hAnsi="Times New Roman"/>
                      <w:b w:val="0"/>
                      <w:bCs w:val="0"/>
                      <w:color w:val="auto"/>
                      <w:sz w:val="21"/>
                      <w:szCs w:val="21"/>
                    </w:rPr>
                  </w:pPr>
                  <w:r>
                    <w:rPr>
                      <w:rFonts w:ascii="Times New Roman" w:eastAsia="宋体" w:cs="Times New Roman" w:hAnsi="Times New Roman"/>
                      <w:sz w:val="21"/>
                      <w:szCs w:val="21"/>
                    </w:rPr>
                    <w:t>噪声</w:t>
                  </w:r>
                </w:p>
              </w:tc>
              <w:tc>
                <w:tcPr>
                  <w:tcW w:w="2371" w:type="pct"/>
                  <w:tcBorders>
                    <w:top w:val="single" w:sz="4" w:space="0" w:color="auto"/>
                    <w:left w:val="single" w:sz="4" w:space="0" w:color="auto"/>
                    <w:right w:val="single" w:sz="4" w:space="0" w:color="auto"/>
                  </w:tcBorders>
                  <w:noWrap/>
                  <w:vAlign w:val="center"/>
                </w:tcPr>
                <w:p>
                  <w:pPr>
                    <w:pStyle w:val="92"/>
                    <w:spacing w:line="240" w:lineRule="auto"/>
                    <w:jc w:val="both"/>
                    <w:rPr>
                      <w:rFonts w:ascii="Times New Roman" w:eastAsia="宋体" w:cs="Times New Roman" w:hAnsi="Times New Roman"/>
                      <w:b w:val="0"/>
                      <w:bCs w:val="0"/>
                      <w:color w:val="auto"/>
                      <w:sz w:val="21"/>
                      <w:szCs w:val="21"/>
                    </w:rPr>
                  </w:pPr>
                  <w:r>
                    <w:rPr>
                      <w:rFonts w:ascii="Times New Roman" w:eastAsia="宋体" w:cs="Times New Roman" w:hAnsi="Times New Roman"/>
                      <w:color w:val="auto"/>
                      <w:sz w:val="21"/>
                      <w:szCs w:val="21"/>
                    </w:rPr>
                    <w:t>选用低噪声设备、合理布局并对设备采取减震、隔声及加强管理等措施</w:t>
                  </w:r>
                  <w:r>
                    <w:rPr>
                      <w:rFonts w:ascii="Times New Roman" w:eastAsia="宋体" w:cs="Times New Roman" w:hAnsi="Times New Roman"/>
                      <w:color w:val="auto"/>
                      <w:sz w:val="21"/>
                      <w:szCs w:val="21"/>
                      <w:lang w:eastAsia="zh-CN"/>
                    </w:rPr>
                    <w:t>；</w:t>
                  </w:r>
                </w:p>
              </w:tc>
              <w:tc>
                <w:tcPr>
                  <w:tcW w:w="587" w:type="pct"/>
                  <w:vMerge/>
                  <w:tcBorders>
                    <w:top w:val="single" w:sz="4" w:space="0" w:color="auto"/>
                    <w:left w:val="single" w:sz="4" w:space="0" w:color="auto"/>
                    <w:right w:val="single" w:sz="4" w:space="0" w:color="auto"/>
                  </w:tcBorders>
                  <w:noWrap/>
                  <w:vAlign w:val="center"/>
                </w:tcPr>
                <w:p/>
              </w:tc>
              <w:tc>
                <w:tcPr>
                  <w:tcW w:w="716" w:type="pct"/>
                  <w:tcBorders>
                    <w:top w:val="single" w:sz="4" w:space="0" w:color="auto"/>
                    <w:left w:val="single" w:sz="4" w:space="0" w:color="auto"/>
                    <w:right w:val="single" w:sz="4" w:space="0" w:color="auto"/>
                  </w:tcBorders>
                  <w:noWrap/>
                  <w:vAlign w:val="center"/>
                </w:tcPr>
                <w:p>
                  <w:pPr>
                    <w:pStyle w:val="92"/>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sz w:val="21"/>
                      <w:szCs w:val="21"/>
                    </w:rPr>
                    <w:t>噪声</w:t>
                  </w:r>
                </w:p>
              </w:tc>
              <w:tc>
                <w:tcPr>
                  <w:tcW w:w="386"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rPr>
                  </w:pPr>
                  <w:r>
                    <w:rPr>
                      <w:rFonts w:ascii="Times New Roman" w:eastAsia="宋体" w:cs="Times New Roman" w:hAnsi="Times New Roman"/>
                      <w:sz w:val="21"/>
                      <w:szCs w:val="21"/>
                    </w:rPr>
                    <w:t>新建</w:t>
                  </w:r>
                </w:p>
              </w:tc>
            </w:tr>
          </w:tbl>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主要原辅材料及设备</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原辅材料用量</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本项目主要原辅材料及能源消耗统计见下表。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b/>
                <w:bCs/>
                <w:color w:val="auto"/>
                <w:sz w:val="21"/>
                <w:szCs w:val="21"/>
                <w:lang w:val="en-US" w:eastAsia="zh-CN"/>
              </w:rPr>
            </w:pPr>
            <w:r>
              <w:rPr>
                <w:rFonts w:ascii="Times New Roman" w:eastAsia="宋体" w:cs="Times New Roman" w:hAnsi="Times New Roman"/>
                <w:b/>
                <w:bCs/>
                <w:color w:val="auto"/>
                <w:sz w:val="21"/>
                <w:szCs w:val="21"/>
                <w:lang w:val="en-US" w:eastAsia="zh-CN"/>
              </w:rPr>
              <w:t>表2-</w:t>
            </w:r>
            <w:r>
              <w:rPr>
                <w:rFonts w:cs="Times New Roman" w:hint="eastAsia"/>
                <w:b/>
                <w:bCs/>
                <w:color w:val="auto"/>
                <w:sz w:val="21"/>
                <w:szCs w:val="21"/>
                <w:lang w:val="en-US" w:eastAsia="zh-CN"/>
              </w:rPr>
              <w:t>2</w:t>
            </w:r>
            <w:r>
              <w:rPr>
                <w:rFonts w:ascii="Times New Roman" w:eastAsia="宋体" w:cs="Times New Roman" w:hAnsi="Times New Roman"/>
                <w:b/>
                <w:bCs/>
                <w:color w:val="auto"/>
                <w:sz w:val="21"/>
                <w:szCs w:val="21"/>
                <w:lang w:val="en-US" w:eastAsia="zh-CN"/>
              </w:rPr>
              <w:t xml:space="preserve"> 主要原辅材料年用量</w:t>
            </w:r>
          </w:p>
          <w:tbl>
            <w:tblPr>
              <w:jc w:val="cent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82"/>
              <w:gridCol w:w="1762"/>
              <w:gridCol w:w="1340"/>
              <w:gridCol w:w="1402"/>
              <w:gridCol w:w="1214"/>
              <w:gridCol w:w="1968"/>
            </w:tblGrid>
            <w:tr>
              <w:trPr>
                <w:trHeight w:val="90"/>
                <w:tblHeader/>
              </w:trPr>
              <w:tc>
                <w:tcPr>
                  <w:tcW w:w="682" w:type="dxa"/>
                  <w:shd w:val="clear" w:color="auto" w:fill="FFFFFF"/>
                  <w:noWrap/>
                  <w:vAlign w:val="center"/>
                </w:tcPr>
                <w:p>
                  <w:pPr>
                    <w:adjustRightInd w:val="0"/>
                    <w:snapToGrid w:val="0"/>
                    <w:spacing w:line="240" w:lineRule="auto"/>
                    <w:jc w:val="center"/>
                    <w:rPr>
                      <w:rFonts w:ascii="Times New Roman" w:eastAsia="宋体" w:cs="Times New Roman" w:hAnsi="Times New Roman"/>
                      <w:b/>
                      <w:bCs/>
                      <w:color w:val="000000"/>
                      <w:sz w:val="21"/>
                      <w:szCs w:val="21"/>
                      <w:u w:val="none"/>
                    </w:rPr>
                  </w:pPr>
                  <w:r>
                    <w:rPr>
                      <w:rFonts w:ascii="Times New Roman" w:eastAsia="宋体" w:cs="Times New Roman" w:hAnsi="Times New Roman"/>
                      <w:b/>
                      <w:bCs/>
                      <w:color w:val="000000"/>
                      <w:sz w:val="21"/>
                      <w:szCs w:val="21"/>
                      <w:u w:val="none"/>
                    </w:rPr>
                    <w:t>序号</w:t>
                  </w:r>
                </w:p>
              </w:tc>
              <w:tc>
                <w:tcPr>
                  <w:tcW w:w="1762" w:type="dxa"/>
                  <w:shd w:val="clear" w:color="auto" w:fill="FFFFFF"/>
                  <w:noWrap/>
                  <w:vAlign w:val="center"/>
                </w:tcPr>
                <w:p>
                  <w:pPr>
                    <w:adjustRightInd w:val="0"/>
                    <w:snapToGrid w:val="0"/>
                    <w:spacing w:line="240" w:lineRule="auto"/>
                    <w:jc w:val="center"/>
                    <w:rPr>
                      <w:rFonts w:ascii="Times New Roman" w:eastAsia="宋体" w:cs="Times New Roman" w:hAnsi="Times New Roman"/>
                      <w:b/>
                      <w:bCs/>
                      <w:color w:val="auto"/>
                      <w:sz w:val="21"/>
                      <w:szCs w:val="21"/>
                      <w:u w:val="none"/>
                    </w:rPr>
                  </w:pPr>
                  <w:r>
                    <w:rPr>
                      <w:rFonts w:ascii="Times New Roman" w:eastAsia="宋体" w:cs="Times New Roman" w:hAnsi="Times New Roman"/>
                      <w:b/>
                      <w:bCs/>
                      <w:color w:val="auto"/>
                      <w:sz w:val="21"/>
                      <w:szCs w:val="21"/>
                      <w:u w:val="none"/>
                    </w:rPr>
                    <w:t>名称</w:t>
                  </w:r>
                </w:p>
              </w:tc>
              <w:tc>
                <w:tcPr>
                  <w:tcW w:w="1340" w:type="dxa"/>
                  <w:shd w:val="clear" w:color="auto" w:fill="FFFFFF"/>
                  <w:noWrap/>
                  <w:vAlign w:val="center"/>
                </w:tcPr>
                <w:p>
                  <w:pPr>
                    <w:adjustRightInd w:val="0"/>
                    <w:snapToGrid w:val="0"/>
                    <w:spacing w:line="240" w:lineRule="auto"/>
                    <w:jc w:val="center"/>
                    <w:rPr>
                      <w:rFonts w:ascii="Times New Roman" w:eastAsia="宋体" w:cs="Times New Roman" w:hAnsi="Times New Roman"/>
                      <w:b/>
                      <w:bCs/>
                      <w:color w:val="auto"/>
                      <w:sz w:val="21"/>
                      <w:szCs w:val="21"/>
                      <w:u w:val="none"/>
                    </w:rPr>
                  </w:pPr>
                  <w:r>
                    <w:rPr>
                      <w:rFonts w:ascii="Times New Roman" w:eastAsia="宋体" w:cs="Times New Roman" w:hAnsi="Times New Roman"/>
                      <w:b/>
                      <w:bCs/>
                      <w:color w:val="auto"/>
                      <w:sz w:val="21"/>
                      <w:szCs w:val="21"/>
                    </w:rPr>
                    <w:t>数量（套/a）</w:t>
                  </w:r>
                </w:p>
              </w:tc>
              <w:tc>
                <w:tcPr>
                  <w:tcW w:w="1402" w:type="dxa"/>
                  <w:shd w:val="clear" w:color="auto" w:fill="FFFFFF"/>
                  <w:noWrap/>
                  <w:vAlign w:val="center"/>
                </w:tcPr>
                <w:p>
                  <w:pPr>
                    <w:adjustRightInd w:val="0"/>
                    <w:snapToGrid w:val="0"/>
                    <w:spacing w:line="240" w:lineRule="auto"/>
                    <w:jc w:val="center"/>
                    <w:rPr>
                      <w:rFonts w:ascii="Times New Roman" w:eastAsia="宋体" w:cs="Times New Roman" w:hAnsi="Times New Roman"/>
                      <w:b/>
                      <w:bCs/>
                      <w:color w:val="auto"/>
                      <w:sz w:val="21"/>
                      <w:szCs w:val="21"/>
                      <w:u w:val="none"/>
                      <w:lang w:eastAsia="zh-CN"/>
                    </w:rPr>
                  </w:pPr>
                  <w:r>
                    <w:rPr>
                      <w:rFonts w:ascii="Times New Roman" w:eastAsia="宋体" w:cs="Times New Roman" w:hAnsi="Times New Roman"/>
                      <w:b/>
                      <w:bCs/>
                      <w:color w:val="auto"/>
                      <w:sz w:val="21"/>
                      <w:szCs w:val="21"/>
                    </w:rPr>
                    <w:t>单台重量（kg/台</w:t>
                  </w:r>
                  <w:r>
                    <w:rPr>
                      <w:rFonts w:cs="Times New Roman" w:hint="eastAsia"/>
                      <w:b/>
                      <w:bCs/>
                      <w:color w:val="auto"/>
                      <w:sz w:val="21"/>
                      <w:szCs w:val="21"/>
                      <w:lang w:val="en-US" w:eastAsia="zh-CN"/>
                    </w:rPr>
                    <w:t>套</w:t>
                  </w:r>
                  <w:r>
                    <w:rPr>
                      <w:rFonts w:ascii="Times New Roman" w:eastAsia="宋体" w:cs="Times New Roman" w:hAnsi="Times New Roman"/>
                      <w:b/>
                      <w:bCs/>
                      <w:color w:val="auto"/>
                      <w:sz w:val="21"/>
                      <w:szCs w:val="21"/>
                    </w:rPr>
                    <w:t>）</w:t>
                  </w:r>
                </w:p>
              </w:tc>
              <w:tc>
                <w:tcPr>
                  <w:tcW w:w="1214" w:type="dxa"/>
                  <w:shd w:val="clear" w:color="auto" w:fill="FFFFFF"/>
                  <w:noWrap/>
                  <w:vAlign w:val="center"/>
                </w:tcPr>
                <w:p>
                  <w:pPr>
                    <w:adjustRightInd w:val="0"/>
                    <w:snapToGrid w:val="0"/>
                    <w:spacing w:line="240" w:lineRule="auto"/>
                    <w:jc w:val="center"/>
                    <w:rPr>
                      <w:rFonts w:ascii="Times New Roman" w:eastAsia="宋体" w:cs="Times New Roman" w:hAnsi="Times New Roman"/>
                      <w:b/>
                      <w:bCs/>
                      <w:color w:val="auto"/>
                      <w:sz w:val="21"/>
                      <w:szCs w:val="21"/>
                      <w:u w:val="none"/>
                    </w:rPr>
                  </w:pPr>
                  <w:r>
                    <w:rPr>
                      <w:rFonts w:ascii="Times New Roman" w:eastAsia="宋体" w:cs="Times New Roman" w:hAnsi="Times New Roman"/>
                      <w:b/>
                      <w:bCs/>
                      <w:color w:val="auto"/>
                      <w:sz w:val="21"/>
                      <w:szCs w:val="21"/>
                    </w:rPr>
                    <w:t>总重量（t/a）</w:t>
                  </w:r>
                </w:p>
              </w:tc>
              <w:tc>
                <w:tcPr>
                  <w:tcW w:w="1968" w:type="dxa"/>
                  <w:shd w:val="clear" w:color="auto" w:fill="FFFFFF"/>
                  <w:noWrap/>
                  <w:vAlign w:val="center"/>
                </w:tcPr>
                <w:p>
                  <w:pPr>
                    <w:adjustRightInd w:val="0"/>
                    <w:snapToGrid w:val="0"/>
                    <w:spacing w:line="240" w:lineRule="auto"/>
                    <w:jc w:val="center"/>
                    <w:rPr>
                      <w:rFonts w:ascii="Times New Roman" w:eastAsia="宋体" w:cs="Times New Roman" w:hAnsi="Times New Roman"/>
                      <w:b/>
                      <w:bCs/>
                      <w:color w:val="auto"/>
                      <w:sz w:val="21"/>
                      <w:szCs w:val="21"/>
                      <w:u w:val="none"/>
                      <w:lang w:val="en-US" w:eastAsia="zh-CN"/>
                    </w:rPr>
                  </w:pPr>
                  <w:r>
                    <w:rPr>
                      <w:rFonts w:ascii="Times New Roman" w:eastAsia="宋体" w:cs="Times New Roman" w:hAnsi="Times New Roman" w:hint="eastAsia"/>
                      <w:b/>
                      <w:bCs/>
                      <w:color w:val="auto"/>
                      <w:sz w:val="21"/>
                      <w:szCs w:val="21"/>
                      <w:u w:val="none"/>
                      <w:lang w:val="en-US" w:eastAsia="zh-CN"/>
                    </w:rPr>
                    <w:t>备注</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ascii="Times New Roman" w:eastAsia="宋体" w:cs="Times New Roman" w:hAnsi="Times New Roman"/>
                      <w:color w:val="000000"/>
                      <w:kern w:val="2"/>
                      <w:sz w:val="21"/>
                      <w:szCs w:val="21"/>
                      <w:u w:val="none"/>
                      <w:lang w:val="en-US" w:eastAsia="zh-CN" w:bidi="ar-SA"/>
                    </w:rPr>
                    <w:t>1</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电脑服务器</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i w:val="0"/>
                      <w:iCs w:val="0"/>
                      <w:color w:val="auto"/>
                      <w:kern w:val="0"/>
                      <w:sz w:val="21"/>
                      <w:szCs w:val="21"/>
                      <w:u w:val="none"/>
                      <w:lang w:val="en-US" w:eastAsia="zh-CN"/>
                    </w:rPr>
                    <w:t>3000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10</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000000"/>
                      <w:kern w:val="0"/>
                      <w:sz w:val="21"/>
                      <w:szCs w:val="21"/>
                      <w:u w:val="none"/>
                      <w:lang w:val="en-US" w:eastAsia="zh-CN"/>
                    </w:rPr>
                    <w:t>30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kern w:val="2"/>
                      <w:sz w:val="21"/>
                      <w:szCs w:val="21"/>
                      <w:u w:val="none"/>
                      <w:lang w:val="en-US" w:eastAsia="zh-CN" w:bidi="ar-SA"/>
                    </w:rPr>
                    <w:t>大型数据服务器等</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ascii="Times New Roman" w:eastAsia="宋体" w:cs="Times New Roman" w:hAnsi="Times New Roman"/>
                      <w:color w:val="000000"/>
                      <w:kern w:val="2"/>
                      <w:sz w:val="21"/>
                      <w:szCs w:val="21"/>
                      <w:u w:val="none"/>
                      <w:lang w:val="en-US" w:eastAsia="zh-CN" w:bidi="ar-SA"/>
                    </w:rPr>
                    <w:t>2</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通讯设备</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i w:val="0"/>
                      <w:iCs w:val="0"/>
                      <w:color w:val="auto"/>
                      <w:kern w:val="0"/>
                      <w:sz w:val="21"/>
                      <w:szCs w:val="21"/>
                      <w:u w:val="none"/>
                      <w:lang w:val="en-US" w:eastAsia="zh-CN"/>
                    </w:rPr>
                    <w:t>10</w:t>
                  </w:r>
                  <w:r>
                    <w:rPr>
                      <w:rFonts w:ascii="Times New Roman" w:eastAsia="宋体" w:cs="Times New Roman" w:hAnsi="Times New Roman"/>
                      <w:i w:val="0"/>
                      <w:iCs w:val="0"/>
                      <w:color w:val="auto"/>
                      <w:kern w:val="0"/>
                      <w:sz w:val="21"/>
                      <w:szCs w:val="21"/>
                      <w:u w:val="none"/>
                      <w:lang w:val="en-US" w:eastAsia="zh-CN"/>
                    </w:rPr>
                    <w:t>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5</w:t>
                  </w:r>
                  <w:r>
                    <w:rPr>
                      <w:rFonts w:cs="Times New Roman" w:hint="eastAsia"/>
                      <w:i w:val="0"/>
                      <w:iCs w:val="0"/>
                      <w:color w:val="auto"/>
                      <w:kern w:val="0"/>
                      <w:sz w:val="21"/>
                      <w:szCs w:val="21"/>
                      <w:u w:val="none"/>
                      <w:lang w:val="en-US" w:eastAsia="zh-CN"/>
                    </w:rPr>
                    <w:t>.0</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000000"/>
                      <w:kern w:val="0"/>
                      <w:sz w:val="21"/>
                      <w:szCs w:val="21"/>
                      <w:u w:val="none"/>
                      <w:lang w:val="en-US" w:eastAsia="zh-CN"/>
                    </w:rPr>
                    <w:t>50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kern w:val="2"/>
                      <w:sz w:val="21"/>
                      <w:szCs w:val="21"/>
                      <w:u w:val="none"/>
                      <w:lang w:val="en-US" w:eastAsia="zh-CN" w:bidi="ar-SA"/>
                    </w:rPr>
                    <w:t>数字通讯设备</w:t>
                  </w:r>
                </w:p>
              </w:tc>
            </w:tr>
            <w:tr>
              <w:trPr>
                <w:trHeight w:val="103"/>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ascii="Times New Roman" w:eastAsia="宋体" w:cs="Times New Roman" w:hAnsi="Times New Roman"/>
                      <w:color w:val="000000"/>
                      <w:kern w:val="2"/>
                      <w:sz w:val="21"/>
                      <w:szCs w:val="21"/>
                      <w:u w:val="none"/>
                      <w:lang w:val="en-US" w:eastAsia="zh-CN" w:bidi="ar-SA"/>
                    </w:rPr>
                    <w:t>3</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基站设备</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i w:val="0"/>
                      <w:iCs w:val="0"/>
                      <w:color w:val="auto"/>
                      <w:kern w:val="0"/>
                      <w:sz w:val="21"/>
                      <w:szCs w:val="21"/>
                      <w:u w:val="none"/>
                      <w:lang w:val="en-US" w:eastAsia="zh-CN"/>
                    </w:rPr>
                    <w:t>5000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15</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000000"/>
                      <w:kern w:val="0"/>
                      <w:sz w:val="21"/>
                      <w:szCs w:val="21"/>
                      <w:u w:val="none"/>
                      <w:lang w:val="en-US" w:eastAsia="zh-CN"/>
                    </w:rPr>
                    <w:t>75</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kern w:val="2"/>
                      <w:sz w:val="21"/>
                      <w:szCs w:val="21"/>
                      <w:u w:val="none"/>
                      <w:lang w:val="en-US" w:eastAsia="zh-CN" w:bidi="ar-SA"/>
                    </w:rPr>
                    <w:t>移动基站设备</w:t>
                  </w:r>
                </w:p>
              </w:tc>
            </w:tr>
            <w:tr>
              <w:trPr>
                <w:trHeight w:val="121"/>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ascii="Times New Roman" w:eastAsia="宋体" w:cs="Times New Roman" w:hAnsi="Times New Roman" w:hint="eastAsia"/>
                      <w:color w:val="000000"/>
                      <w:kern w:val="2"/>
                      <w:sz w:val="21"/>
                      <w:szCs w:val="21"/>
                      <w:u w:val="none"/>
                      <w:lang w:val="en-US" w:eastAsia="zh-CN" w:bidi="ar-SA"/>
                    </w:rPr>
                    <w:t>4</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医疗设备</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i w:val="0"/>
                      <w:iCs w:val="0"/>
                      <w:color w:val="auto"/>
                      <w:kern w:val="0"/>
                      <w:sz w:val="21"/>
                      <w:szCs w:val="21"/>
                      <w:u w:val="none"/>
                      <w:lang w:val="en-US" w:eastAsia="zh-CN"/>
                    </w:rPr>
                    <w:t>10000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5</w:t>
                  </w:r>
                  <w:r>
                    <w:rPr>
                      <w:rFonts w:cs="Times New Roman" w:hint="eastAsia"/>
                      <w:i w:val="0"/>
                      <w:iCs w:val="0"/>
                      <w:color w:val="auto"/>
                      <w:kern w:val="0"/>
                      <w:sz w:val="21"/>
                      <w:szCs w:val="21"/>
                      <w:u w:val="none"/>
                      <w:lang w:val="en-US" w:eastAsia="zh-CN"/>
                    </w:rPr>
                    <w:t>.0</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000000"/>
                      <w:kern w:val="0"/>
                      <w:sz w:val="21"/>
                      <w:szCs w:val="21"/>
                      <w:u w:val="none"/>
                      <w:lang w:val="en-US" w:eastAsia="zh-CN"/>
                    </w:rPr>
                    <w:t>50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sz w:val="21"/>
                      <w:szCs w:val="21"/>
                      <w:u w:val="none"/>
                    </w:rPr>
                  </w:pPr>
                  <w:r>
                    <w:rPr>
                      <w:rFonts w:ascii="Times New Roman" w:eastAsia="宋体" w:cs="Times New Roman" w:hAnsi="Times New Roman"/>
                      <w:color w:val="auto"/>
                      <w:kern w:val="2"/>
                      <w:sz w:val="21"/>
                      <w:szCs w:val="21"/>
                      <w:u w:val="none"/>
                      <w:lang w:val="en-US" w:eastAsia="zh-CN" w:bidi="ar-SA"/>
                    </w:rPr>
                    <w:t>电子类医疗仪器</w:t>
                  </w:r>
                </w:p>
              </w:tc>
            </w:tr>
            <w:tr>
              <w:trPr>
                <w:trHeight w:val="121"/>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ascii="Times New Roman" w:eastAsia="宋体" w:cs="Times New Roman" w:hAnsi="Times New Roman" w:hint="eastAsia"/>
                      <w:color w:val="000000"/>
                      <w:kern w:val="2"/>
                      <w:sz w:val="21"/>
                      <w:szCs w:val="21"/>
                      <w:u w:val="none"/>
                      <w:lang w:val="en-US" w:eastAsia="zh-CN" w:bidi="ar-SA"/>
                    </w:rPr>
                    <w:t>5</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网络设备</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10000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5</w:t>
                  </w:r>
                  <w:r>
                    <w:rPr>
                      <w:rFonts w:cs="Times New Roman" w:hint="eastAsia"/>
                      <w:i w:val="0"/>
                      <w:iCs w:val="0"/>
                      <w:color w:val="auto"/>
                      <w:kern w:val="0"/>
                      <w:sz w:val="21"/>
                      <w:szCs w:val="21"/>
                      <w:u w:val="none"/>
                      <w:lang w:val="en-US" w:eastAsia="zh-CN"/>
                    </w:rPr>
                    <w:t>.0</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000000"/>
                      <w:kern w:val="0"/>
                      <w:sz w:val="21"/>
                      <w:szCs w:val="21"/>
                      <w:u w:val="none"/>
                      <w:lang w:val="en-US" w:eastAsia="zh-CN"/>
                    </w:rPr>
                    <w:t>50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sz w:val="21"/>
                      <w:szCs w:val="21"/>
                      <w:u w:val="none"/>
                    </w:rPr>
                  </w:pPr>
                  <w:r>
                    <w:rPr>
                      <w:rFonts w:ascii="Times New Roman" w:eastAsia="宋体" w:cs="Times New Roman" w:hAnsi="Times New Roman"/>
                      <w:color w:val="auto"/>
                      <w:sz w:val="21"/>
                      <w:szCs w:val="21"/>
                      <w:u w:val="none"/>
                    </w:rPr>
                    <w:t>大型网络交换机核心网设备</w:t>
                  </w:r>
                </w:p>
              </w:tc>
            </w:tr>
            <w:tr>
              <w:trPr>
                <w:trHeight w:val="121"/>
              </w:trPr>
              <w:tc>
                <w:tcPr>
                  <w:tcW w:w="682" w:type="dxa"/>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center"/>
                    <w:rPr>
                      <w:rFonts w:ascii="Times New Roman" w:eastAsia="宋体" w:cs="Times New Roman" w:hAnsi="Times New Roman" w:hint="eastAsia"/>
                      <w:color w:val="0000FF"/>
                      <w:kern w:val="2"/>
                      <w:sz w:val="21"/>
                      <w:szCs w:val="21"/>
                      <w:u w:val="none"/>
                      <w:lang w:val="en-US" w:eastAsia="zh-CN" w:bidi="ar-SA"/>
                    </w:rPr>
                  </w:pPr>
                  <w:r>
                    <w:rPr>
                      <w:rFonts w:ascii="Times New Roman" w:eastAsia="宋体" w:cs="Times New Roman" w:hAnsi="Times New Roman" w:hint="eastAsia"/>
                      <w:color w:val="0000FF"/>
                      <w:kern w:val="2"/>
                      <w:sz w:val="21"/>
                      <w:szCs w:val="21"/>
                      <w:u w:val="none"/>
                      <w:lang w:val="en-US" w:eastAsia="zh-CN" w:bidi="ar-SA"/>
                    </w:rPr>
                    <w:t>6</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光伏板组件</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cs="Times New Roman"/>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2</w:t>
                  </w:r>
                  <w:r>
                    <w:rPr>
                      <w:rFonts w:ascii="Times New Roman" w:eastAsia="宋体" w:cs="Times New Roman" w:hAnsi="Times New Roman"/>
                      <w:i w:val="0"/>
                      <w:iCs w:val="0"/>
                      <w:color w:val="auto"/>
                      <w:kern w:val="0"/>
                      <w:sz w:val="21"/>
                      <w:szCs w:val="21"/>
                      <w:u w:val="none"/>
                      <w:lang w:val="en-US" w:eastAsia="zh-CN"/>
                    </w:rPr>
                    <w:t>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cs="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125</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250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sz w:val="21"/>
                      <w:szCs w:val="21"/>
                      <w:u w:val="none"/>
                      <w:lang w:val="en-US"/>
                    </w:rPr>
                  </w:pPr>
                  <w:r>
                    <w:rPr>
                      <w:rFonts w:ascii="Times New Roman" w:eastAsia="宋体" w:cs="Times New Roman" w:hAnsi="Times New Roman"/>
                      <w:i w:val="0"/>
                      <w:iCs w:val="0"/>
                      <w:color w:val="auto"/>
                      <w:kern w:val="0"/>
                      <w:sz w:val="21"/>
                      <w:szCs w:val="21"/>
                      <w:u w:val="none"/>
                      <w:lang w:val="en-US" w:eastAsia="zh-CN"/>
                    </w:rPr>
                    <w:t>光伏板</w:t>
                  </w:r>
                  <w:r>
                    <w:rPr>
                      <w:rFonts w:cs="Times New Roman" w:hint="eastAsia"/>
                      <w:i w:val="0"/>
                      <w:iCs w:val="0"/>
                      <w:color w:val="auto"/>
                      <w:kern w:val="0"/>
                      <w:sz w:val="21"/>
                      <w:szCs w:val="21"/>
                      <w:u w:val="none"/>
                      <w:lang w:val="en-US" w:eastAsia="zh-CN"/>
                    </w:rPr>
                    <w:t>组件</w:t>
                  </w:r>
                </w:p>
              </w:tc>
            </w:tr>
            <w:tr>
              <w:trPr>
                <w:trHeight w:val="121"/>
              </w:trPr>
              <w:tc>
                <w:tcPr>
                  <w:tcW w:w="682" w:type="dxa"/>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center"/>
                    <w:rPr>
                      <w:rFonts w:ascii="Times New Roman" w:eastAsia="宋体" w:cs="Times New Roman" w:hAnsi="Times New Roman"/>
                      <w:color w:val="0000FF"/>
                      <w:kern w:val="2"/>
                      <w:sz w:val="21"/>
                      <w:szCs w:val="21"/>
                      <w:u w:val="none"/>
                      <w:lang w:val="en-US" w:eastAsia="zh-CN" w:bidi="ar-SA"/>
                    </w:rPr>
                  </w:pPr>
                  <w:r>
                    <w:rPr>
                      <w:rFonts w:cs="Times New Roman" w:hint="eastAsia"/>
                      <w:color w:val="0000FF"/>
                      <w:kern w:val="2"/>
                      <w:sz w:val="21"/>
                      <w:szCs w:val="21"/>
                      <w:u w:val="none"/>
                      <w:lang w:val="en-US" w:eastAsia="zh-CN" w:bidi="ar-SA"/>
                    </w:rPr>
                    <w:t>7</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其他电子设备</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60</w:t>
                  </w:r>
                  <w:r>
                    <w:rPr>
                      <w:rFonts w:ascii="Times New Roman" w:eastAsia="宋体" w:cs="Times New Roman" w:hAnsi="Times New Roman"/>
                      <w:i w:val="0"/>
                      <w:iCs w:val="0"/>
                      <w:color w:val="auto"/>
                      <w:kern w:val="0"/>
                      <w:sz w:val="21"/>
                      <w:szCs w:val="21"/>
                      <w:u w:val="none"/>
                      <w:lang w:val="en-US" w:eastAsia="zh-CN"/>
                    </w:rPr>
                    <w:t>000</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2</w:t>
                  </w:r>
                  <w:r>
                    <w:rPr>
                      <w:rFonts w:cs="Times New Roman" w:hint="eastAsia"/>
                      <w:i w:val="0"/>
                      <w:iCs w:val="0"/>
                      <w:color w:val="auto"/>
                      <w:kern w:val="0"/>
                      <w:sz w:val="21"/>
                      <w:szCs w:val="21"/>
                      <w:u w:val="none"/>
                      <w:lang w:val="en-US" w:eastAsia="zh-CN"/>
                    </w:rPr>
                    <w:t>.0</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000000"/>
                      <w:kern w:val="0"/>
                      <w:sz w:val="21"/>
                      <w:szCs w:val="21"/>
                      <w:u w:val="none"/>
                      <w:lang w:val="en-US" w:eastAsia="zh-CN"/>
                    </w:rPr>
                    <w:t>120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r>
            <w:tr>
              <w:trPr>
                <w:trHeight w:val="121"/>
              </w:trPr>
              <w:tc>
                <w:tcPr>
                  <w:tcW w:w="682" w:type="dxa"/>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cs="Times New Roman" w:hint="eastAsia"/>
                      <w:color w:val="000000"/>
                      <w:kern w:val="2"/>
                      <w:sz w:val="21"/>
                      <w:szCs w:val="21"/>
                      <w:u w:val="none"/>
                      <w:lang w:val="en-US" w:eastAsia="zh-CN" w:bidi="ar-SA"/>
                    </w:rPr>
                    <w:t>8</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电线、电缆</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i w:val="0"/>
                      <w:i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40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i w:val="0"/>
                      <w:i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214"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bidi="ar-SA"/>
                    </w:rPr>
                    <w:t>50.0</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sz w:val="21"/>
                      <w:szCs w:val="21"/>
                      <w:u w:val="none"/>
                      <w:lang w:val="en-US" w:eastAsia="zh-CN"/>
                    </w:rPr>
                  </w:pPr>
                  <w:r>
                    <w:rPr>
                      <w:rFonts w:cs="Times New Roman" w:hint="eastAsia"/>
                      <w:color w:val="auto"/>
                      <w:sz w:val="21"/>
                      <w:szCs w:val="21"/>
                      <w:u w:val="none"/>
                      <w:lang w:val="en-US" w:eastAsia="zh-CN"/>
                    </w:rPr>
                    <w:t>/</w:t>
                  </w:r>
                </w:p>
              </w:tc>
            </w:tr>
            <w:tr>
              <w:trPr>
                <w:trHeight w:val="121"/>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cs="Times New Roman" w:hint="eastAsia"/>
                      <w:color w:val="000000"/>
                      <w:kern w:val="2"/>
                      <w:sz w:val="21"/>
                      <w:szCs w:val="21"/>
                      <w:u w:val="none"/>
                      <w:lang w:val="en-US" w:eastAsia="zh-CN" w:bidi="ar-SA"/>
                    </w:rPr>
                    <w:t>9</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收纳箱、收纳筐</w:t>
                  </w:r>
                </w:p>
              </w:tc>
              <w:tc>
                <w:tcPr>
                  <w:tcW w:w="1340"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hint="eastAsia"/>
                      <w:i w:val="0"/>
                      <w:iCs w:val="0"/>
                      <w:color w:val="auto"/>
                      <w:kern w:val="0"/>
                      <w:sz w:val="21"/>
                      <w:szCs w:val="21"/>
                      <w:u w:val="none"/>
                      <w:lang w:val="en-US" w:eastAsia="zh-CN"/>
                    </w:rPr>
                    <w:t>1000</w:t>
                  </w:r>
                </w:p>
              </w:tc>
              <w:tc>
                <w:tcPr>
                  <w:tcW w:w="2616"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hint="eastAsia"/>
                      <w:color w:val="auto"/>
                    </w:rPr>
                    <w:t>根据实际需求进行购买</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外购</w:t>
                  </w:r>
                </w:p>
              </w:tc>
            </w:tr>
            <w:tr>
              <w:trPr>
                <w:trHeight w:val="121"/>
              </w:trPr>
              <w:tc>
                <w:tcPr>
                  <w:tcW w:w="8368" w:type="dxa"/>
                  <w:gridSpan w:val="6"/>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color w:val="000000"/>
                      <w:sz w:val="21"/>
                      <w:szCs w:val="21"/>
                      <w:u w:val="none"/>
                      <w:lang w:val="en-US" w:eastAsia="zh-CN"/>
                    </w:rPr>
                  </w:pPr>
                  <w:r>
                    <w:rPr>
                      <w:rFonts w:ascii="Times New Roman" w:eastAsia="宋体" w:cs="Times New Roman" w:hAnsi="Times New Roman" w:hint="eastAsia"/>
                      <w:color w:val="auto"/>
                      <w:sz w:val="21"/>
                      <w:szCs w:val="21"/>
                      <w:u w:val="none"/>
                      <w:lang w:val="en-US" w:eastAsia="zh-CN"/>
                    </w:rPr>
                    <w:t>注：本项目电脑服务器、通讯设备、</w:t>
                  </w:r>
                  <w:r>
                    <w:rPr>
                      <w:rFonts w:cs="Times New Roman" w:hint="eastAsia"/>
                      <w:color w:val="auto"/>
                      <w:sz w:val="21"/>
                      <w:szCs w:val="21"/>
                      <w:u w:val="none"/>
                      <w:lang w:val="en-US" w:eastAsia="zh-CN"/>
                    </w:rPr>
                    <w:t>网络设备</w:t>
                  </w:r>
                  <w:r>
                    <w:rPr>
                      <w:rFonts w:ascii="Times New Roman" w:eastAsia="宋体" w:cs="Times New Roman" w:hAnsi="Times New Roman" w:hint="eastAsia"/>
                      <w:color w:val="auto"/>
                      <w:sz w:val="21"/>
                      <w:szCs w:val="21"/>
                      <w:u w:val="none"/>
                      <w:lang w:val="en-US" w:eastAsia="zh-CN"/>
                    </w:rPr>
                    <w:t>及电子类医疗仪器等非《废弃电器电子产品处理目录》（2014年版）内的电子设备</w:t>
                  </w:r>
                  <w:r>
                    <w:rPr>
                      <w:rFonts w:cs="Times New Roman" w:hint="eastAsia"/>
                      <w:color w:val="auto"/>
                      <w:sz w:val="21"/>
                      <w:szCs w:val="21"/>
                      <w:u w:val="none"/>
                      <w:lang w:val="en-US" w:eastAsia="zh-CN"/>
                    </w:rPr>
                    <w:t>；</w:t>
                  </w:r>
                  <w:r>
                    <w:rPr>
                      <w:rFonts w:ascii="Times New Roman" w:eastAsia="宋体" w:cs="Times New Roman" w:hAnsi="Times New Roman" w:hint="eastAsia"/>
                      <w:b/>
                      <w:bCs/>
                      <w:color w:val="auto"/>
                      <w:sz w:val="21"/>
                      <w:szCs w:val="21"/>
                      <w:u w:val="none"/>
                      <w:lang w:val="en-US" w:eastAsia="zh-CN"/>
                    </w:rPr>
                    <w:t>来源主要为</w:t>
                  </w:r>
                  <w:r>
                    <w:rPr>
                      <w:rFonts w:cs="Times New Roman" w:hint="eastAsia"/>
                      <w:b/>
                      <w:bCs/>
                      <w:color w:val="auto"/>
                      <w:sz w:val="21"/>
                      <w:szCs w:val="21"/>
                      <w:u w:val="none"/>
                      <w:lang w:val="en-US" w:eastAsia="zh-CN"/>
                    </w:rPr>
                    <w:t>收购四川省内的</w:t>
                  </w:r>
                  <w:r>
                    <w:rPr>
                      <w:rFonts w:ascii="Times New Roman" w:eastAsia="宋体" w:cs="Times New Roman" w:hAnsi="Times New Roman" w:hint="eastAsia"/>
                      <w:b/>
                      <w:bCs/>
                      <w:color w:val="auto"/>
                      <w:sz w:val="21"/>
                      <w:szCs w:val="21"/>
                      <w:u w:val="none"/>
                      <w:lang w:val="en-US" w:eastAsia="zh-CN"/>
                    </w:rPr>
                    <w:t>国有企业、政府机关及医院等</w:t>
                  </w:r>
                  <w:r>
                    <w:rPr>
                      <w:rFonts w:cs="Times New Roman" w:hint="eastAsia"/>
                      <w:b/>
                      <w:bCs/>
                      <w:color w:val="auto"/>
                      <w:sz w:val="21"/>
                      <w:szCs w:val="21"/>
                      <w:u w:val="none"/>
                      <w:lang w:val="en-US" w:eastAsia="zh-CN"/>
                    </w:rPr>
                    <w:t>企业单位更新换代、故障电子电器及区域废品收购站回收的废旧电子电器；不涉及危险废物收集及处置；不进口、处置“洋垃圾”；不回收一次性医疗设备；不单独回收危险废物和医疗废物；回收废旧电子产品进厂前需确保其不含铅酸蓄电池及阴极射线管；不回收拆解含镉的电接触件、含制冷剂、耐火陶瓷纤维（RCFs）的元件的废电子产品；不回收放射性设备以及含放射源的废电子产品；对于回收的废旧电子医疗设备，进厂后全部进行紫外线消毒后再进行拆解；</w:t>
                  </w:r>
                  <w:r>
                    <w:rPr>
                      <w:rFonts w:cs="Times New Roman" w:hint="eastAsia"/>
                      <w:b w:val="0"/>
                      <w:bCs w:val="0"/>
                      <w:color w:val="auto"/>
                      <w:sz w:val="21"/>
                      <w:szCs w:val="21"/>
                      <w:u w:val="none"/>
                      <w:lang w:val="en-US" w:eastAsia="zh-CN"/>
                    </w:rPr>
                    <w:t>不回收破损电子设备，对于回收电子设备进厂后发现其破损的，立即对其进行泄漏排查，将疑似泄漏组件拆卸取出后使用PVC包装桶收集暂存并及时转移交由有拆解资质的单位进行处置。</w:t>
                  </w:r>
                </w:p>
              </w:tc>
            </w:tr>
            <w:tr>
              <w:trPr>
                <w:trHeight w:val="121"/>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b/>
                      <w:bCs/>
                      <w:color w:val="000000"/>
                      <w:sz w:val="21"/>
                      <w:szCs w:val="21"/>
                      <w:u w:val="none"/>
                      <w:lang w:val="en-US" w:eastAsia="zh-CN"/>
                    </w:rPr>
                  </w:pPr>
                  <w:r>
                    <w:rPr>
                      <w:rFonts w:ascii="Times New Roman" w:eastAsia="宋体" w:cs="Times New Roman" w:hAnsi="Times New Roman"/>
                      <w:b/>
                      <w:bCs/>
                      <w:color w:val="000000"/>
                      <w:sz w:val="21"/>
                      <w:szCs w:val="21"/>
                      <w:u w:val="none"/>
                    </w:rPr>
                    <w:t>序号</w:t>
                  </w:r>
                </w:p>
              </w:tc>
              <w:tc>
                <w:tcPr>
                  <w:tcW w:w="176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b/>
                      <w:bCs/>
                      <w:color w:val="000000"/>
                      <w:sz w:val="21"/>
                      <w:szCs w:val="21"/>
                      <w:u w:val="none"/>
                      <w:lang w:val="en-US" w:eastAsia="zh-CN"/>
                    </w:rPr>
                  </w:pPr>
                  <w:r>
                    <w:rPr>
                      <w:rFonts w:ascii="Times New Roman" w:eastAsia="宋体" w:cs="Times New Roman" w:hAnsi="Times New Roman"/>
                      <w:b/>
                      <w:bCs/>
                      <w:color w:val="000000"/>
                      <w:sz w:val="21"/>
                      <w:szCs w:val="21"/>
                      <w:u w:val="none"/>
                    </w:rPr>
                    <w:t>名称</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b/>
                      <w:bCs/>
                      <w:color w:val="000000"/>
                      <w:sz w:val="21"/>
                      <w:szCs w:val="21"/>
                      <w:u w:val="none"/>
                      <w:lang w:val="en-US" w:eastAsia="zh-CN"/>
                    </w:rPr>
                  </w:pPr>
                  <w:r>
                    <w:rPr>
                      <w:rFonts w:ascii="Times New Roman" w:eastAsia="宋体" w:cs="Times New Roman" w:hAnsi="Times New Roman" w:hint="eastAsia"/>
                      <w:b/>
                      <w:bCs/>
                      <w:color w:val="000000"/>
                      <w:sz w:val="21"/>
                      <w:szCs w:val="21"/>
                      <w:u w:val="none"/>
                      <w:lang w:val="en-US" w:eastAsia="zh-CN"/>
                    </w:rPr>
                    <w:t>组成结构</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b/>
                      <w:bCs/>
                      <w:color w:val="000000"/>
                      <w:sz w:val="21"/>
                      <w:szCs w:val="21"/>
                      <w:u w:val="none"/>
                      <w:lang w:val="en-US" w:eastAsia="zh-CN"/>
                    </w:rPr>
                  </w:pPr>
                  <w:r>
                    <w:rPr>
                      <w:rFonts w:cs="Times New Roman" w:hint="eastAsia"/>
                      <w:b/>
                      <w:bCs/>
                      <w:color w:val="000000"/>
                      <w:sz w:val="21"/>
                      <w:szCs w:val="21"/>
                      <w:u w:val="none"/>
                      <w:lang w:val="en-US" w:eastAsia="zh-CN"/>
                    </w:rPr>
                    <w:t>拆解后产物</w:t>
                  </w:r>
                </w:p>
              </w:tc>
            </w:tr>
            <w:tr>
              <w:trPr>
                <w:trHeight w:val="38"/>
              </w:trPr>
              <w:tc>
                <w:tcPr>
                  <w:tcW w:w="682" w:type="dxa"/>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1</w:t>
                  </w:r>
                </w:p>
              </w:tc>
              <w:tc>
                <w:tcPr>
                  <w:tcW w:w="1762" w:type="dxa"/>
                  <w:vMerge w:val="restart"/>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电脑服务器</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机箱</w:t>
                  </w:r>
                  <w:r>
                    <w:rPr>
                      <w:rFonts w:cs="Times New Roman" w:hint="eastAsia"/>
                      <w:color w:val="000000"/>
                      <w:sz w:val="21"/>
                      <w:szCs w:val="21"/>
                      <w:u w:val="none"/>
                      <w:lang w:val="en-US" w:eastAsia="zh-CN"/>
                    </w:rPr>
                    <w:t>、外壳</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CPU</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不可利用零部件</w:t>
                  </w: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主板</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b w:val="0"/>
                      <w:bCs w:val="0"/>
                    </w:rPr>
                    <w:t>废电路板</w:t>
                  </w: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PCI-e</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不可利用零部件</w:t>
                  </w: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RAID卡</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ascii="Times New Roman" w:eastAsia="宋体" w:cs="Times New Roman" w:hAnsi="Times New Roman"/>
                      <w:color w:val="000000"/>
                      <w:sz w:val="21"/>
                      <w:szCs w:val="21"/>
                      <w:u w:val="none"/>
                      <w:lang w:val="en-US" w:eastAsia="zh-CN"/>
                    </w:rPr>
                    <w:t>显示卡</w:t>
                  </w:r>
                  <w:r>
                    <w:rPr>
                      <w:rFonts w:cs="Times New Roman" w:hint="eastAsia"/>
                      <w:color w:val="000000"/>
                      <w:sz w:val="21"/>
                      <w:szCs w:val="21"/>
                      <w:u w:val="none"/>
                      <w:lang w:val="en-US" w:eastAsia="zh-CN"/>
                    </w:rPr>
                    <w:t>（</w:t>
                  </w:r>
                  <w:r>
                    <w:rPr>
                      <w:rFonts w:ascii="Times New Roman" w:eastAsia="宋体" w:cs="Times New Roman" w:hAnsi="Times New Roman"/>
                      <w:color w:val="000000"/>
                      <w:sz w:val="21"/>
                      <w:szCs w:val="21"/>
                      <w:u w:val="none"/>
                      <w:lang w:val="en-US" w:eastAsia="zh-CN"/>
                    </w:rPr>
                    <w:t>Video card</w:t>
                  </w:r>
                  <w:r>
                    <w:rPr>
                      <w:rFonts w:cs="Times New Roman" w:hint="eastAsia"/>
                      <w:color w:val="000000"/>
                      <w:sz w:val="21"/>
                      <w:szCs w:val="21"/>
                      <w:u w:val="none"/>
                      <w:lang w:val="en-US" w:eastAsia="zh-CN"/>
                    </w:rPr>
                    <w:t>）</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不可利用零部件</w:t>
                  </w: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硬盘</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内存</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8"/>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电源</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拆解产生不可利用物</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不可利用零部件、可利用零部件</w:t>
                  </w:r>
                </w:p>
              </w:tc>
            </w:tr>
            <w:tr>
              <w:trPr>
                <w:trHeight w:val="37"/>
              </w:trPr>
              <w:tc>
                <w:tcPr>
                  <w:tcW w:w="682" w:type="dxa"/>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2</w:t>
                  </w:r>
                </w:p>
              </w:tc>
              <w:tc>
                <w:tcPr>
                  <w:tcW w:w="1762" w:type="dxa"/>
                  <w:vMerge w:val="restart"/>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通讯设备</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ascii="Times New Roman" w:eastAsia="宋体" w:cs="Times New Roman" w:hAnsi="Times New Roman" w:hint="eastAsia"/>
                      <w:color w:val="000000"/>
                      <w:sz w:val="21"/>
                      <w:szCs w:val="21"/>
                      <w:u w:val="none"/>
                      <w:lang w:val="en-US" w:eastAsia="zh-CN"/>
                    </w:rPr>
                    <w:t>机箱</w:t>
                  </w:r>
                  <w:r>
                    <w:rPr>
                      <w:rFonts w:cs="Times New Roman" w:hint="eastAsia"/>
                      <w:color w:val="000000"/>
                      <w:sz w:val="21"/>
                      <w:szCs w:val="21"/>
                      <w:u w:val="none"/>
                      <w:lang w:val="en-US" w:eastAsia="zh-CN"/>
                    </w:rPr>
                    <w:t>、外壳</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b w:val="0"/>
                      <w:bCs w:val="0"/>
                      <w:color w:val="000000"/>
                      <w:kern w:val="0"/>
                      <w:sz w:val="21"/>
                      <w:szCs w:val="21"/>
                      <w:lang w:val="en-US" w:eastAsia="zh-CN" w:bidi="ar-SA"/>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color w:val="000000"/>
                      <w:sz w:val="21"/>
                      <w:szCs w:val="21"/>
                      <w:u w:val="none"/>
                      <w:lang w:val="en-US" w:eastAsia="zh-CN"/>
                    </w:rPr>
                  </w:pPr>
                  <w:r>
                    <w:rPr>
                      <w:rFonts w:cs="Times New Roman" w:hint="eastAsia"/>
                      <w:color w:val="000000"/>
                      <w:sz w:val="21"/>
                      <w:szCs w:val="21"/>
                      <w:u w:val="none"/>
                      <w:lang w:val="en-US" w:eastAsia="zh-CN"/>
                    </w:rPr>
                    <w:t>发射机</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拆解产生不可利用零部件</w:t>
                  </w: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接收机</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天线</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cs="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拆解产生不可利用物</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拆解产生不可利用零部件</w:t>
                  </w: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传输介质</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中继器</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cs="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可利用零部件</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拆解产生不可利用零部件</w:t>
                  </w: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调制解调器</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7"/>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交换机</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路由器</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7"/>
              </w:trPr>
              <w:tc>
                <w:tcPr>
                  <w:tcW w:w="682" w:type="dxa"/>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3</w:t>
                  </w:r>
                </w:p>
              </w:tc>
              <w:tc>
                <w:tcPr>
                  <w:tcW w:w="1762" w:type="dxa"/>
                  <w:vMerge w:val="restart"/>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基站设备</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机箱</w:t>
                  </w:r>
                  <w:r>
                    <w:rPr>
                      <w:rFonts w:cs="Times New Roman" w:hint="eastAsia"/>
                      <w:color w:val="000000"/>
                      <w:sz w:val="21"/>
                      <w:szCs w:val="21"/>
                      <w:u w:val="none"/>
                      <w:lang w:val="en-US" w:eastAsia="zh-CN"/>
                    </w:rPr>
                    <w:t>、外壳</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p>
              </w:tc>
            </w:tr>
            <w:tr>
              <w:trPr>
                <w:trHeight w:val="6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天线系统</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拆解产生不可利用零部件</w:t>
                  </w:r>
                </w:p>
              </w:tc>
            </w:tr>
            <w:tr>
              <w:trPr>
                <w:trHeight w:val="6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kern w:val="2"/>
                      <w:sz w:val="21"/>
                      <w:szCs w:val="21"/>
                      <w:u w:val="none"/>
                      <w:lang w:val="en-US" w:eastAsia="zh-CN" w:bidi="ar-SA"/>
                    </w:rPr>
                  </w:pPr>
                  <w:r>
                    <w:rPr>
                      <w:rFonts w:cs="Times New Roman" w:hint="eastAsia"/>
                      <w:color w:val="000000"/>
                      <w:sz w:val="21"/>
                      <w:szCs w:val="21"/>
                      <w:u w:val="none"/>
                      <w:lang w:val="en-US" w:eastAsia="zh-CN"/>
                    </w:rPr>
                    <w:t>基带处理系统</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6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射频子系统</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拆解产生不可利用物</w:t>
                  </w:r>
                </w:p>
              </w:tc>
            </w:tr>
            <w:tr>
              <w:trPr>
                <w:trHeight w:val="6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kern w:val="2"/>
                      <w:sz w:val="21"/>
                      <w:szCs w:val="21"/>
                      <w:u w:val="none"/>
                      <w:lang w:val="en-US" w:eastAsia="zh-CN" w:bidi="ar-SA"/>
                    </w:rPr>
                  </w:pPr>
                  <w:r>
                    <w:rPr>
                      <w:rFonts w:cs="Times New Roman" w:hint="eastAsia"/>
                      <w:color w:val="000000"/>
                      <w:sz w:val="21"/>
                      <w:szCs w:val="21"/>
                      <w:u w:val="none"/>
                      <w:lang w:val="en-US" w:eastAsia="zh-CN"/>
                    </w:rPr>
                    <w:t>传输系统</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电源系统</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拆解产生不可利用零部件</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拆解产生不可利用物</w:t>
                  </w:r>
                </w:p>
              </w:tc>
            </w:tr>
            <w:tr>
              <w:trPr>
                <w:trHeight w:val="30"/>
              </w:trPr>
              <w:tc>
                <w:tcPr>
                  <w:tcW w:w="682" w:type="dxa"/>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4</w:t>
                  </w:r>
                </w:p>
              </w:tc>
              <w:tc>
                <w:tcPr>
                  <w:tcW w:w="1762" w:type="dxa"/>
                  <w:vMerge w:val="restart"/>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医疗设备</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机箱</w:t>
                  </w:r>
                  <w:r>
                    <w:rPr>
                      <w:rFonts w:cs="Times New Roman" w:hint="eastAsia"/>
                      <w:color w:val="000000"/>
                      <w:sz w:val="21"/>
                      <w:szCs w:val="21"/>
                      <w:u w:val="none"/>
                      <w:lang w:val="en-US" w:eastAsia="zh-CN"/>
                    </w:rPr>
                    <w:t>、外壳</w:t>
                  </w:r>
                </w:p>
              </w:tc>
              <w:tc>
                <w:tcPr>
                  <w:tcW w:w="3182" w:type="dxa"/>
                  <w:gridSpan w:val="2"/>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both"/>
                    <w:rPr>
                      <w:rFonts w:ascii="Times New Roman" w:eastAsia="宋体" w:cs="Times New Roman" w:hAnsi="Times New Roman" w:hint="eastAsia"/>
                      <w:color w:val="000000"/>
                      <w:kern w:val="2"/>
                      <w:sz w:val="21"/>
                      <w:szCs w:val="21"/>
                      <w:u w:val="none"/>
                      <w:lang w:val="en-US" w:eastAsia="zh-CN" w:bidi="ar-SA"/>
                    </w:rPr>
                  </w:pP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微控制器和微处理器</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拆解产生不可利用零部件</w:t>
                  </w:r>
                  <w:r>
                    <w:rPr>
                      <w:rFonts w:cs="Times New Roman" w:hint="eastAsia"/>
                      <w:color w:val="000000"/>
                      <w:sz w:val="21"/>
                      <w:szCs w:val="21"/>
                      <w:u w:val="none"/>
                      <w:lang w:val="en-US" w:eastAsia="zh-CN"/>
                    </w:rPr>
                    <w:t>、废电路板、</w:t>
                  </w:r>
                  <w:r>
                    <w:rPr>
                      <w:rFonts w:ascii="Times New Roman" w:eastAsia="宋体" w:cs="Times New Roman" w:hAnsi="Times New Roman" w:hint="eastAsia"/>
                      <w:color w:val="000000"/>
                      <w:sz w:val="21"/>
                      <w:szCs w:val="21"/>
                      <w:u w:val="none"/>
                      <w:lang w:val="en-US" w:eastAsia="zh-CN"/>
                    </w:rPr>
                    <w:t>拆解产生不可利用物</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传感器</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放大器和滤波器</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电源管理器件</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拆解产生不可利用零部件</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拆解产生不可利用物</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显示器和触摸屏</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通信模块</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拆解产生不可利用零部件</w:t>
                  </w:r>
                  <w:r>
                    <w:rPr>
                      <w:rFonts w:cs="Times New Roman" w:hint="eastAsia"/>
                      <w:color w:val="000000"/>
                      <w:sz w:val="21"/>
                      <w:szCs w:val="21"/>
                      <w:u w:val="none"/>
                      <w:lang w:val="en-US" w:eastAsia="zh-CN"/>
                    </w:rPr>
                    <w:t>、废电路板、</w:t>
                  </w:r>
                  <w:r>
                    <w:rPr>
                      <w:rFonts w:ascii="Times New Roman" w:eastAsia="宋体" w:cs="Times New Roman" w:hAnsi="Times New Roman" w:hint="eastAsia"/>
                      <w:color w:val="000000"/>
                      <w:sz w:val="21"/>
                      <w:szCs w:val="21"/>
                      <w:u w:val="none"/>
                      <w:lang w:val="en-US" w:eastAsia="zh-CN"/>
                    </w:rPr>
                    <w:t>拆解产生不可利用物</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存储器件</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拆解产生不可利用零部件</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声音和图像处理器件</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拆解产生不可利用零部件</w:t>
                  </w:r>
                  <w:r>
                    <w:rPr>
                      <w:rFonts w:cs="Times New Roman" w:hint="eastAsia"/>
                      <w:color w:val="000000"/>
                      <w:sz w:val="21"/>
                      <w:szCs w:val="21"/>
                      <w:u w:val="none"/>
                      <w:lang w:val="en-US" w:eastAsia="zh-CN"/>
                    </w:rPr>
                    <w:t>、废电路板、</w:t>
                  </w:r>
                  <w:r>
                    <w:rPr>
                      <w:rFonts w:ascii="Times New Roman" w:eastAsia="宋体" w:cs="Times New Roman" w:hAnsi="Times New Roman" w:hint="eastAsia"/>
                      <w:color w:val="000000"/>
                      <w:sz w:val="21"/>
                      <w:szCs w:val="21"/>
                      <w:u w:val="none"/>
                      <w:lang w:val="en-US" w:eastAsia="zh-CN"/>
                    </w:rPr>
                    <w:t>拆解产生不可利用物</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电阻器和电容器</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拆解产生不可利用零部件</w:t>
                  </w:r>
                  <w:r>
                    <w:rPr>
                      <w:rFonts w:cs="Times New Roman" w:hint="eastAsia"/>
                      <w:color w:val="000000"/>
                      <w:sz w:val="21"/>
                      <w:szCs w:val="21"/>
                      <w:u w:val="none"/>
                      <w:lang w:val="en-US" w:eastAsia="zh-CN"/>
                    </w:rPr>
                    <w:t>、废电路板、</w:t>
                  </w:r>
                  <w:r>
                    <w:rPr>
                      <w:rFonts w:ascii="Times New Roman" w:eastAsia="宋体" w:cs="Times New Roman" w:hAnsi="Times New Roman" w:hint="eastAsia"/>
                      <w:color w:val="000000"/>
                      <w:sz w:val="21"/>
                      <w:szCs w:val="21"/>
                      <w:u w:val="none"/>
                      <w:lang w:val="en-US" w:eastAsia="zh-CN"/>
                    </w:rPr>
                    <w:t>拆解产生不可利用物</w:t>
                  </w: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hint="eastAsia"/>
                      <w:color w:val="000000"/>
                      <w:sz w:val="21"/>
                      <w:szCs w:val="21"/>
                      <w:u w:val="none"/>
                      <w:lang w:val="en-US" w:eastAsia="zh-CN"/>
                    </w:rPr>
                  </w:pPr>
                  <w:r>
                    <w:rPr>
                      <w:rFonts w:cs="Times New Roman" w:hint="eastAsia"/>
                      <w:color w:val="000000"/>
                      <w:sz w:val="21"/>
                      <w:szCs w:val="21"/>
                      <w:u w:val="none"/>
                      <w:lang w:val="en-US" w:eastAsia="zh-CN"/>
                    </w:rPr>
                    <w:t>开关、</w:t>
                  </w:r>
                  <w:r>
                    <w:rPr>
                      <w:rFonts w:ascii="Times New Roman" w:eastAsia="宋体" w:cs="Times New Roman" w:hAnsi="Times New Roman" w:hint="eastAsia"/>
                      <w:color w:val="000000"/>
                      <w:sz w:val="21"/>
                      <w:szCs w:val="21"/>
                      <w:u w:val="none"/>
                      <w:lang w:val="en-US" w:eastAsia="zh-CN"/>
                    </w:rPr>
                    <w:t>安全和保护器件</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b w:val="0"/>
                      <w:bCs w:val="0"/>
                      <w:color w:val="000000"/>
                      <w:kern w:val="0"/>
                      <w:szCs w:val="21"/>
                      <w:lang w:eastAsia="zh-CN"/>
                    </w:rPr>
                    <w:t>拆解产生不可利用零部件</w:t>
                  </w:r>
                  <w:r>
                    <w:rPr>
                      <w:rFonts w:cs="Times New Roman" w:hint="eastAsia"/>
                      <w:color w:val="000000"/>
                      <w:sz w:val="21"/>
                      <w:szCs w:val="21"/>
                      <w:u w:val="none"/>
                      <w:lang w:val="en-US" w:eastAsia="zh-CN"/>
                    </w:rPr>
                    <w:t>、废含汞元（器）件</w:t>
                  </w:r>
                </w:p>
              </w:tc>
            </w:tr>
            <w:tr>
              <w:trPr>
                <w:trHeight w:val="3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液压传动装置</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b w:val="0"/>
                      <w:bCs w:val="0"/>
                      <w:color w:val="000000"/>
                      <w:kern w:val="0"/>
                      <w:szCs w:val="21"/>
                      <w:lang w:eastAsia="zh-CN"/>
                    </w:rPr>
                    <w:t>拆解产生不可利用零部件</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可利用零部件</w:t>
                  </w:r>
                  <w:r>
                    <w:rPr>
                      <w:rFonts w:cs="Times New Roman" w:hint="eastAsia"/>
                      <w:b w:val="0"/>
                      <w:bCs w:val="0"/>
                      <w:color w:val="000000"/>
                      <w:kern w:val="0"/>
                      <w:szCs w:val="21"/>
                      <w:lang w:eastAsia="zh-CN"/>
                    </w:rPr>
                    <w:t>、</w:t>
                  </w:r>
                  <w:r>
                    <w:rPr>
                      <w:rFonts w:cs="Times New Roman" w:hint="eastAsia"/>
                      <w:color w:val="000000"/>
                      <w:sz w:val="21"/>
                      <w:szCs w:val="21"/>
                      <w:u w:val="none"/>
                      <w:lang w:val="en-US" w:eastAsia="zh-CN"/>
                    </w:rPr>
                    <w:t>废矿物油</w:t>
                  </w:r>
                </w:p>
              </w:tc>
            </w:tr>
            <w:tr>
              <w:trPr>
                <w:trHeight w:val="38"/>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5</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网络设备</w:t>
                  </w:r>
                </w:p>
              </w:tc>
              <w:tc>
                <w:tcPr>
                  <w:tcW w:w="5924" w:type="dxa"/>
                  <w:gridSpan w:val="4"/>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ascii="Times New Roman" w:eastAsia="宋体" w:cs="Times New Roman" w:hAnsi="Times New Roman"/>
                      <w:color w:val="000000"/>
                      <w:sz w:val="21"/>
                      <w:szCs w:val="21"/>
                      <w:u w:val="none"/>
                      <w:lang w:val="en-US" w:eastAsia="zh-CN"/>
                    </w:rPr>
                  </w:pPr>
                  <w:r>
                    <w:rPr>
                      <w:rFonts w:cs="Times New Roman" w:hint="eastAsia"/>
                      <w:i w:val="0"/>
                      <w:iCs w:val="0"/>
                      <w:color w:val="000000"/>
                      <w:kern w:val="0"/>
                      <w:sz w:val="21"/>
                      <w:szCs w:val="21"/>
                      <w:u w:val="none"/>
                      <w:lang w:val="en-US" w:eastAsia="zh-CN"/>
                    </w:rPr>
                    <w:t>与</w:t>
                  </w:r>
                  <w:r>
                    <w:rPr>
                      <w:rFonts w:ascii="Times New Roman" w:eastAsia="宋体" w:cs="Times New Roman" w:hAnsi="Times New Roman"/>
                      <w:i w:val="0"/>
                      <w:iCs w:val="0"/>
                      <w:color w:val="000000"/>
                      <w:kern w:val="0"/>
                      <w:sz w:val="21"/>
                      <w:szCs w:val="21"/>
                      <w:u w:val="none"/>
                      <w:lang w:val="en-US" w:eastAsia="zh-CN"/>
                    </w:rPr>
                    <w:t>通讯设备</w:t>
                  </w:r>
                  <w:r>
                    <w:rPr>
                      <w:rFonts w:cs="Times New Roman" w:hint="eastAsia"/>
                      <w:i w:val="0"/>
                      <w:iCs w:val="0"/>
                      <w:color w:val="000000"/>
                      <w:kern w:val="0"/>
                      <w:sz w:val="21"/>
                      <w:szCs w:val="21"/>
                      <w:u w:val="none"/>
                      <w:lang w:val="en-US" w:eastAsia="zh-CN"/>
                    </w:rPr>
                    <w:t>类似</w:t>
                  </w:r>
                </w:p>
              </w:tc>
            </w:tr>
            <w:tr>
              <w:trPr>
                <w:trHeight w:val="90"/>
              </w:trPr>
              <w:tc>
                <w:tcPr>
                  <w:tcW w:w="682" w:type="dxa"/>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color w:val="auto"/>
                      <w:sz w:val="21"/>
                      <w:szCs w:val="21"/>
                      <w:u w:val="none"/>
                      <w:lang w:val="en-US" w:eastAsia="zh-CN"/>
                    </w:rPr>
                  </w:pPr>
                  <w:r>
                    <w:rPr>
                      <w:rFonts w:ascii="Times New Roman" w:eastAsia="宋体" w:cs="Times New Roman" w:hAnsi="Times New Roman" w:hint="eastAsia"/>
                      <w:color w:val="auto"/>
                      <w:kern w:val="2"/>
                      <w:sz w:val="21"/>
                      <w:szCs w:val="21"/>
                      <w:u w:val="none"/>
                      <w:lang w:val="en-US" w:eastAsia="zh-CN" w:bidi="ar-SA"/>
                    </w:rPr>
                    <w:t>6</w:t>
                  </w:r>
                </w:p>
              </w:tc>
              <w:tc>
                <w:tcPr>
                  <w:tcW w:w="1762" w:type="dxa"/>
                  <w:vMerge w:val="restart"/>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auto"/>
                      <w:kern w:val="0"/>
                      <w:sz w:val="21"/>
                      <w:szCs w:val="21"/>
                      <w:u w:val="none"/>
                      <w:lang w:val="en-US" w:eastAsia="zh-CN"/>
                    </w:rPr>
                  </w:pPr>
                  <w:r>
                    <w:rPr>
                      <w:rFonts w:ascii="Times New Roman" w:eastAsia="宋体" w:cs="Times New Roman" w:hAnsi="Times New Roman"/>
                      <w:i w:val="0"/>
                      <w:iCs w:val="0"/>
                      <w:color w:val="auto"/>
                      <w:kern w:val="0"/>
                      <w:sz w:val="21"/>
                      <w:szCs w:val="21"/>
                      <w:u w:val="none"/>
                      <w:lang w:val="en-US" w:eastAsia="zh-CN"/>
                    </w:rPr>
                    <w:t>光伏板组件</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接线盒控制器</w:t>
                  </w:r>
                </w:p>
              </w:tc>
              <w:tc>
                <w:tcPr>
                  <w:tcW w:w="3182" w:type="dxa"/>
                  <w:gridSpan w:val="2"/>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both"/>
                    <w:rPr>
                      <w:rFonts w:ascii="Times New Roman" w:eastAsia="宋体" w:cs="Times New Roman" w:hAnsi="Times New Roman" w:hint="eastAsia"/>
                      <w:color w:val="000000"/>
                      <w:kern w:val="2"/>
                      <w:sz w:val="21"/>
                      <w:szCs w:val="21"/>
                      <w:u w:val="none"/>
                      <w:lang w:val="en-US" w:eastAsia="zh-CN" w:bidi="ar-SA"/>
                    </w:rPr>
                  </w:pPr>
                  <w:r>
                    <w:rPr>
                      <w:rFonts w:ascii="Times New Roman" w:eastAsia="宋体" w:cs="Times New Roman" w:hAnsi="Times New Roman" w:hint="eastAsia"/>
                      <w:color w:val="000000"/>
                      <w:sz w:val="21"/>
                      <w:szCs w:val="21"/>
                      <w:u w:val="none"/>
                      <w:lang w:val="en-US" w:eastAsia="zh-CN"/>
                    </w:rPr>
                    <w:t>拆解产生不可利用零部件</w:t>
                  </w:r>
                  <w:r>
                    <w:rPr>
                      <w:rFonts w:cs="Times New Roman" w:hint="eastAsia"/>
                      <w:color w:val="000000"/>
                      <w:sz w:val="21"/>
                      <w:szCs w:val="21"/>
                      <w:u w:val="none"/>
                      <w:lang w:val="en-US" w:eastAsia="zh-CN"/>
                    </w:rPr>
                    <w:t>、废电路板、</w:t>
                  </w:r>
                  <w:r>
                    <w:rPr>
                      <w:rFonts w:ascii="Times New Roman" w:eastAsia="宋体" w:cs="Times New Roman" w:hAnsi="Times New Roman" w:hint="eastAsia"/>
                      <w:color w:val="000000"/>
                      <w:sz w:val="21"/>
                      <w:szCs w:val="21"/>
                      <w:u w:val="none"/>
                      <w:lang w:val="en-US" w:eastAsia="zh-CN"/>
                    </w:rPr>
                    <w:t>拆解产生不可利用物</w:t>
                  </w: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铝合金背板、边框</w:t>
                  </w:r>
                </w:p>
              </w:tc>
              <w:tc>
                <w:tcPr>
                  <w:tcW w:w="3182" w:type="dxa"/>
                  <w:gridSpan w:val="2"/>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both"/>
                    <w:rPr>
                      <w:rFonts w:ascii="Times New Roman" w:eastAsia="宋体" w:cs="Times New Roman" w:hAnsi="Times New Roman" w:hint="eastAsia"/>
                      <w:color w:val="000000"/>
                      <w:kern w:val="2"/>
                      <w:sz w:val="21"/>
                      <w:szCs w:val="21"/>
                      <w:u w:val="none"/>
                      <w:lang w:val="en-US" w:eastAsia="zh-CN" w:bidi="ar-SA"/>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钢化玻璃</w:t>
                  </w:r>
                </w:p>
              </w:tc>
              <w:tc>
                <w:tcPr>
                  <w:tcW w:w="3182" w:type="dxa"/>
                  <w:gridSpan w:val="2"/>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both"/>
                    <w:rPr>
                      <w:rFonts w:ascii="Times New Roman" w:eastAsia="宋体" w:cs="Times New Roman" w:hAnsi="Times New Roman" w:hint="eastAsia"/>
                      <w:color w:val="000000"/>
                      <w:kern w:val="2"/>
                      <w:sz w:val="21"/>
                      <w:szCs w:val="21"/>
                      <w:u w:val="none"/>
                      <w:lang w:val="en-US" w:eastAsia="zh-CN" w:bidi="ar-SA"/>
                    </w:rPr>
                  </w:pPr>
                  <w:r>
                    <w:rPr>
                      <w:rFonts w:ascii="Times New Roman" w:eastAsia="宋体" w:cs="Times New Roman" w:hAnsi="Times New Roman" w:hint="eastAsia"/>
                      <w:color w:val="000000"/>
                      <w:sz w:val="21"/>
                      <w:szCs w:val="21"/>
                      <w:u w:val="none"/>
                      <w:lang w:val="en-US" w:eastAsia="zh-CN"/>
                    </w:rPr>
                    <w:t>拆解产生不可利用物</w:t>
                  </w:r>
                </w:p>
              </w:tc>
            </w:tr>
            <w:tr>
              <w:trPr>
                <w:trHeight w:val="269"/>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多晶硅光伏组件</w:t>
                  </w:r>
                </w:p>
              </w:tc>
              <w:tc>
                <w:tcPr>
                  <w:tcW w:w="3182" w:type="dxa"/>
                  <w:gridSpan w:val="2"/>
                  <w:vMerge w:val="restart"/>
                  <w:tcBorders>
                    <w:top w:val="single" w:sz="4" w:space="0" w:color="auto"/>
                    <w:left w:val="single" w:sz="4" w:space="0" w:color="auto"/>
                    <w:right w:val="single" w:sz="4" w:space="0" w:color="auto"/>
                  </w:tcBorders>
                  <w:shd w:val="clear" w:color="auto" w:fill="auto"/>
                  <w:noWrap/>
                  <w:vAlign w:val="center"/>
                </w:tcPr>
                <w:p>
                  <w:pPr>
                    <w:adjustRightInd w:val="0"/>
                    <w:snapToGrid w:val="0"/>
                    <w:spacing w:line="240" w:lineRule="auto"/>
                    <w:jc w:val="both"/>
                    <w:rPr>
                      <w:rFonts w:ascii="Times New Roman" w:eastAsia="宋体" w:cs="Times New Roman" w:hAnsi="Times New Roman" w:hint="eastAsia"/>
                      <w:color w:val="000000"/>
                      <w:kern w:val="2"/>
                      <w:sz w:val="21"/>
                      <w:szCs w:val="21"/>
                      <w:u w:val="none"/>
                      <w:lang w:val="en-US" w:eastAsia="zh-CN" w:bidi="ar-SA"/>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拆解产生不可利用物</w:t>
                  </w:r>
                </w:p>
              </w:tc>
            </w:tr>
            <w:tr>
              <w:trPr>
                <w:trHeight w:val="269"/>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薄膜光伏组件</w:t>
                  </w:r>
                </w:p>
              </w:tc>
              <w:tc>
                <w:tcPr>
                  <w:tcW w:w="3182" w:type="dxa"/>
                  <w:gridSpan w:val="2"/>
                  <w:vMerge/>
                  <w:tcBorders>
                    <w:top w:val="single" w:sz="4" w:space="0" w:color="auto"/>
                    <w:left w:val="single" w:sz="4" w:space="0" w:color="auto"/>
                    <w:right w:val="single" w:sz="4" w:space="0" w:color="auto"/>
                  </w:tcBorders>
                  <w:shd w:val="clear" w:color="auto" w:fill="auto"/>
                  <w:noWrap/>
                  <w:vAlign w:val="center"/>
                </w:tcPr>
                <w:p/>
              </w:tc>
            </w:tr>
            <w:tr>
              <w:trPr>
                <w:trHeight w:val="269"/>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单晶硅光伏组件</w:t>
                  </w:r>
                </w:p>
              </w:tc>
              <w:tc>
                <w:tcPr>
                  <w:tcW w:w="3182" w:type="dxa"/>
                  <w:gridSpan w:val="2"/>
                  <w:vMerge/>
                  <w:tcBorders>
                    <w:top w:val="single" w:sz="4" w:space="0" w:color="auto"/>
                    <w:left w:val="single" w:sz="4" w:space="0" w:color="auto"/>
                    <w:right w:val="single" w:sz="4" w:space="0" w:color="auto"/>
                  </w:tcBorders>
                  <w:shd w:val="clear" w:color="auto" w:fill="auto"/>
                  <w:noWrap/>
                  <w:vAlign w:val="center"/>
                </w:tcP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非晶硅光伏组件</w:t>
                  </w:r>
                </w:p>
              </w:tc>
              <w:tc>
                <w:tcPr>
                  <w:tcW w:w="3182" w:type="dxa"/>
                  <w:gridSpan w:val="2"/>
                  <w:vMerge/>
                  <w:tcBorders>
                    <w:top w:val="single" w:sz="4" w:space="0" w:color="auto"/>
                    <w:left w:val="single" w:sz="4" w:space="0" w:color="auto"/>
                    <w:right w:val="single" w:sz="4" w:space="0" w:color="auto"/>
                  </w:tcBorders>
                  <w:shd w:val="clear" w:color="auto" w:fill="auto"/>
                  <w:noWrap/>
                  <w:vAlign w:val="center"/>
                </w:tcP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涂锡铜带</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cs="Times New Roman" w:hint="eastAsia"/>
                      <w:i w:val="0"/>
                      <w:iCs w:val="0"/>
                      <w:color w:val="000000"/>
                      <w:kern w:val="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000000"/>
                      <w:kern w:val="0"/>
                      <w:sz w:val="21"/>
                      <w:szCs w:val="21"/>
                      <w:u w:val="none"/>
                      <w:lang w:val="en-US" w:eastAsia="zh-CN"/>
                    </w:rPr>
                  </w:pPr>
                  <w:r>
                    <w:rPr>
                      <w:rFonts w:cs="Times New Roman" w:hint="eastAsia"/>
                      <w:i w:val="0"/>
                      <w:iCs w:val="0"/>
                      <w:color w:val="000000"/>
                      <w:kern w:val="0"/>
                      <w:sz w:val="21"/>
                      <w:szCs w:val="21"/>
                      <w:u w:val="none"/>
                      <w:lang w:val="en-US" w:eastAsia="zh-CN"/>
                    </w:rPr>
                    <w:t>逆变器</w:t>
                  </w:r>
                </w:p>
              </w:tc>
              <w:tc>
                <w:tcPr>
                  <w:tcW w:w="318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cs="Times New Roman" w:hint="eastAsia"/>
                      <w:i w:val="0"/>
                      <w:iCs w:val="0"/>
                      <w:color w:val="000000"/>
                      <w:kern w:val="0"/>
                      <w:sz w:val="21"/>
                      <w:szCs w:val="21"/>
                      <w:u w:val="none"/>
                      <w:lang w:val="en-US" w:eastAsia="zh-CN"/>
                    </w:rPr>
                  </w:pPr>
                  <w:r>
                    <w:rPr>
                      <w:rFonts w:ascii="Times New Roman" w:eastAsia="宋体" w:cs="Times New Roman" w:hAnsi="Times New Roman" w:hint="eastAsia"/>
                      <w:color w:val="000000"/>
                      <w:sz w:val="21"/>
                      <w:szCs w:val="21"/>
                      <w:u w:val="none"/>
                      <w:lang w:val="en-US" w:eastAsia="zh-CN"/>
                    </w:rPr>
                    <w:t>拆解产生不可利用零部件</w:t>
                  </w:r>
                  <w:r>
                    <w:rPr>
                      <w:rFonts w:cs="Times New Roman" w:hint="eastAsia"/>
                      <w:color w:val="000000"/>
                      <w:sz w:val="21"/>
                      <w:szCs w:val="21"/>
                      <w:u w:val="none"/>
                      <w:lang w:val="en-US" w:eastAsia="zh-CN"/>
                    </w:rPr>
                    <w:t>、废电路板、</w:t>
                  </w:r>
                  <w:r>
                    <w:rPr>
                      <w:rFonts w:ascii="Times New Roman" w:eastAsia="宋体" w:cs="Times New Roman" w:hAnsi="Times New Roman" w:hint="eastAsia"/>
                      <w:color w:val="000000"/>
                      <w:sz w:val="21"/>
                      <w:szCs w:val="21"/>
                      <w:u w:val="none"/>
                      <w:lang w:val="en-US" w:eastAsia="zh-CN"/>
                    </w:rPr>
                    <w:t>拆解产生不可利用物</w:t>
                  </w: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000000"/>
                      <w:kern w:val="0"/>
                      <w:sz w:val="21"/>
                      <w:szCs w:val="21"/>
                      <w:u w:val="none"/>
                      <w:lang w:val="en-US" w:eastAsia="zh-CN"/>
                    </w:rPr>
                  </w:pPr>
                  <w:r>
                    <w:rPr>
                      <w:rFonts w:cs="Times New Roman" w:hint="eastAsia"/>
                      <w:i w:val="0"/>
                      <w:iCs w:val="0"/>
                      <w:color w:val="000000"/>
                      <w:kern w:val="0"/>
                      <w:sz w:val="21"/>
                      <w:szCs w:val="21"/>
                      <w:u w:val="none"/>
                      <w:lang w:val="en-US" w:eastAsia="zh-CN"/>
                    </w:rPr>
                    <w:t>光伏电池板</w:t>
                  </w:r>
                </w:p>
              </w:tc>
              <w:tc>
                <w:tcPr>
                  <w:tcW w:w="3182" w:type="dxa"/>
                  <w:gridSpan w:val="2"/>
                  <w:vMerge w:val="restart"/>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cs="Times New Roman" w:hint="eastAsia"/>
                      <w:i w:val="0"/>
                      <w:iCs w:val="0"/>
                      <w:color w:val="000000"/>
                      <w:kern w:val="0"/>
                      <w:sz w:val="21"/>
                      <w:szCs w:val="21"/>
                      <w:u w:val="none"/>
                      <w:lang w:val="en-US" w:eastAsia="zh-CN"/>
                    </w:rPr>
                  </w:pPr>
                  <w:r>
                    <w:rPr>
                      <w:rFonts w:ascii="Times New Roman" w:eastAsia="宋体" w:cs="Times New Roman" w:hAnsi="Times New Roman" w:hint="eastAsia"/>
                      <w:color w:val="000000"/>
                      <w:sz w:val="21"/>
                      <w:szCs w:val="21"/>
                      <w:u w:val="none"/>
                      <w:lang w:val="en-US" w:eastAsia="zh-CN"/>
                    </w:rPr>
                    <w:t>废金属</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废塑料</w:t>
                  </w:r>
                  <w:r>
                    <w:rPr>
                      <w:rFonts w:cs="Times New Roman" w:hint="eastAsia"/>
                      <w:color w:val="000000"/>
                      <w:sz w:val="21"/>
                      <w:szCs w:val="21"/>
                      <w:u w:val="none"/>
                      <w:lang w:val="en-US" w:eastAsia="zh-CN"/>
                    </w:rPr>
                    <w:t>、</w:t>
                  </w:r>
                  <w:r>
                    <w:rPr>
                      <w:rFonts w:ascii="Times New Roman" w:eastAsia="宋体" w:cs="Times New Roman" w:hAnsi="Times New Roman" w:hint="eastAsia"/>
                      <w:color w:val="000000"/>
                      <w:sz w:val="21"/>
                      <w:szCs w:val="21"/>
                      <w:u w:val="none"/>
                      <w:lang w:val="en-US" w:eastAsia="zh-CN"/>
                    </w:rPr>
                    <w:t>拆解产生不可利用物</w:t>
                  </w:r>
                </w:p>
              </w:tc>
            </w:tr>
            <w:tr>
              <w:trPr>
                <w:trHeight w:val="90"/>
              </w:trPr>
              <w:tc>
                <w:tcPr>
                  <w:tcW w:w="682" w:type="dxa"/>
                  <w:vMerge/>
                  <w:tcBorders>
                    <w:top w:val="single" w:sz="4" w:space="0" w:color="auto"/>
                    <w:left w:val="single" w:sz="4" w:space="0" w:color="auto"/>
                    <w:right w:val="single" w:sz="4" w:space="0" w:color="auto"/>
                  </w:tcBorders>
                  <w:noWrap/>
                  <w:vAlign w:val="center"/>
                </w:tcPr>
                <w:p/>
              </w:tc>
              <w:tc>
                <w:tcPr>
                  <w:tcW w:w="1762" w:type="dxa"/>
                  <w:vMerge/>
                  <w:tcBorders>
                    <w:top w:val="single" w:sz="4" w:space="0" w:color="auto"/>
                    <w:left w:val="single" w:sz="4" w:space="0" w:color="auto"/>
                    <w:right w:val="single" w:sz="4" w:space="0" w:color="auto"/>
                  </w:tcBorders>
                  <w:noWrap/>
                  <w:vAlign w:val="center"/>
                </w:tcP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hint="eastAsia"/>
                      <w:i w:val="0"/>
                      <w:iCs w:val="0"/>
                      <w:color w:val="000000"/>
                      <w:kern w:val="0"/>
                      <w:sz w:val="21"/>
                      <w:szCs w:val="21"/>
                      <w:u w:val="none"/>
                      <w:lang w:val="en-US" w:eastAsia="zh-CN"/>
                    </w:rPr>
                  </w:pPr>
                  <w:r>
                    <w:rPr>
                      <w:rFonts w:cs="Times New Roman" w:hint="eastAsia"/>
                      <w:i w:val="0"/>
                      <w:iCs w:val="0"/>
                      <w:color w:val="000000"/>
                      <w:kern w:val="0"/>
                      <w:sz w:val="21"/>
                      <w:szCs w:val="21"/>
                      <w:u w:val="none"/>
                      <w:lang w:val="en-US" w:eastAsia="zh-CN"/>
                    </w:rPr>
                    <w:t>光伏电池单体</w:t>
                  </w:r>
                </w:p>
              </w:tc>
              <w:tc>
                <w:tcPr>
                  <w:tcW w:w="3182" w:type="dxa"/>
                  <w:gridSpan w:val="2"/>
                  <w:vMerge/>
                  <w:tcBorders>
                    <w:top w:val="single" w:sz="4" w:space="0" w:color="auto"/>
                    <w:left w:val="single" w:sz="4" w:space="0" w:color="auto"/>
                    <w:right w:val="single" w:sz="4" w:space="0" w:color="auto"/>
                  </w:tcBorders>
                  <w:noWrap/>
                  <w:vAlign w:val="center"/>
                </w:tcPr>
                <w:p/>
              </w:tc>
            </w:tr>
            <w:tr>
              <w:trPr>
                <w:trHeight w:val="38"/>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7</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hint="eastAsia"/>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其他电子设备</w:t>
                  </w:r>
                </w:p>
              </w:tc>
              <w:tc>
                <w:tcPr>
                  <w:tcW w:w="5924" w:type="dxa"/>
                  <w:gridSpan w:val="4"/>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w:t>
                  </w:r>
                </w:p>
              </w:tc>
            </w:tr>
            <w:tr>
              <w:trPr>
                <w:trHeight w:val="121"/>
              </w:trPr>
              <w:tc>
                <w:tcPr>
                  <w:tcW w:w="8368" w:type="dxa"/>
                  <w:gridSpan w:val="6"/>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b/>
                      <w:bCs/>
                      <w:color w:val="000000"/>
                      <w:sz w:val="21"/>
                      <w:szCs w:val="21"/>
                      <w:u w:val="none"/>
                      <w:lang w:val="en-US" w:eastAsia="zh-CN"/>
                    </w:rPr>
                    <w:t>拆解后产物</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1</w:t>
                  </w:r>
                </w:p>
              </w:tc>
              <w:tc>
                <w:tcPr>
                  <w:tcW w:w="4504" w:type="dxa"/>
                  <w:gridSpan w:val="3"/>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废金属</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200.5</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金属外壳、框架</w:t>
                  </w:r>
                </w:p>
              </w:tc>
            </w:tr>
            <w:tr>
              <w:trPr>
                <w:trHeight w:val="15"/>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2</w:t>
                  </w:r>
                </w:p>
              </w:tc>
              <w:tc>
                <w:tcPr>
                  <w:tcW w:w="4504" w:type="dxa"/>
                  <w:gridSpan w:val="3"/>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废塑料</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59.0</w:t>
                  </w:r>
                  <w:r>
                    <w:rPr>
                      <w:rFonts w:ascii="Times New Roman" w:eastAsia="宋体" w:cs="Times New Roman" w:hAnsi="Times New Roman" w:hint="eastAsia"/>
                      <w:i w:val="0"/>
                      <w:iCs w:val="0"/>
                      <w:color w:val="000000"/>
                      <w:kern w:val="0"/>
                      <w:sz w:val="21"/>
                      <w:szCs w:val="21"/>
                      <w:u w:val="none"/>
                      <w:lang w:val="en-US" w:eastAsia="zh-CN"/>
                    </w:rPr>
                    <w:t>t/a</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塑料外壳、支架</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3</w:t>
                  </w:r>
                </w:p>
              </w:tc>
              <w:tc>
                <w:tcPr>
                  <w:tcW w:w="4504" w:type="dxa"/>
                  <w:gridSpan w:val="3"/>
                  <w:tcBorders>
                    <w:top w:val="single" w:sz="4" w:space="0" w:color="auto"/>
                    <w:left w:val="single" w:sz="4" w:space="0" w:color="auto"/>
                    <w:right w:val="single" w:sz="4" w:space="0" w:color="auto"/>
                  </w:tcBorders>
                  <w:noWrap/>
                  <w:vAlign w:val="center"/>
                </w:tcPr>
                <w:p>
                  <w:pPr>
                    <w:widowControl/>
                    <w:jc w:val="center"/>
                    <w:rPr>
                      <w:rFonts w:ascii="Times New Roman" w:eastAsia="宋体" w:cs="Times New Roman" w:hAnsi="Times New Roman"/>
                      <w:b w:val="0"/>
                      <w:bCs w:val="0"/>
                      <w:color w:val="000000"/>
                      <w:kern w:val="0"/>
                      <w:sz w:val="21"/>
                      <w:szCs w:val="21"/>
                      <w:lang w:val="en-US" w:eastAsia="zh-CN" w:bidi="ar-SA"/>
                    </w:rPr>
                  </w:pPr>
                  <w:r>
                    <w:rPr>
                      <w:rFonts w:ascii="Times New Roman" w:eastAsia="宋体" w:cs="Times New Roman" w:hAnsi="Times New Roman"/>
                      <w:b w:val="0"/>
                      <w:bCs w:val="0"/>
                      <w:color w:val="000000"/>
                      <w:kern w:val="0"/>
                      <w:szCs w:val="21"/>
                      <w:lang w:eastAsia="zh-CN"/>
                    </w:rPr>
                    <w:t>拆解产生不可利用物</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22.5</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纽扣电池等</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4</w:t>
                  </w:r>
                </w:p>
              </w:tc>
              <w:tc>
                <w:tcPr>
                  <w:tcW w:w="4504" w:type="dxa"/>
                  <w:gridSpan w:val="3"/>
                  <w:tcBorders>
                    <w:top w:val="single" w:sz="4" w:space="0" w:color="auto"/>
                    <w:left w:val="single" w:sz="4" w:space="0" w:color="auto"/>
                    <w:right w:val="single" w:sz="4" w:space="0" w:color="auto"/>
                  </w:tcBorders>
                  <w:noWrap/>
                  <w:vAlign w:val="center"/>
                </w:tcPr>
                <w:p>
                  <w:pPr>
                    <w:widowControl/>
                    <w:jc w:val="center"/>
                    <w:rPr>
                      <w:rFonts w:ascii="Times New Roman" w:eastAsia="宋体" w:cs="Times New Roman" w:hAnsi="Times New Roman"/>
                      <w:b w:val="0"/>
                      <w:bCs w:val="0"/>
                      <w:color w:val="000000"/>
                      <w:kern w:val="0"/>
                      <w:sz w:val="21"/>
                      <w:szCs w:val="21"/>
                      <w:lang w:val="en-US" w:eastAsia="zh-CN" w:bidi="ar-SA"/>
                    </w:rPr>
                  </w:pPr>
                  <w:r>
                    <w:rPr>
                      <w:rFonts w:ascii="Times New Roman" w:eastAsia="宋体" w:cs="Times New Roman" w:hAnsi="Times New Roman"/>
                      <w:b w:val="0"/>
                      <w:bCs w:val="0"/>
                      <w:color w:val="000000"/>
                      <w:kern w:val="0"/>
                      <w:szCs w:val="21"/>
                      <w:lang w:eastAsia="zh-CN"/>
                    </w:rPr>
                    <w:t>拆解产生不可利用零部件</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26.5</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电源、显示屏等</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5</w:t>
                  </w:r>
                </w:p>
              </w:tc>
              <w:tc>
                <w:tcPr>
                  <w:tcW w:w="4504" w:type="dxa"/>
                  <w:gridSpan w:val="3"/>
                  <w:tcBorders>
                    <w:top w:val="single" w:sz="4" w:space="0" w:color="auto"/>
                    <w:left w:val="single" w:sz="4" w:space="0" w:color="auto"/>
                    <w:right w:val="single" w:sz="4" w:space="0" w:color="auto"/>
                  </w:tcBorders>
                  <w:noWrap/>
                  <w:vAlign w:val="center"/>
                </w:tcPr>
                <w:p>
                  <w:pPr>
                    <w:spacing w:line="240" w:lineRule="auto"/>
                    <w:ind w:left="0" w:firstLine="0"/>
                    <w:jc w:val="center"/>
                    <w:rPr>
                      <w:rFonts w:ascii="Times New Roman" w:eastAsia="宋体" w:cs="Times New Roman" w:hAnsi="Times New Roman"/>
                      <w:b w:val="0"/>
                      <w:bCs w:val="0"/>
                      <w:color w:val="auto"/>
                      <w:kern w:val="2"/>
                      <w:sz w:val="21"/>
                      <w:szCs w:val="21"/>
                      <w:vertAlign w:val="baseline"/>
                      <w:lang w:val="en-US" w:eastAsia="zh-CN" w:bidi="ar-SA"/>
                    </w:rPr>
                  </w:pPr>
                  <w:r>
                    <w:rPr>
                      <w:rFonts w:ascii="Times New Roman" w:eastAsia="宋体" w:cs="Times New Roman" w:hAnsi="Times New Roman"/>
                      <w:b w:val="0"/>
                      <w:bCs w:val="0"/>
                    </w:rPr>
                    <w:t>废电路板</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kern w:val="0"/>
                      <w:sz w:val="21"/>
                      <w:szCs w:val="21"/>
                      <w:lang w:val="en-US" w:eastAsia="zh-CN" w:bidi="ar-SA"/>
                    </w:rPr>
                  </w:pPr>
                  <w:r>
                    <w:rPr>
                      <w:rFonts w:ascii="Times New Roman" w:eastAsia="宋体" w:cs="Times New Roman" w:hAnsi="Times New Roman"/>
                      <w:i w:val="0"/>
                      <w:iCs w:val="0"/>
                      <w:color w:val="000000"/>
                      <w:kern w:val="0"/>
                      <w:sz w:val="21"/>
                      <w:szCs w:val="21"/>
                      <w:u w:val="none"/>
                      <w:lang w:val="en-US" w:eastAsia="zh-CN"/>
                    </w:rPr>
                    <w:t>15.4</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spacing w:line="240" w:lineRule="auto"/>
                    <w:ind w:left="0" w:firstLine="0"/>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auto"/>
                      <w:sz w:val="21"/>
                      <w:szCs w:val="21"/>
                      <w:vertAlign w:val="baseline"/>
                      <w:lang w:val="en-US" w:eastAsia="zh-CN"/>
                    </w:rPr>
                    <w:t>多氯联苯</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6</w:t>
                  </w:r>
                </w:p>
              </w:tc>
              <w:tc>
                <w:tcPr>
                  <w:tcW w:w="4504" w:type="dxa"/>
                  <w:gridSpan w:val="3"/>
                  <w:tcBorders>
                    <w:top w:val="single" w:sz="4" w:space="0" w:color="auto"/>
                    <w:left w:val="single" w:sz="4" w:space="0" w:color="auto"/>
                    <w:right w:val="single" w:sz="4" w:space="0" w:color="auto"/>
                  </w:tcBorders>
                  <w:noWrap/>
                  <w:vAlign w:val="center"/>
                </w:tcPr>
                <w:p>
                  <w:pPr>
                    <w:spacing w:line="240" w:lineRule="auto"/>
                    <w:ind w:left="0" w:firstLine="0"/>
                    <w:jc w:val="center"/>
                    <w:rPr>
                      <w:rFonts w:ascii="Times New Roman" w:eastAsia="宋体" w:cs="Times New Roman" w:hAnsi="Times New Roman"/>
                      <w:b w:val="0"/>
                      <w:bCs w:val="0"/>
                      <w:color w:val="auto"/>
                      <w:kern w:val="2"/>
                      <w:sz w:val="21"/>
                      <w:szCs w:val="21"/>
                      <w:vertAlign w:val="baseline"/>
                      <w:lang w:val="en-US" w:eastAsia="zh-CN" w:bidi="ar-SA"/>
                    </w:rPr>
                  </w:pPr>
                  <w:r>
                    <w:rPr>
                      <w:rFonts w:ascii="Times New Roman" w:eastAsia="宋体" w:cs="Times New Roman" w:hAnsi="Times New Roman"/>
                      <w:b w:val="0"/>
                      <w:bCs w:val="0"/>
                    </w:rPr>
                    <w:t>废含汞元（器）件</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kern w:val="0"/>
                      <w:sz w:val="21"/>
                      <w:szCs w:val="21"/>
                      <w:lang w:val="en-US" w:eastAsia="zh-CN" w:bidi="ar-SA"/>
                    </w:rPr>
                  </w:pPr>
                  <w:r>
                    <w:rPr>
                      <w:rFonts w:ascii="Times New Roman" w:eastAsia="宋体" w:cs="Times New Roman" w:hAnsi="Times New Roman"/>
                      <w:i w:val="0"/>
                      <w:iCs w:val="0"/>
                      <w:color w:val="000000"/>
                      <w:kern w:val="0"/>
                      <w:sz w:val="21"/>
                      <w:szCs w:val="21"/>
                      <w:u w:val="none"/>
                      <w:lang w:val="en-US" w:eastAsia="zh-CN"/>
                    </w:rPr>
                    <w:t>0.45</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spacing w:line="240" w:lineRule="auto"/>
                    <w:ind w:left="0" w:firstLine="0"/>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rPr>
                    <w:t>汞</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000000"/>
                      <w:sz w:val="21"/>
                      <w:szCs w:val="21"/>
                      <w:u w:val="none"/>
                      <w:lang w:val="en-US" w:eastAsia="zh-CN"/>
                    </w:rPr>
                  </w:pPr>
                  <w:r>
                    <w:rPr>
                      <w:rFonts w:cs="Times New Roman" w:hint="eastAsia"/>
                      <w:color w:val="000000"/>
                      <w:sz w:val="21"/>
                      <w:szCs w:val="21"/>
                      <w:u w:val="none"/>
                      <w:lang w:val="en-US" w:eastAsia="zh-CN"/>
                    </w:rPr>
                    <w:t>7</w:t>
                  </w:r>
                </w:p>
              </w:tc>
              <w:tc>
                <w:tcPr>
                  <w:tcW w:w="4504" w:type="dxa"/>
                  <w:gridSpan w:val="3"/>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组装可使用电器电子产品</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308.0</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b w:val="0"/>
                      <w:bCs w:val="0"/>
                      <w:color w:val="000000"/>
                      <w:sz w:val="21"/>
                      <w:szCs w:val="21"/>
                      <w:u w:val="none"/>
                      <w:lang w:val="en-US" w:eastAsia="zh-CN"/>
                    </w:rPr>
                    <w:t>/</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8</w:t>
                  </w:r>
                </w:p>
              </w:tc>
              <w:tc>
                <w:tcPr>
                  <w:tcW w:w="4504" w:type="dxa"/>
                  <w:gridSpan w:val="3"/>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废矿物油</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0.15</w:t>
                  </w:r>
                  <w:r>
                    <w:rPr>
                      <w:rFonts w:ascii="Times New Roman" w:eastAsia="宋体" w:cs="Times New Roman" w:hAnsi="Times New Roman" w:hint="eastAsia"/>
                      <w:i w:val="0"/>
                      <w:iCs w:val="0"/>
                      <w:color w:val="000000"/>
                      <w:kern w:val="0"/>
                      <w:sz w:val="21"/>
                      <w:szCs w:val="21"/>
                      <w:u w:val="none"/>
                      <w:lang w:val="en-US" w:eastAsia="zh-CN"/>
                    </w:rPr>
                    <w:t>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烃类</w:t>
                  </w:r>
                </w:p>
              </w:tc>
            </w:tr>
            <w:tr>
              <w:trPr>
                <w:trHeight w:val="90"/>
              </w:trPr>
              <w:tc>
                <w:tcPr>
                  <w:tcW w:w="682"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color w:val="000000"/>
                      <w:sz w:val="21"/>
                      <w:szCs w:val="21"/>
                      <w:u w:val="none"/>
                      <w:lang w:val="en-US" w:eastAsia="zh-CN"/>
                    </w:rPr>
                  </w:pPr>
                  <w:r>
                    <w:rPr>
                      <w:rFonts w:cs="Times New Roman" w:hint="eastAsia"/>
                      <w:color w:val="000000"/>
                      <w:sz w:val="21"/>
                      <w:szCs w:val="21"/>
                      <w:u w:val="none"/>
                      <w:lang w:val="en-US" w:eastAsia="zh-CN"/>
                    </w:rPr>
                    <w:t>9</w:t>
                  </w:r>
                </w:p>
              </w:tc>
              <w:tc>
                <w:tcPr>
                  <w:tcW w:w="4504" w:type="dxa"/>
                  <w:gridSpan w:val="3"/>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废铜</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b w:val="0"/>
                      <w:bCs w:val="0"/>
                      <w:color w:val="000000"/>
                      <w:sz w:val="21"/>
                      <w:szCs w:val="21"/>
                      <w:u w:val="none"/>
                      <w:lang w:val="en-US" w:eastAsia="zh-CN"/>
                    </w:rPr>
                  </w:pPr>
                  <w:r>
                    <w:rPr>
                      <w:rFonts w:ascii="Times New Roman" w:eastAsia="宋体" w:cs="Times New Roman" w:hAnsi="Times New Roman"/>
                      <w:i w:val="0"/>
                      <w:iCs w:val="0"/>
                      <w:color w:val="000000"/>
                      <w:kern w:val="0"/>
                      <w:sz w:val="21"/>
                      <w:szCs w:val="21"/>
                      <w:u w:val="none"/>
                      <w:lang w:val="en-US" w:eastAsia="zh-CN"/>
                    </w:rPr>
                    <w:t>42.5</w:t>
                  </w:r>
                  <w:r>
                    <w:rPr>
                      <w:rFonts w:ascii="Times New Roman" w:eastAsia="宋体" w:cs="Times New Roman" w:hAnsi="Times New Roman" w:hint="eastAsia"/>
                      <w:i w:val="0"/>
                      <w:iCs w:val="0"/>
                      <w:color w:val="000000"/>
                      <w:kern w:val="0"/>
                      <w:sz w:val="21"/>
                      <w:szCs w:val="21"/>
                      <w:u w:val="none"/>
                      <w:lang w:val="en-US" w:eastAsia="zh-CN"/>
                    </w:rPr>
                    <w:t>t/a</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铜</w:t>
                  </w:r>
                </w:p>
              </w:tc>
            </w:tr>
            <w:tr>
              <w:trPr>
                <w:trHeight w:val="15"/>
              </w:trPr>
              <w:tc>
                <w:tcPr>
                  <w:tcW w:w="5186" w:type="dxa"/>
                  <w:gridSpan w:val="4"/>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cs="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合计</w:t>
                  </w:r>
                </w:p>
              </w:tc>
              <w:tc>
                <w:tcPr>
                  <w:tcW w:w="1214"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sz w:val="21"/>
                      <w:szCs w:val="21"/>
                      <w:lang w:val="en-US" w:eastAsia="zh-CN"/>
                    </w:rPr>
                  </w:pPr>
                  <w:r>
                    <w:rPr>
                      <w:rFonts w:ascii="Times New Roman" w:eastAsia="宋体" w:cs="Times New Roman" w:hAnsi="Times New Roman"/>
                      <w:i w:val="0"/>
                      <w:iCs w:val="0"/>
                      <w:color w:val="000000"/>
                      <w:kern w:val="0"/>
                      <w:sz w:val="21"/>
                      <w:szCs w:val="21"/>
                      <w:u w:val="none"/>
                      <w:lang w:val="en-US" w:eastAsia="zh-CN"/>
                    </w:rPr>
                    <w:t>675</w:t>
                  </w:r>
                  <w:r>
                    <w:rPr>
                      <w:rFonts w:ascii="Times New Roman" w:eastAsia="宋体" w:cs="Times New Roman" w:hAnsi="Times New Roman" w:hint="eastAsia"/>
                      <w:i w:val="0"/>
                      <w:iCs w:val="0"/>
                      <w:color w:val="000000"/>
                      <w:kern w:val="0"/>
                      <w:sz w:val="21"/>
                      <w:szCs w:val="21"/>
                      <w:u w:val="none"/>
                      <w:lang w:val="en-US" w:eastAsia="zh-CN"/>
                    </w:rPr>
                    <w:t>.0t/a</w:t>
                  </w:r>
                  <w:r>
                    <w:rPr>
                      <w:rFonts w:ascii="Times New Roman" w:eastAsia="宋体" w:cs="Times New Roman" w:hAnsi="Times New Roman"/>
                      <w:i w:val="0"/>
                      <w:iCs w:val="0"/>
                      <w:color w:val="000000"/>
                      <w:kern w:val="0"/>
                      <w:sz w:val="21"/>
                      <w:szCs w:val="21"/>
                      <w:u w:val="none"/>
                      <w:lang w:val="en-US" w:eastAsia="zh-CN"/>
                    </w:rPr>
                    <w:t xml:space="preserve"> </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w:t>
                  </w:r>
                </w:p>
              </w:tc>
            </w:tr>
            <w:tr>
              <w:trPr>
                <w:trHeight w:val="15"/>
              </w:trPr>
              <w:tc>
                <w:tcPr>
                  <w:tcW w:w="8368" w:type="dxa"/>
                  <w:gridSpan w:val="6"/>
                  <w:tcBorders>
                    <w:top w:val="single" w:sz="4" w:space="0" w:color="auto"/>
                    <w:left w:val="single" w:sz="4" w:space="0" w:color="auto"/>
                    <w:right w:val="single" w:sz="4" w:space="0" w:color="auto"/>
                  </w:tcBorders>
                  <w:noWrap/>
                  <w:vAlign w:val="center"/>
                </w:tcPr>
                <w:p>
                  <w:pPr>
                    <w:adjustRightInd w:val="0"/>
                    <w:snapToGrid w:val="0"/>
                    <w:spacing w:line="240" w:lineRule="auto"/>
                    <w:jc w:val="both"/>
                    <w:rPr>
                      <w:rFonts w:cs="Times New Roman"/>
                      <w:b w:val="0"/>
                      <w:bCs w:val="0"/>
                      <w:color w:val="000000"/>
                      <w:sz w:val="21"/>
                      <w:szCs w:val="21"/>
                      <w:u w:val="none"/>
                      <w:lang w:val="en-US" w:eastAsia="zh-CN"/>
                    </w:rPr>
                  </w:pPr>
                  <w:r>
                    <w:rPr>
                      <w:rFonts w:cs="Times New Roman" w:hint="eastAsia"/>
                      <w:b w:val="0"/>
                      <w:bCs w:val="0"/>
                      <w:color w:val="000000"/>
                      <w:sz w:val="21"/>
                      <w:szCs w:val="21"/>
                      <w:u w:val="none"/>
                      <w:lang w:val="en-US" w:eastAsia="zh-CN"/>
                    </w:rPr>
                    <w:t>注：拆解后产物参考同类拆解项目（四川驰晖环保科技有限公司《废弃电器电子产品拆解综合利用项目》（环评批复文号：遂蓬环函〔2023〕193号））验收数据及业主提供资料核算；《废弃电器电子产品拆解综合利用项目》年拆解综合利用电子产品15万台（种类为电脑服务器、通讯设备、基站设备及其他电子设备等）。</w:t>
                  </w:r>
                </w:p>
              </w:tc>
            </w:tr>
            <w:tr>
              <w:trPr>
                <w:trHeight w:val="121"/>
              </w:trPr>
              <w:tc>
                <w:tcPr>
                  <w:tcW w:w="8368" w:type="dxa"/>
                  <w:gridSpan w:val="6"/>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color w:val="auto"/>
                      <w:sz w:val="21"/>
                      <w:szCs w:val="21"/>
                      <w:u w:val="none"/>
                    </w:rPr>
                  </w:pPr>
                  <w:r>
                    <w:rPr>
                      <w:rFonts w:ascii="Times New Roman" w:eastAsia="宋体" w:cs="Times New Roman" w:hAnsi="Times New Roman"/>
                      <w:color w:val="auto"/>
                      <w:sz w:val="21"/>
                      <w:szCs w:val="21"/>
                      <w:u w:val="none"/>
                    </w:rPr>
                    <w:t>能源、资源消耗</w:t>
                  </w:r>
                </w:p>
              </w:tc>
            </w:tr>
            <w:tr>
              <w:trPr>
                <w:trHeight w:val="121"/>
              </w:trPr>
              <w:tc>
                <w:tcPr>
                  <w:tcW w:w="682" w:type="dxa"/>
                  <w:vMerge w:val="restart"/>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能源</w:t>
                  </w: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电</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highlight w:val="yellow"/>
                    </w:rPr>
                  </w:pPr>
                  <w:r>
                    <w:rPr>
                      <w:rFonts w:ascii="Times New Roman" w:eastAsia="宋体" w:cs="Times New Roman" w:hAnsi="Times New Roman"/>
                      <w:color w:val="auto"/>
                      <w:sz w:val="21"/>
                      <w:szCs w:val="21"/>
                      <w:u w:val="none"/>
                      <w:lang w:val="en-US" w:eastAsia="zh-CN"/>
                      <w:highlight w:val="auto"/>
                    </w:rPr>
                    <w:t>0.</w:t>
                  </w:r>
                  <w:r>
                    <w:rPr>
                      <w:rFonts w:cs="Times New Roman" w:hint="eastAsia"/>
                      <w:color w:val="auto"/>
                      <w:sz w:val="21"/>
                      <w:szCs w:val="21"/>
                      <w:u w:val="none"/>
                      <w:lang w:val="en-US" w:eastAsia="zh-CN"/>
                      <w:highlight w:val="auto"/>
                    </w:rPr>
                    <w:t>5</w:t>
                  </w:r>
                  <w:r>
                    <w:rPr>
                      <w:rFonts w:ascii="Times New Roman" w:eastAsia="宋体" w:cs="Times New Roman" w:hAnsi="Times New Roman"/>
                      <w:color w:val="auto"/>
                      <w:sz w:val="21"/>
                      <w:szCs w:val="21"/>
                      <w:u w:val="none"/>
                    </w:rPr>
                    <w:t>万kw•h</w:t>
                  </w:r>
                </w:p>
              </w:tc>
              <w:tc>
                <w:tcPr>
                  <w:tcW w:w="1214"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sz w:val="21"/>
                      <w:szCs w:val="21"/>
                      <w:u w:val="none"/>
                    </w:rPr>
                    <w:t>/</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sz w:val="21"/>
                      <w:szCs w:val="21"/>
                      <w:u w:val="none"/>
                    </w:rPr>
                    <w:t>市政电网</w:t>
                  </w:r>
                </w:p>
              </w:tc>
            </w:tr>
            <w:tr>
              <w:trPr>
                <w:trHeight w:val="121"/>
              </w:trPr>
              <w:tc>
                <w:tcPr>
                  <w:tcW w:w="682" w:type="dxa"/>
                  <w:vMerge/>
                  <w:tcBorders>
                    <w:top w:val="single" w:sz="4" w:space="0" w:color="auto"/>
                    <w:left w:val="single" w:sz="4" w:space="0" w:color="auto"/>
                    <w:right w:val="single" w:sz="4" w:space="0" w:color="auto"/>
                  </w:tcBorders>
                  <w:noWrap/>
                  <w:vAlign w:val="center"/>
                </w:tcPr>
                <w:p/>
              </w:tc>
              <w:tc>
                <w:tcPr>
                  <w:tcW w:w="1762" w:type="dxa"/>
                  <w:tcBorders>
                    <w:top w:val="single" w:sz="4" w:space="0" w:color="auto"/>
                    <w:left w:val="single" w:sz="4" w:space="0" w:color="auto"/>
                    <w:right w:val="single" w:sz="4" w:space="0" w:color="auto"/>
                  </w:tcBorders>
                  <w:noWrap/>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i w:val="0"/>
                      <w:iCs w:val="0"/>
                      <w:color w:val="auto"/>
                      <w:kern w:val="0"/>
                      <w:sz w:val="21"/>
                      <w:szCs w:val="21"/>
                      <w:u w:val="none"/>
                      <w:lang w:val="en-US" w:eastAsia="zh-CN"/>
                    </w:rPr>
                    <w:t>水</w:t>
                  </w:r>
                </w:p>
              </w:tc>
              <w:tc>
                <w:tcPr>
                  <w:tcW w:w="2742" w:type="dxa"/>
                  <w:gridSpan w:val="2"/>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highlight w:val="yellow"/>
                    </w:rPr>
                  </w:pPr>
                  <w:r>
                    <w:rPr>
                      <w:rFonts w:cs="Times New Roman" w:hint="eastAsia"/>
                      <w:color w:val="auto"/>
                      <w:sz w:val="21"/>
                      <w:szCs w:val="21"/>
                      <w:u w:val="none"/>
                      <w:lang w:val="en-US" w:eastAsia="zh-CN"/>
                      <w:highlight w:val="auto"/>
                    </w:rPr>
                    <w:t>20</w:t>
                  </w:r>
                  <w:r>
                    <w:rPr>
                      <w:rFonts w:ascii="Times New Roman" w:eastAsia="宋体" w:cs="Times New Roman" w:hAnsi="Times New Roman"/>
                      <w:color w:val="auto"/>
                      <w:sz w:val="21"/>
                      <w:szCs w:val="21"/>
                      <w:u w:val="none"/>
                      <w:lang w:val="en-US" w:eastAsia="zh-CN"/>
                      <w:highlight w:val="auto"/>
                    </w:rPr>
                    <w:t>0.0m</w:t>
                  </w:r>
                  <w:r>
                    <w:rPr>
                      <w:rFonts w:ascii="Times New Roman" w:eastAsia="宋体" w:cs="Times New Roman" w:hAnsi="Times New Roman"/>
                      <w:color w:val="auto"/>
                      <w:sz w:val="21"/>
                      <w:szCs w:val="21"/>
                      <w:u w:val="none"/>
                      <w:vertAlign w:val="superscript"/>
                      <w:lang w:val="en-US" w:eastAsia="zh-CN"/>
                      <w:highlight w:val="auto"/>
                    </w:rPr>
                    <w:t>3</w:t>
                  </w:r>
                  <w:r>
                    <w:rPr>
                      <w:rFonts w:ascii="Times New Roman" w:eastAsia="宋体" w:cs="Times New Roman" w:hAnsi="Times New Roman"/>
                      <w:color w:val="auto"/>
                      <w:sz w:val="21"/>
                      <w:szCs w:val="21"/>
                      <w:u w:val="none"/>
                      <w:highlight w:val="auto"/>
                    </w:rPr>
                    <w:t>/a</w:t>
                  </w:r>
                </w:p>
              </w:tc>
              <w:tc>
                <w:tcPr>
                  <w:tcW w:w="1214"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sz w:val="21"/>
                      <w:szCs w:val="21"/>
                      <w:u w:val="none"/>
                    </w:rPr>
                    <w:t>/</w:t>
                  </w:r>
                </w:p>
              </w:tc>
              <w:tc>
                <w:tcPr>
                  <w:tcW w:w="1968" w:type="dxa"/>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color w:val="auto"/>
                      <w:kern w:val="2"/>
                      <w:sz w:val="21"/>
                      <w:szCs w:val="21"/>
                      <w:u w:val="none"/>
                      <w:lang w:val="en-US" w:eastAsia="zh-CN" w:bidi="ar-SA"/>
                    </w:rPr>
                  </w:pPr>
                  <w:r>
                    <w:rPr>
                      <w:rFonts w:ascii="Times New Roman" w:eastAsia="宋体" w:cs="Times New Roman" w:hAnsi="Times New Roman"/>
                      <w:color w:val="auto"/>
                      <w:sz w:val="21"/>
                      <w:szCs w:val="21"/>
                      <w:u w:val="none"/>
                    </w:rPr>
                    <w:t>市政自来水管网</w:t>
                  </w:r>
                </w:p>
              </w:tc>
            </w:tr>
          </w:tbl>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生产设备清单</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本项目主要生产设备清单如下表：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b/>
                <w:bCs/>
                <w:color w:val="auto"/>
                <w:sz w:val="21"/>
                <w:szCs w:val="21"/>
                <w:lang w:val="en-US" w:eastAsia="zh-CN"/>
              </w:rPr>
            </w:pPr>
            <w:r>
              <w:rPr>
                <w:rFonts w:ascii="Times New Roman" w:eastAsia="宋体" w:cs="Times New Roman" w:hAnsi="Times New Roman"/>
                <w:b/>
                <w:bCs/>
                <w:color w:val="auto"/>
                <w:sz w:val="21"/>
                <w:szCs w:val="21"/>
                <w:lang w:val="en-US" w:eastAsia="zh-CN"/>
              </w:rPr>
              <w:t>表2-</w:t>
            </w:r>
            <w:r>
              <w:rPr>
                <w:rFonts w:cs="Times New Roman" w:hint="eastAsia"/>
                <w:b/>
                <w:bCs/>
                <w:color w:val="auto"/>
                <w:sz w:val="21"/>
                <w:szCs w:val="21"/>
                <w:lang w:val="en-US" w:eastAsia="zh-CN"/>
              </w:rPr>
              <w:t>3</w:t>
            </w:r>
            <w:r>
              <w:rPr>
                <w:rFonts w:ascii="Times New Roman" w:eastAsia="宋体" w:cs="Times New Roman" w:hAnsi="Times New Roman" w:hint="eastAsia"/>
                <w:b/>
                <w:bCs/>
                <w:color w:val="auto"/>
                <w:sz w:val="21"/>
                <w:szCs w:val="21"/>
                <w:lang w:val="en-US" w:eastAsia="zh-CN"/>
              </w:rPr>
              <w:t xml:space="preserve"> </w:t>
            </w:r>
            <w:r>
              <w:rPr>
                <w:rFonts w:ascii="Times New Roman" w:eastAsia="宋体" w:cs="Times New Roman" w:hAnsi="Times New Roman"/>
                <w:b/>
                <w:bCs/>
                <w:color w:val="auto"/>
                <w:sz w:val="21"/>
                <w:szCs w:val="21"/>
                <w:lang w:val="en-US" w:eastAsia="zh-CN"/>
              </w:rPr>
              <w:t>项目主要生产设备表</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5"/>
              <w:gridCol w:w="983"/>
              <w:gridCol w:w="2400"/>
              <w:gridCol w:w="2278"/>
              <w:gridCol w:w="853"/>
              <w:gridCol w:w="1182"/>
            </w:tblGrid>
            <w:tr>
              <w:trPr>
                <w:trHeight w:val="90"/>
              </w:trPr>
              <w:tc>
                <w:tcPr>
                  <w:tcW w:w="675" w:type="dxa"/>
                  <w:shd w:val="clear" w:color="auto" w:fill="FFFFFF"/>
                  <w:noWrap/>
                  <w:vAlign w:val="center"/>
                </w:tcPr>
                <w:p>
                  <w:pPr>
                    <w:widowControl/>
                    <w:adjustRightInd w:val="0"/>
                    <w:snapToGrid w:val="0"/>
                    <w:spacing w:line="240" w:lineRule="auto"/>
                    <w:jc w:val="center"/>
                    <w:rPr>
                      <w:rFonts w:ascii="Times New Roman" w:eastAsia="宋体" w:cs="Times New Roman" w:hAnsi="Times New Roman"/>
                      <w:b/>
                      <w:bCs/>
                      <w:color w:val="auto"/>
                      <w:sz w:val="21"/>
                      <w:szCs w:val="21"/>
                    </w:rPr>
                  </w:pPr>
                  <w:r>
                    <w:rPr>
                      <w:rFonts w:ascii="Times New Roman" w:eastAsia="宋体" w:cs="Times New Roman" w:hAnsi="Times New Roman"/>
                      <w:color w:val="000000"/>
                      <w:kern w:val="0"/>
                      <w:sz w:val="21"/>
                      <w:szCs w:val="21"/>
                    </w:rPr>
                    <w:t>序号</w:t>
                  </w:r>
                </w:p>
              </w:tc>
              <w:tc>
                <w:tcPr>
                  <w:tcW w:w="3383" w:type="dxa"/>
                  <w:gridSpan w:val="2"/>
                  <w:shd w:val="clear" w:color="auto" w:fill="FFFFFF"/>
                  <w:noWrap/>
                  <w:vAlign w:val="center"/>
                </w:tcPr>
                <w:p>
                  <w:pPr>
                    <w:widowControl/>
                    <w:adjustRightInd w:val="0"/>
                    <w:snapToGrid w:val="0"/>
                    <w:spacing w:line="240" w:lineRule="auto"/>
                    <w:jc w:val="center"/>
                    <w:rPr>
                      <w:rFonts w:ascii="Times New Roman" w:eastAsia="宋体" w:cs="Times New Roman" w:hAnsi="Times New Roman"/>
                      <w:b/>
                      <w:bCs/>
                      <w:color w:val="auto"/>
                      <w:sz w:val="21"/>
                      <w:szCs w:val="21"/>
                    </w:rPr>
                  </w:pPr>
                  <w:r>
                    <w:rPr>
                      <w:rFonts w:ascii="Times New Roman" w:eastAsia="宋体" w:cs="Times New Roman" w:hAnsi="Times New Roman"/>
                      <w:color w:val="000000"/>
                      <w:kern w:val="0"/>
                      <w:sz w:val="21"/>
                      <w:szCs w:val="21"/>
                    </w:rPr>
                    <w:t>设备名称</w:t>
                  </w:r>
                </w:p>
              </w:tc>
              <w:tc>
                <w:tcPr>
                  <w:tcW w:w="2278" w:type="dxa"/>
                  <w:shd w:val="clear" w:color="auto" w:fill="FFFFFF"/>
                  <w:noWrap/>
                  <w:vAlign w:val="center"/>
                </w:tcPr>
                <w:p>
                  <w:pPr>
                    <w:widowControl/>
                    <w:adjustRightInd w:val="0"/>
                    <w:snapToGrid w:val="0"/>
                    <w:spacing w:line="240" w:lineRule="auto"/>
                    <w:jc w:val="center"/>
                    <w:rPr>
                      <w:rFonts w:ascii="Times New Roman" w:eastAsia="宋体" w:cs="Times New Roman" w:hAnsi="Times New Roman"/>
                      <w:b/>
                      <w:bCs/>
                      <w:color w:val="auto"/>
                      <w:sz w:val="21"/>
                      <w:szCs w:val="21"/>
                    </w:rPr>
                  </w:pPr>
                  <w:r>
                    <w:rPr>
                      <w:rFonts w:ascii="Times New Roman" w:eastAsia="宋体" w:cs="Times New Roman" w:hAnsi="Times New Roman"/>
                      <w:color w:val="000000"/>
                      <w:kern w:val="0"/>
                      <w:sz w:val="21"/>
                      <w:szCs w:val="21"/>
                    </w:rPr>
                    <w:t>规格型号</w:t>
                  </w:r>
                </w:p>
              </w:tc>
              <w:tc>
                <w:tcPr>
                  <w:tcW w:w="853" w:type="dxa"/>
                  <w:shd w:val="clear" w:color="auto" w:fill="FFFFFF"/>
                  <w:noWrap/>
                  <w:vAlign w:val="center"/>
                </w:tcPr>
                <w:p>
                  <w:pPr>
                    <w:widowControl/>
                    <w:adjustRightInd w:val="0"/>
                    <w:snapToGrid w:val="0"/>
                    <w:spacing w:line="240" w:lineRule="auto"/>
                    <w:jc w:val="center"/>
                    <w:rPr>
                      <w:rFonts w:ascii="Times New Roman" w:eastAsia="宋体" w:cs="Times New Roman" w:hAnsi="Times New Roman"/>
                      <w:b/>
                      <w:bCs/>
                      <w:color w:val="auto"/>
                      <w:sz w:val="21"/>
                      <w:szCs w:val="21"/>
                    </w:rPr>
                  </w:pPr>
                  <w:r>
                    <w:rPr>
                      <w:rFonts w:ascii="Times New Roman" w:eastAsia="宋体" w:cs="Times New Roman" w:hAnsi="Times New Roman"/>
                      <w:color w:val="000000"/>
                      <w:kern w:val="0"/>
                      <w:sz w:val="21"/>
                      <w:szCs w:val="21"/>
                    </w:rPr>
                    <w:t>数量</w:t>
                  </w:r>
                </w:p>
              </w:tc>
              <w:tc>
                <w:tcPr>
                  <w:tcW w:w="1182" w:type="dxa"/>
                  <w:shd w:val="clear" w:color="auto" w:fill="FFFFFF"/>
                  <w:noWrap/>
                  <w:vAlign w:val="center"/>
                </w:tcPr>
                <w:p>
                  <w:pPr>
                    <w:widowControl/>
                    <w:adjustRightInd w:val="0"/>
                    <w:snapToGrid w:val="0"/>
                    <w:spacing w:line="240" w:lineRule="auto"/>
                    <w:jc w:val="center"/>
                    <w:rPr>
                      <w:rFonts w:ascii="Times New Roman" w:eastAsia="宋体" w:cs="Times New Roman" w:hAnsi="Times New Roman" w:hint="eastAsia"/>
                      <w:b/>
                      <w:bCs/>
                      <w:color w:val="auto"/>
                      <w:sz w:val="21"/>
                      <w:szCs w:val="21"/>
                      <w:lang w:val="en-US" w:eastAsia="zh-CN"/>
                    </w:rPr>
                  </w:pPr>
                  <w:r>
                    <w:rPr>
                      <w:rFonts w:cs="Times New Roman" w:hint="eastAsia"/>
                      <w:b/>
                      <w:bCs/>
                      <w:color w:val="auto"/>
                      <w:sz w:val="21"/>
                      <w:szCs w:val="21"/>
                      <w:lang w:val="en-US" w:eastAsia="zh-CN"/>
                    </w:rPr>
                    <w:t>备注</w:t>
                  </w:r>
                </w:p>
              </w:tc>
            </w:tr>
            <w:tr>
              <w:trPr>
                <w:trHeight w:val="279"/>
              </w:trPr>
              <w:tc>
                <w:tcPr>
                  <w:tcW w:w="675"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000000"/>
                      <w:kern w:val="0"/>
                      <w:sz w:val="21"/>
                      <w:szCs w:val="21"/>
                      <w:lang w:val="en-US" w:eastAsia="zh-CN"/>
                    </w:rPr>
                  </w:pPr>
                  <w:r>
                    <w:rPr>
                      <w:rFonts w:cs="Times New Roman" w:hint="eastAsia"/>
                      <w:color w:val="000000"/>
                      <w:kern w:val="0"/>
                      <w:sz w:val="21"/>
                      <w:szCs w:val="21"/>
                      <w:lang w:val="en-US" w:eastAsia="zh-CN"/>
                    </w:rPr>
                    <w:t>1</w:t>
                  </w:r>
                </w:p>
              </w:tc>
              <w:tc>
                <w:tcPr>
                  <w:tcW w:w="3383" w:type="dxa"/>
                  <w:gridSpan w:val="2"/>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hint="eastAsia"/>
                      <w:color w:val="000000"/>
                      <w:kern w:val="0"/>
                      <w:sz w:val="21"/>
                      <w:szCs w:val="21"/>
                      <w:lang w:val="en-US" w:eastAsia="zh-CN"/>
                    </w:rPr>
                  </w:pPr>
                  <w:r>
                    <w:rPr>
                      <w:rFonts w:hint="eastAsia"/>
                    </w:rPr>
                    <w:t>拆解工作台</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hint="eastAsia"/>
                      <w:color w:val="000000"/>
                      <w:kern w:val="0"/>
                      <w:sz w:val="21"/>
                      <w:szCs w:val="21"/>
                      <w:lang w:val="en-US" w:eastAsia="zh-CN"/>
                    </w:rPr>
                  </w:pPr>
                  <w:r>
                    <w:rPr>
                      <w:rFonts w:hint="eastAsia"/>
                    </w:rPr>
                    <w:t>2.0m×</w:t>
                  </w:r>
                  <w:r>
                    <w:rPr>
                      <w:rFonts w:hint="eastAsia"/>
                      <w:lang w:val="en-US" w:eastAsia="zh-CN"/>
                    </w:rPr>
                    <w:t>1.5</w:t>
                  </w:r>
                  <w:r>
                    <w:rPr>
                      <w:rFonts w:hint="eastAsia"/>
                    </w:rPr>
                    <w:t>m×</w:t>
                  </w:r>
                  <w:r>
                    <w:rPr>
                      <w:rFonts w:hint="eastAsia"/>
                      <w:lang w:val="en-US" w:eastAsia="zh-CN"/>
                    </w:rPr>
                    <w:t>1.2</w:t>
                  </w:r>
                  <w:r>
                    <w:rPr>
                      <w:rFonts w:hint="eastAsia"/>
                    </w:rPr>
                    <w:t xml:space="preserve">m </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000000"/>
                      <w:kern w:val="0"/>
                      <w:sz w:val="21"/>
                      <w:szCs w:val="21"/>
                      <w:lang w:val="en-US" w:eastAsia="zh-CN"/>
                    </w:rPr>
                  </w:pPr>
                  <w:r>
                    <w:rPr>
                      <w:rFonts w:cs="Times New Roman" w:hint="eastAsia"/>
                      <w:color w:val="auto"/>
                      <w:sz w:val="21"/>
                      <w:szCs w:val="21"/>
                      <w:lang w:val="en-US" w:eastAsia="zh-CN"/>
                    </w:rPr>
                    <w:t>2</w:t>
                  </w:r>
                  <w:r>
                    <w:rPr>
                      <w:rFonts w:ascii="Times New Roman" w:eastAsia="宋体" w:cs="Times New Roman" w:hAnsi="Times New Roman"/>
                      <w:color w:val="auto"/>
                      <w:sz w:val="21"/>
                      <w:szCs w:val="21"/>
                      <w:lang w:val="en-US" w:eastAsia="zh-CN"/>
                    </w:rPr>
                    <w:t>台</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000000"/>
                      <w:kern w:val="0"/>
                      <w:sz w:val="21"/>
                      <w:szCs w:val="21"/>
                      <w:lang w:val="en-US"/>
                    </w:rPr>
                  </w:pPr>
                  <w:r>
                    <w:rPr>
                      <w:rFonts w:cs="Times New Roman" w:hint="eastAsia"/>
                      <w:color w:val="auto"/>
                      <w:sz w:val="21"/>
                      <w:szCs w:val="21"/>
                      <w:lang w:val="en-US" w:eastAsia="zh-CN"/>
                    </w:rPr>
                    <w:t>/</w:t>
                  </w:r>
                </w:p>
              </w:tc>
            </w:tr>
            <w:tr>
              <w:trPr>
                <w:trHeight w:val="279"/>
              </w:trPr>
              <w:tc>
                <w:tcPr>
                  <w:tcW w:w="675"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000000"/>
                      <w:kern w:val="0"/>
                      <w:sz w:val="21"/>
                      <w:szCs w:val="21"/>
                      <w:lang w:val="en-US" w:eastAsia="zh-CN"/>
                    </w:rPr>
                  </w:pPr>
                  <w:r>
                    <w:rPr>
                      <w:rFonts w:cs="Times New Roman" w:hint="eastAsia"/>
                      <w:color w:val="000000"/>
                      <w:kern w:val="0"/>
                      <w:sz w:val="21"/>
                      <w:szCs w:val="21"/>
                      <w:lang w:val="en-US" w:eastAsia="zh-CN"/>
                    </w:rPr>
                    <w:t>2</w:t>
                  </w:r>
                </w:p>
              </w:tc>
              <w:tc>
                <w:tcPr>
                  <w:tcW w:w="3383" w:type="dxa"/>
                  <w:gridSpan w:val="2"/>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eastAsia="宋体" w:hint="eastAsia"/>
                      <w:lang w:eastAsia="zh-CN"/>
                    </w:rPr>
                  </w:pPr>
                  <w:r>
                    <w:rPr>
                      <w:rFonts w:hint="eastAsia"/>
                    </w:rPr>
                    <w:t>手动、电动、气动拆解工具</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hint="eastAsia"/>
                      <w:color w:val="000000"/>
                      <w:kern w:val="0"/>
                      <w:sz w:val="21"/>
                      <w:szCs w:val="21"/>
                      <w:lang w:val="en-US" w:eastAsia="zh-CN"/>
                    </w:rPr>
                  </w:pPr>
                  <w:r>
                    <w:rPr>
                      <w:rFonts w:cs="Times New Roman" w:hint="eastAsia"/>
                      <w:color w:val="000000"/>
                      <w:kern w:val="0"/>
                      <w:sz w:val="21"/>
                      <w:szCs w:val="21"/>
                      <w:lang w:val="en-US" w:eastAsia="zh-CN"/>
                    </w:rPr>
                    <w:t>/</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b/>
                      <w:bCs/>
                      <w:color w:val="auto"/>
                      <w:sz w:val="21"/>
                      <w:szCs w:val="21"/>
                      <w:lang w:val="en-US" w:eastAsia="zh-CN"/>
                    </w:rPr>
                  </w:pPr>
                  <w:r>
                    <w:rPr>
                      <w:rFonts w:cs="Times New Roman" w:hint="eastAsia"/>
                      <w:color w:val="auto"/>
                      <w:sz w:val="21"/>
                      <w:szCs w:val="21"/>
                      <w:lang w:val="en-US" w:eastAsia="zh-CN"/>
                    </w:rPr>
                    <w:t>12</w:t>
                  </w:r>
                  <w:r>
                    <w:rPr>
                      <w:rFonts w:ascii="Times New Roman" w:eastAsia="宋体" w:cs="Times New Roman" w:hAnsi="Times New Roman"/>
                      <w:color w:val="auto"/>
                      <w:sz w:val="21"/>
                      <w:szCs w:val="21"/>
                      <w:lang w:val="en-US" w:eastAsia="zh-CN"/>
                    </w:rPr>
                    <w:t>台</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auto"/>
                      <w:sz w:val="21"/>
                      <w:szCs w:val="21"/>
                      <w:lang w:val="en-US" w:eastAsia="zh-CN"/>
                    </w:rPr>
                  </w:pPr>
                  <w:r>
                    <w:rPr>
                      <w:rFonts w:cs="Times New Roman" w:hint="eastAsia"/>
                      <w:color w:val="auto"/>
                      <w:sz w:val="21"/>
                      <w:szCs w:val="21"/>
                      <w:lang w:val="en-US" w:eastAsia="zh-CN"/>
                    </w:rPr>
                    <w:t>/</w:t>
                  </w:r>
                </w:p>
              </w:tc>
            </w:tr>
            <w:tr>
              <w:trPr>
                <w:trHeight w:val="279"/>
              </w:trPr>
              <w:tc>
                <w:tcPr>
                  <w:tcW w:w="675"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000000"/>
                      <w:kern w:val="0"/>
                      <w:sz w:val="21"/>
                      <w:szCs w:val="21"/>
                      <w:lang w:val="en-US" w:eastAsia="zh-CN"/>
                    </w:rPr>
                  </w:pPr>
                  <w:r>
                    <w:rPr>
                      <w:rFonts w:cs="Times New Roman" w:hint="eastAsia"/>
                      <w:color w:val="000000"/>
                      <w:kern w:val="0"/>
                      <w:sz w:val="21"/>
                      <w:szCs w:val="21"/>
                      <w:lang w:val="en-US" w:eastAsia="zh-CN"/>
                    </w:rPr>
                    <w:t>3</w:t>
                  </w:r>
                </w:p>
              </w:tc>
              <w:tc>
                <w:tcPr>
                  <w:tcW w:w="3383" w:type="dxa"/>
                  <w:gridSpan w:val="2"/>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hint="eastAsia"/>
                    </w:rPr>
                  </w:pPr>
                  <w:r>
                    <w:rPr>
                      <w:rFonts w:hint="eastAsia"/>
                    </w:rPr>
                    <w:t>废旧电线剥线机</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hint="eastAsia"/>
                      <w:color w:val="000000"/>
                      <w:kern w:val="0"/>
                      <w:sz w:val="21"/>
                      <w:szCs w:val="21"/>
                      <w:lang w:val="en-US" w:eastAsia="zh-CN"/>
                    </w:rPr>
                  </w:pPr>
                  <w:r>
                    <w:rPr>
                      <w:rFonts w:hint="eastAsia"/>
                    </w:rPr>
                    <w:t>手动</w:t>
                  </w:r>
                  <w:r>
                    <w:rPr>
                      <w:rFonts w:cs="Times New Roman" w:hint="eastAsia"/>
                      <w:color w:val="000000"/>
                      <w:kern w:val="0"/>
                      <w:sz w:val="21"/>
                      <w:szCs w:val="21"/>
                      <w:lang w:val="en-US" w:eastAsia="zh-CN"/>
                    </w:rPr>
                    <w:t>NY472</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auto"/>
                      <w:sz w:val="21"/>
                      <w:szCs w:val="21"/>
                      <w:lang w:val="en-US" w:eastAsia="zh-CN"/>
                    </w:rPr>
                  </w:pPr>
                  <w:r>
                    <w:rPr>
                      <w:rFonts w:cs="Times New Roman" w:hint="eastAsia"/>
                      <w:color w:val="auto"/>
                      <w:sz w:val="21"/>
                      <w:szCs w:val="21"/>
                      <w:lang w:val="en-US" w:eastAsia="zh-CN"/>
                    </w:rPr>
                    <w:t>1</w:t>
                  </w:r>
                  <w:r>
                    <w:rPr>
                      <w:rFonts w:ascii="Times New Roman" w:eastAsia="宋体" w:cs="Times New Roman" w:hAnsi="Times New Roman"/>
                      <w:color w:val="auto"/>
                      <w:sz w:val="21"/>
                      <w:szCs w:val="21"/>
                      <w:lang w:val="en-US" w:eastAsia="zh-CN"/>
                    </w:rPr>
                    <w:t>台</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auto"/>
                      <w:sz w:val="21"/>
                      <w:szCs w:val="21"/>
                      <w:lang w:val="en-US" w:eastAsia="zh-CN"/>
                    </w:rPr>
                  </w:pPr>
                  <w:r>
                    <w:rPr>
                      <w:rFonts w:cs="Times New Roman" w:hint="eastAsia"/>
                      <w:color w:val="auto"/>
                      <w:sz w:val="21"/>
                      <w:szCs w:val="21"/>
                      <w:lang w:val="en-US" w:eastAsia="zh-CN"/>
                    </w:rPr>
                    <w:t>/</w:t>
                  </w:r>
                </w:p>
              </w:tc>
            </w:tr>
            <w:tr>
              <w:trPr>
                <w:trHeight w:val="279"/>
              </w:trPr>
              <w:tc>
                <w:tcPr>
                  <w:tcW w:w="675" w:type="dxa"/>
                  <w:vMerge w:val="restart"/>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000000"/>
                      <w:kern w:val="0"/>
                      <w:sz w:val="21"/>
                      <w:szCs w:val="21"/>
                      <w:lang w:val="en-US" w:eastAsia="zh-CN"/>
                    </w:rPr>
                  </w:pPr>
                  <w:r>
                    <w:rPr>
                      <w:rFonts w:cs="Times New Roman" w:hint="eastAsia"/>
                      <w:color w:val="000000"/>
                      <w:kern w:val="0"/>
                      <w:sz w:val="21"/>
                      <w:szCs w:val="21"/>
                      <w:lang w:val="en-US" w:eastAsia="zh-CN"/>
                    </w:rPr>
                    <w:t>4</w:t>
                  </w:r>
                </w:p>
              </w:tc>
              <w:tc>
                <w:tcPr>
                  <w:tcW w:w="983" w:type="dxa"/>
                  <w:vMerge w:val="restart"/>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hint="eastAsia"/>
                    </w:rPr>
                  </w:pPr>
                  <w:r>
                    <w:rPr>
                      <w:rFonts w:hint="eastAsia"/>
                    </w:rPr>
                    <w:t>废气处</w:t>
                  </w:r>
                </w:p>
                <w:p>
                  <w:pPr>
                    <w:widowControl/>
                    <w:adjustRightInd w:val="0"/>
                    <w:snapToGrid w:val="0"/>
                    <w:spacing w:line="240" w:lineRule="auto"/>
                    <w:jc w:val="center"/>
                    <w:rPr>
                      <w:rFonts w:ascii="Times New Roman" w:eastAsia="宋体" w:cs="Times New Roman" w:hAnsi="Times New Roman"/>
                      <w:color w:val="auto"/>
                      <w:sz w:val="21"/>
                      <w:szCs w:val="21"/>
                      <w:lang w:val="en-US" w:eastAsia="zh-CN"/>
                    </w:rPr>
                  </w:pPr>
                  <w:r>
                    <w:rPr>
                      <w:rFonts w:hint="eastAsia"/>
                    </w:rPr>
                    <w:t>理设施</w:t>
                  </w:r>
                </w:p>
              </w:tc>
              <w:tc>
                <w:tcPr>
                  <w:tcW w:w="2400"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eastAsia="宋体"/>
                      <w:lang w:val="en-US" w:eastAsia="zh-CN"/>
                    </w:rPr>
                  </w:pPr>
                  <w:r>
                    <w:rPr>
                      <w:rFonts w:hint="eastAsia"/>
                      <w:lang w:val="en-US" w:eastAsia="zh-CN"/>
                    </w:rPr>
                    <w:t>拆解通风橱</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sz w:val="21"/>
                      <w:szCs w:val="21"/>
                      <w:lang w:val="en-US" w:eastAsia="zh-CN"/>
                    </w:rPr>
                  </w:pPr>
                  <w:r>
                    <w:rPr>
                      <w:rFonts w:cs="Times New Roman" w:hint="eastAsia"/>
                      <w:color w:val="auto"/>
                      <w:sz w:val="21"/>
                      <w:szCs w:val="21"/>
                      <w:lang w:val="en-US" w:eastAsia="zh-CN"/>
                    </w:rPr>
                    <w:t>收集效率≥90.0%</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hint="eastAsia"/>
                      <w:color w:val="auto"/>
                      <w:sz w:val="21"/>
                      <w:szCs w:val="21"/>
                      <w:lang w:val="en-US" w:eastAsia="zh-CN"/>
                    </w:rPr>
                  </w:pPr>
                  <w:r>
                    <w:rPr>
                      <w:rFonts w:cs="Times New Roman" w:hint="eastAsia"/>
                      <w:color w:val="auto"/>
                      <w:sz w:val="21"/>
                      <w:szCs w:val="21"/>
                      <w:lang w:val="en-US" w:eastAsia="zh-CN"/>
                    </w:rPr>
                    <w:t>2个</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sz w:val="21"/>
                      <w:szCs w:val="21"/>
                      <w:lang w:val="en-US" w:eastAsia="zh-CN"/>
                    </w:rPr>
                  </w:pPr>
                  <w:r>
                    <w:rPr>
                      <w:rFonts w:cs="Times New Roman" w:hint="eastAsia"/>
                      <w:color w:val="auto"/>
                      <w:sz w:val="21"/>
                      <w:szCs w:val="21"/>
                      <w:lang w:val="en-US" w:eastAsia="zh-CN"/>
                    </w:rPr>
                    <w:t>/</w:t>
                  </w:r>
                </w:p>
              </w:tc>
            </w:tr>
            <w:tr>
              <w:trPr>
                <w:trHeight w:val="279"/>
              </w:trPr>
              <w:tc>
                <w:tcPr>
                  <w:tcW w:w="675" w:type="dxa"/>
                  <w:vMerge/>
                  <w:tcBorders>
                    <w:top w:val="single" w:sz="4" w:space="0" w:color="auto"/>
                    <w:left w:val="single" w:sz="4" w:space="0" w:color="auto"/>
                    <w:right w:val="single" w:sz="4" w:space="0" w:color="auto"/>
                  </w:tcBorders>
                  <w:noWrap/>
                  <w:vAlign w:val="center"/>
                </w:tcPr>
                <w:p/>
              </w:tc>
              <w:tc>
                <w:tcPr>
                  <w:tcW w:w="983" w:type="dxa"/>
                  <w:vMerge/>
                  <w:tcBorders>
                    <w:top w:val="single" w:sz="4" w:space="0" w:color="auto"/>
                    <w:left w:val="single" w:sz="4" w:space="0" w:color="auto"/>
                    <w:right w:val="single" w:sz="4" w:space="0" w:color="auto"/>
                  </w:tcBorders>
                  <w:noWrap/>
                  <w:vAlign w:val="center"/>
                </w:tcPr>
                <w:p/>
              </w:tc>
              <w:tc>
                <w:tcPr>
                  <w:tcW w:w="2400"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hint="eastAsia"/>
                      <w:color w:val="auto"/>
                      <w:sz w:val="21"/>
                      <w:szCs w:val="21"/>
                      <w:lang w:eastAsia="zh-CN"/>
                    </w:rPr>
                  </w:pPr>
                  <w:r>
                    <w:rPr>
                      <w:rFonts w:cs="Times New Roman" w:hint="eastAsia"/>
                      <w:color w:val="auto"/>
                      <w:sz w:val="21"/>
                      <w:szCs w:val="21"/>
                      <w:lang w:eastAsia="zh-CN"/>
                    </w:rPr>
                    <w:t>布袋除尘</w:t>
                  </w:r>
                  <w:r>
                    <w:rPr>
                      <w:rFonts w:cs="Times New Roman" w:hint="eastAsia"/>
                      <w:color w:val="auto"/>
                      <w:sz w:val="21"/>
                      <w:szCs w:val="21"/>
                      <w:lang w:val="en-US" w:eastAsia="zh-CN"/>
                    </w:rPr>
                    <w:t>装置</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sz w:val="21"/>
                      <w:szCs w:val="21"/>
                      <w:lang w:val="en-US" w:eastAsia="zh-CN"/>
                    </w:rPr>
                  </w:pPr>
                  <w:r>
                    <w:rPr>
                      <w:rFonts w:cs="Times New Roman" w:hint="eastAsia"/>
                      <w:color w:val="auto"/>
                      <w:sz w:val="21"/>
                      <w:szCs w:val="21"/>
                      <w:lang w:val="en-US" w:eastAsia="zh-CN"/>
                    </w:rPr>
                    <w:t>除尘效率≥95.0%</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hint="eastAsia"/>
                      <w:color w:val="auto"/>
                      <w:sz w:val="21"/>
                      <w:szCs w:val="21"/>
                      <w:lang w:val="en-US" w:eastAsia="zh-CN"/>
                    </w:rPr>
                  </w:pPr>
                  <w:r>
                    <w:rPr>
                      <w:rFonts w:cs="Times New Roman" w:hint="eastAsia"/>
                      <w:color w:val="auto"/>
                      <w:sz w:val="21"/>
                      <w:szCs w:val="21"/>
                      <w:lang w:val="en-US" w:eastAsia="zh-CN"/>
                    </w:rPr>
                    <w:t>2</w:t>
                  </w:r>
                  <w:r>
                    <w:rPr>
                      <w:rFonts w:ascii="Times New Roman" w:eastAsia="宋体" w:cs="Times New Roman" w:hAnsi="Times New Roman"/>
                      <w:color w:val="auto"/>
                      <w:sz w:val="21"/>
                      <w:szCs w:val="21"/>
                      <w:lang w:val="en-US" w:eastAsia="zh-CN"/>
                    </w:rPr>
                    <w:t>台</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sz w:val="21"/>
                      <w:szCs w:val="21"/>
                      <w:lang w:val="en-US" w:eastAsia="zh-CN"/>
                    </w:rPr>
                  </w:pPr>
                  <w:r>
                    <w:rPr>
                      <w:rFonts w:cs="Times New Roman" w:hint="eastAsia"/>
                      <w:color w:val="auto"/>
                      <w:sz w:val="21"/>
                      <w:szCs w:val="21"/>
                      <w:lang w:val="en-US" w:eastAsia="zh-CN"/>
                    </w:rPr>
                    <w:t>/</w:t>
                  </w:r>
                </w:p>
              </w:tc>
            </w:tr>
            <w:tr>
              <w:trPr>
                <w:trHeight w:val="279"/>
              </w:trPr>
              <w:tc>
                <w:tcPr>
                  <w:tcW w:w="675" w:type="dxa"/>
                  <w:vMerge/>
                  <w:tcBorders>
                    <w:top w:val="single" w:sz="4" w:space="0" w:color="auto"/>
                    <w:left w:val="single" w:sz="4" w:space="0" w:color="auto"/>
                    <w:right w:val="single" w:sz="4" w:space="0" w:color="auto"/>
                  </w:tcBorders>
                  <w:noWrap/>
                  <w:vAlign w:val="center"/>
                </w:tcPr>
                <w:p/>
              </w:tc>
              <w:tc>
                <w:tcPr>
                  <w:tcW w:w="983" w:type="dxa"/>
                  <w:vMerge/>
                  <w:tcBorders>
                    <w:top w:val="single" w:sz="4" w:space="0" w:color="auto"/>
                    <w:left w:val="single" w:sz="4" w:space="0" w:color="auto"/>
                    <w:right w:val="single" w:sz="4" w:space="0" w:color="auto"/>
                  </w:tcBorders>
                  <w:noWrap/>
                  <w:vAlign w:val="center"/>
                </w:tcPr>
                <w:p/>
              </w:tc>
              <w:tc>
                <w:tcPr>
                  <w:tcW w:w="2400"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hint="eastAsia"/>
                      <w:color w:val="auto"/>
                    </w:rPr>
                  </w:pPr>
                  <w:r>
                    <w:rPr>
                      <w:rFonts w:hint="eastAsia"/>
                      <w:color w:val="auto"/>
                      <w:lang w:val="en-US" w:eastAsia="zh-CN"/>
                    </w:rPr>
                    <w:t>配套</w:t>
                  </w:r>
                  <w:r>
                    <w:rPr>
                      <w:rFonts w:hint="eastAsia"/>
                      <w:color w:val="auto"/>
                    </w:rPr>
                    <w:t>风机</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kern w:val="0"/>
                      <w:sz w:val="21"/>
                      <w:szCs w:val="21"/>
                    </w:rPr>
                  </w:pPr>
                  <w:r>
                    <w:rPr>
                      <w:rFonts w:ascii="Times New Roman" w:eastAsia="宋体" w:cs="Times New Roman" w:hAnsi="Times New Roman"/>
                      <w:color w:val="auto"/>
                      <w:kern w:val="2"/>
                      <w:sz w:val="21"/>
                      <w:szCs w:val="21"/>
                      <w:lang w:val="en-US" w:eastAsia="zh-CN" w:bidi="ar-SA"/>
                    </w:rPr>
                    <w:t>风量</w:t>
                  </w:r>
                  <w:r>
                    <w:rPr>
                      <w:rFonts w:cs="Times New Roman" w:hint="eastAsia"/>
                      <w:color w:val="auto"/>
                      <w:kern w:val="2"/>
                      <w:sz w:val="21"/>
                      <w:szCs w:val="21"/>
                      <w:lang w:val="en-US" w:eastAsia="zh-CN" w:bidi="ar-SA"/>
                    </w:rPr>
                    <w:t>4000</w:t>
                  </w:r>
                  <w:r>
                    <w:rPr>
                      <w:rFonts w:ascii="Times New Roman" w:eastAsia="宋体" w:cs="Times New Roman" w:hAnsi="Times New Roman"/>
                      <w:color w:val="auto"/>
                      <w:kern w:val="2"/>
                      <w:sz w:val="21"/>
                      <w:szCs w:val="21"/>
                      <w:lang w:val="en-US" w:eastAsia="zh-CN" w:bidi="ar-SA"/>
                    </w:rPr>
                    <w:t>m</w:t>
                  </w:r>
                  <w:r>
                    <w:rPr>
                      <w:rFonts w:ascii="Times New Roman" w:eastAsia="宋体" w:cs="Times New Roman" w:hAnsi="Times New Roman"/>
                      <w:color w:val="auto"/>
                      <w:kern w:val="2"/>
                      <w:sz w:val="21"/>
                      <w:szCs w:val="21"/>
                      <w:vertAlign w:val="superscript"/>
                      <w:lang w:val="en-US" w:eastAsia="zh-CN" w:bidi="ar-SA"/>
                    </w:rPr>
                    <w:t>3</w:t>
                  </w:r>
                  <w:r>
                    <w:rPr>
                      <w:rFonts w:ascii="Times New Roman" w:eastAsia="宋体" w:cs="Times New Roman" w:hAnsi="Times New Roman"/>
                      <w:color w:val="auto"/>
                      <w:kern w:val="2"/>
                      <w:sz w:val="21"/>
                      <w:szCs w:val="21"/>
                      <w:lang w:val="en-US" w:eastAsia="zh-CN" w:bidi="ar-SA"/>
                    </w:rPr>
                    <w:t>/h</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hint="eastAsia"/>
                      <w:color w:val="auto"/>
                      <w:kern w:val="0"/>
                      <w:sz w:val="21"/>
                      <w:szCs w:val="21"/>
                      <w:lang w:val="en-US" w:eastAsia="zh-CN"/>
                    </w:rPr>
                  </w:pPr>
                  <w:r>
                    <w:rPr>
                      <w:rFonts w:cs="Times New Roman" w:hint="eastAsia"/>
                      <w:color w:val="auto"/>
                      <w:kern w:val="2"/>
                      <w:sz w:val="21"/>
                      <w:szCs w:val="21"/>
                      <w:lang w:val="en-US" w:eastAsia="zh-CN" w:bidi="ar-SA"/>
                    </w:rPr>
                    <w:t>2</w:t>
                  </w:r>
                  <w:r>
                    <w:rPr>
                      <w:rFonts w:ascii="Times New Roman" w:eastAsia="宋体" w:cs="Times New Roman" w:hAnsi="Times New Roman"/>
                      <w:color w:val="auto"/>
                      <w:sz w:val="21"/>
                      <w:szCs w:val="21"/>
                      <w:lang w:val="en-US" w:eastAsia="zh-CN"/>
                    </w:rPr>
                    <w:t>台</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kern w:val="0"/>
                      <w:sz w:val="21"/>
                      <w:szCs w:val="21"/>
                    </w:rPr>
                  </w:pPr>
                  <w:r>
                    <w:rPr>
                      <w:rFonts w:cs="Times New Roman" w:hint="eastAsia"/>
                      <w:color w:val="auto"/>
                      <w:sz w:val="21"/>
                      <w:szCs w:val="21"/>
                      <w:lang w:val="en-US" w:eastAsia="zh-CN"/>
                    </w:rPr>
                    <w:t>/</w:t>
                  </w:r>
                </w:p>
              </w:tc>
            </w:tr>
            <w:tr>
              <w:trPr>
                <w:trHeight w:val="279"/>
              </w:trPr>
              <w:tc>
                <w:tcPr>
                  <w:tcW w:w="675"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000000"/>
                      <w:kern w:val="0"/>
                      <w:sz w:val="21"/>
                      <w:szCs w:val="21"/>
                      <w:lang w:val="en-US" w:eastAsia="zh-CN"/>
                    </w:rPr>
                  </w:pPr>
                  <w:r>
                    <w:rPr>
                      <w:rFonts w:cs="Times New Roman" w:hint="eastAsia"/>
                      <w:color w:val="000000"/>
                      <w:kern w:val="0"/>
                      <w:sz w:val="21"/>
                      <w:szCs w:val="21"/>
                      <w:lang w:val="en-US" w:eastAsia="zh-CN"/>
                    </w:rPr>
                    <w:t>5</w:t>
                  </w:r>
                </w:p>
              </w:tc>
              <w:tc>
                <w:tcPr>
                  <w:tcW w:w="3383" w:type="dxa"/>
                  <w:gridSpan w:val="2"/>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hint="eastAsia"/>
                      <w:color w:val="auto"/>
                    </w:rPr>
                  </w:pPr>
                  <w:r>
                    <w:rPr>
                      <w:rFonts w:hint="eastAsia"/>
                      <w:color w:val="auto"/>
                    </w:rPr>
                    <w:t>手推叉车</w:t>
                  </w:r>
                </w:p>
              </w:tc>
              <w:tc>
                <w:tcPr>
                  <w:tcW w:w="2278"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ascii="Times New Roman" w:eastAsia="宋体" w:cs="Times New Roman" w:hAnsi="Times New Roman"/>
                      <w:color w:val="auto"/>
                      <w:kern w:val="2"/>
                      <w:sz w:val="21"/>
                      <w:szCs w:val="21"/>
                      <w:lang w:val="en-US" w:eastAsia="zh-CN" w:bidi="ar-SA"/>
                    </w:rPr>
                  </w:pPr>
                  <w:r>
                    <w:rPr>
                      <w:rFonts w:cs="Times New Roman" w:hint="eastAsia"/>
                      <w:color w:val="auto"/>
                      <w:kern w:val="2"/>
                      <w:sz w:val="21"/>
                      <w:szCs w:val="21"/>
                      <w:lang w:val="en-US" w:eastAsia="zh-CN" w:bidi="ar-SA"/>
                    </w:rPr>
                    <w:t>/</w:t>
                  </w:r>
                </w:p>
              </w:tc>
              <w:tc>
                <w:tcPr>
                  <w:tcW w:w="853"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auto"/>
                      <w:kern w:val="2"/>
                      <w:sz w:val="21"/>
                      <w:szCs w:val="21"/>
                      <w:lang w:val="en-US" w:eastAsia="zh-CN" w:bidi="ar-SA"/>
                    </w:rPr>
                  </w:pPr>
                  <w:r>
                    <w:rPr>
                      <w:rFonts w:cs="Times New Roman" w:hint="eastAsia"/>
                      <w:color w:val="auto"/>
                      <w:kern w:val="2"/>
                      <w:sz w:val="21"/>
                      <w:szCs w:val="21"/>
                      <w:lang w:val="en-US" w:eastAsia="zh-CN" w:bidi="ar-SA"/>
                    </w:rPr>
                    <w:t>3</w:t>
                  </w:r>
                  <w:r>
                    <w:rPr>
                      <w:rFonts w:ascii="Times New Roman" w:eastAsia="宋体" w:cs="Times New Roman" w:hAnsi="Times New Roman"/>
                      <w:color w:val="auto"/>
                      <w:sz w:val="21"/>
                      <w:szCs w:val="21"/>
                      <w:lang w:val="en-US" w:eastAsia="zh-CN"/>
                    </w:rPr>
                    <w:t>台</w:t>
                  </w:r>
                </w:p>
              </w:tc>
              <w:tc>
                <w:tcPr>
                  <w:tcW w:w="1182" w:type="dxa"/>
                  <w:tcBorders>
                    <w:top w:val="single" w:sz="4" w:space="0" w:color="auto"/>
                    <w:left w:val="single" w:sz="4" w:space="0" w:color="auto"/>
                    <w:right w:val="single" w:sz="4" w:space="0" w:color="auto"/>
                  </w:tcBorders>
                  <w:noWrap/>
                  <w:vAlign w:val="center"/>
                </w:tcPr>
                <w:p>
                  <w:pPr>
                    <w:widowControl/>
                    <w:adjustRightInd w:val="0"/>
                    <w:snapToGrid w:val="0"/>
                    <w:spacing w:line="240" w:lineRule="auto"/>
                    <w:jc w:val="center"/>
                    <w:rPr>
                      <w:rFonts w:cs="Times New Roman"/>
                      <w:color w:val="auto"/>
                      <w:sz w:val="21"/>
                      <w:szCs w:val="21"/>
                      <w:lang w:val="en-US" w:eastAsia="zh-CN"/>
                    </w:rPr>
                  </w:pPr>
                  <w:r>
                    <w:rPr>
                      <w:rFonts w:cs="Times New Roman" w:hint="eastAsia"/>
                      <w:color w:val="auto"/>
                      <w:sz w:val="21"/>
                      <w:szCs w:val="21"/>
                      <w:lang w:val="en-US" w:eastAsia="zh-CN"/>
                    </w:rPr>
                    <w:t>全厂通用</w:t>
                  </w:r>
                </w:p>
              </w:tc>
            </w:tr>
          </w:tbl>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选址及平面布置</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选址合理性分析</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选址情况</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根据现场踏勘，本</w:t>
            </w:r>
            <w:r>
              <w:rPr>
                <w:rFonts w:cs="Times New Roman" w:hint="eastAsia"/>
                <w:b w:val="0"/>
                <w:bCs w:val="0"/>
                <w:color w:val="auto"/>
                <w:sz w:val="24"/>
                <w:szCs w:val="24"/>
                <w:lang w:val="en-US" w:eastAsia="zh-CN"/>
              </w:rPr>
              <w:t>项目位于嘉泰城市建设投资开发公司西南侧，场界西北侧约288m处为蓬莱山水居住小区；北侧约478m处为罗家湾小区；场界西侧约184.0m为杉荷锦城居住小区及卓同帝景名城居住小区，约292m处为大英县城镇居民区；场界南侧相邻为遂宁晶安科技有限公司，约74.0m处为四川圣九龙科技有限公司；</w:t>
            </w:r>
            <w:r>
              <w:rPr>
                <w:rFonts w:cs="Times New Roman" w:hint="eastAsia"/>
                <w:color w:val="auto"/>
                <w:sz w:val="24"/>
                <w:szCs w:val="24"/>
                <w:lang w:val="en-US" w:eastAsia="zh-CN"/>
              </w:rPr>
              <w:t>东侧</w:t>
            </w:r>
            <w:r>
              <w:rPr>
                <w:rFonts w:cs="Times New Roman" w:hint="eastAsia"/>
                <w:b w:val="0"/>
                <w:bCs w:val="0"/>
                <w:color w:val="auto"/>
                <w:sz w:val="24"/>
                <w:szCs w:val="24"/>
                <w:lang w:val="en-US" w:eastAsia="zh-CN"/>
              </w:rPr>
              <w:t>约32.0m处为大英彰骏光电科技有限公司，约58m处为大英县欧盛包装有限公司，约116m处为四川滋兴生物科技有限公司；东南侧约159m处为四川欣荣鑫电子有限公司；东南侧约333m处为大英县新世纪印刷厂；厂界西北侧约469m处为郪江</w:t>
            </w:r>
            <w:r>
              <w:rPr>
                <w:rFonts w:cs="Times New Roman" w:hint="eastAsia"/>
                <w:color w:val="auto"/>
                <w:sz w:val="24"/>
                <w:szCs w:val="24"/>
                <w:lang w:val="en-US" w:eastAsia="zh-CN"/>
              </w:rPr>
              <w:t>，外环境关系如下表所示（详见附图2：外环境关系图）。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b/>
                <w:bCs/>
                <w:color w:val="auto"/>
                <w:sz w:val="21"/>
                <w:szCs w:val="21"/>
                <w:lang w:val="en-US" w:eastAsia="zh-CN"/>
              </w:rPr>
            </w:pPr>
            <w:r>
              <w:rPr>
                <w:rFonts w:ascii="Times New Roman" w:eastAsia="宋体" w:cs="Times New Roman" w:hAnsi="Times New Roman"/>
                <w:b/>
                <w:bCs/>
                <w:color w:val="auto"/>
                <w:sz w:val="21"/>
                <w:szCs w:val="21"/>
                <w:lang w:val="en-US" w:eastAsia="zh-CN"/>
              </w:rPr>
              <w:t>表2-4 项目外环境关系一览表</w:t>
            </w:r>
          </w:p>
          <w:tbl>
            <w:tblPr>
              <w:jc w:val="center"/>
              <w:tblW w:w="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249"/>
              <w:gridCol w:w="1012"/>
              <w:gridCol w:w="1213"/>
              <w:gridCol w:w="1540"/>
              <w:gridCol w:w="1404"/>
            </w:tblGrid>
            <w:tr>
              <w:trPr>
                <w:trHeight w:val="141"/>
              </w:trPr>
              <w:tc>
                <w:tcPr>
                  <w:tcW w:w="3249"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名称</w:t>
                  </w:r>
                </w:p>
              </w:tc>
              <w:tc>
                <w:tcPr>
                  <w:tcW w:w="1012"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方位</w:t>
                  </w:r>
                </w:p>
              </w:tc>
              <w:tc>
                <w:tcPr>
                  <w:tcW w:w="1213"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距离</w:t>
                  </w:r>
                </w:p>
              </w:tc>
              <w:tc>
                <w:tcPr>
                  <w:tcW w:w="1540"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性质</w:t>
                  </w:r>
                </w:p>
              </w:tc>
              <w:tc>
                <w:tcPr>
                  <w:tcW w:w="1404"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备注</w:t>
                  </w:r>
                </w:p>
              </w:tc>
            </w:tr>
            <w:tr>
              <w:trPr>
                <w:trHeight w:val="90"/>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罗家湾小区</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cs="Times New Roman" w:hint="eastAsia"/>
                      <w:b w:val="0"/>
                      <w:bCs w:val="0"/>
                      <w:color w:val="auto"/>
                      <w:sz w:val="21"/>
                      <w:szCs w:val="21"/>
                      <w:lang w:val="en-US" w:eastAsia="zh-CN"/>
                    </w:rPr>
                  </w:pPr>
                  <w:r>
                    <w:rPr>
                      <w:rFonts w:cs="Times New Roman" w:hint="eastAsia"/>
                      <w:b w:val="0"/>
                      <w:bCs w:val="0"/>
                      <w:color w:val="auto"/>
                      <w:sz w:val="21"/>
                      <w:szCs w:val="21"/>
                      <w:lang w:val="en-US" w:eastAsia="zh-CN"/>
                    </w:rPr>
                    <w:t>478m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居民</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90"/>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蓬莱山水居住小区</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西北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color w:val="auto"/>
                      <w:sz w:val="21"/>
                      <w:szCs w:val="21"/>
                      <w:lang w:val="en-US" w:eastAsia="zh-CN"/>
                    </w:rPr>
                    <w:t>288</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b w:val="0"/>
                      <w:bCs w:val="0"/>
                      <w:sz w:val="21"/>
                      <w:szCs w:val="21"/>
                      <w:vertAlign w:val="baseline"/>
                      <w:lang w:val="en-US" w:eastAsia="zh-CN"/>
                    </w:rPr>
                    <w:t>居民</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杉荷锦城居住小区</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西</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184</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居民</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90"/>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卓同帝景名城居住小区</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西</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color w:val="auto"/>
                      <w:sz w:val="21"/>
                      <w:szCs w:val="21"/>
                      <w:lang w:val="en-US" w:eastAsia="zh-CN"/>
                    </w:rPr>
                    <w:t>184</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rPr>
                  </w:pPr>
                  <w:r>
                    <w:rPr>
                      <w:rFonts w:ascii="Times New Roman" w:eastAsia="宋体" w:cs="Times New Roman" w:hAnsi="Times New Roman"/>
                      <w:b w:val="0"/>
                      <w:bCs w:val="0"/>
                      <w:sz w:val="21"/>
                      <w:szCs w:val="21"/>
                      <w:vertAlign w:val="baseline"/>
                      <w:lang w:val="en-US" w:eastAsia="zh-CN"/>
                    </w:rPr>
                    <w:t>居民</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大英县城镇居民区</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西</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292</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b w:val="0"/>
                      <w:bCs w:val="0"/>
                      <w:sz w:val="21"/>
                      <w:szCs w:val="21"/>
                      <w:vertAlign w:val="baseline"/>
                      <w:lang w:val="en-US" w:eastAsia="zh-CN"/>
                    </w:rPr>
                    <w:t>居民</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遂宁晶安科技有限公司</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hint="eastAsia"/>
                      <w:b w:val="0"/>
                      <w:bCs w:val="0"/>
                      <w:sz w:val="21"/>
                      <w:szCs w:val="21"/>
                      <w:vertAlign w:val="baseline"/>
                      <w:lang w:val="en-US" w:eastAsia="zh-CN"/>
                    </w:rPr>
                    <w:t>相邻</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hint="eastAsia"/>
                      <w:sz w:val="21"/>
                      <w:szCs w:val="21"/>
                      <w:lang w:val="en-US" w:eastAsia="zh-CN"/>
                    </w:rPr>
                    <w:t>建筑材料</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四川圣九龙科技有限公司</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sz w:val="21"/>
                      <w:szCs w:val="21"/>
                      <w:vertAlign w:val="baseline"/>
                      <w:lang w:val="en-US" w:eastAsia="zh-CN"/>
                    </w:rPr>
                    <w:t>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cs="Times New Roman" w:hint="eastAsia"/>
                      <w:b w:val="0"/>
                      <w:bCs w:val="0"/>
                      <w:sz w:val="21"/>
                      <w:szCs w:val="21"/>
                      <w:vertAlign w:val="baseline"/>
                      <w:lang w:val="en-US" w:eastAsia="zh-CN"/>
                    </w:rPr>
                    <w:t>74</w:t>
                  </w:r>
                  <w:r>
                    <w:rPr>
                      <w:rFonts w:ascii="Times New Roman" w:eastAsia="宋体" w:cs="Times New Roman" w:hAnsi="Times New Roman" w:hint="eastAsia"/>
                      <w:b w:val="0"/>
                      <w:bCs w:val="0"/>
                      <w:sz w:val="21"/>
                      <w:szCs w:val="21"/>
                      <w:vertAlign w:val="baseline"/>
                      <w:lang w:val="en-US" w:eastAsia="zh-CN"/>
                    </w:rPr>
                    <w:t>.0</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hint="eastAsia"/>
                      <w:b w:val="0"/>
                      <w:bCs w:val="0"/>
                      <w:sz w:val="21"/>
                      <w:szCs w:val="21"/>
                      <w:vertAlign w:val="baseline"/>
                      <w:lang w:val="en-US" w:eastAsia="zh-CN"/>
                    </w:rPr>
                    <w:t>电子元件</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color w:val="auto"/>
                      <w:sz w:val="21"/>
                      <w:szCs w:val="21"/>
                      <w:lang w:val="en-US" w:eastAsia="zh-CN"/>
                    </w:rPr>
                    <w:t>大英彰骏光电科技有限公司</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东</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hint="eastAsia"/>
                      <w:b w:val="0"/>
                      <w:bCs w:val="0"/>
                      <w:sz w:val="21"/>
                      <w:szCs w:val="21"/>
                      <w:vertAlign w:val="baseline"/>
                      <w:lang w:val="en-US" w:eastAsia="zh-CN"/>
                    </w:rPr>
                    <w:t>32.0</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hint="eastAsia"/>
                      <w:b w:val="0"/>
                      <w:bCs w:val="0"/>
                      <w:sz w:val="21"/>
                      <w:szCs w:val="21"/>
                      <w:vertAlign w:val="baseline"/>
                      <w:lang w:val="en-US" w:eastAsia="zh-CN"/>
                    </w:rPr>
                    <w:t>电子元件</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大英县欧盛包装有限公司</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东</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hint="eastAsia"/>
                      <w:b w:val="0"/>
                      <w:bCs w:val="0"/>
                      <w:sz w:val="21"/>
                      <w:szCs w:val="21"/>
                      <w:vertAlign w:val="baseline"/>
                      <w:lang w:val="en-US" w:eastAsia="zh-CN"/>
                    </w:rPr>
                    <w:t>58.0</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hint="eastAsia"/>
                      <w:b w:val="0"/>
                      <w:bCs w:val="0"/>
                      <w:sz w:val="21"/>
                      <w:szCs w:val="21"/>
                      <w:vertAlign w:val="baseline"/>
                      <w:lang w:val="en-US" w:eastAsia="zh-CN"/>
                    </w:rPr>
                    <w:t>包装材料</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rPr>
                  </w:pPr>
                  <w:r>
                    <w:rPr>
                      <w:rFonts w:ascii="Times New Roman" w:eastAsia="宋体" w:cs="Times New Roman" w:hAnsi="Times New Roman"/>
                      <w:b w:val="0"/>
                      <w:bCs w:val="0"/>
                      <w:color w:val="auto"/>
                      <w:sz w:val="21"/>
                      <w:szCs w:val="21"/>
                      <w:lang w:val="en-US" w:eastAsia="zh-CN"/>
                    </w:rPr>
                    <w:t>四川滋兴生物科技有限公司</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东</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hint="eastAsia"/>
                      <w:b w:val="0"/>
                      <w:bCs w:val="0"/>
                      <w:sz w:val="21"/>
                      <w:szCs w:val="21"/>
                      <w:vertAlign w:val="baseline"/>
                      <w:lang w:val="en-US" w:eastAsia="zh-CN"/>
                    </w:rPr>
                    <w:t>116</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lang w:val="en-US"/>
                    </w:rPr>
                  </w:pPr>
                  <w:r>
                    <w:rPr>
                      <w:rFonts w:ascii="Times New Roman" w:eastAsia="宋体" w:cs="Times New Roman" w:hAnsi="Times New Roman" w:hint="eastAsia"/>
                      <w:b w:val="0"/>
                      <w:bCs w:val="0"/>
                      <w:sz w:val="21"/>
                      <w:szCs w:val="21"/>
                      <w:vertAlign w:val="baseline"/>
                      <w:lang w:val="en-US" w:eastAsia="zh-CN"/>
                    </w:rPr>
                    <w:t>材料</w:t>
                  </w:r>
                  <w:r>
                    <w:rPr>
                      <w:rFonts w:cs="Times New Roman" w:hint="eastAsia"/>
                      <w:b w:val="0"/>
                      <w:bCs w:val="0"/>
                      <w:sz w:val="21"/>
                      <w:szCs w:val="21"/>
                      <w:vertAlign w:val="baseline"/>
                      <w:lang w:val="en-US" w:eastAsia="zh-CN"/>
                    </w:rPr>
                    <w:t>研发</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四川欣荣鑫电子有限公司</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东南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cs="Times New Roman" w:hint="eastAsia"/>
                      <w:b w:val="0"/>
                      <w:bCs w:val="0"/>
                      <w:sz w:val="21"/>
                      <w:szCs w:val="21"/>
                      <w:vertAlign w:val="baseline"/>
                      <w:lang w:val="en-US" w:eastAsia="zh-CN"/>
                    </w:rPr>
                    <w:t>159</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hint="eastAsia"/>
                      <w:b w:val="0"/>
                      <w:bCs w:val="0"/>
                      <w:sz w:val="21"/>
                      <w:szCs w:val="21"/>
                      <w:vertAlign w:val="baseline"/>
                      <w:lang w:val="en-US" w:eastAsia="zh-CN"/>
                    </w:rPr>
                    <w:t>电子元件</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sz w:val="21"/>
                      <w:szCs w:val="21"/>
                      <w:vertAlign w:val="baseline"/>
                      <w:lang w:val="en-US" w:eastAsia="zh-CN"/>
                    </w:rPr>
                    <w:t>/</w:t>
                  </w:r>
                </w:p>
              </w:tc>
            </w:tr>
            <w:tr>
              <w:trPr>
                <w:trHeight w:val="141"/>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大英县新世纪印刷厂</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东南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333</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lang w:val="en-US" w:eastAsia="zh-CN"/>
                    </w:rPr>
                  </w:pPr>
                  <w:r>
                    <w:rPr>
                      <w:rFonts w:ascii="Times New Roman" w:eastAsia="宋体" w:cs="Times New Roman" w:hAnsi="Times New Roman"/>
                      <w:b w:val="0"/>
                      <w:bCs w:val="0"/>
                      <w:color w:val="auto"/>
                      <w:sz w:val="21"/>
                      <w:szCs w:val="21"/>
                      <w:lang w:val="en-US" w:eastAsia="zh-CN"/>
                    </w:rPr>
                    <w:t>印刷</w:t>
                  </w:r>
                  <w:r>
                    <w:rPr>
                      <w:rFonts w:cs="Times New Roman" w:hint="eastAsia"/>
                      <w:b w:val="0"/>
                      <w:bCs w:val="0"/>
                      <w:color w:val="auto"/>
                      <w:sz w:val="21"/>
                      <w:szCs w:val="21"/>
                      <w:lang w:val="en-US" w:eastAsia="zh-CN"/>
                    </w:rPr>
                    <w:t>加工</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hint="eastAsia"/>
                      <w:b w:val="0"/>
                      <w:bCs w:val="0"/>
                      <w:sz w:val="21"/>
                      <w:szCs w:val="21"/>
                      <w:vertAlign w:val="baseline"/>
                      <w:lang w:val="en-US" w:eastAsia="zh-CN"/>
                    </w:rPr>
                    <w:t>/</w:t>
                  </w:r>
                </w:p>
              </w:tc>
            </w:tr>
            <w:tr>
              <w:trPr>
                <w:trHeight w:val="40"/>
              </w:trPr>
              <w:tc>
                <w:tcPr>
                  <w:tcW w:w="324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sz w:val="21"/>
                      <w:szCs w:val="21"/>
                      <w:lang w:eastAsia="zh-CN"/>
                    </w:rPr>
                    <w:t>郪江</w:t>
                  </w:r>
                </w:p>
              </w:tc>
              <w:tc>
                <w:tcPr>
                  <w:tcW w:w="101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西北</w:t>
                  </w:r>
                </w:p>
              </w:tc>
              <w:tc>
                <w:tcPr>
                  <w:tcW w:w="121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cs="Times New Roman" w:hint="eastAsia"/>
                      <w:b w:val="0"/>
                      <w:bCs w:val="0"/>
                      <w:sz w:val="21"/>
                      <w:szCs w:val="21"/>
                      <w:vertAlign w:val="baseline"/>
                      <w:lang w:val="en-US" w:eastAsia="zh-CN"/>
                    </w:rPr>
                    <w:t>469</w:t>
                  </w:r>
                  <w:r>
                    <w:rPr>
                      <w:rFonts w:ascii="Times New Roman" w:eastAsia="宋体" w:cs="Times New Roman" w:hAnsi="Times New Roman"/>
                      <w:b w:val="0"/>
                      <w:bCs w:val="0"/>
                      <w:sz w:val="21"/>
                      <w:szCs w:val="21"/>
                      <w:vertAlign w:val="baseline"/>
                      <w:lang w:val="en-US" w:eastAsia="zh-CN"/>
                    </w:rPr>
                    <w:t>m</w:t>
                  </w:r>
                </w:p>
              </w:tc>
              <w:tc>
                <w:tcPr>
                  <w:tcW w:w="1540"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受纳水体</w:t>
                  </w:r>
                </w:p>
              </w:tc>
              <w:tc>
                <w:tcPr>
                  <w:tcW w:w="14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行洪、灌溉</w:t>
                  </w:r>
                </w:p>
              </w:tc>
            </w:tr>
          </w:tbl>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cs="Times New Roman" w:hint="eastAsia"/>
                <w:b/>
                <w:bCs/>
                <w:color w:val="auto"/>
                <w:sz w:val="24"/>
                <w:szCs w:val="24"/>
                <w:lang w:val="en-US" w:eastAsia="zh-CN"/>
              </w:rPr>
              <w:t>选址所在地环境敏感程度</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本项目选址不涉及生活饮用水源和风景名胜区、基本农田保护区、自然保护区等需要特殊保护区域，</w:t>
            </w:r>
            <w:r>
              <w:rPr>
                <w:rFonts w:cs="Times New Roman" w:hint="eastAsia"/>
                <w:color w:val="auto"/>
                <w:sz w:val="24"/>
                <w:szCs w:val="24"/>
                <w:lang w:val="en-US" w:eastAsia="zh-CN"/>
              </w:rPr>
              <w:t>厂区周围无名胜古迹和重点文物保护等单位；</w:t>
            </w:r>
            <w:r>
              <w:rPr>
                <w:rFonts w:cs="Times New Roman" w:hint="eastAsia"/>
                <w:b w:val="0"/>
                <w:bCs w:val="0"/>
                <w:color w:val="auto"/>
                <w:sz w:val="24"/>
                <w:szCs w:val="24"/>
                <w:lang w:val="en-US" w:eastAsia="zh-CN"/>
              </w:rPr>
              <w:t>所在区域环境敏感程度一般。</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选址合理性分析</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根据现场踏勘，本项目与周围最近居民距离为184m，最近地表水敏感目标为场界西北侧469m的郪江；营运期废气、废水、噪声经治理后达标排放，固废采取妥善、有效的处置，对周围环境无明显影响；厂区采取分区防渗措施；不属于高污染性企业，外环境的影响较小；同时，项目建设对外环境无特殊要求，周边企事业与本项目相距较远，对本项目建设无影响；因此，本项目与周边企业具有相容性。</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平面布置合理性分析</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color w:val="auto"/>
                <w:sz w:val="24"/>
                <w:szCs w:val="24"/>
                <w:lang w:val="en-US" w:eastAsia="zh-CN"/>
              </w:rPr>
            </w:pPr>
            <w:r>
              <w:rPr>
                <w:rFonts w:cs="Times New Roman" w:hint="eastAsia"/>
                <w:color w:val="auto"/>
                <w:sz w:val="24"/>
                <w:szCs w:val="24"/>
                <w:lang w:val="en-US" w:eastAsia="zh-CN"/>
              </w:rPr>
              <w:t>本项目根据功能要求将生产车间划分为生产区和办公生活区，其中办公区位于车间</w:t>
            </w:r>
            <w:r>
              <w:rPr>
                <w:rFonts w:cs="Times New Roman"/>
                <w:color w:val="auto"/>
                <w:sz w:val="24"/>
                <w:szCs w:val="24"/>
                <w:lang w:val="en-US" w:eastAsia="zh-CN"/>
              </w:rPr>
              <w:t>北</w:t>
            </w:r>
            <w:r>
              <w:rPr>
                <w:rFonts w:cs="Times New Roman" w:hint="eastAsia"/>
                <w:color w:val="auto"/>
                <w:sz w:val="24"/>
                <w:szCs w:val="24"/>
                <w:lang w:val="en-US" w:eastAsia="zh-CN"/>
              </w:rPr>
              <w:t>侧，生产区设置1个进出口，位于车间南侧，主要用于进出货。根据生产工艺流程，生产区依次布置卸车区、废旧电子设备堆放区、检测区、拆解区、铜线剥皮区、产品堆放区等，其中废旧电子设备堆放区位于车间东北侧，检测区位于车间东侧，拆解区位于车间东南侧，产品堆放区（包括二手产品存放区、拆解配件存放区等）位于车间内西侧，形成原料→生产→成品外运的生产线。各环保设施靠近污染源设置（如配套布袋除尘装置靠近拆解通风橱设置），方便污染物的收集及治理。</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项目劳动定员及生产制度</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本项目生产岗位和劳动定员根据工艺流程及设备操作要求确定。</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劳动定员：劳动定员12人。</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color w:val="auto"/>
                <w:sz w:val="24"/>
                <w:szCs w:val="24"/>
                <w:lang w:val="en-US" w:eastAsia="zh-CN"/>
              </w:rPr>
            </w:pPr>
            <w:r>
              <w:rPr>
                <w:rFonts w:cs="Times New Roman" w:hint="eastAsia"/>
                <w:color w:val="auto"/>
                <w:sz w:val="24"/>
                <w:szCs w:val="24"/>
                <w:lang w:val="en-US" w:eastAsia="zh-CN"/>
              </w:rPr>
              <w:t>生产制度：全年工作300天，实行一班制，每班8小时；夜间不生产，不设置食堂和住宿。</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公用工程与辅助设施</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给水</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本项目拆解过程仅进行物理简单拆解，不涉及清洗，无生产用水；用水为生活用水，由市政供水管网供给。</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参照《关于印发（四川省用水定额）的通知》（川府函〔2021〕8号），生活用水量取50L/人·天，则本项目生活用水量约为0.6m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/d，180.0m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/a</w:t>
            </w:r>
            <w:r>
              <w:rPr>
                <w:rFonts w:ascii="Times New Roman" w:eastAsia="宋体" w:cs="Times New Roman" w:hAnsi="Times New Roman"/>
                <w:color w:val="auto"/>
                <w:sz w:val="24"/>
                <w:szCs w:val="24"/>
                <w:lang w:val="en-US" w:eastAsia="zh-CN"/>
              </w:rPr>
              <w:t>。</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b/>
                <w:bCs/>
                <w:color w:val="auto"/>
                <w:sz w:val="24"/>
                <w:szCs w:val="24"/>
                <w:lang w:val="en-US" w:eastAsia="zh-CN"/>
              </w:rPr>
              <w:t>排水：</w:t>
            </w:r>
            <w:r>
              <w:rPr>
                <w:rFonts w:cs="Times New Roman" w:hint="eastAsia"/>
                <w:color w:val="auto"/>
                <w:sz w:val="24"/>
                <w:szCs w:val="24"/>
                <w:lang w:val="en-US" w:eastAsia="zh-CN"/>
              </w:rPr>
              <w:t>本项目采用雨、污分流制，雨水通过租赁厂房雨水管网排放；外排废水为人员生活污水。</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本项目生活用水量为180m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/a（0.6m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/d），排污系数按0.85计，则生活废水产生量为0.51m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/d（153m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/a），主要污染物为氨氮、CODcr等；经租赁厂区预处理池处理达标后排入市政污水管网，进入大英县工业污水处理厂处理达《地表水环境质量标准》（GB3838-2002）中Ⅲ类水体标准后最终排入郪江。</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bCs/>
                <w:color w:val="auto"/>
                <w:sz w:val="21"/>
                <w:szCs w:val="21"/>
                <w:lang w:val="en-US" w:eastAsia="zh-CN"/>
              </w:rPr>
            </w:pPr>
            <w:r>
              <w:rPr>
                <w:rFonts w:cs="Times New Roman" w:hint="eastAsia"/>
                <w:color w:val="auto"/>
                <w:sz w:val="24"/>
                <w:szCs w:val="24"/>
                <w:lang w:val="en-US" w:eastAsia="zh-CN"/>
              </w:rPr>
              <w:t>本项目给排水情况见下表。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lang w:val="en-US" w:eastAsia="zh-CN"/>
              </w:rPr>
              <w:t>表2-5 项目用水情况表</w:t>
            </w:r>
          </w:p>
          <w:tbl>
            <w:tblPr>
              <w:jc w:val="left"/>
              <w:tblInd w:w="0" w:type="dxa"/>
              <w:tblW w:w="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00"/>
              <w:gridCol w:w="1400"/>
              <w:gridCol w:w="800"/>
              <w:gridCol w:w="1865"/>
              <w:gridCol w:w="1865"/>
              <w:gridCol w:w="1198"/>
            </w:tblGrid>
            <w:tr>
              <w:tc>
                <w:tcPr>
                  <w:tcW w:w="13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名称</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用水定额</w:t>
                  </w:r>
                </w:p>
              </w:tc>
              <w:tc>
                <w:tcPr>
                  <w:tcW w:w="8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数量</w:t>
                  </w:r>
                </w:p>
              </w:tc>
              <w:tc>
                <w:tcPr>
                  <w:tcW w:w="18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日用水量（m</w:t>
                  </w:r>
                  <w:r>
                    <w:rPr>
                      <w:rFonts w:cs="Times New Roman" w:hint="eastAsia"/>
                      <w:b/>
                      <w:bCs/>
                      <w:color w:val="auto"/>
                      <w:sz w:val="21"/>
                      <w:szCs w:val="21"/>
                      <w:vertAlign w:val="superscript"/>
                      <w:lang w:val="en-US" w:eastAsia="zh-CN"/>
                    </w:rPr>
                    <w:t>3</w:t>
                  </w:r>
                  <w:r>
                    <w:rPr>
                      <w:rFonts w:cs="Times New Roman" w:hint="eastAsia"/>
                      <w:b/>
                      <w:bCs/>
                      <w:color w:val="auto"/>
                      <w:sz w:val="21"/>
                      <w:szCs w:val="21"/>
                      <w:vertAlign w:val="baseline"/>
                      <w:lang w:val="en-US" w:eastAsia="zh-CN"/>
                    </w:rPr>
                    <w:t>/d）</w:t>
                  </w:r>
                </w:p>
              </w:tc>
              <w:tc>
                <w:tcPr>
                  <w:tcW w:w="18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年用水量（m</w:t>
                  </w:r>
                  <w:r>
                    <w:rPr>
                      <w:rFonts w:cs="Times New Roman" w:hint="eastAsia"/>
                      <w:b/>
                      <w:bCs/>
                      <w:color w:val="auto"/>
                      <w:sz w:val="21"/>
                      <w:szCs w:val="21"/>
                      <w:vertAlign w:val="superscript"/>
                      <w:lang w:val="en-US" w:eastAsia="zh-CN"/>
                    </w:rPr>
                    <w:t>3</w:t>
                  </w:r>
                  <w:r>
                    <w:rPr>
                      <w:rFonts w:cs="Times New Roman" w:hint="eastAsia"/>
                      <w:b/>
                      <w:bCs/>
                      <w:color w:val="auto"/>
                      <w:sz w:val="21"/>
                      <w:szCs w:val="21"/>
                      <w:vertAlign w:val="baseline"/>
                      <w:lang w:val="en-US" w:eastAsia="zh-CN"/>
                    </w:rPr>
                    <w:t>/a）</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排水量</w:t>
                  </w:r>
                </w:p>
              </w:tc>
            </w:tr>
            <w:tr>
              <w:tc>
                <w:tcPr>
                  <w:tcW w:w="130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生活用水</w:t>
                  </w:r>
                </w:p>
              </w:tc>
              <w:tc>
                <w:tcPr>
                  <w:tcW w:w="140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50L/人·d</w:t>
                  </w:r>
                </w:p>
              </w:tc>
              <w:tc>
                <w:tcPr>
                  <w:tcW w:w="80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12人</w:t>
                  </w:r>
                </w:p>
              </w:tc>
              <w:tc>
                <w:tcPr>
                  <w:tcW w:w="186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0.6</w:t>
                  </w:r>
                </w:p>
              </w:tc>
              <w:tc>
                <w:tcPr>
                  <w:tcW w:w="186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180</w:t>
                  </w:r>
                </w:p>
              </w:tc>
              <w:tc>
                <w:tcPr>
                  <w:tcW w:w="1198"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153m</w:t>
                  </w:r>
                  <w:r>
                    <w:rPr>
                      <w:rFonts w:cs="Times New Roman" w:hint="eastAsia"/>
                      <w:color w:val="auto"/>
                      <w:sz w:val="21"/>
                      <w:szCs w:val="21"/>
                      <w:vertAlign w:val="superscript"/>
                      <w:lang w:val="en-US" w:eastAsia="zh-CN"/>
                    </w:rPr>
                    <w:t>3</w:t>
                  </w:r>
                  <w:r>
                    <w:rPr>
                      <w:rFonts w:cs="Times New Roman" w:hint="eastAsia"/>
                      <w:color w:val="auto"/>
                      <w:sz w:val="21"/>
                      <w:szCs w:val="21"/>
                      <w:vertAlign w:val="baseline"/>
                      <w:lang w:val="en-US" w:eastAsia="zh-CN"/>
                    </w:rPr>
                    <w:t>/a</w:t>
                  </w:r>
                </w:p>
              </w:tc>
            </w:tr>
            <w:tr>
              <w:tc>
                <w:tcPr>
                  <w:tcW w:w="3500" w:type="dxa"/>
                  <w:gridSpan w:val="3"/>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合计</w:t>
                  </w:r>
                </w:p>
              </w:tc>
              <w:tc>
                <w:tcPr>
                  <w:tcW w:w="186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0.6</w:t>
                  </w:r>
                </w:p>
              </w:tc>
              <w:tc>
                <w:tcPr>
                  <w:tcW w:w="186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180</w:t>
                  </w:r>
                </w:p>
              </w:tc>
              <w:tc>
                <w:tcPr>
                  <w:tcW w:w="1198"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153m</w:t>
                  </w:r>
                  <w:r>
                    <w:rPr>
                      <w:rFonts w:cs="Times New Roman" w:hint="eastAsia"/>
                      <w:color w:val="auto"/>
                      <w:sz w:val="21"/>
                      <w:szCs w:val="21"/>
                      <w:vertAlign w:val="superscript"/>
                      <w:lang w:val="en-US" w:eastAsia="zh-CN"/>
                    </w:rPr>
                    <w:t>3</w:t>
                  </w:r>
                  <w:r>
                    <w:rPr>
                      <w:rFonts w:cs="Times New Roman" w:hint="eastAsia"/>
                      <w:color w:val="auto"/>
                      <w:sz w:val="21"/>
                      <w:szCs w:val="21"/>
                      <w:vertAlign w:val="baseline"/>
                      <w:lang w:val="en-US" w:eastAsia="zh-CN"/>
                    </w:rPr>
                    <w:t>/a</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本项目水平衡图如下：</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20"/>
              <w:jc w:val="both"/>
              <w:textAlignment w:val="auto"/>
              <w:rPr>
                <w:rFonts w:cs="Times New Roman" w:hint="eastAsia"/>
                <w:color w:val="auto"/>
                <w:sz w:val="24"/>
                <w:szCs w:val="24"/>
                <w:lang w:val="en-US" w:eastAsia="zh-CN"/>
              </w:rPr>
            </w:pPr>
            <w:r>
              <w:rPr>
                <w:sz w:val="21"/>
              </w:rPr>
              <mc:AlternateContent>
                <mc:Choice Requires="wps">
                  <w:drawing>
                    <wp:anchor distT="0" distB="0" distL="114298" distR="114298" simplePos="0" relativeHeight="94" behindDoc="0" locked="0" layoutInCell="1" hidden="0" allowOverlap="1">
                      <wp:simplePos x="0" y="0"/>
                      <wp:positionH relativeFrom="column">
                        <wp:posOffset>336549</wp:posOffset>
                      </wp:positionH>
                      <wp:positionV relativeFrom="paragraph">
                        <wp:posOffset>71754</wp:posOffset>
                      </wp:positionV>
                      <wp:extent cx="4608195" cy="1295400"/>
                      <wp:effectExtent l="0" t="0" r="0" b="0"/>
                      <wp:wrapNone/>
                      <wp:docPr id="30" name="组合"/>
                      <wp:cNvGraphicFramePr>
                        <a:graphicFrameLocks noChangeAspect="0"/>
                      </wp:cNvGraphicFramePr>
                      <a:graphic>
                        <a:graphicData uri="http://schemas.microsoft.com/office/word/2010/wordprocessingGroup">
                          <wpg:wgp>
                            <wpg:cNvPr id="31" name="组合 31"/>
                            <wpg:cNvGrpSpPr/>
                            <wpg:grpSpPr>
                              <a:xfrm rot="0">
                                <a:off x="0" y="0"/>
                                <a:ext cx="4608195" cy="1295400"/>
                                <a:chOff x="0" y="0"/>
                                <a:chExt cx="4608195" cy="1295400"/>
                              </a:xfrm>
                              <a:prstGeom prst="rect"/>
                              <a:solidFill>
                                <a:srgbClr val="FFFFFF"/>
                              </a:solidFill>
                              <a:ln w="9525" cmpd="sng" cap="flat">
                                <a:solidFill>
                                  <a:srgbClr val="000000"/>
                                </a:solidFill>
                                <a:prstDash val="solid"/>
                                <a:miter/>
                              </a:ln>
                            </wpg:grpSpPr>
                            <wps:wsp>
                              <wps:cNvPr id="32" name="文本框 32"/>
                              <wps:cNvSpPr/>
                              <wps:spPr>
                                <a:xfrm rot="0">
                                  <a:off x="2392680" y="516254"/>
                                  <a:ext cx="730884" cy="262255"/>
                                </a:xfrm>
                                <a:prstGeom prst="rect"/>
                                <a:solidFill>
                                  <a:srgbClr val="FFFFFF"/>
                                </a:solidFill>
                                <a:ln w="6350" cmpd="sng" cap="flat">
                                  <a:solidFill>
                                    <a:srgbClr val="000000"/>
                                  </a:solidFill>
                                  <a:prstDash val="solid"/>
                                  <a:miter/>
                                </a:ln>
                              </wps:spPr>
                              <wps:txbx id="33">
                                <w:txbxContent>
                                  <w:p>
                                    <w:pPr>
                                      <w:jc w:val="center"/>
                                      <w:rPr>
                                        <w:rFonts w:hint="eastAsia"/>
                                        <w:lang w:val="en-US" w:eastAsia="zh-CN"/>
                                      </w:rPr>
                                    </w:pPr>
                                    <w:r>
                                      <w:rPr>
                                        <w:rFonts w:hint="eastAsia"/>
                                        <w:lang w:val="en-US" w:eastAsia="zh-CN"/>
                                      </w:rPr>
                                      <w:t>预处理池</w:t>
                                    </w:r>
                                  </w:p>
                                </w:txbxContent>
                              </wps:txbx>
                              <wps:bodyPr vert="horz" wrap="square" lIns="91440" tIns="45720" rIns="91440" bIns="45720" anchor="t" anchorCtr="0" upright="0">
                                <a:noAutofit/>
                              </wps:bodyPr>
                            </wps:wsp>
                            <wps:wsp>
                              <wps:cNvPr id="34" name="文本框 34"/>
                              <wps:cNvSpPr/>
                              <wps:spPr>
                                <a:xfrm rot="0">
                                  <a:off x="2117090" y="1033145"/>
                                  <a:ext cx="619124" cy="262255"/>
                                </a:xfrm>
                                <a:prstGeom prst="rect"/>
                                <a:solidFill>
                                  <a:srgbClr val="FFFFFF"/>
                                </a:solidFill>
                                <a:ln w="9525" cmpd="sng" cap="flat">
                                  <a:noFill/>
                                  <a:prstDash val="solid"/>
                                  <a:miter/>
                                </a:ln>
                              </wps:spPr>
                              <wps:txbx id="35">
                                <w:txbxContent>
                                  <w:p>
                                    <w:pPr>
                                      <w:jc w:val="center"/>
                                      <w:rPr>
                                        <w:rFonts w:hint="eastAsia"/>
                                        <w:lang w:val="en-US" w:eastAsia="zh-CN"/>
                                      </w:rPr>
                                    </w:pPr>
                                    <w:r>
                                      <w:rPr>
                                        <w:rFonts w:hint="eastAsia"/>
                                        <w:lang w:val="en-US" w:eastAsia="zh-CN"/>
                                      </w:rPr>
                                      <w:t>郪江</w:t>
                                    </w:r>
                                  </w:p>
                                </w:txbxContent>
                              </wps:txbx>
                              <wps:bodyPr vert="horz" wrap="square" lIns="91440" tIns="45720" rIns="91440" bIns="45720" anchor="t" anchorCtr="0" upright="0">
                                <a:noAutofit/>
                              </wps:bodyPr>
                            </wps:wsp>
                            <wps:wsp>
                              <wps:cNvPr id="36" name="文本框 36"/>
                              <wps:cNvSpPr/>
                              <wps:spPr>
                                <a:xfrm rot="0">
                                  <a:off x="0" y="266700"/>
                                  <a:ext cx="732789" cy="262255"/>
                                </a:xfrm>
                                <a:prstGeom prst="rect"/>
                                <a:noFill/>
                                <a:ln w="9525" cmpd="sng" cap="flat">
                                  <a:noFill/>
                                  <a:prstDash val="solid"/>
                                  <a:miter/>
                                </a:ln>
                              </wps:spPr>
                              <wps:txbx id="37">
                                <w:txbxContent>
                                  <w:p>
                                    <w:pPr>
                                      <w:jc w:val="center"/>
                                      <w:rPr>
                                        <w:rFonts w:ascii="Times New Roman" w:eastAsia="宋体" w:cs="Times New Roman" w:hAnsi="Times New Roman"/>
                                        <w:lang w:val="en-US" w:eastAsia="zh-CN"/>
                                      </w:rPr>
                                    </w:pPr>
                                    <w:r>
                                      <w:rPr>
                                        <w:rFonts w:cs="Times New Roman" w:hint="eastAsia"/>
                                        <w:lang w:val="en-US" w:eastAsia="zh-CN"/>
                                      </w:rPr>
                                      <w:t>180</w:t>
                                    </w:r>
                                  </w:p>
                                </w:txbxContent>
                              </wps:txbx>
                              <wps:bodyPr vert="horz" wrap="square" lIns="91440" tIns="45720" rIns="91440" bIns="45720" anchor="t" anchorCtr="0" upright="0">
                                <a:noAutofit/>
                              </wps:bodyPr>
                            </wps:wsp>
                            <wps:wsp>
                              <wps:cNvPr id="38" name="直线连接线 38"/>
                              <wps:cNvSpPr/>
                              <wps:spPr>
                                <a:xfrm flipH="1" rot="21600000">
                                  <a:off x="3828415" y="782320"/>
                                  <a:ext cx="3175" cy="250189"/>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wps:wsp>
                              <wps:cNvPr id="39" name="直线连接线 39"/>
                              <wps:cNvSpPr/>
                              <wps:spPr>
                                <a:xfrm flipV="1" rot="21600000">
                                  <a:off x="730249" y="650874"/>
                                  <a:ext cx="433704" cy="1269"/>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wps:wsp>
                              <wps:cNvPr id="40" name="文本框 40"/>
                              <wps:cNvSpPr/>
                              <wps:spPr>
                                <a:xfrm rot="0">
                                  <a:off x="1163954" y="519430"/>
                                  <a:ext cx="730249" cy="262255"/>
                                </a:xfrm>
                                <a:prstGeom prst="rect"/>
                                <a:solidFill>
                                  <a:srgbClr val="FFFFFF"/>
                                </a:solidFill>
                                <a:ln w="6350" cmpd="sng" cap="flat">
                                  <a:solidFill>
                                    <a:srgbClr val="000000"/>
                                  </a:solidFill>
                                  <a:prstDash val="solid"/>
                                  <a:miter/>
                                </a:ln>
                              </wps:spPr>
                              <wps:txbx id="41">
                                <w:txbxContent>
                                  <w:p>
                                    <w:pPr>
                                      <w:jc w:val="center"/>
                                      <w:rPr>
                                        <w:rFonts w:eastAsia="宋体"/>
                                        <w:lang w:val="en-US" w:eastAsia="zh-CN"/>
                                      </w:rPr>
                                    </w:pPr>
                                    <w:r>
                                      <w:rPr>
                                        <w:rFonts w:hint="eastAsia"/>
                                        <w:lang w:val="en-US" w:eastAsia="zh-CN"/>
                                      </w:rPr>
                                      <w:t>生活用水</w:t>
                                    </w:r>
                                  </w:p>
                                </w:txbxContent>
                              </wps:txbx>
                              <wps:bodyPr vert="horz" wrap="square" lIns="91440" tIns="45720" rIns="91440" bIns="45720" anchor="t" anchorCtr="0" upright="0">
                                <a:noAutofit/>
                              </wps:bodyPr>
                            </wps:wsp>
                            <wps:wsp>
                              <wps:cNvPr id="42" name="直线连接线 42"/>
                              <wps:cNvSpPr/>
                              <wps:spPr>
                                <a:xfrm rot="0">
                                  <a:off x="3123565" y="647700"/>
                                  <a:ext cx="163194" cy="3810"/>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wps:wsp>
                              <wps:cNvPr id="43" name="直线连接线 43"/>
                              <wps:cNvSpPr/>
                              <wps:spPr>
                                <a:xfrm flipV="1" rot="21600000">
                                  <a:off x="1894204" y="647700"/>
                                  <a:ext cx="498474" cy="3175"/>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wps:wsp>
                              <wps:cNvPr id="44" name="直线连接线 44"/>
                              <wps:cNvSpPr/>
                              <wps:spPr>
                                <a:xfrm flipH="1" rot="21600000">
                                  <a:off x="2736215" y="1163954"/>
                                  <a:ext cx="312420" cy="635"/>
                                </a:xfrm>
                                <a:prstGeom prst="straightConnector1"/>
                                <a:noFill/>
                                <a:ln w="9525" cmpd="sng" cap="flat">
                                  <a:solidFill>
                                    <a:srgbClr val="000000"/>
                                  </a:solidFill>
                                  <a:prstDash val="solid"/>
                                  <a:miter/>
                                  <a:tailEnd type="triangle" w="med" len="med"/>
                                </a:ln>
                              </wps:spPr>
                              <wps:bodyPr vert="horz" wrap="square" lIns="91440" tIns="45720" rIns="91440" bIns="45720" anchor="t" anchorCtr="0" upright="1">
                                <a:noAutofit/>
                              </wps:bodyPr>
                            </wps:wsp>
                            <wps:wsp>
                              <wps:cNvPr id="45" name="文本框 45"/>
                              <wps:cNvSpPr/>
                              <wps:spPr>
                                <a:xfrm rot="0">
                                  <a:off x="3286759" y="520065"/>
                                  <a:ext cx="1089024" cy="262255"/>
                                </a:xfrm>
                                <a:prstGeom prst="rect"/>
                                <a:solidFill>
                                  <a:srgbClr val="FFFFFF"/>
                                </a:solidFill>
                                <a:ln w="6350" cmpd="sng" cap="flat">
                                  <a:solidFill>
                                    <a:srgbClr val="000000"/>
                                  </a:solidFill>
                                  <a:prstDash val="solid"/>
                                  <a:miter/>
                                </a:ln>
                              </wps:spPr>
                              <wps:txbx id="46">
                                <w:txbxContent>
                                  <w:p>
                                    <w:pPr>
                                      <w:jc w:val="center"/>
                                      <w:rPr>
                                        <w:rFonts w:eastAsia="宋体"/>
                                        <w:lang w:val="en-US" w:eastAsia="zh-CN"/>
                                      </w:rPr>
                                    </w:pPr>
                                    <w:r>
                                      <w:rPr>
                                        <w:rFonts w:hint="eastAsia"/>
                                        <w:lang w:val="en-US" w:eastAsia="zh-CN"/>
                                      </w:rPr>
                                      <w:t>市政污水管网</w:t>
                                    </w:r>
                                  </w:p>
                                </w:txbxContent>
                              </wps:txbx>
                              <wps:bodyPr vert="horz" wrap="square" lIns="91440" tIns="45720" rIns="91440" bIns="45720" anchor="t" anchorCtr="0" upright="0">
                                <a:noAutofit/>
                              </wps:bodyPr>
                            </wps:wsp>
                            <wps:wsp>
                              <wps:cNvPr id="47" name="文本框 47"/>
                              <wps:cNvSpPr/>
                              <wps:spPr>
                                <a:xfrm rot="0">
                                  <a:off x="3048635" y="1032510"/>
                                  <a:ext cx="1559559" cy="262255"/>
                                </a:xfrm>
                                <a:prstGeom prst="rect"/>
                                <a:solidFill>
                                  <a:srgbClr val="FFFFFF"/>
                                </a:solidFill>
                                <a:ln w="6350" cmpd="sng" cap="flat">
                                  <a:solidFill>
                                    <a:srgbClr val="000000"/>
                                  </a:solidFill>
                                  <a:prstDash val="solid"/>
                                  <a:miter/>
                                </a:ln>
                              </wps:spPr>
                              <wps:txbx id="48">
                                <w:txbxContent>
                                  <w:p>
                                    <w:pPr>
                                      <w:jc w:val="center"/>
                                      <w:rPr>
                                        <w:rFonts w:hint="eastAsia"/>
                                        <w:sz w:val="21"/>
                                        <w:szCs w:val="21"/>
                                        <w:lang w:val="en-US" w:eastAsia="zh-CN"/>
                                      </w:rPr>
                                    </w:pPr>
                                    <w:r>
                                      <w:rPr>
                                        <w:rFonts w:hint="eastAsia"/>
                                        <w:sz w:val="21"/>
                                        <w:szCs w:val="21"/>
                                        <w:lang w:val="en-US" w:eastAsia="zh-CN"/>
                                      </w:rPr>
                                      <w:t>大英县工业污水处理厂</w:t>
                                    </w:r>
                                  </w:p>
                                </w:txbxContent>
                              </wps:txbx>
                              <wps:bodyPr vert="horz" wrap="square" lIns="91440" tIns="45720" rIns="91440" bIns="45720" anchor="t" anchorCtr="0" upright="0">
                                <a:noAutofit/>
                              </wps:bodyPr>
                            </wps:wsp>
                            <wps:wsp>
                              <wps:cNvPr id="49" name="文本框 49"/>
                              <wps:cNvSpPr/>
                              <wps:spPr>
                                <a:xfrm rot="0">
                                  <a:off x="0" y="520699"/>
                                  <a:ext cx="730249" cy="262255"/>
                                </a:xfrm>
                                <a:prstGeom prst="rect"/>
                                <a:solidFill>
                                  <a:srgbClr val="FFFFFF"/>
                                </a:solidFill>
                                <a:ln w="6350" cmpd="sng" cap="flat">
                                  <a:solidFill>
                                    <a:srgbClr val="000000"/>
                                  </a:solidFill>
                                  <a:prstDash val="solid"/>
                                  <a:miter/>
                                </a:ln>
                              </wps:spPr>
                              <wps:txbx id="50">
                                <w:txbxContent>
                                  <w:p>
                                    <w:pPr>
                                      <w:jc w:val="center"/>
                                      <w:rPr>
                                        <w:rFonts w:eastAsia="宋体" w:hint="eastAsia"/>
                                        <w:lang w:val="en-US" w:eastAsia="zh-CN"/>
                                      </w:rPr>
                                    </w:pPr>
                                    <w:r>
                                      <w:rPr>
                                        <w:rFonts w:hint="eastAsia"/>
                                        <w:lang w:val="en-US" w:eastAsia="zh-CN"/>
                                      </w:rPr>
                                      <w:t>新鲜水</w:t>
                                    </w:r>
                                  </w:p>
                                </w:txbxContent>
                              </wps:txbx>
                              <wps:bodyPr vert="horz" wrap="square" lIns="91440" tIns="45720" rIns="91440" bIns="45720" anchor="t" anchorCtr="0" upright="0">
                                <a:noAutofit/>
                              </wps:bodyPr>
                            </wps:wsp>
                            <wps:wsp>
                              <wps:cNvPr id="51" name="文本框 51"/>
                              <wps:cNvSpPr/>
                              <wps:spPr>
                                <a:xfrm rot="0">
                                  <a:off x="1893570" y="392429"/>
                                  <a:ext cx="494664" cy="262255"/>
                                </a:xfrm>
                                <a:prstGeom prst="rect"/>
                                <a:noFill/>
                                <a:ln w="9525" cmpd="sng" cap="flat">
                                  <a:noFill/>
                                  <a:prstDash val="solid"/>
                                  <a:miter/>
                                </a:ln>
                              </wps:spPr>
                              <wps:txbx id="52">
                                <w:txbxContent>
                                  <w:p>
                                    <w:pPr>
                                      <w:jc w:val="center"/>
                                      <w:rPr>
                                        <w:rFonts w:ascii="Times New Roman" w:eastAsia="宋体" w:cs="Times New Roman" w:hAnsi="Times New Roman"/>
                                        <w:sz w:val="18"/>
                                        <w:szCs w:val="18"/>
                                        <w:lang w:val="en-US" w:eastAsia="zh-CN"/>
                                      </w:rPr>
                                    </w:pPr>
                                    <w:r>
                                      <w:rPr>
                                        <w:rFonts w:cs="Times New Roman" w:hint="eastAsia"/>
                                        <w:sz w:val="21"/>
                                        <w:szCs w:val="21"/>
                                        <w:lang w:val="en-US" w:eastAsia="zh-CN"/>
                                      </w:rPr>
                                      <w:t>153</w:t>
                                    </w:r>
                                  </w:p>
                                </w:txbxContent>
                              </wps:txbx>
                              <wps:bodyPr vert="horz" wrap="square" lIns="91440" tIns="45720" rIns="91440" bIns="45720" anchor="t" anchorCtr="0" upright="0">
                                <a:noAutofit/>
                              </wps:bodyPr>
                            </wps:wsp>
                            <wps:wsp>
                              <wps:cNvPr id="53" name="文本框 53"/>
                              <wps:cNvSpPr/>
                              <wps:spPr>
                                <a:xfrm rot="0">
                                  <a:off x="3816984" y="760094"/>
                                  <a:ext cx="485774" cy="257174"/>
                                </a:xfrm>
                                <a:prstGeom prst="rect"/>
                                <a:noFill/>
                                <a:ln w="9525" cmpd="sng" cap="flat">
                                  <a:noFill/>
                                  <a:prstDash val="solid"/>
                                  <a:miter/>
                                </a:ln>
                              </wps:spPr>
                              <wps:txbx id="54">
                                <w:txbxContent>
                                  <w:p>
                                    <w:pPr>
                                      <w:jc w:val="center"/>
                                      <w:rPr>
                                        <w:rFonts w:ascii="Times New Roman" w:eastAsia="宋体" w:cs="Times New Roman" w:hAnsi="Times New Roman"/>
                                        <w:sz w:val="20"/>
                                        <w:szCs w:val="22"/>
                                        <w:lang w:val="en-US" w:eastAsia="zh-CN"/>
                                      </w:rPr>
                                    </w:pPr>
                                    <w:r>
                                      <w:rPr>
                                        <w:rFonts w:cs="Times New Roman" w:hint="eastAsia"/>
                                        <w:sz w:val="20"/>
                                        <w:szCs w:val="22"/>
                                        <w:lang w:val="en-US" w:eastAsia="zh-CN"/>
                                      </w:rPr>
                                      <w:t>153</w:t>
                                    </w:r>
                                  </w:p>
                                </w:txbxContent>
                              </wps:txbx>
                              <wps:bodyPr vert="horz" wrap="square" lIns="91440" tIns="45720" rIns="91440" bIns="45720" anchor="t" anchorCtr="0" upright="0">
                                <a:noAutofit/>
                              </wps:bodyPr>
                            </wps:wsp>
                            <wps:wsp>
                              <wps:cNvPr id="55" name="曲线连接线 55"/>
                              <wps:cNvSpPr/>
                              <wps:spPr>
                                <a:xfrm flipV="1" rot="21600000">
                                  <a:off x="1529079" y="131445"/>
                                  <a:ext cx="367664" cy="387984"/>
                                </a:xfrm>
                                <a:prstGeom prst="curvedConnector2"/>
                                <a:noFill/>
                                <a:ln w="9525" cmpd="sng" cap="flat">
                                  <a:solidFill>
                                    <a:srgbClr val="000000"/>
                                  </a:solidFill>
                                  <a:prstDash val="dash"/>
                                  <a:miter/>
                                  <a:tailEnd type="triangle" w="med" len="med"/>
                                </a:ln>
                              </wps:spPr>
                              <wps:bodyPr vert="horz" wrap="square" lIns="91440" tIns="45720" rIns="91440" bIns="45720" anchor="t" anchorCtr="0" upright="1">
                                <a:noAutofit/>
                              </wps:bodyPr>
                            </wps:wsp>
                            <wps:wsp>
                              <wps:cNvPr id="56" name="文本框 56"/>
                              <wps:cNvSpPr/>
                              <wps:spPr>
                                <a:xfrm rot="0">
                                  <a:off x="1896744" y="0"/>
                                  <a:ext cx="730249" cy="262255"/>
                                </a:xfrm>
                                <a:prstGeom prst="rect"/>
                                <a:solidFill>
                                  <a:srgbClr val="FFFFFF"/>
                                </a:solidFill>
                                <a:ln w="6350" cmpd="sng" cap="flat">
                                  <a:solidFill>
                                    <a:srgbClr val="000000"/>
                                  </a:solidFill>
                                  <a:prstDash val="solid"/>
                                  <a:miter/>
                                </a:ln>
                              </wps:spPr>
                              <wps:txbx id="57">
                                <w:txbxContent>
                                  <w:p>
                                    <w:pPr>
                                      <w:jc w:val="center"/>
                                      <w:rPr>
                                        <w:rFonts w:ascii="Times New Roman" w:eastAsia="宋体" w:cs="Times New Roman" w:hAnsi="Times New Roman"/>
                                        <w:sz w:val="20"/>
                                        <w:szCs w:val="22"/>
                                        <w:lang w:val="en-US" w:eastAsia="zh-CN"/>
                                      </w:rPr>
                                    </w:pPr>
                                    <w:r>
                                      <w:rPr>
                                        <w:rFonts w:ascii="Times New Roman" w:cs="Times New Roman" w:hAnsi="Times New Roman"/>
                                        <w:sz w:val="20"/>
                                        <w:szCs w:val="22"/>
                                        <w:lang w:val="en-US" w:eastAsia="zh-CN"/>
                                      </w:rPr>
                                      <w:t>损失</w:t>
                                    </w:r>
                                    <w:r>
                                      <w:rPr>
                                        <w:rFonts w:cs="Times New Roman" w:hint="eastAsia"/>
                                        <w:sz w:val="20"/>
                                        <w:szCs w:val="22"/>
                                        <w:lang w:val="en-US" w:eastAsia="zh-CN"/>
                                      </w:rPr>
                                      <w:t>27</w:t>
                                    </w:r>
                                  </w:p>
                                </w:txbxContent>
                              </wps:txbx>
                              <wps:bodyPr vert="horz" wrap="square" lIns="91440" tIns="45720" rIns="91440" bIns="45720" anchor="t" anchorCtr="0" upright="0">
                                <a:noAutofit/>
                              </wps:bodyPr>
                            </wps:wsp>
                            <wps:bodyPr vert="horz" wrap="square" lIns="91440" tIns="45720" rIns="91440" bIns="45720" anchor="t" anchorCtr="0" upright="1">
                              <a:noAutofit/>
                            </wps:bodyPr>
                          </wpg:wgp>
                        </a:graphicData>
                      </a:graphic>
                    </wp:anchor>
                  </w:drawing>
                </mc:Choice>
                <mc:Fallback>
                  <w:pict>
                    <v:group type="#_x0000_t1" id="组合 58" o:spid="_x0000_s58" coordorigin="2803,14403" coordsize="7257,2040" style="position:absolute;margin-left:26.499992pt;margin-top:5.6499996pt;width:362.85pt;height:102.0pt;z-index:94;mso-position-horizontal:absolute;mso-position-vertical:absolute;mso-wrap-distance-left:8.999863pt;mso-wrap-distance-right:8.999863pt;">
                      <v:shape type="#_x0000_t202" id="_s59" o:spid="_x0000_s59" style="position:absolute;left:6571;top:15216;width:1150;height:412;mso-wrap-style:square;" fillcolor="#FFFFFF" stroked="t" strokeweight="0.5pt">
                        <v:textbox id="852" inset="2.54mm,1.27mm,2.54mm,1.27mm" o:insetmode="custom" style="layout-flow:horizontal;v-text-anchor:top;">
                          <w:txbxContent>
                            <w:p>
                              <w:pPr>
                                <w:jc w:val="center"/>
                                <w:rPr>
                                  <w:rFonts w:hint="eastAsia"/>
                                  <w:lang w:val="en-US" w:eastAsia="zh-CN"/>
                                </w:rPr>
                              </w:pPr>
                              <w:r>
                                <w:rPr>
                                  <w:rFonts w:hint="eastAsia"/>
                                  <w:lang w:val="en-US" w:eastAsia="zh-CN"/>
                                </w:rPr>
                                <w:t>预处理池</w:t>
                              </w:r>
                            </w:p>
                          </w:txbxContent>
                        </v:textbox>
                        <v:stroke color="#000000"/>
                      </v:shape>
                      <v:shape type="#_x0000_t202" id="_s60" o:spid="_x0000_s60" style="position:absolute;left:6137;top:16030;width:974;height:412;mso-wrap-style:square;" fillcolor="#FFFFFF" stroked="f">
                        <v:textbox id="853" inset="2.54mm,1.27mm,2.54mm,1.27mm" o:insetmode="custom" style="layout-flow:horizontal;v-text-anchor:top;">
                          <w:txbxContent>
                            <w:p>
                              <w:pPr>
                                <w:jc w:val="center"/>
                                <w:rPr>
                                  <w:rFonts w:hint="eastAsia"/>
                                  <w:lang w:val="en-US" w:eastAsia="zh-CN"/>
                                </w:rPr>
                              </w:pPr>
                              <w:r>
                                <w:rPr>
                                  <w:rFonts w:hint="eastAsia"/>
                                  <w:lang w:val="en-US" w:eastAsia="zh-CN"/>
                                </w:rPr>
                                <w:t>郪江</w:t>
                              </w:r>
                            </w:p>
                          </w:txbxContent>
                        </v:textbox>
                        <v:stroke color="#000000"/>
                      </v:shape>
                      <v:shape type="#_x0000_t202" id="_s61" o:spid="_x0000_s61" style="position:absolute;left:2803;top:14823;width:1153;height:412;mso-wrap-style:square;" filled="f" stroked="f">
                        <v:textbox id="854" inset="2.54mm,1.27mm,2.54mm,1.27mm" o:insetmode="custom" style="layout-flow:horizontal;v-text-anchor:top;">
                          <w:txbxContent>
                            <w:p>
                              <w:pPr>
                                <w:jc w:val="center"/>
                                <w:rPr>
                                  <w:rFonts w:ascii="Times New Roman" w:eastAsia="宋体" w:cs="Times New Roman" w:hAnsi="Times New Roman"/>
                                  <w:lang w:val="en-US" w:eastAsia="zh-CN"/>
                                </w:rPr>
                              </w:pPr>
                              <w:r>
                                <w:rPr>
                                  <w:rFonts w:cs="Times New Roman" w:hint="eastAsia"/>
                                  <w:lang w:val="en-US" w:eastAsia="zh-CN"/>
                                </w:rPr>
                                <w:t>180</w:t>
                              </w:r>
                            </w:p>
                          </w:txbxContent>
                        </v:textbox>
                        <v:stroke color="#000000"/>
                      </v:shape>
                      <v:shape type="#_x0000_t32" id="_s62" o:spid="_x0000_s62" style="position:absolute;left:8832;top:15635;width:5;height:394;flip:x;" filled="f" stroked="t">
                        <v:stroke color="#000000" endarrow="block"/>
                      </v:shape>
                      <v:shape type="#_x0000_t32" id="_s63" o:spid="_x0000_s63" style="position:absolute;left:3953;top:15428;width:683;height:2;flip:y;" filled="f" stroked="t">
                        <v:stroke color="#000000" endarrow="block"/>
                      </v:shape>
                      <v:shape type="#_x0000_t202" id="_s64" o:spid="_x0000_s64" style="position:absolute;left:4636;top:15221;width:1149;height:412;mso-wrap-style:square;" fillcolor="#FFFFFF" stroked="t" strokeweight="0.5pt">
                        <v:textbox id="855" inset="2.54mm,1.27mm,2.54mm,1.27mm" o:insetmode="custom" style="layout-flow:horizontal;v-text-anchor:top;">
                          <w:txbxContent>
                            <w:p>
                              <w:pPr>
                                <w:jc w:val="center"/>
                                <w:rPr>
                                  <w:rFonts w:eastAsia="宋体"/>
                                  <w:lang w:val="en-US" w:eastAsia="zh-CN"/>
                                </w:rPr>
                              </w:pPr>
                              <w:r>
                                <w:rPr>
                                  <w:rFonts w:hint="eastAsia"/>
                                  <w:lang w:val="en-US" w:eastAsia="zh-CN"/>
                                </w:rPr>
                                <w:t>生活用水</w:t>
                              </w:r>
                            </w:p>
                          </w:txbxContent>
                        </v:textbox>
                        <v:stroke color="#000000"/>
                      </v:shape>
                      <v:shape type="#_x0000_t32" id="_s65" o:spid="_x0000_s65" style="position:absolute;left:7722;top:15423;width:257;height:6;" filled="f" stroked="t">
                        <v:stroke color="#000000" endarrow="block"/>
                      </v:shape>
                      <v:shape type="#_x0000_t32" id="_s66" o:spid="_x0000_s66" style="position:absolute;left:5786;top:15423;width:785;height:5;flip:y;" filled="f" stroked="t">
                        <v:stroke color="#000000" endarrow="block"/>
                      </v:shape>
                      <v:shape type="#_x0000_t32" id="_s67" o:spid="_x0000_s67" style="position:absolute;left:7112;top:16236;width:492;height:1;flip:x;" filled="f" stroked="t">
                        <v:stroke color="#000000" endarrow="block"/>
                      </v:shape>
                      <v:shape type="#_x0000_t202" id="_s68" o:spid="_x0000_s68" style="position:absolute;left:7979;top:15222;width:1715;height:412;mso-wrap-style:square;" fillcolor="#FFFFFF" stroked="t" strokeweight="0.5pt">
                        <v:textbox id="856" inset="2.54mm,1.27mm,2.54mm,1.27mm" o:insetmode="custom" style="layout-flow:horizontal;v-text-anchor:top;">
                          <w:txbxContent>
                            <w:p>
                              <w:pPr>
                                <w:jc w:val="center"/>
                                <w:rPr>
                                  <w:rFonts w:eastAsia="宋体"/>
                                  <w:lang w:val="en-US" w:eastAsia="zh-CN"/>
                                </w:rPr>
                              </w:pPr>
                              <w:r>
                                <w:rPr>
                                  <w:rFonts w:hint="eastAsia"/>
                                  <w:lang w:val="en-US" w:eastAsia="zh-CN"/>
                                </w:rPr>
                                <w:t>市政污水管网</w:t>
                              </w:r>
                            </w:p>
                          </w:txbxContent>
                        </v:textbox>
                        <v:stroke color="#000000"/>
                      </v:shape>
                      <v:shape type="#_x0000_t202" id="_s69" o:spid="_x0000_s69" style="position:absolute;left:7604;top:16029;width:2455;height:412;mso-wrap-style:square;" fillcolor="#FFFFFF" stroked="t" strokeweight="0.5pt">
                        <v:textbox id="857" inset="2.54mm,1.27mm,2.54mm,1.27mm" o:insetmode="custom" style="layout-flow:horizontal;v-text-anchor:top;">
                          <w:txbxContent>
                            <w:p>
                              <w:pPr>
                                <w:jc w:val="center"/>
                                <w:rPr>
                                  <w:rFonts w:hint="eastAsia"/>
                                  <w:sz w:val="21"/>
                                  <w:szCs w:val="21"/>
                                  <w:lang w:val="en-US" w:eastAsia="zh-CN"/>
                                </w:rPr>
                              </w:pPr>
                              <w:r>
                                <w:rPr>
                                  <w:rFonts w:hint="eastAsia"/>
                                  <w:sz w:val="21"/>
                                  <w:szCs w:val="21"/>
                                  <w:lang w:val="en-US" w:eastAsia="zh-CN"/>
                                </w:rPr>
                                <w:t>大英县工业污水处理厂</w:t>
                              </w:r>
                            </w:p>
                          </w:txbxContent>
                        </v:textbox>
                        <v:stroke color="#000000"/>
                      </v:shape>
                      <v:shape type="#_x0000_t202" id="_s70" o:spid="_x0000_s70" style="position:absolute;left:2803;top:15223;width:1149;height:412;mso-wrap-style:square;" fillcolor="#FFFFFF" stroked="t" strokeweight="0.5pt">
                        <v:textbox id="858" inset="2.54mm,1.27mm,2.54mm,1.27mm" o:insetmode="custom" style="layout-flow:horizontal;v-text-anchor:top;">
                          <w:txbxContent>
                            <w:p>
                              <w:pPr>
                                <w:jc w:val="center"/>
                                <w:rPr>
                                  <w:rFonts w:eastAsia="宋体" w:hint="eastAsia"/>
                                  <w:lang w:val="en-US" w:eastAsia="zh-CN"/>
                                </w:rPr>
                              </w:pPr>
                              <w:r>
                                <w:rPr>
                                  <w:rFonts w:hint="eastAsia"/>
                                  <w:lang w:val="en-US" w:eastAsia="zh-CN"/>
                                </w:rPr>
                                <w:t>新鲜水</w:t>
                              </w:r>
                            </w:p>
                          </w:txbxContent>
                        </v:textbox>
                        <v:stroke color="#000000"/>
                      </v:shape>
                      <v:shape type="#_x0000_t202" id="_s71" o:spid="_x0000_s71" style="position:absolute;left:5785;top:15021;width:778;height:413;mso-wrap-style:square;" filled="f" stroked="f">
                        <v:textbox id="859" inset="2.54mm,1.27mm,2.54mm,1.27mm" o:insetmode="custom" style="layout-flow:horizontal;v-text-anchor:top;">
                          <w:txbxContent>
                            <w:p>
                              <w:pPr>
                                <w:jc w:val="center"/>
                                <w:rPr>
                                  <w:rFonts w:ascii="Times New Roman" w:eastAsia="宋体" w:cs="Times New Roman" w:hAnsi="Times New Roman"/>
                                  <w:sz w:val="18"/>
                                  <w:szCs w:val="18"/>
                                  <w:lang w:val="en-US" w:eastAsia="zh-CN"/>
                                </w:rPr>
                              </w:pPr>
                              <w:r>
                                <w:rPr>
                                  <w:rFonts w:cs="Times New Roman" w:hint="eastAsia"/>
                                  <w:sz w:val="21"/>
                                  <w:szCs w:val="21"/>
                                  <w:lang w:val="en-US" w:eastAsia="zh-CN"/>
                                </w:rPr>
                                <w:t>153</w:t>
                              </w:r>
                            </w:p>
                          </w:txbxContent>
                        </v:textbox>
                        <v:stroke color="#000000"/>
                      </v:shape>
                      <v:shape type="#_x0000_t202" id="_s72" o:spid="_x0000_s72" style="position:absolute;left:8814;top:15600;width:764;height:404;mso-wrap-style:square;" filled="f" stroked="f">
                        <v:textbox id="860" inset="2.54mm,1.27mm,2.54mm,1.27mm" o:insetmode="custom" style="layout-flow:horizontal;v-text-anchor:top;">
                          <w:txbxContent>
                            <w:p>
                              <w:pPr>
                                <w:jc w:val="center"/>
                                <w:rPr>
                                  <w:rFonts w:ascii="Times New Roman" w:eastAsia="宋体" w:cs="Times New Roman" w:hAnsi="Times New Roman"/>
                                  <w:sz w:val="20"/>
                                  <w:szCs w:val="22"/>
                                  <w:lang w:val="en-US" w:eastAsia="zh-CN"/>
                                </w:rPr>
                              </w:pPr>
                              <w:r>
                                <w:rPr>
                                  <w:rFonts w:cs="Times New Roman" w:hint="eastAsia"/>
                                  <w:sz w:val="20"/>
                                  <w:szCs w:val="22"/>
                                  <w:lang w:val="en-US" w:eastAsia="zh-CN"/>
                                </w:rPr>
                                <w:t>153</w:t>
                              </w:r>
                            </w:p>
                          </w:txbxContent>
                        </v:textbox>
                        <v:stroke color="#000000"/>
                      </v:shape>
                      <v:shape type="#_x0000_t37" id="_s73" o:spid="_x0000_s73" style="position:absolute;left:5195;top:14626;width:611;height:579;rotation:270.0;" filled="f" stroked="t">
                        <v:stroke dashstyle="dash" color="#000000" endarrow="block"/>
                      </v:shape>
                      <v:shape type="#_x0000_t202" id="_s74" o:spid="_x0000_s74" style="position:absolute;left:5790;top:14403;width:1149;height:412;mso-wrap-style:square;" fillcolor="#FFFFFF" stroked="t" strokeweight="0.5pt">
                        <v:textbox id="861" inset="2.54mm,1.27mm,2.54mm,1.27mm" o:insetmode="custom" style="layout-flow:horizontal;v-text-anchor:top;">
                          <w:txbxContent>
                            <w:p>
                              <w:pPr>
                                <w:jc w:val="center"/>
                                <w:rPr>
                                  <w:rFonts w:ascii="Times New Roman" w:eastAsia="宋体" w:cs="Times New Roman" w:hAnsi="Times New Roman"/>
                                  <w:sz w:val="20"/>
                                  <w:szCs w:val="22"/>
                                  <w:lang w:val="en-US" w:eastAsia="zh-CN"/>
                                </w:rPr>
                              </w:pPr>
                              <w:r>
                                <w:rPr>
                                  <w:rFonts w:ascii="Times New Roman" w:cs="Times New Roman" w:hAnsi="Times New Roman"/>
                                  <w:sz w:val="20"/>
                                  <w:szCs w:val="22"/>
                                  <w:lang w:val="en-US" w:eastAsia="zh-CN"/>
                                </w:rPr>
                                <w:t>损失</w:t>
                              </w:r>
                              <w:r>
                                <w:rPr>
                                  <w:rFonts w:cs="Times New Roman" w:hint="eastAsia"/>
                                  <w:sz w:val="20"/>
                                  <w:szCs w:val="22"/>
                                  <w:lang w:val="en-US" w:eastAsia="zh-CN"/>
                                </w:rPr>
                                <w:t>27</w:t>
                              </w:r>
                            </w:p>
                          </w:txbxContent>
                        </v:textbox>
                        <v:stroke color="#000000"/>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p>
          <w:p>
            <w:pPr>
              <w:spacing w:line="360" w:lineRule="auto"/>
              <w:jc w:val="both"/>
              <w:rPr>
                <w:rFonts w:cs="Times New Roman" w:hint="eastAsia"/>
                <w:b/>
                <w:bCs/>
                <w:color w:val="auto"/>
                <w:sz w:val="21"/>
                <w:szCs w:val="21"/>
                <w:lang w:val="en-US" w:eastAsia="zh-CN"/>
              </w:rPr>
            </w:pPr>
          </w:p>
          <w:p>
            <w:pPr>
              <w:spacing w:line="360" w:lineRule="auto"/>
              <w:jc w:val="center"/>
              <w:rPr>
                <w:rFonts w:cs="Times New Roman" w:hint="eastAsia"/>
                <w:b/>
                <w:bCs/>
                <w:color w:val="auto"/>
                <w:sz w:val="21"/>
                <w:szCs w:val="21"/>
                <w:lang w:val="en-US" w:eastAsia="zh-CN"/>
              </w:rPr>
            </w:pPr>
            <w:r>
              <w:rPr>
                <w:rFonts w:cs="Times New Roman" w:hint="eastAsia"/>
                <w:b/>
                <w:bCs/>
                <w:color w:val="auto"/>
                <w:sz w:val="21"/>
                <w:szCs w:val="21"/>
                <w:lang w:val="en-US" w:eastAsia="zh-CN"/>
              </w:rPr>
              <w:t>图2-1 项目水平衡 （m</w:t>
            </w:r>
            <w:r>
              <w:rPr>
                <w:rFonts w:cs="Times New Roman" w:hint="eastAsia"/>
                <w:b/>
                <w:bCs/>
                <w:color w:val="auto"/>
                <w:sz w:val="21"/>
                <w:szCs w:val="21"/>
                <w:vertAlign w:val="superscript"/>
                <w:lang w:val="en-US" w:eastAsia="zh-CN"/>
              </w:rPr>
              <w:t>3</w:t>
            </w:r>
            <w:r>
              <w:rPr>
                <w:rFonts w:cs="Times New Roman" w:hint="eastAsia"/>
                <w:b/>
                <w:bCs/>
                <w:color w:val="auto"/>
                <w:sz w:val="21"/>
                <w:szCs w:val="21"/>
                <w:lang w:val="en-US" w:eastAsia="zh-CN"/>
              </w:rPr>
              <w:t>/a）</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b/>
                <w:bCs/>
                <w:color w:val="auto"/>
                <w:sz w:val="24"/>
                <w:szCs w:val="24"/>
                <w:lang w:val="en-US" w:eastAsia="zh-CN"/>
              </w:rPr>
              <w:t>供电：</w:t>
            </w:r>
            <w:r>
              <w:rPr>
                <w:rFonts w:cs="Times New Roman" w:hint="eastAsia"/>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firstLine="0"/>
              <w:jc w:val="both"/>
              <w:textAlignment w:val="auto"/>
              <w:rPr>
                <w:rFonts w:cs="Times New Roman" w:hint="eastAsia"/>
                <w:b/>
                <w:bCs/>
                <w:color w:val="auto"/>
                <w:sz w:val="24"/>
                <w:szCs w:val="24"/>
                <w:lang w:val="en-US" w:eastAsia="zh-CN"/>
              </w:rPr>
            </w:pPr>
            <w:r>
              <w:rPr>
                <w:rFonts w:cs="Times New Roman" w:hint="eastAsia"/>
                <w:b/>
                <w:bCs/>
                <w:color w:val="auto"/>
                <w:sz w:val="24"/>
                <w:szCs w:val="24"/>
                <w:lang w:val="en-US" w:eastAsia="zh-CN"/>
              </w:rPr>
              <w:t>依托工程</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color w:val="auto"/>
                <w:sz w:val="24"/>
                <w:szCs w:val="24"/>
                <w:lang w:val="en-US" w:eastAsia="zh-CN"/>
              </w:rPr>
            </w:pPr>
            <w:r>
              <w:rPr>
                <w:rFonts w:cs="Times New Roman" w:hint="eastAsia"/>
                <w:color w:val="auto"/>
                <w:sz w:val="24"/>
                <w:szCs w:val="24"/>
                <w:lang w:val="en-US" w:eastAsia="zh-CN"/>
              </w:rPr>
              <w:t>本项目依托情况如下表所示：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cs="Times New Roman" w:hint="eastAsia"/>
                <w:b/>
                <w:bCs/>
                <w:color w:val="auto"/>
                <w:sz w:val="21"/>
                <w:szCs w:val="21"/>
                <w:lang w:val="en-US" w:eastAsia="zh-CN"/>
              </w:rPr>
            </w:pPr>
            <w:r>
              <w:rPr>
                <w:rFonts w:cs="Times New Roman" w:hint="eastAsia"/>
                <w:b/>
                <w:bCs/>
                <w:color w:val="auto"/>
                <w:sz w:val="21"/>
                <w:szCs w:val="21"/>
                <w:lang w:val="en-US" w:eastAsia="zh-CN"/>
              </w:rPr>
              <w:t>表2-6 项目依托工程一览表</w:t>
            </w:r>
          </w:p>
          <w:tbl>
            <w:tblPr>
              <w:jc w:val="left"/>
              <w:tblInd w:w="0" w:type="dxa"/>
              <w:tblW w:w="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85"/>
              <w:gridCol w:w="1305"/>
              <w:gridCol w:w="3720"/>
              <w:gridCol w:w="2718"/>
            </w:tblGrid>
            <w:tr>
              <w:tc>
                <w:tcPr>
                  <w:tcW w:w="6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类别</w:t>
                  </w:r>
                </w:p>
              </w:tc>
              <w:tc>
                <w:tcPr>
                  <w:tcW w:w="13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名称</w:t>
                  </w:r>
                </w:p>
              </w:tc>
              <w:tc>
                <w:tcPr>
                  <w:tcW w:w="37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依托内容</w:t>
                  </w:r>
                </w:p>
              </w:tc>
              <w:tc>
                <w:tcPr>
                  <w:tcW w:w="27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依托能力分析</w:t>
                  </w:r>
                </w:p>
              </w:tc>
            </w:tr>
            <w:tr>
              <w:tc>
                <w:tcPr>
                  <w:tcW w:w="685" w:type="dxa"/>
                  <w:vMerge w:val="restart"/>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公共工程</w:t>
                  </w:r>
                </w:p>
              </w:tc>
              <w:tc>
                <w:tcPr>
                  <w:tcW w:w="130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供排水系统</w:t>
                  </w:r>
                </w:p>
              </w:tc>
              <w:tc>
                <w:tcPr>
                  <w:tcW w:w="372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采用雨、污分流制，排水接入园区管网</w:t>
                  </w:r>
                </w:p>
              </w:tc>
              <w:tc>
                <w:tcPr>
                  <w:tcW w:w="2718"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供排水系统已经建成，依托可行</w:t>
                  </w:r>
                </w:p>
              </w:tc>
            </w:tr>
            <w:tr>
              <w:tc>
                <w:tcPr>
                  <w:tcW w:w="685" w:type="dxa"/>
                  <w:vMerge/>
                  <w:tcBorders>
                    <w:top w:val="single" w:sz="4" w:space="0" w:color="auto"/>
                    <w:left w:val="single" w:sz="4" w:space="0" w:color="auto"/>
                    <w:right w:val="single" w:sz="4" w:space="0" w:color="auto"/>
                  </w:tcBorders>
                  <w:vAlign w:val="center"/>
                </w:tcPr>
                <w:p/>
              </w:tc>
              <w:tc>
                <w:tcPr>
                  <w:tcW w:w="130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供电系统</w:t>
                  </w:r>
                </w:p>
              </w:tc>
              <w:tc>
                <w:tcPr>
                  <w:tcW w:w="372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由市政电网供给，能满足本项目的需求</w:t>
                  </w:r>
                </w:p>
              </w:tc>
              <w:tc>
                <w:tcPr>
                  <w:tcW w:w="2718"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依托可行</w:t>
                  </w:r>
                </w:p>
              </w:tc>
            </w:tr>
            <w:tr>
              <w:tc>
                <w:tcPr>
                  <w:tcW w:w="68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环保工程</w:t>
                  </w:r>
                </w:p>
              </w:tc>
              <w:tc>
                <w:tcPr>
                  <w:tcW w:w="130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生活污水预处理池</w:t>
                  </w:r>
                </w:p>
              </w:tc>
              <w:tc>
                <w:tcPr>
                  <w:tcW w:w="372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租赁厂区东南侧</w:t>
                  </w:r>
                  <w:r>
                    <w:rPr>
                      <w:rFonts w:ascii="Times New Roman" w:eastAsia="宋体" w:cs="Times New Roman" w:hAnsi="Times New Roman"/>
                      <w:color w:val="auto"/>
                      <w:sz w:val="21"/>
                      <w:szCs w:val="21"/>
                      <w:vertAlign w:val="baseline"/>
                      <w:lang w:val="en-US" w:eastAsia="zh-CN"/>
                    </w:rPr>
                    <w:t>己建容积为</w:t>
                  </w:r>
                  <w:r>
                    <w:rPr>
                      <w:rFonts w:cs="Times New Roman" w:hint="eastAsia"/>
                      <w:color w:val="auto"/>
                      <w:sz w:val="21"/>
                      <w:szCs w:val="21"/>
                      <w:vertAlign w:val="baseline"/>
                      <w:lang w:val="en-US" w:eastAsia="zh-CN"/>
                    </w:rPr>
                    <w:t>100.0</w:t>
                  </w:r>
                  <w:r>
                    <w:rPr>
                      <w:rFonts w:ascii="Times New Roman" w:eastAsia="宋体" w:cs="Times New Roman" w:hAnsi="Times New Roman"/>
                      <w:color w:val="auto"/>
                      <w:sz w:val="21"/>
                      <w:szCs w:val="21"/>
                      <w:vertAlign w:val="baseline"/>
                      <w:lang w:val="en-US" w:eastAsia="zh-CN"/>
                    </w:rPr>
                    <w:t>m</w:t>
                  </w:r>
                  <w:r>
                    <w:rPr>
                      <w:rFonts w:ascii="Times New Roman" w:eastAsia="宋体" w:cs="Times New Roman" w:hAnsi="Times New Roman"/>
                      <w:color w:val="auto"/>
                      <w:sz w:val="21"/>
                      <w:szCs w:val="21"/>
                      <w:vertAlign w:val="superscript"/>
                      <w:lang w:val="en-US" w:eastAsia="zh-CN"/>
                    </w:rPr>
                    <w:t>3</w:t>
                  </w:r>
                  <w:r>
                    <w:rPr>
                      <w:rFonts w:ascii="Times New Roman" w:eastAsia="宋体" w:cs="Times New Roman" w:hAnsi="Times New Roman"/>
                      <w:color w:val="auto"/>
                      <w:sz w:val="21"/>
                      <w:szCs w:val="21"/>
                      <w:vertAlign w:val="baseline"/>
                      <w:lang w:val="en-US" w:eastAsia="zh-CN"/>
                    </w:rPr>
                    <w:t>地埋式</w:t>
                  </w:r>
                  <w:r>
                    <w:rPr>
                      <w:rFonts w:cs="Times New Roman" w:hint="eastAsia"/>
                      <w:color w:val="auto"/>
                      <w:sz w:val="21"/>
                      <w:szCs w:val="21"/>
                      <w:vertAlign w:val="baseline"/>
                      <w:lang w:val="en-US" w:eastAsia="zh-CN"/>
                    </w:rPr>
                    <w:t>预处理池；</w:t>
                  </w:r>
                  <w:r>
                    <w:rPr>
                      <w:rFonts w:ascii="Times New Roman" w:eastAsia="宋体" w:cs="Times New Roman" w:hAnsi="Times New Roman"/>
                      <w:color w:val="auto"/>
                      <w:sz w:val="21"/>
                      <w:szCs w:val="21"/>
                      <w:vertAlign w:val="baseline"/>
                      <w:lang w:val="en-US" w:eastAsia="zh-CN"/>
                    </w:rPr>
                    <w:t>根据现场调查，</w:t>
                  </w:r>
                  <w:r>
                    <w:rPr>
                      <w:rFonts w:cs="Times New Roman" w:hint="eastAsia"/>
                      <w:color w:val="auto"/>
                      <w:sz w:val="21"/>
                      <w:szCs w:val="21"/>
                      <w:vertAlign w:val="baseline"/>
                      <w:lang w:val="en-US" w:eastAsia="zh-CN"/>
                    </w:rPr>
                    <w:t>预处理池</w:t>
                  </w:r>
                  <w:r>
                    <w:rPr>
                      <w:rFonts w:ascii="Times New Roman" w:eastAsia="宋体" w:cs="Times New Roman" w:hAnsi="Times New Roman"/>
                      <w:color w:val="auto"/>
                      <w:sz w:val="21"/>
                      <w:szCs w:val="21"/>
                      <w:vertAlign w:val="baseline"/>
                      <w:lang w:val="en-US" w:eastAsia="zh-CN"/>
                    </w:rPr>
                    <w:t>剩余容积约</w:t>
                  </w:r>
                  <w:r>
                    <w:rPr>
                      <w:rFonts w:cs="Times New Roman" w:hint="eastAsia"/>
                      <w:color w:val="auto"/>
                      <w:sz w:val="21"/>
                      <w:szCs w:val="21"/>
                      <w:vertAlign w:val="baseline"/>
                      <w:lang w:val="en-US" w:eastAsia="zh-CN"/>
                    </w:rPr>
                    <w:t>45.5.0</w:t>
                  </w:r>
                  <w:r>
                    <w:rPr>
                      <w:rFonts w:ascii="Times New Roman" w:eastAsia="宋体" w:cs="Times New Roman" w:hAnsi="Times New Roman"/>
                      <w:color w:val="auto"/>
                      <w:sz w:val="21"/>
                      <w:szCs w:val="21"/>
                      <w:vertAlign w:val="baseline"/>
                      <w:lang w:val="en-US" w:eastAsia="zh-CN"/>
                    </w:rPr>
                    <w:t>m</w:t>
                  </w:r>
                  <w:r>
                    <w:rPr>
                      <w:rFonts w:ascii="Times New Roman" w:eastAsia="宋体" w:cs="Times New Roman" w:hAnsi="Times New Roman"/>
                      <w:color w:val="auto"/>
                      <w:sz w:val="21"/>
                      <w:szCs w:val="21"/>
                      <w:vertAlign w:val="superscript"/>
                      <w:lang w:val="en-US" w:eastAsia="zh-CN"/>
                    </w:rPr>
                    <w:t>3</w:t>
                  </w:r>
                  <w:r>
                    <w:rPr>
                      <w:rFonts w:ascii="Times New Roman" w:eastAsia="宋体" w:cs="Times New Roman" w:hAnsi="Times New Roman"/>
                      <w:color w:val="auto"/>
                      <w:sz w:val="21"/>
                      <w:szCs w:val="21"/>
                      <w:vertAlign w:val="baseline"/>
                      <w:lang w:val="en-US" w:eastAsia="zh-CN"/>
                    </w:rPr>
                    <w:t>，该</w:t>
                  </w:r>
                  <w:r>
                    <w:rPr>
                      <w:rFonts w:cs="Times New Roman" w:hint="eastAsia"/>
                      <w:color w:val="auto"/>
                      <w:sz w:val="21"/>
                      <w:szCs w:val="21"/>
                      <w:vertAlign w:val="baseline"/>
                      <w:lang w:val="en-US" w:eastAsia="zh-CN"/>
                    </w:rPr>
                    <w:t>预处理池</w:t>
                  </w:r>
                  <w:r>
                    <w:rPr>
                      <w:rFonts w:ascii="Times New Roman" w:eastAsia="宋体" w:cs="Times New Roman" w:hAnsi="Times New Roman"/>
                      <w:color w:val="auto"/>
                      <w:sz w:val="21"/>
                      <w:szCs w:val="21"/>
                      <w:vertAlign w:val="baseline"/>
                      <w:lang w:val="en-US" w:eastAsia="zh-CN"/>
                    </w:rPr>
                    <w:t>尚有充足的剩余处理能力</w:t>
                  </w:r>
                  <w:r>
                    <w:rPr>
                      <w:rFonts w:cs="Times New Roman" w:hint="eastAsia"/>
                      <w:color w:val="auto"/>
                      <w:sz w:val="21"/>
                      <w:szCs w:val="21"/>
                      <w:vertAlign w:val="baseline"/>
                      <w:lang w:val="en-US" w:eastAsia="zh-CN"/>
                    </w:rPr>
                    <w:t>。</w:t>
                  </w:r>
                </w:p>
              </w:tc>
              <w:tc>
                <w:tcPr>
                  <w:tcW w:w="2718"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项目只</w:t>
                  </w:r>
                  <w:r>
                    <w:rPr>
                      <w:rFonts w:cs="Times New Roman" w:hint="eastAsia"/>
                      <w:color w:val="auto"/>
                      <w:sz w:val="21"/>
                      <w:szCs w:val="21"/>
                      <w:vertAlign w:val="baseline"/>
                      <w:lang w:val="en-US" w:eastAsia="zh-CN"/>
                    </w:rPr>
                    <w:t>外排</w:t>
                  </w:r>
                  <w:r>
                    <w:rPr>
                      <w:rFonts w:ascii="Times New Roman" w:eastAsia="宋体" w:cs="Times New Roman" w:hAnsi="Times New Roman"/>
                      <w:color w:val="auto"/>
                      <w:sz w:val="21"/>
                      <w:szCs w:val="21"/>
                      <w:vertAlign w:val="baseline"/>
                      <w:lang w:val="en-US" w:eastAsia="zh-CN"/>
                    </w:rPr>
                    <w:t>生活污水，产生量为</w:t>
                  </w:r>
                  <w:r>
                    <w:rPr>
                      <w:rFonts w:cs="Times New Roman" w:hint="eastAsia"/>
                      <w:color w:val="auto"/>
                      <w:sz w:val="21"/>
                      <w:szCs w:val="21"/>
                      <w:vertAlign w:val="baseline"/>
                      <w:lang w:val="en-US" w:eastAsia="zh-CN"/>
                    </w:rPr>
                    <w:t>0.51</w:t>
                  </w:r>
                  <w:r>
                    <w:rPr>
                      <w:rFonts w:ascii="Times New Roman" w:eastAsia="宋体" w:cs="Times New Roman" w:hAnsi="Times New Roman"/>
                      <w:color w:val="auto"/>
                      <w:sz w:val="21"/>
                      <w:szCs w:val="21"/>
                      <w:vertAlign w:val="baseline"/>
                      <w:lang w:val="en-US" w:eastAsia="zh-CN"/>
                    </w:rPr>
                    <w:t>m</w:t>
                  </w:r>
                  <w:r>
                    <w:rPr>
                      <w:rFonts w:ascii="Times New Roman" w:eastAsia="宋体" w:cs="Times New Roman" w:hAnsi="Times New Roman"/>
                      <w:color w:val="auto"/>
                      <w:sz w:val="21"/>
                      <w:szCs w:val="21"/>
                      <w:vertAlign w:val="superscript"/>
                      <w:lang w:val="en-US" w:eastAsia="zh-CN"/>
                    </w:rPr>
                    <w:t>3</w:t>
                  </w:r>
                  <w:r>
                    <w:rPr>
                      <w:rFonts w:ascii="Times New Roman" w:eastAsia="宋体" w:cs="Times New Roman" w:hAnsi="Times New Roman"/>
                      <w:color w:val="auto"/>
                      <w:sz w:val="21"/>
                      <w:szCs w:val="21"/>
                      <w:vertAlign w:val="baseline"/>
                      <w:lang w:val="en-US" w:eastAsia="zh-CN"/>
                    </w:rPr>
                    <w:t>/d，占</w:t>
                  </w:r>
                  <w:r>
                    <w:rPr>
                      <w:rFonts w:cs="Times New Roman" w:hint="eastAsia"/>
                      <w:color w:val="auto"/>
                      <w:sz w:val="21"/>
                      <w:szCs w:val="21"/>
                      <w:vertAlign w:val="baseline"/>
                      <w:lang w:val="en-US" w:eastAsia="zh-CN"/>
                    </w:rPr>
                    <w:t>预处理池</w:t>
                  </w:r>
                  <w:r>
                    <w:rPr>
                      <w:rFonts w:ascii="Times New Roman" w:eastAsia="宋体" w:cs="Times New Roman" w:hAnsi="Times New Roman"/>
                      <w:color w:val="auto"/>
                      <w:sz w:val="21"/>
                      <w:szCs w:val="21"/>
                      <w:vertAlign w:val="baseline"/>
                      <w:lang w:val="en-US" w:eastAsia="zh-CN"/>
                    </w:rPr>
                    <w:t>剩余容积的</w:t>
                  </w:r>
                  <w:r>
                    <w:rPr>
                      <w:rFonts w:cs="Times New Roman" w:hint="eastAsia"/>
                      <w:color w:val="auto"/>
                      <w:sz w:val="21"/>
                      <w:szCs w:val="21"/>
                      <w:vertAlign w:val="baseline"/>
                      <w:lang w:val="en-US" w:eastAsia="zh-CN"/>
                    </w:rPr>
                    <w:t>1.12</w:t>
                  </w:r>
                  <w:r>
                    <w:rPr>
                      <w:rFonts w:ascii="Times New Roman" w:eastAsia="宋体" w:cs="Times New Roman" w:hAnsi="Times New Roman"/>
                      <w:color w:val="auto"/>
                      <w:sz w:val="21"/>
                      <w:szCs w:val="21"/>
                      <w:vertAlign w:val="baseline"/>
                      <w:lang w:val="en-US" w:eastAsia="zh-CN"/>
                    </w:rPr>
                    <w:t>%，污水纳入</w:t>
                  </w:r>
                  <w:r>
                    <w:rPr>
                      <w:rFonts w:cs="Times New Roman" w:hint="eastAsia"/>
                      <w:color w:val="auto"/>
                      <w:sz w:val="21"/>
                      <w:szCs w:val="21"/>
                      <w:vertAlign w:val="baseline"/>
                      <w:lang w:val="en-US" w:eastAsia="zh-CN"/>
                    </w:rPr>
                    <w:t>租赁厂区预处理池</w:t>
                  </w:r>
                  <w:r>
                    <w:rPr>
                      <w:rFonts w:ascii="Times New Roman" w:eastAsia="宋体" w:cs="Times New Roman" w:hAnsi="Times New Roman"/>
                      <w:color w:val="auto"/>
                      <w:sz w:val="21"/>
                      <w:szCs w:val="21"/>
                      <w:vertAlign w:val="baseline"/>
                      <w:lang w:val="en-US" w:eastAsia="zh-CN"/>
                    </w:rPr>
                    <w:t>接纳范围，依托可行</w:t>
                  </w:r>
                  <w:r>
                    <w:rPr>
                      <w:rFonts w:cs="Times New Roman" w:hint="eastAsia"/>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eastAsia="宋体" w:cs="Times New Roman" w:hAnsi="Times New Roman"/>
                <w:color w:val="auto"/>
                <w:sz w:val="24"/>
                <w:szCs w:val="24"/>
                <w:lang w:val="en-US" w:eastAsia="zh-CN"/>
              </w:rPr>
            </w:pPr>
          </w:p>
        </w:tc>
      </w:tr>
      <w:tr>
        <w:trPr>
          <w:trHeight w:val="96"/>
        </w:trPr>
        <w:tc>
          <w:tcPr>
            <w:tcW w:w="532" w:type="pct"/>
            <w:tcBorders>
              <w:top w:val="single" w:sz="4" w:space="0" w:color="auto"/>
              <w:left w:val="single" w:sz="4" w:space="0" w:color="auto"/>
              <w:right w:val="single" w:sz="4" w:space="0" w:color="auto"/>
            </w:tcBorders>
            <w:noWrap/>
            <w:vAlign w:val="center"/>
          </w:tcPr>
          <w:p>
            <w:pPr>
              <w:spacing w:line="360" w:lineRule="auto"/>
              <w:jc w:val="center"/>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工艺流程和产排污</w:t>
            </w:r>
          </w:p>
          <w:p>
            <w:pPr>
              <w:spacing w:line="360" w:lineRule="auto"/>
              <w:jc w:val="center"/>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环节</w:t>
            </w:r>
          </w:p>
        </w:tc>
        <w:tc>
          <w:tcPr>
            <w:tcW w:w="4467" w:type="pct"/>
            <w:tcBorders>
              <w:top w:val="single" w:sz="4" w:space="0" w:color="auto"/>
              <w:left w:val="single" w:sz="4" w:space="0" w:color="auto"/>
              <w:right w:val="single" w:sz="4" w:space="0" w:color="auto"/>
            </w:tcBorders>
            <w:noWrap/>
            <w:vAlign w:val="center"/>
          </w:tcPr>
          <w:p>
            <w:pPr>
              <w:numPr>
                <w:ilvl w:val="0"/>
                <w:numId w:val="33"/>
              </w:num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b/>
                <w:bCs/>
                <w:color w:val="auto"/>
                <w:sz w:val="24"/>
                <w:szCs w:val="24"/>
              </w:rPr>
              <w:t>工艺流程简述</w:t>
            </w:r>
          </w:p>
          <w:p>
            <w:p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lang w:val="en-US" w:eastAsia="zh-CN"/>
              </w:rPr>
              <w:t>根据工程特点</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其对环境影响因素可分为两个阶段</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施工期和营运期</w:t>
            </w:r>
            <w:r>
              <w:rPr>
                <w:rFonts w:ascii="Times New Roman" w:eastAsia="宋体" w:cs="Times New Roman" w:hAnsi="Times New Roman"/>
                <w:color w:val="auto"/>
                <w:sz w:val="24"/>
                <w:szCs w:val="24"/>
              </w:rPr>
              <w:t>。</w:t>
            </w:r>
          </w:p>
          <w:p>
            <w:pPr>
              <w:numPr>
                <w:ilvl w:val="0"/>
                <w:numId w:val="34"/>
              </w:num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b/>
                <w:bCs/>
                <w:color w:val="auto"/>
                <w:sz w:val="24"/>
                <w:szCs w:val="24"/>
              </w:rPr>
              <w:t>施工期工程分析</w:t>
            </w:r>
          </w:p>
          <w:p>
            <w:pPr>
              <w:spacing w:line="360" w:lineRule="auto"/>
              <w:ind w:left="0" w:firstLineChars="200" w:firstLine="480"/>
              <w:jc w:val="both"/>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color w:val="auto"/>
                <w:sz w:val="24"/>
                <w:szCs w:val="24"/>
              </w:rPr>
              <w:t>本项目依托现有标准厂房，施工期无土建工程，主要为设备安装调试；施工期工艺流程及污染物产生点位见下图2-</w:t>
            </w:r>
            <w:r>
              <w:rPr>
                <w:rFonts w:cs="Times New Roman" w:hint="eastAsia"/>
                <w:color w:val="auto"/>
                <w:sz w:val="24"/>
                <w:szCs w:val="24"/>
                <w:lang w:val="en-US" w:eastAsia="zh-CN"/>
              </w:rPr>
              <w:t>2</w:t>
            </w:r>
            <w:r>
              <w:rPr>
                <w:rFonts w:ascii="Times New Roman" w:eastAsia="宋体" w:cs="Times New Roman" w:hAnsi="Times New Roman"/>
                <w:color w:val="auto"/>
                <w:sz w:val="24"/>
                <w:szCs w:val="24"/>
              </w:rPr>
              <w:t>。</w:t>
            </w:r>
          </w:p>
          <w:p>
            <w:pPr>
              <w:spacing w:line="360" w:lineRule="auto"/>
              <w:jc w:val="center"/>
            </w:pPr>
            <w:r>
              <w:drawing>
                <wp:inline distT="0" distB="0" distL="114300" distR="114300">
                  <wp:extent cx="4494530" cy="1933575"/>
                  <wp:effectExtent l="0" t="0" r="37" b="30"/>
                  <wp:docPr id="75" name="图片 7"/>
                  <wp:cNvGraphicFramePr>
                    <a:graphicFrameLocks noChangeAspect="1"/>
                  </wp:cNvGraphicFramePr>
                  <a:graphic>
                    <a:graphicData uri="http://schemas.openxmlformats.org/drawingml/2006/picture">
                      <pic:pic>
                        <pic:nvPicPr>
                          <pic:cNvPr id="77" name="图片 7 77"/>
                          <pic:cNvPicPr/>
                        </pic:nvPicPr>
                        <pic:blipFill>
                          <a:blip r:embed="rId13"/>
                          <a:stretch>
                            <a:fillRect/>
                          </a:stretch>
                        </pic:blipFill>
                        <pic:spPr>
                          <a:xfrm rot="0">
                            <a:off x="0" y="0"/>
                            <a:ext cx="4494530" cy="1933575"/>
                          </a:xfrm>
                          <a:prstGeom prst="rect"/>
                          <a:noFill/>
                          <a:ln w="9525" cmpd="sng" cap="flat">
                            <a:noFill/>
                            <a:prstDash val="solid"/>
                            <a:round/>
                          </a:ln>
                        </pic:spPr>
                      </pic:pic>
                    </a:graphicData>
                  </a:graphic>
                </wp:inline>
              </w:drawing>
            </w:r>
          </w:p>
          <w:p>
            <w:pPr>
              <w:spacing w:line="360" w:lineRule="auto"/>
              <w:jc w:val="center"/>
              <w:rPr>
                <w:rFonts w:ascii="Times New Roman" w:eastAsia="宋体" w:cs="Times New Roman" w:hAnsi="Times New Roman"/>
                <w:b/>
                <w:bCs/>
                <w:color w:val="auto"/>
                <w:sz w:val="21"/>
                <w:szCs w:val="21"/>
                <w:lang w:val="en-US" w:eastAsia="zh-CN"/>
              </w:rPr>
            </w:pPr>
            <w:r>
              <w:rPr>
                <w:rFonts w:ascii="Times New Roman" w:eastAsia="宋体" w:cs="Times New Roman" w:hAnsi="Times New Roman"/>
                <w:b/>
                <w:bCs/>
                <w:color w:val="auto"/>
                <w:sz w:val="21"/>
                <w:szCs w:val="21"/>
                <w:lang w:val="en-US" w:eastAsia="zh-CN"/>
              </w:rPr>
              <w:t>图2-</w:t>
            </w:r>
            <w:r>
              <w:rPr>
                <w:rFonts w:cs="Times New Roman" w:hint="eastAsia"/>
                <w:b/>
                <w:bCs/>
                <w:color w:val="auto"/>
                <w:sz w:val="21"/>
                <w:szCs w:val="21"/>
                <w:lang w:val="en-US" w:eastAsia="zh-CN"/>
              </w:rPr>
              <w:t>2</w:t>
            </w:r>
            <w:r>
              <w:rPr>
                <w:rFonts w:ascii="Times New Roman" w:eastAsia="宋体" w:cs="Times New Roman" w:hAnsi="Times New Roman"/>
                <w:b/>
                <w:bCs/>
                <w:color w:val="auto"/>
                <w:sz w:val="21"/>
                <w:szCs w:val="21"/>
                <w:lang w:val="en-US" w:eastAsia="zh-CN"/>
              </w:rPr>
              <w:t xml:space="preserve"> 施工期工艺流程及产污环节图</w:t>
            </w:r>
          </w:p>
          <w:p>
            <w:p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主要</w:t>
            </w:r>
            <w:r>
              <w:rPr>
                <w:rFonts w:cs="Times New Roman" w:hint="eastAsia"/>
                <w:color w:val="auto"/>
                <w:sz w:val="24"/>
                <w:szCs w:val="24"/>
                <w:lang w:val="en-US" w:eastAsia="zh-CN"/>
              </w:rPr>
              <w:t>施工</w:t>
            </w:r>
            <w:r>
              <w:rPr>
                <w:rFonts w:ascii="Times New Roman" w:eastAsia="宋体" w:cs="Times New Roman" w:hAnsi="Times New Roman"/>
                <w:color w:val="auto"/>
                <w:sz w:val="24"/>
                <w:szCs w:val="24"/>
              </w:rPr>
              <w:t>工序为：</w:t>
            </w:r>
          </w:p>
          <w:p>
            <w:pPr>
              <w:numPr>
                <w:ilvl w:val="0"/>
                <w:numId w:val="35"/>
              </w:num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厂房改造</w:t>
            </w:r>
          </w:p>
          <w:p>
            <w:p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pPr>
              <w:numPr>
                <w:ilvl w:val="0"/>
                <w:numId w:val="35"/>
              </w:num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设备安装</w:t>
            </w:r>
          </w:p>
          <w:p>
            <w:p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主要包括生产设备、废气处理设备和办公设备的安装，其主要污染物为设备安装噪声和废包装材料，施工工人产生的生活污水和生活垃圾等。</w:t>
            </w:r>
          </w:p>
          <w:p>
            <w:pPr>
              <w:numPr>
                <w:ilvl w:val="0"/>
                <w:numId w:val="35"/>
              </w:num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设备调试</w:t>
            </w:r>
          </w:p>
          <w:p>
            <w:pPr>
              <w:spacing w:line="360" w:lineRule="auto"/>
              <w:ind w:left="0" w:firstLineChars="200" w:firstLine="480"/>
              <w:jc w:val="both"/>
              <w:rPr>
                <w:rFonts w:ascii="Times New Roman" w:eastAsia="宋体" w:cs="Times New Roman" w:hAnsi="Times New Roman"/>
                <w:color w:val="auto"/>
                <w:sz w:val="24"/>
                <w:szCs w:val="24"/>
              </w:rPr>
            </w:pPr>
            <w:r>
              <w:rPr>
                <w:rFonts w:ascii="Times New Roman" w:eastAsia="宋体" w:cs="Times New Roman" w:hAnsi="Times New Roman"/>
                <w:color w:val="auto"/>
                <w:sz w:val="24"/>
                <w:szCs w:val="24"/>
              </w:rPr>
              <w:t>设备调试阶段和废气处理设备运行时将产生设备噪声，施工工人产生的生活污水和生活垃圾等。</w:t>
            </w:r>
          </w:p>
          <w:p>
            <w:pPr>
              <w:spacing w:line="360" w:lineRule="auto"/>
              <w:ind w:left="0" w:firstLineChars="200" w:firstLine="480"/>
              <w:jc w:val="both"/>
              <w:rPr>
                <w:rFonts w:eastAsia="宋体" w:hint="eastAsia"/>
                <w:sz w:val="24"/>
                <w:szCs w:val="24"/>
                <w:lang w:val="en-US" w:eastAsia="zh-CN"/>
              </w:rPr>
            </w:pPr>
            <w:r>
              <w:rPr>
                <w:rFonts w:ascii="Times New Roman" w:eastAsia="宋体" w:cs="Times New Roman" w:hAnsi="Times New Roman"/>
                <w:color w:val="auto"/>
                <w:sz w:val="24"/>
                <w:szCs w:val="24"/>
              </w:rPr>
              <w:t>由于施工期污染物排放量均很少，时间</w:t>
            </w:r>
            <w:r>
              <w:rPr>
                <w:rFonts w:cs="Times New Roman" w:hint="eastAsia"/>
                <w:color w:val="auto"/>
                <w:sz w:val="24"/>
                <w:szCs w:val="24"/>
                <w:lang w:val="en-US" w:eastAsia="zh-CN"/>
              </w:rPr>
              <w:t>较</w:t>
            </w:r>
            <w:r>
              <w:rPr>
                <w:rFonts w:ascii="Times New Roman" w:eastAsia="宋体" w:cs="Times New Roman" w:hAnsi="Times New Roman"/>
                <w:color w:val="auto"/>
                <w:sz w:val="24"/>
                <w:szCs w:val="24"/>
              </w:rPr>
              <w:t>短，不会对环境产生显著影响。因此，本报告不再对施工期环境影响进行进一步评价</w:t>
            </w:r>
            <w:r>
              <w:rPr>
                <w:rFonts w:cs="Times New Roman" w:hint="eastAsia"/>
                <w:color w:val="auto"/>
                <w:sz w:val="24"/>
                <w:szCs w:val="24"/>
                <w:lang w:eastAsia="zh-CN"/>
              </w:rPr>
              <w:t>。</w:t>
            </w:r>
          </w:p>
          <w:p>
            <w:pPr>
              <w:numPr>
                <w:ilvl w:val="0"/>
                <w:numId w:val="34"/>
              </w:numPr>
              <w:spacing w:line="360" w:lineRule="auto"/>
              <w:ind w:left="0" w:firstLineChars="200" w:firstLine="480"/>
              <w:jc w:val="both"/>
              <w:rPr>
                <w:rFonts w:ascii="Times New Roman" w:eastAsia="宋体" w:cs="Times New Roman" w:hAnsi="Times New Roman"/>
                <w:b/>
                <w:bCs/>
                <w:color w:val="auto"/>
                <w:sz w:val="24"/>
                <w:szCs w:val="24"/>
              </w:rPr>
            </w:pPr>
            <w:r>
              <w:rPr>
                <w:rFonts w:ascii="Times New Roman" w:eastAsia="宋体" w:cs="Times New Roman" w:hAnsi="Times New Roman"/>
                <w:b/>
                <w:bCs/>
                <w:color w:val="auto"/>
                <w:sz w:val="24"/>
                <w:szCs w:val="24"/>
              </w:rPr>
              <w:t>营运期工艺分析</w:t>
            </w:r>
          </w:p>
          <w:p>
            <w:pPr>
              <w:numPr>
                <w:ilvl w:val="0"/>
                <w:numId w:val="36"/>
              </w:numPr>
              <w:spacing w:line="360" w:lineRule="auto"/>
              <w:ind w:left="0" w:firstLineChars="200" w:firstLine="480"/>
              <w:jc w:val="both"/>
              <w:rPr>
                <w:rFonts w:cs="Times New Roman" w:hint="eastAsia"/>
                <w:b w:val="0"/>
                <w:bCs w:val="0"/>
                <w:color w:val="auto"/>
                <w:sz w:val="24"/>
                <w:szCs w:val="24"/>
                <w:lang w:val="en-US" w:eastAsia="zh-CN"/>
              </w:rPr>
            </w:pPr>
            <w:r>
              <w:rPr>
                <w:rFonts w:ascii="Times New Roman" w:eastAsia="宋体" w:cs="Times New Roman" w:hAnsi="Times New Roman"/>
                <w:b/>
                <w:bCs/>
                <w:color w:val="auto"/>
                <w:sz w:val="24"/>
                <w:szCs w:val="24"/>
              </w:rPr>
              <w:t>营运期工艺流程</w:t>
            </w:r>
          </w:p>
          <w:p>
            <w:pPr>
              <w:spacing w:line="360" w:lineRule="auto"/>
              <w:ind w:left="0" w:firstLineChars="200" w:firstLine="480"/>
              <w:jc w:val="both"/>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本项目废旧电脑服务器、通讯设备、网络设备、电子类医疗仪器及光伏板组件等电器电子设备拆解共用一条拆解线。</w:t>
            </w:r>
          </w:p>
          <w:p>
            <w:pPr>
              <w:spacing w:line="360" w:lineRule="auto"/>
              <w:ind w:left="0" w:firstLineChars="200" w:firstLine="480"/>
              <w:jc w:val="both"/>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本项目主要对废旧电子设备进行检测、拆解及重新组装，不涉及锡焊等维修作业，</w:t>
            </w:r>
            <w:r>
              <w:rPr>
                <w:rFonts w:ascii="Times New Roman" w:eastAsia="宋体" w:cs="Times New Roman" w:hAnsi="Times New Roman"/>
                <w:b w:val="0"/>
                <w:bCs w:val="0"/>
                <w:i w:val="0"/>
                <w:iCs w:val="0"/>
                <w:color w:val="auto"/>
                <w:sz w:val="24"/>
                <w:szCs w:val="24"/>
                <w:lang w:val="en-US" w:eastAsia="zh-CN"/>
              </w:rPr>
              <w:t>清灰</w:t>
            </w:r>
            <w:r>
              <w:rPr>
                <w:rFonts w:cs="Times New Roman" w:hint="eastAsia"/>
                <w:b w:val="0"/>
                <w:bCs w:val="0"/>
                <w:i w:val="0"/>
                <w:iCs w:val="0"/>
                <w:color w:val="auto"/>
                <w:sz w:val="24"/>
                <w:szCs w:val="24"/>
                <w:lang w:val="en-US" w:eastAsia="zh-CN"/>
              </w:rPr>
              <w:t>及后续</w:t>
            </w:r>
            <w:r>
              <w:rPr>
                <w:rFonts w:ascii="Times New Roman" w:eastAsia="宋体" w:cs="Times New Roman" w:hAnsi="Times New Roman"/>
                <w:b w:val="0"/>
                <w:bCs w:val="0"/>
                <w:i w:val="0"/>
                <w:iCs w:val="0"/>
                <w:color w:val="auto"/>
                <w:sz w:val="24"/>
                <w:szCs w:val="24"/>
                <w:lang w:val="en-US" w:eastAsia="zh-CN"/>
              </w:rPr>
              <w:t>筛拆解</w:t>
            </w:r>
            <w:r>
              <w:rPr>
                <w:rFonts w:cs="Times New Roman" w:hint="eastAsia"/>
                <w:b w:val="0"/>
                <w:bCs w:val="0"/>
                <w:i w:val="0"/>
                <w:iCs w:val="0"/>
                <w:color w:val="auto"/>
                <w:sz w:val="24"/>
                <w:szCs w:val="24"/>
                <w:lang w:val="en-US" w:eastAsia="zh-CN"/>
              </w:rPr>
              <w:t>过程均不涉及清洗及酒精擦拭等作业；</w:t>
            </w:r>
            <w:r>
              <w:rPr>
                <w:rFonts w:cs="Times New Roman" w:hint="eastAsia"/>
                <w:b w:val="0"/>
                <w:bCs w:val="0"/>
                <w:color w:val="auto"/>
                <w:sz w:val="24"/>
                <w:szCs w:val="24"/>
                <w:lang w:val="en-US" w:eastAsia="zh-CN"/>
              </w:rPr>
              <w:t>收购废旧电子产品主要包括废旧电脑服务器、通讯设备、移动基站设备、电子类医疗仪器、大型网络交换机核心网设备、光伏板组件以及非《废弃电器电子产品处理目录》内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参考《废弃电器电子产品规范拆解处理作业及生产管理指南》（2015年版），项目废旧</w:t>
            </w:r>
            <w:r>
              <w:rPr>
                <w:rFonts w:ascii="Times New Roman" w:eastAsia="宋体" w:cs="Times New Roman" w:hAnsi="Times New Roman"/>
                <w:b w:val="0"/>
                <w:bCs w:val="0"/>
                <w:i w:val="0"/>
                <w:iCs w:val="0"/>
                <w:color w:val="auto"/>
                <w:sz w:val="24"/>
                <w:szCs w:val="24"/>
                <w:lang w:val="en-US" w:eastAsia="zh-CN"/>
              </w:rPr>
              <w:t>电子设备</w:t>
            </w:r>
            <w:r>
              <w:rPr>
                <w:rFonts w:cs="Times New Roman" w:hint="eastAsia"/>
                <w:b w:val="0"/>
                <w:bCs w:val="0"/>
                <w:color w:val="auto"/>
                <w:sz w:val="24"/>
                <w:szCs w:val="24"/>
                <w:lang w:val="en-US" w:eastAsia="zh-CN"/>
              </w:rPr>
              <w:t>拆解工艺流程及产污环节如下：</w:t>
            </w:r>
          </w:p>
          <w:p>
            <w:pPr>
              <w:spacing w:line="360" w:lineRule="auto"/>
              <w:ind w:left="0" w:firstLineChars="200" w:firstLine="480"/>
              <w:jc w:val="both"/>
              <w:rPr>
                <w:rFonts w:ascii="Times New Roman" w:eastAsia="宋体" w:cs="Times New Roman" w:hAnsi="Times New Roman"/>
                <w:b/>
                <w:bCs/>
                <w:i w:val="0"/>
                <w:iCs w:val="0"/>
                <w:color w:val="auto"/>
                <w:sz w:val="24"/>
                <w:szCs w:val="24"/>
                <w:lang w:val="en-US" w:eastAsia="zh-CN"/>
              </w:rPr>
            </w:pPr>
            <w:r>
              <w:rPr>
                <w:rFonts w:ascii="Times New Roman" w:eastAsia="宋体" w:cs="Times New Roman" w:hAnsi="Times New Roman"/>
                <w:b/>
                <w:bCs/>
                <w:i w:val="0"/>
                <w:iCs w:val="0"/>
                <w:color w:val="auto"/>
                <w:sz w:val="24"/>
                <w:szCs w:val="24"/>
                <w:lang w:val="en-US" w:eastAsia="zh-CN"/>
              </w:rPr>
              <w:t>主要工艺流程简述：</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ascii="Times New Roman" w:eastAsia="宋体" w:cs="Times New Roman" w:hAnsi="Times New Roman"/>
                <w:b w:val="0"/>
                <w:bCs w:val="0"/>
                <w:i w:val="0"/>
                <w:iCs w:val="0"/>
                <w:color w:val="auto"/>
                <w:sz w:val="24"/>
                <w:szCs w:val="24"/>
                <w:lang w:val="en-US" w:eastAsia="zh-CN"/>
              </w:rPr>
              <w:t>①检测：主要对回收的废旧电脑服务器、通讯设备、基站设备、网络设备</w:t>
            </w:r>
            <w:r>
              <w:rPr>
                <w:rFonts w:cs="Times New Roman" w:hint="eastAsia"/>
                <w:b w:val="0"/>
                <w:bCs w:val="0"/>
                <w:i w:val="0"/>
                <w:iCs w:val="0"/>
                <w:color w:val="auto"/>
                <w:sz w:val="24"/>
                <w:szCs w:val="24"/>
                <w:lang w:val="en-US" w:eastAsia="zh-CN"/>
              </w:rPr>
              <w:t>、</w:t>
            </w:r>
            <w:r>
              <w:rPr>
                <w:rFonts w:cs="Times New Roman" w:hint="eastAsia"/>
                <w:b w:val="0"/>
                <w:bCs w:val="0"/>
                <w:color w:val="auto"/>
                <w:sz w:val="24"/>
                <w:szCs w:val="24"/>
                <w:lang w:val="en-US" w:eastAsia="zh-CN"/>
              </w:rPr>
              <w:t>光伏板组件</w:t>
            </w:r>
            <w:r>
              <w:rPr>
                <w:rFonts w:ascii="Times New Roman" w:eastAsia="宋体" w:cs="Times New Roman" w:hAnsi="Times New Roman"/>
                <w:b w:val="0"/>
                <w:bCs w:val="0"/>
                <w:i w:val="0"/>
                <w:iCs w:val="0"/>
                <w:color w:val="auto"/>
                <w:sz w:val="24"/>
                <w:szCs w:val="24"/>
                <w:lang w:val="en-US" w:eastAsia="zh-CN"/>
              </w:rPr>
              <w:t>及其他电子设备的外观以及性能进行检测，确定需要拆解的电子设备；检测主要工作步骤如下图2-</w:t>
            </w:r>
            <w:r>
              <w:rPr>
                <w:rFonts w:cs="Times New Roman" w:hint="eastAsia"/>
                <w:b w:val="0"/>
                <w:bCs w:val="0"/>
                <w:i w:val="0"/>
                <w:iCs w:val="0"/>
                <w:color w:val="auto"/>
                <w:sz w:val="24"/>
                <w:szCs w:val="24"/>
                <w:lang w:val="en-US" w:eastAsia="zh-CN"/>
              </w:rPr>
              <w:t>3</w:t>
            </w:r>
            <w:r>
              <w:rPr>
                <w:rFonts w:ascii="Times New Roman" w:eastAsia="宋体" w:cs="Times New Roman" w:hAnsi="Times New Roman"/>
                <w:b w:val="0"/>
                <w:bCs w:val="0"/>
                <w:i w:val="0"/>
                <w:iCs w:val="0"/>
                <w:color w:val="auto"/>
                <w:sz w:val="24"/>
                <w:szCs w:val="24"/>
                <w:lang w:val="en-US" w:eastAsia="zh-CN"/>
              </w:rPr>
              <w:t>所示。</w:t>
            </w:r>
          </w:p>
          <w:p>
            <w:pPr>
              <w:spacing w:line="360" w:lineRule="auto"/>
              <w:jc w:val="center"/>
            </w:pPr>
            <w:r>
              <w:drawing>
                <wp:inline distT="0" distB="0" distL="114300" distR="114300">
                  <wp:extent cx="4997450" cy="1311275"/>
                  <wp:effectExtent l="0" t="0" r="45" b="11"/>
                  <wp:docPr id="78" name="图片 4"/>
                  <wp:cNvGraphicFramePr>
                    <a:graphicFrameLocks noChangeAspect="1"/>
                  </wp:cNvGraphicFramePr>
                  <a:graphic>
                    <a:graphicData uri="http://schemas.openxmlformats.org/drawingml/2006/picture">
                      <pic:pic>
                        <pic:nvPicPr>
                          <pic:cNvPr id="80" name="图片 4 80"/>
                          <pic:cNvPicPr/>
                        </pic:nvPicPr>
                        <pic:blipFill>
                          <a:blip r:embed="rId14"/>
                          <a:stretch>
                            <a:fillRect/>
                          </a:stretch>
                        </pic:blipFill>
                        <pic:spPr>
                          <a:xfrm rot="0">
                            <a:off x="0" y="0"/>
                            <a:ext cx="4997450" cy="1311275"/>
                          </a:xfrm>
                          <a:prstGeom prst="rect"/>
                          <a:noFill/>
                          <a:ln w="9525" cmpd="sng" cap="flat">
                            <a:noFill/>
                            <a:prstDash val="solid"/>
                            <a:round/>
                          </a:ln>
                        </pic:spPr>
                      </pic:pic>
                    </a:graphicData>
                  </a:graphic>
                </wp:inline>
              </w:drawing>
            </w:r>
          </w:p>
          <w:p>
            <w:pPr>
              <w:spacing w:line="360" w:lineRule="auto"/>
              <w:jc w:val="center"/>
              <w:rPr>
                <w:rFonts w:ascii="Times New Roman" w:eastAsia="宋体" w:cs="Times New Roman" w:hAnsi="Times New Roman"/>
                <w:b/>
                <w:bCs/>
                <w:i w:val="0"/>
                <w:iCs w:val="0"/>
                <w:color w:val="auto"/>
                <w:sz w:val="21"/>
                <w:szCs w:val="21"/>
                <w:lang w:val="en-US" w:eastAsia="zh-CN"/>
              </w:rPr>
            </w:pPr>
            <w:r>
              <w:rPr>
                <w:rFonts w:ascii="Times New Roman" w:eastAsia="宋体" w:cs="Times New Roman" w:hAnsi="Times New Roman"/>
                <w:b/>
                <w:bCs/>
                <w:i w:val="0"/>
                <w:iCs w:val="0"/>
                <w:color w:val="auto"/>
                <w:sz w:val="21"/>
                <w:szCs w:val="21"/>
                <w:lang w:val="en-US" w:eastAsia="zh-CN"/>
              </w:rPr>
              <w:t>图2-</w:t>
            </w:r>
            <w:r>
              <w:rPr>
                <w:rFonts w:cs="Times New Roman" w:hint="eastAsia"/>
                <w:b/>
                <w:bCs/>
                <w:i w:val="0"/>
                <w:iCs w:val="0"/>
                <w:color w:val="auto"/>
                <w:sz w:val="21"/>
                <w:szCs w:val="21"/>
                <w:lang w:val="en-US" w:eastAsia="zh-CN"/>
              </w:rPr>
              <w:t xml:space="preserve">3 </w:t>
            </w:r>
            <w:r>
              <w:rPr>
                <w:rFonts w:ascii="Times New Roman" w:eastAsia="宋体" w:cs="Times New Roman" w:hAnsi="Times New Roman"/>
                <w:b/>
                <w:bCs/>
                <w:i w:val="0"/>
                <w:iCs w:val="0"/>
                <w:color w:val="auto"/>
                <w:sz w:val="21"/>
                <w:szCs w:val="21"/>
                <w:lang w:val="en-US" w:eastAsia="zh-CN"/>
              </w:rPr>
              <w:t>检测工作步骤图</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其</w:t>
            </w:r>
            <w:r>
              <w:rPr>
                <w:rFonts w:ascii="Times New Roman" w:eastAsia="宋体" w:cs="Times New Roman" w:hAnsi="Times New Roman"/>
                <w:b w:val="0"/>
                <w:bCs w:val="0"/>
                <w:i w:val="0"/>
                <w:iCs w:val="0"/>
                <w:color w:val="auto"/>
                <w:sz w:val="24"/>
                <w:szCs w:val="24"/>
                <w:lang w:val="en-US" w:eastAsia="zh-CN"/>
              </w:rPr>
              <w:t>检测流程</w:t>
            </w:r>
            <w:r>
              <w:rPr>
                <w:rFonts w:cs="Times New Roman" w:hint="eastAsia"/>
                <w:b w:val="0"/>
                <w:bCs w:val="0"/>
                <w:i w:val="0"/>
                <w:iCs w:val="0"/>
                <w:color w:val="auto"/>
                <w:sz w:val="24"/>
                <w:szCs w:val="24"/>
                <w:lang w:val="en-US" w:eastAsia="zh-CN"/>
              </w:rPr>
              <w:t>如下：</w:t>
            </w:r>
          </w:p>
          <w:p>
            <w:pPr>
              <w:spacing w:line="360" w:lineRule="auto"/>
              <w:ind w:left="0" w:firstLineChars="200" w:firstLine="480"/>
              <w:jc w:val="both"/>
              <w:rPr>
                <w:rFonts w:ascii="Times New Roman" w:eastAsia="宋体" w:cs="Times New Roman" w:hAnsi="Times New Roman"/>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a</w:t>
            </w:r>
            <w:r>
              <w:rPr>
                <w:rFonts w:ascii="Times New Roman" w:eastAsia="宋体" w:cs="Times New Roman" w:hAnsi="Times New Roman"/>
                <w:b w:val="0"/>
                <w:bCs w:val="0"/>
                <w:i w:val="0"/>
                <w:iCs w:val="0"/>
                <w:color w:val="auto"/>
                <w:sz w:val="24"/>
                <w:szCs w:val="24"/>
                <w:lang w:val="en-US" w:eastAsia="zh-CN"/>
              </w:rPr>
              <w:t>外观检测：</w:t>
            </w:r>
            <w:r>
              <w:rPr>
                <w:rFonts w:cs="Times New Roman" w:hint="eastAsia"/>
                <w:b w:val="0"/>
                <w:bCs w:val="0"/>
                <w:i w:val="0"/>
                <w:iCs w:val="0"/>
                <w:color w:val="auto"/>
                <w:sz w:val="24"/>
                <w:szCs w:val="24"/>
                <w:lang w:val="en-US" w:eastAsia="zh-CN"/>
              </w:rPr>
              <w:t>检测收购的废旧电子产品外观的</w:t>
            </w:r>
            <w:r>
              <w:rPr>
                <w:rFonts w:ascii="Times New Roman" w:eastAsia="宋体" w:cs="Times New Roman" w:hAnsi="Times New Roman"/>
                <w:b w:val="0"/>
                <w:bCs w:val="0"/>
                <w:i w:val="0"/>
                <w:iCs w:val="0"/>
                <w:color w:val="auto"/>
                <w:sz w:val="24"/>
                <w:szCs w:val="24"/>
                <w:lang w:val="en-US" w:eastAsia="zh-CN"/>
              </w:rPr>
              <w:t>破损、划痕、褪色</w:t>
            </w:r>
            <w:r>
              <w:rPr>
                <w:rFonts w:cs="Times New Roman" w:hint="eastAsia"/>
                <w:b w:val="0"/>
                <w:bCs w:val="0"/>
                <w:i w:val="0"/>
                <w:iCs w:val="0"/>
                <w:color w:val="auto"/>
                <w:sz w:val="24"/>
                <w:szCs w:val="24"/>
                <w:lang w:val="en-US" w:eastAsia="zh-CN"/>
              </w:rPr>
              <w:t>情况。</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b</w:t>
            </w:r>
            <w:r>
              <w:rPr>
                <w:rFonts w:ascii="Times New Roman" w:eastAsia="宋体" w:cs="Times New Roman" w:hAnsi="Times New Roman"/>
                <w:b w:val="0"/>
                <w:bCs w:val="0"/>
                <w:i w:val="0"/>
                <w:iCs w:val="0"/>
                <w:color w:val="auto"/>
                <w:sz w:val="24"/>
                <w:szCs w:val="24"/>
                <w:lang w:val="en-US" w:eastAsia="zh-CN"/>
              </w:rPr>
              <w:t>电源检测：</w:t>
            </w:r>
            <w:r>
              <w:rPr>
                <w:rFonts w:cs="Times New Roman" w:hint="eastAsia"/>
                <w:b w:val="0"/>
                <w:bCs w:val="0"/>
                <w:i w:val="0"/>
                <w:iCs w:val="0"/>
                <w:color w:val="auto"/>
                <w:sz w:val="24"/>
                <w:szCs w:val="24"/>
                <w:lang w:val="en-US" w:eastAsia="zh-CN"/>
              </w:rPr>
              <w:t>废旧电子产品</w:t>
            </w:r>
            <w:r>
              <w:rPr>
                <w:rFonts w:ascii="Times New Roman" w:eastAsia="宋体" w:cs="Times New Roman" w:hAnsi="Times New Roman"/>
                <w:b w:val="0"/>
                <w:bCs w:val="0"/>
                <w:i w:val="0"/>
                <w:iCs w:val="0"/>
                <w:color w:val="auto"/>
                <w:sz w:val="24"/>
                <w:szCs w:val="24"/>
                <w:lang w:val="en-US" w:eastAsia="zh-CN"/>
              </w:rPr>
              <w:t>开机通电，看能否正常充电放电，电源适配器能否正常使用，电池能否正常蓄电放电，电池容量余值</w:t>
            </w:r>
            <w:r>
              <w:rPr>
                <w:rFonts w:cs="Times New Roman" w:hint="eastAsia"/>
                <w:b w:val="0"/>
                <w:bCs w:val="0"/>
                <w:i w:val="0"/>
                <w:iCs w:val="0"/>
                <w:color w:val="auto"/>
                <w:sz w:val="24"/>
                <w:szCs w:val="24"/>
                <w:lang w:val="en-US" w:eastAsia="zh-CN"/>
              </w:rPr>
              <w:t>。</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c</w:t>
            </w:r>
            <w:r>
              <w:rPr>
                <w:rFonts w:ascii="Times New Roman" w:eastAsia="宋体" w:cs="Times New Roman" w:hAnsi="Times New Roman"/>
                <w:b w:val="0"/>
                <w:bCs w:val="0"/>
                <w:i w:val="0"/>
                <w:iCs w:val="0"/>
                <w:color w:val="auto"/>
                <w:sz w:val="24"/>
                <w:szCs w:val="24"/>
                <w:lang w:val="en-US" w:eastAsia="zh-CN"/>
              </w:rPr>
              <w:t>屏幕检测：</w:t>
            </w:r>
            <w:r>
              <w:rPr>
                <w:rFonts w:cs="Times New Roman" w:hint="eastAsia"/>
                <w:b w:val="0"/>
                <w:bCs w:val="0"/>
                <w:i w:val="0"/>
                <w:iCs w:val="0"/>
                <w:color w:val="auto"/>
                <w:sz w:val="24"/>
                <w:szCs w:val="24"/>
                <w:lang w:val="en-US" w:eastAsia="zh-CN"/>
              </w:rPr>
              <w:t>检测废旧电子产品显示器是否有</w:t>
            </w:r>
            <w:r>
              <w:rPr>
                <w:rFonts w:ascii="Times New Roman" w:eastAsia="宋体" w:cs="Times New Roman" w:hAnsi="Times New Roman"/>
                <w:b w:val="0"/>
                <w:bCs w:val="0"/>
                <w:i w:val="0"/>
                <w:iCs w:val="0"/>
                <w:color w:val="auto"/>
                <w:sz w:val="24"/>
                <w:szCs w:val="24"/>
                <w:lang w:val="en-US" w:eastAsia="zh-CN"/>
              </w:rPr>
              <w:t>破损、划痕、花屏、坏点、漏光等显示功能</w:t>
            </w:r>
            <w:r>
              <w:rPr>
                <w:rFonts w:cs="Times New Roman" w:hint="eastAsia"/>
                <w:b w:val="0"/>
                <w:bCs w:val="0"/>
                <w:i w:val="0"/>
                <w:iCs w:val="0"/>
                <w:color w:val="auto"/>
                <w:sz w:val="24"/>
                <w:szCs w:val="24"/>
                <w:lang w:val="en-US" w:eastAsia="zh-CN"/>
              </w:rPr>
              <w:t>故障。</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d</w:t>
            </w:r>
            <w:r>
              <w:rPr>
                <w:rFonts w:ascii="Times New Roman" w:eastAsia="宋体" w:cs="Times New Roman" w:hAnsi="Times New Roman"/>
                <w:b w:val="0"/>
                <w:bCs w:val="0"/>
                <w:i w:val="0"/>
                <w:iCs w:val="0"/>
                <w:color w:val="auto"/>
                <w:sz w:val="24"/>
                <w:szCs w:val="24"/>
                <w:lang w:val="en-US" w:eastAsia="zh-CN"/>
              </w:rPr>
              <w:t>外设检测：</w:t>
            </w:r>
            <w:r>
              <w:rPr>
                <w:rFonts w:cs="Times New Roman" w:hint="eastAsia"/>
                <w:b w:val="0"/>
                <w:bCs w:val="0"/>
                <w:i w:val="0"/>
                <w:iCs w:val="0"/>
                <w:color w:val="auto"/>
                <w:sz w:val="24"/>
                <w:szCs w:val="24"/>
                <w:lang w:val="en-US" w:eastAsia="zh-CN"/>
              </w:rPr>
              <w:t>检测废旧电子产品</w:t>
            </w:r>
            <w:r>
              <w:rPr>
                <w:rFonts w:ascii="Times New Roman" w:eastAsia="宋体" w:cs="Times New Roman" w:hAnsi="Times New Roman"/>
                <w:b w:val="0"/>
                <w:bCs w:val="0"/>
                <w:i w:val="0"/>
                <w:iCs w:val="0"/>
                <w:color w:val="auto"/>
                <w:sz w:val="24"/>
                <w:szCs w:val="24"/>
                <w:lang w:val="en-US" w:eastAsia="zh-CN"/>
              </w:rPr>
              <w:t>是否有损坏，各接口测试，能否正常传输信号使用</w:t>
            </w:r>
            <w:r>
              <w:rPr>
                <w:rFonts w:cs="Times New Roman" w:hint="eastAsia"/>
                <w:b w:val="0"/>
                <w:bCs w:val="0"/>
                <w:i w:val="0"/>
                <w:iCs w:val="0"/>
                <w:color w:val="auto"/>
                <w:sz w:val="24"/>
                <w:szCs w:val="24"/>
                <w:lang w:val="en-US" w:eastAsia="zh-CN"/>
              </w:rPr>
              <w:t>。</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e零部件</w:t>
            </w:r>
            <w:r>
              <w:rPr>
                <w:rFonts w:ascii="Times New Roman" w:eastAsia="宋体" w:cs="Times New Roman" w:hAnsi="Times New Roman"/>
                <w:b w:val="0"/>
                <w:bCs w:val="0"/>
                <w:i w:val="0"/>
                <w:iCs w:val="0"/>
                <w:color w:val="auto"/>
                <w:sz w:val="24"/>
                <w:szCs w:val="24"/>
                <w:lang w:val="en-US" w:eastAsia="zh-CN"/>
              </w:rPr>
              <w:t>检测：通电开机测试，</w:t>
            </w:r>
            <w:r>
              <w:rPr>
                <w:rFonts w:cs="Times New Roman" w:hint="eastAsia"/>
                <w:b w:val="0"/>
                <w:bCs w:val="0"/>
                <w:i w:val="0"/>
                <w:iCs w:val="0"/>
                <w:color w:val="auto"/>
                <w:sz w:val="24"/>
                <w:szCs w:val="24"/>
                <w:lang w:val="en-US" w:eastAsia="zh-CN"/>
              </w:rPr>
              <w:t>各个</w:t>
            </w:r>
            <w:r>
              <w:rPr>
                <w:rFonts w:ascii="Times New Roman" w:eastAsia="宋体" w:cs="Times New Roman" w:hAnsi="Times New Roman"/>
                <w:b w:val="0"/>
                <w:bCs w:val="0"/>
                <w:i w:val="0"/>
                <w:iCs w:val="0"/>
                <w:color w:val="auto"/>
                <w:sz w:val="24"/>
                <w:szCs w:val="24"/>
                <w:lang w:val="en-US" w:eastAsia="zh-CN"/>
              </w:rPr>
              <w:t>零部件</w:t>
            </w:r>
            <w:r>
              <w:rPr>
                <w:rFonts w:cs="Times New Roman" w:hint="eastAsia"/>
                <w:b w:val="0"/>
                <w:bCs w:val="0"/>
                <w:i w:val="0"/>
                <w:iCs w:val="0"/>
                <w:color w:val="auto"/>
                <w:sz w:val="24"/>
                <w:szCs w:val="24"/>
                <w:lang w:val="en-US" w:eastAsia="zh-CN"/>
              </w:rPr>
              <w:t>是否</w:t>
            </w:r>
            <w:r>
              <w:rPr>
                <w:rFonts w:ascii="Times New Roman" w:eastAsia="宋体" w:cs="Times New Roman" w:hAnsi="Times New Roman"/>
                <w:b w:val="0"/>
                <w:bCs w:val="0"/>
                <w:i w:val="0"/>
                <w:iCs w:val="0"/>
                <w:color w:val="auto"/>
                <w:sz w:val="24"/>
                <w:szCs w:val="24"/>
                <w:lang w:val="en-US" w:eastAsia="zh-CN"/>
              </w:rPr>
              <w:t>正常</w:t>
            </w:r>
            <w:r>
              <w:rPr>
                <w:rFonts w:cs="Times New Roman" w:hint="eastAsia"/>
                <w:b w:val="0"/>
                <w:bCs w:val="0"/>
                <w:i w:val="0"/>
                <w:iCs w:val="0"/>
                <w:color w:val="auto"/>
                <w:sz w:val="24"/>
                <w:szCs w:val="24"/>
                <w:lang w:val="en-US" w:eastAsia="zh-CN"/>
              </w:rPr>
              <w:t>工作。</w:t>
            </w:r>
          </w:p>
          <w:p>
            <w:pPr>
              <w:spacing w:line="360" w:lineRule="auto"/>
              <w:ind w:left="0" w:firstLineChars="200" w:firstLine="480"/>
              <w:jc w:val="both"/>
              <w:rPr>
                <w:rFonts w:cs="Times New Roman" w:hint="eastAsia"/>
                <w:b w:val="0"/>
                <w:bCs w:val="0"/>
                <w:i w:val="0"/>
                <w:iCs w:val="0"/>
                <w:color w:val="auto"/>
                <w:sz w:val="24"/>
                <w:szCs w:val="24"/>
                <w:lang w:val="en-US" w:eastAsia="zh-CN"/>
              </w:rPr>
            </w:pPr>
            <w:r>
              <w:rPr>
                <w:rFonts w:cs="Times New Roman" w:hint="eastAsia"/>
                <w:b w:val="0"/>
                <w:bCs w:val="0"/>
                <w:i w:val="0"/>
                <w:iCs w:val="0"/>
                <w:color w:val="auto"/>
                <w:sz w:val="24"/>
                <w:szCs w:val="24"/>
                <w:lang w:val="en-US" w:eastAsia="zh-CN"/>
              </w:rPr>
              <w:t>f</w:t>
            </w:r>
            <w:r>
              <w:rPr>
                <w:rFonts w:ascii="Times New Roman" w:eastAsia="宋体" w:cs="Times New Roman" w:hAnsi="Times New Roman"/>
                <w:b w:val="0"/>
                <w:bCs w:val="0"/>
                <w:i w:val="0"/>
                <w:iCs w:val="0"/>
                <w:color w:val="auto"/>
                <w:sz w:val="24"/>
                <w:szCs w:val="24"/>
                <w:lang w:val="en-US" w:eastAsia="zh-CN"/>
              </w:rPr>
              <w:t>整机测试：测试能否正常使用，检测各系统驱动能否正常使用</w:t>
            </w:r>
            <w:r>
              <w:rPr>
                <w:rFonts w:cs="Times New Roman" w:hint="eastAsia"/>
                <w:b w:val="0"/>
                <w:bCs w:val="0"/>
                <w:i w:val="0"/>
                <w:iCs w:val="0"/>
                <w:color w:val="auto"/>
                <w:sz w:val="24"/>
                <w:szCs w:val="24"/>
                <w:lang w:val="en-US" w:eastAsia="zh-CN"/>
              </w:rPr>
              <w:t>。</w:t>
            </w:r>
          </w:p>
          <w:p>
            <w:pPr>
              <w:spacing w:line="360" w:lineRule="auto"/>
              <w:ind w:left="0" w:firstLineChars="200" w:firstLine="480"/>
              <w:jc w:val="both"/>
              <w:rPr>
                <w:rFonts w:cs="Times New Roman" w:hint="eastAsia"/>
                <w:b w:val="0"/>
                <w:bCs w:val="0"/>
                <w:i w:val="0"/>
                <w:iCs w:val="0"/>
                <w:color w:val="0000FF"/>
                <w:sz w:val="24"/>
                <w:szCs w:val="24"/>
                <w:lang w:val="en-US" w:eastAsia="zh-CN"/>
              </w:rPr>
            </w:pPr>
            <w:r>
              <w:rPr>
                <w:rFonts w:cs="Times New Roman" w:hint="eastAsia"/>
                <w:b w:val="0"/>
                <w:bCs w:val="0"/>
                <w:i w:val="0"/>
                <w:iCs w:val="0"/>
                <w:color w:val="auto"/>
                <w:sz w:val="24"/>
                <w:szCs w:val="24"/>
                <w:lang w:val="en-US" w:eastAsia="zh-CN"/>
              </w:rPr>
              <w:t>本项目收购的</w:t>
            </w:r>
            <w:r>
              <w:rPr>
                <w:rFonts w:ascii="Times New Roman" w:eastAsia="宋体" w:cs="Times New Roman" w:hAnsi="Times New Roman"/>
                <w:b w:val="0"/>
                <w:bCs w:val="0"/>
                <w:i w:val="0"/>
                <w:iCs w:val="0"/>
                <w:color w:val="auto"/>
                <w:sz w:val="24"/>
                <w:szCs w:val="24"/>
                <w:lang w:val="en-US" w:eastAsia="zh-CN"/>
              </w:rPr>
              <w:t>废旧电子医疗设备进厂后全部进行紫外线消毒再进行拆解</w:t>
            </w:r>
            <w:r>
              <w:rPr>
                <w:rFonts w:cs="Times New Roman" w:hint="eastAsia"/>
                <w:b w:val="0"/>
                <w:bCs w:val="0"/>
                <w:i w:val="0"/>
                <w:iCs w:val="0"/>
                <w:color w:val="auto"/>
                <w:sz w:val="24"/>
                <w:szCs w:val="24"/>
                <w:lang w:val="en-US" w:eastAsia="zh-CN"/>
              </w:rPr>
              <w:t>；</w:t>
            </w:r>
            <w:r>
              <w:rPr>
                <w:rFonts w:ascii="Times New Roman" w:eastAsia="宋体" w:cs="Times New Roman" w:hAnsi="Times New Roman"/>
                <w:b w:val="0"/>
                <w:bCs w:val="0"/>
                <w:i w:val="0"/>
                <w:iCs w:val="0"/>
                <w:color w:val="auto"/>
                <w:sz w:val="24"/>
                <w:szCs w:val="24"/>
                <w:lang w:val="en-US" w:eastAsia="zh-CN"/>
              </w:rPr>
              <w:t>项目不涉及化学检测及放射性检测，基站设备不进行外线设备的测试，不涉及电磁辐射污染</w:t>
            </w:r>
            <w:r>
              <w:rPr>
                <w:rFonts w:cs="Times New Roman" w:hint="eastAsia"/>
                <w:b w:val="0"/>
                <w:bCs w:val="0"/>
                <w:i w:val="0"/>
                <w:iCs w:val="0"/>
                <w:color w:val="auto"/>
                <w:sz w:val="24"/>
                <w:szCs w:val="24"/>
                <w:lang w:val="en-US" w:eastAsia="zh-CN"/>
              </w:rPr>
              <w:t>；</w:t>
            </w:r>
            <w:r>
              <w:rPr>
                <w:rFonts w:ascii="Times New Roman" w:eastAsia="宋体" w:cs="Times New Roman" w:hAnsi="Times New Roman"/>
                <w:b w:val="0"/>
                <w:bCs w:val="0"/>
                <w:i w:val="0"/>
                <w:iCs w:val="0"/>
                <w:color w:val="auto"/>
                <w:sz w:val="24"/>
                <w:szCs w:val="24"/>
                <w:lang w:val="en-US" w:eastAsia="zh-CN"/>
              </w:rPr>
              <w:t>通过检测确定功能完好的整机经清灰后直接作产品</w:t>
            </w:r>
            <w:r>
              <w:rPr>
                <w:rFonts w:cs="Times New Roman" w:hint="eastAsia"/>
                <w:b w:val="0"/>
                <w:bCs w:val="0"/>
                <w:i w:val="0"/>
                <w:iCs w:val="0"/>
                <w:color w:val="auto"/>
                <w:sz w:val="24"/>
                <w:szCs w:val="24"/>
                <w:lang w:val="en-US" w:eastAsia="zh-CN"/>
              </w:rPr>
              <w:t>外售；</w:t>
            </w:r>
            <w:r>
              <w:rPr>
                <w:rFonts w:ascii="Times New Roman" w:eastAsia="宋体" w:cs="Times New Roman" w:hAnsi="Times New Roman"/>
                <w:b w:val="0"/>
                <w:bCs w:val="0"/>
                <w:i w:val="0"/>
                <w:iCs w:val="0"/>
                <w:color w:val="auto"/>
                <w:sz w:val="24"/>
                <w:szCs w:val="24"/>
                <w:lang w:val="en-US" w:eastAsia="zh-CN"/>
              </w:rPr>
              <w:t>筛选出损坏设备进一步拆解</w:t>
            </w:r>
            <w:r>
              <w:rPr>
                <w:rFonts w:cs="Times New Roman" w:hint="eastAsia"/>
                <w:b w:val="0"/>
                <w:bCs w:val="0"/>
                <w:i w:val="0"/>
                <w:iCs w:val="0"/>
                <w:color w:val="auto"/>
                <w:sz w:val="24"/>
                <w:szCs w:val="24"/>
                <w:lang w:val="en-US" w:eastAsia="zh-CN"/>
              </w:rPr>
              <w:t>。</w:t>
            </w:r>
          </w:p>
          <w:p>
            <w:pPr>
              <w:spacing w:line="360" w:lineRule="auto"/>
              <w:ind w:left="0" w:firstLineChars="200" w:firstLine="480"/>
              <w:jc w:val="both"/>
              <w:rPr>
                <w:rFonts w:ascii="Times New Roman" w:eastAsia="宋体" w:cs="Times New Roman" w:hAnsi="Times New Roman"/>
                <w:b w:val="0"/>
                <w:bCs w:val="0"/>
                <w:i w:val="0"/>
                <w:iCs w:val="0"/>
                <w:color w:val="auto"/>
                <w:sz w:val="24"/>
                <w:szCs w:val="24"/>
                <w:lang w:val="en-US" w:eastAsia="zh-CN"/>
              </w:rPr>
            </w:pPr>
            <w:r>
              <w:rPr>
                <w:rFonts w:ascii="Times New Roman" w:eastAsia="宋体" w:cs="Times New Roman" w:hAnsi="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w:t>
            </w:r>
            <w:r>
              <w:rPr>
                <w:rFonts w:cs="Times New Roman" w:hint="eastAsia"/>
                <w:b w:val="0"/>
                <w:bCs w:val="0"/>
                <w:i w:val="0"/>
                <w:iCs w:val="0"/>
                <w:color w:val="auto"/>
                <w:sz w:val="24"/>
                <w:szCs w:val="24"/>
                <w:lang w:val="en-US" w:eastAsia="zh-CN"/>
              </w:rPr>
              <w:t>为防止废旧电器电子设备拆解过程中液态固废（废矿物油等）的泄露，在拆解平台下方设置专用收集槽，将可能遗撒的液态废物进行收集，收集后按危废处理；废旧电器电子设备在</w:t>
            </w:r>
            <w:r>
              <w:rPr>
                <w:rFonts w:ascii="Times New Roman" w:eastAsia="宋体" w:cs="Times New Roman" w:hAnsi="Times New Roman"/>
                <w:b w:val="0"/>
                <w:bCs w:val="0"/>
                <w:i w:val="0"/>
                <w:iCs w:val="0"/>
                <w:color w:val="auto"/>
                <w:sz w:val="24"/>
                <w:szCs w:val="24"/>
                <w:lang w:val="en-US" w:eastAsia="zh-CN"/>
              </w:rPr>
              <w:t>拆解</w:t>
            </w:r>
            <w:r>
              <w:rPr>
                <w:rFonts w:cs="Times New Roman" w:hint="eastAsia"/>
                <w:b w:val="0"/>
                <w:bCs w:val="0"/>
                <w:i w:val="0"/>
                <w:iCs w:val="0"/>
                <w:color w:val="auto"/>
                <w:sz w:val="24"/>
                <w:szCs w:val="24"/>
                <w:lang w:val="en-US" w:eastAsia="zh-CN"/>
              </w:rPr>
              <w:t>过程中会产生夹带污染物（例如医疗防护手套、医疗工具等），因设备进厂前均进行简单清理及预处理，夹带污染物产生量极少，归于</w:t>
            </w:r>
            <w:r>
              <w:rPr>
                <w:rFonts w:ascii="Times New Roman" w:eastAsia="宋体" w:cs="Times New Roman" w:hAnsi="Times New Roman"/>
                <w:b w:val="0"/>
                <w:bCs w:val="0"/>
                <w:i w:val="0"/>
                <w:iCs w:val="0"/>
                <w:color w:val="auto"/>
                <w:sz w:val="24"/>
                <w:szCs w:val="24"/>
                <w:lang w:val="en-US" w:eastAsia="zh-CN"/>
              </w:rPr>
              <w:t>不可利用一般固废</w:t>
            </w:r>
            <w:r>
              <w:rPr>
                <w:rFonts w:cs="Times New Roman" w:hint="eastAsia"/>
                <w:b w:val="0"/>
                <w:bCs w:val="0"/>
                <w:i w:val="0"/>
                <w:iCs w:val="0"/>
                <w:color w:val="auto"/>
                <w:sz w:val="24"/>
                <w:szCs w:val="24"/>
                <w:lang w:val="en-US" w:eastAsia="zh-CN"/>
              </w:rPr>
              <w:t>收集处置；</w:t>
            </w:r>
            <w:r>
              <w:rPr>
                <w:rFonts w:ascii="Times New Roman" w:eastAsia="宋体" w:cs="Times New Roman" w:hAnsi="Times New Roman"/>
                <w:b w:val="0"/>
                <w:bCs w:val="0"/>
                <w:i w:val="0"/>
                <w:iCs w:val="0"/>
                <w:color w:val="auto"/>
                <w:sz w:val="24"/>
                <w:szCs w:val="24"/>
                <w:lang w:val="en-US" w:eastAsia="zh-CN"/>
              </w:rPr>
              <w:t>此过程主要污染物为废电路板、废含汞元（器）件等危险废物</w:t>
            </w:r>
            <w:r>
              <w:rPr>
                <w:rFonts w:cs="Times New Roman" w:hint="eastAsia"/>
                <w:b w:val="0"/>
                <w:bCs w:val="0"/>
                <w:i w:val="0"/>
                <w:iCs w:val="0"/>
                <w:color w:val="auto"/>
                <w:sz w:val="24"/>
                <w:szCs w:val="24"/>
                <w:lang w:val="en-US" w:eastAsia="zh-CN"/>
              </w:rPr>
              <w:t>，</w:t>
            </w:r>
            <w:r>
              <w:rPr>
                <w:rFonts w:ascii="Times New Roman" w:eastAsia="宋体" w:cs="Times New Roman" w:hAnsi="Times New Roman"/>
                <w:b w:val="0"/>
                <w:bCs w:val="0"/>
                <w:i w:val="0"/>
                <w:iCs w:val="0"/>
                <w:color w:val="auto"/>
                <w:sz w:val="24"/>
                <w:szCs w:val="24"/>
                <w:lang w:val="en-US" w:eastAsia="zh-CN"/>
              </w:rPr>
              <w:t>不可利用一般固废</w:t>
            </w:r>
            <w:r>
              <w:rPr>
                <w:rFonts w:cs="Times New Roman" w:hint="eastAsia"/>
                <w:b w:val="0"/>
                <w:bCs w:val="0"/>
                <w:i w:val="0"/>
                <w:iCs w:val="0"/>
                <w:color w:val="auto"/>
                <w:sz w:val="24"/>
                <w:szCs w:val="24"/>
                <w:lang w:val="en-US" w:eastAsia="zh-CN"/>
              </w:rPr>
              <w:t>及</w:t>
            </w:r>
            <w:r>
              <w:rPr>
                <w:rFonts w:ascii="Times New Roman" w:eastAsia="宋体" w:cs="Times New Roman" w:hAnsi="Times New Roman"/>
                <w:b w:val="0"/>
                <w:bCs w:val="0"/>
                <w:i w:val="0"/>
                <w:iCs w:val="0"/>
                <w:color w:val="auto"/>
                <w:sz w:val="24"/>
                <w:szCs w:val="24"/>
                <w:lang w:val="en-US" w:eastAsia="zh-CN"/>
              </w:rPr>
              <w:t>噪声。按照</w:t>
            </w:r>
            <w:r>
              <w:rPr>
                <w:rFonts w:cs="Times New Roman" w:hint="eastAsia"/>
                <w:b w:val="0"/>
                <w:bCs w:val="0"/>
                <w:i w:val="0"/>
                <w:iCs w:val="0"/>
                <w:color w:val="auto"/>
                <w:sz w:val="24"/>
                <w:szCs w:val="24"/>
                <w:lang w:val="en-US" w:eastAsia="zh-CN"/>
              </w:rPr>
              <w:t>国家</w:t>
            </w:r>
            <w:r>
              <w:rPr>
                <w:rFonts w:ascii="Times New Roman" w:eastAsia="宋体" w:cs="Times New Roman" w:hAnsi="Times New Roman"/>
                <w:b w:val="0"/>
                <w:bCs w:val="0"/>
                <w:i w:val="0"/>
                <w:iCs w:val="0"/>
                <w:color w:val="auto"/>
                <w:sz w:val="24"/>
                <w:szCs w:val="24"/>
                <w:lang w:val="en-US" w:eastAsia="zh-CN"/>
              </w:rPr>
              <w:t>环保部颁布的（HJ527-2010）《废弃电器电子产品处理污染控制技术规范》附录B，本项目拆解需预先取出的零部件、元器件材料包括：含有多氯联苯（PCBs）的</w:t>
            </w:r>
            <w:r>
              <w:rPr>
                <w:rFonts w:cs="Times New Roman" w:hint="eastAsia"/>
                <w:b w:val="0"/>
                <w:bCs w:val="0"/>
                <w:i w:val="0"/>
                <w:iCs w:val="0"/>
                <w:color w:val="auto"/>
                <w:sz w:val="24"/>
                <w:szCs w:val="24"/>
                <w:lang w:val="en-US" w:eastAsia="zh-CN"/>
              </w:rPr>
              <w:t>电路板</w:t>
            </w:r>
            <w:r>
              <w:rPr>
                <w:rFonts w:ascii="Times New Roman" w:eastAsia="宋体" w:cs="Times New Roman" w:hAnsi="Times New Roman"/>
                <w:b w:val="0"/>
                <w:bCs w:val="0"/>
                <w:i w:val="0"/>
                <w:iCs w:val="0"/>
                <w:color w:val="auto"/>
                <w:sz w:val="24"/>
                <w:szCs w:val="24"/>
                <w:lang w:val="en-US" w:eastAsia="zh-CN"/>
              </w:rPr>
              <w:t>、含汞元（器）件</w:t>
            </w:r>
            <w:r>
              <w:rPr>
                <w:rFonts w:cs="Times New Roman" w:hint="eastAsia"/>
                <w:b w:val="0"/>
                <w:bCs w:val="0"/>
                <w:i w:val="0"/>
                <w:iCs w:val="0"/>
                <w:color w:val="auto"/>
                <w:sz w:val="24"/>
                <w:szCs w:val="24"/>
                <w:lang w:val="en-US" w:eastAsia="zh-CN"/>
              </w:rPr>
              <w:t>等</w:t>
            </w:r>
            <w:r>
              <w:rPr>
                <w:rFonts w:ascii="Times New Roman" w:eastAsia="宋体" w:cs="Times New Roman" w:hAnsi="Times New Roman"/>
                <w:b w:val="0"/>
                <w:bCs w:val="0"/>
                <w:i w:val="0"/>
                <w:iCs w:val="0"/>
                <w:color w:val="auto"/>
                <w:sz w:val="24"/>
                <w:szCs w:val="24"/>
                <w:lang w:val="en-US" w:eastAsia="zh-CN"/>
              </w:rPr>
              <w:t>部件。本企业专门存放，最后交由有危险废物处置资质的单位处置。</w:t>
            </w:r>
          </w:p>
          <w:p>
            <w:pPr>
              <w:spacing w:line="360" w:lineRule="auto"/>
              <w:ind w:left="0" w:firstLineChars="200" w:firstLine="480"/>
              <w:jc w:val="both"/>
              <w:rPr>
                <w:rFonts w:ascii="Times New Roman" w:eastAsia="宋体" w:cs="Times New Roman" w:hAnsi="Times New Roman"/>
                <w:b w:val="0"/>
                <w:bCs w:val="0"/>
                <w:i w:val="0"/>
                <w:iCs w:val="0"/>
                <w:color w:val="auto"/>
                <w:sz w:val="24"/>
                <w:szCs w:val="24"/>
                <w:lang w:val="en-US" w:eastAsia="zh-CN"/>
              </w:rPr>
            </w:pPr>
            <w:r>
              <w:rPr>
                <w:rFonts w:ascii="Times New Roman" w:eastAsia="宋体" w:cs="Times New Roman" w:hAnsi="Times New Roman"/>
                <w:b w:val="0"/>
                <w:bCs w:val="0"/>
                <w:i w:val="0"/>
                <w:iCs w:val="0"/>
                <w:color w:val="auto"/>
                <w:sz w:val="24"/>
                <w:szCs w:val="24"/>
                <w:lang w:val="en-US" w:eastAsia="zh-CN"/>
              </w:rPr>
              <w:t>③清灰：对经检测功能完好的整机以及拆解后的可再利用零部件进行清灰，该操作在</w:t>
            </w:r>
            <w:r>
              <w:rPr>
                <w:rFonts w:cs="Times New Roman" w:hint="eastAsia"/>
                <w:b w:val="0"/>
                <w:bCs w:val="0"/>
                <w:i w:val="0"/>
                <w:iCs w:val="0"/>
                <w:color w:val="auto"/>
                <w:sz w:val="24"/>
                <w:szCs w:val="24"/>
                <w:lang w:val="en-US" w:eastAsia="zh-CN"/>
              </w:rPr>
              <w:t>拆解通风橱内</w:t>
            </w:r>
            <w:r>
              <w:rPr>
                <w:rFonts w:ascii="Times New Roman" w:eastAsia="宋体" w:cs="Times New Roman" w:hAnsi="Times New Roman"/>
                <w:b w:val="0"/>
                <w:bCs w:val="0"/>
                <w:i w:val="0"/>
                <w:iCs w:val="0"/>
                <w:color w:val="auto"/>
                <w:sz w:val="24"/>
                <w:szCs w:val="24"/>
                <w:lang w:val="en-US" w:eastAsia="zh-CN"/>
              </w:rPr>
              <w:t>进行，利用高压空气吹除粘附在部件上的灰尘，并通过负压抽吸到</w:t>
            </w:r>
            <w:r>
              <w:rPr>
                <w:rFonts w:cs="Times New Roman" w:hint="eastAsia"/>
                <w:b w:val="0"/>
                <w:bCs w:val="0"/>
                <w:i w:val="0"/>
                <w:iCs w:val="0"/>
                <w:color w:val="auto"/>
                <w:sz w:val="24"/>
                <w:szCs w:val="24"/>
                <w:lang w:val="en-US" w:eastAsia="zh-CN"/>
              </w:rPr>
              <w:t>布袋除尘</w:t>
            </w:r>
            <w:r>
              <w:rPr>
                <w:rFonts w:ascii="Times New Roman" w:eastAsia="宋体" w:cs="Times New Roman" w:hAnsi="Times New Roman"/>
                <w:b w:val="0"/>
                <w:bCs w:val="0"/>
                <w:i w:val="0"/>
                <w:iCs w:val="0"/>
                <w:color w:val="auto"/>
                <w:sz w:val="24"/>
                <w:szCs w:val="24"/>
                <w:lang w:val="en-US" w:eastAsia="zh-CN"/>
              </w:rPr>
              <w:t>设备。此过程主要污染物为粉尘。</w:t>
            </w:r>
          </w:p>
          <w:p>
            <w:pPr>
              <w:spacing w:line="360" w:lineRule="auto"/>
              <w:ind w:left="0" w:firstLineChars="200" w:firstLine="480"/>
              <w:jc w:val="both"/>
              <w:rPr>
                <w:rFonts w:ascii="Times New Roman" w:eastAsia="宋体" w:cs="Times New Roman" w:hAnsi="Times New Roman"/>
                <w:b w:val="0"/>
                <w:bCs w:val="0"/>
                <w:i w:val="0"/>
                <w:iCs w:val="0"/>
                <w:color w:val="auto"/>
                <w:sz w:val="24"/>
                <w:szCs w:val="24"/>
                <w:lang w:val="en-US" w:eastAsia="zh-CN"/>
              </w:rPr>
            </w:pPr>
            <w:r>
              <w:rPr>
                <w:rFonts w:ascii="Times New Roman" w:eastAsia="宋体" w:cs="Times New Roman" w:hAnsi="Times New Roman"/>
                <w:b w:val="0"/>
                <w:bCs w:val="0"/>
                <w:i w:val="0"/>
                <w:iCs w:val="0"/>
                <w:color w:val="auto"/>
                <w:sz w:val="24"/>
                <w:szCs w:val="24"/>
                <w:lang w:val="en-US" w:eastAsia="zh-CN"/>
              </w:rPr>
              <w:t>④组装：将拆解时分选出的可利用配件（包括电路板、机壳、电线、按钮</w:t>
            </w:r>
            <w:r>
              <w:rPr>
                <w:rFonts w:cs="Times New Roman" w:hint="eastAsia"/>
                <w:b w:val="0"/>
                <w:bCs w:val="0"/>
                <w:i w:val="0"/>
                <w:iCs w:val="0"/>
                <w:color w:val="auto"/>
                <w:sz w:val="24"/>
                <w:szCs w:val="24"/>
                <w:lang w:val="en-US" w:eastAsia="zh-CN"/>
              </w:rPr>
              <w:t>及</w:t>
            </w:r>
            <w:r>
              <w:rPr>
                <w:rFonts w:ascii="Times New Roman" w:eastAsia="宋体" w:cs="Times New Roman" w:hAnsi="Times New Roman"/>
                <w:b w:val="0"/>
                <w:bCs w:val="0"/>
                <w:i w:val="0"/>
                <w:iCs w:val="0"/>
                <w:color w:val="auto"/>
                <w:sz w:val="24"/>
                <w:szCs w:val="24"/>
                <w:lang w:val="en-US" w:eastAsia="zh-CN"/>
              </w:rPr>
              <w:t>螺丝、电动机、显示器、电子杂件等）进行重新装配，不涉及焊接。此过程主要产生噪声。</w:t>
            </w:r>
          </w:p>
          <w:p>
            <w:pPr>
              <w:numPr>
                <w:ilvl w:val="0"/>
                <w:numId w:val="37"/>
              </w:numPr>
              <w:spacing w:line="360" w:lineRule="auto"/>
              <w:ind w:left="0" w:firstLineChars="200" w:firstLine="480"/>
              <w:jc w:val="both"/>
            </w:pPr>
            <w:r>
              <w:rPr>
                <w:rFonts w:cs="Times New Roman" w:hint="eastAsia"/>
                <w:b w:val="0"/>
                <w:bCs w:val="0"/>
                <w:color w:val="auto"/>
                <w:sz w:val="24"/>
                <w:szCs w:val="24"/>
                <w:lang w:val="en-US" w:eastAsia="zh-CN"/>
              </w:rPr>
              <w:t>废弃</w:t>
            </w:r>
            <w:r>
              <w:rPr>
                <w:rFonts w:ascii="Times New Roman" w:eastAsia="宋体" w:cs="Times New Roman" w:hAnsi="Times New Roman"/>
                <w:b w:val="0"/>
                <w:bCs w:val="0"/>
                <w:i w:val="0"/>
                <w:iCs w:val="0"/>
                <w:color w:val="auto"/>
                <w:sz w:val="24"/>
                <w:szCs w:val="24"/>
                <w:lang w:val="en-US" w:eastAsia="zh-CN"/>
              </w:rPr>
              <w:t>电脑服务器、通讯设备、基站设备、网络设备及其他电子设备</w:t>
            </w:r>
            <w:r>
              <w:rPr>
                <w:rFonts w:cs="Times New Roman" w:hint="eastAsia"/>
                <w:b w:val="0"/>
                <w:bCs w:val="0"/>
                <w:color w:val="auto"/>
                <w:sz w:val="24"/>
                <w:szCs w:val="24"/>
                <w:lang w:val="en-US" w:eastAsia="zh-CN"/>
              </w:rPr>
              <w:t>拆解工艺流程及产污环节</w:t>
            </w:r>
          </w:p>
          <w:p>
            <w:pPr>
              <w:spacing w:line="360" w:lineRule="auto"/>
              <w:jc w:val="center"/>
            </w:pPr>
            <w:r>
              <w:drawing>
                <wp:inline distT="0" distB="0" distL="114300" distR="114300">
                  <wp:extent cx="4107815" cy="3543300"/>
                  <wp:effectExtent l="0" t="0" r="32" b="41"/>
                  <wp:docPr id="81" name="图片 8"/>
                  <wp:cNvGraphicFramePr>
                    <a:graphicFrameLocks noChangeAspect="1"/>
                  </wp:cNvGraphicFramePr>
                  <a:graphic>
                    <a:graphicData uri="http://schemas.openxmlformats.org/drawingml/2006/picture">
                      <pic:pic>
                        <pic:nvPicPr>
                          <pic:cNvPr id="83" name="图片 8 83"/>
                          <pic:cNvPicPr/>
                        </pic:nvPicPr>
                        <pic:blipFill>
                          <a:blip r:embed="rId15"/>
                          <a:stretch>
                            <a:fillRect/>
                          </a:stretch>
                        </pic:blipFill>
                        <pic:spPr>
                          <a:xfrm rot="0">
                            <a:off x="0" y="0"/>
                            <a:ext cx="4107815" cy="3543300"/>
                          </a:xfrm>
                          <a:prstGeom prst="rect"/>
                          <a:noFill/>
                          <a:ln w="9525" cmpd="sng" cap="flat">
                            <a:noFill/>
                            <a:prstDash val="solid"/>
                            <a:round/>
                          </a:ln>
                        </pic:spPr>
                      </pic:pic>
                    </a:graphicData>
                  </a:graphic>
                </wp:inline>
              </w:drawing>
            </w:r>
          </w:p>
          <w:p>
            <w:pPr>
              <w:spacing w:line="360" w:lineRule="auto"/>
              <w:jc w:val="center"/>
              <w:rPr>
                <w:rFonts w:cs="Times New Roman"/>
                <w:b/>
                <w:bCs/>
                <w:color w:val="auto"/>
                <w:sz w:val="21"/>
                <w:szCs w:val="21"/>
                <w:lang w:val="en-US" w:eastAsia="zh-CN"/>
              </w:rPr>
            </w:pPr>
            <w:r>
              <w:rPr>
                <w:rFonts w:cs="Times New Roman" w:hint="eastAsia"/>
                <w:b/>
                <w:bCs/>
                <w:color w:val="auto"/>
                <w:sz w:val="21"/>
                <w:szCs w:val="21"/>
                <w:lang w:val="en-US" w:eastAsia="zh-CN"/>
              </w:rPr>
              <w:t>图2-4 电脑服务器等设备拆解流程及产污流程图</w:t>
            </w:r>
          </w:p>
          <w:p>
            <w:pPr>
              <w:numPr>
                <w:ilvl w:val="0"/>
                <w:numId w:val="37"/>
              </w:numPr>
              <w:spacing w:line="360" w:lineRule="auto"/>
              <w:ind w:left="0" w:firstLineChars="200" w:firstLine="480"/>
              <w:jc w:val="both"/>
            </w:pPr>
            <w:r>
              <w:rPr>
                <w:rFonts w:ascii="Times New Roman" w:eastAsia="宋体" w:cs="Times New Roman" w:hAnsi="Times New Roman"/>
                <w:b w:val="0"/>
                <w:bCs w:val="0"/>
                <w:i w:val="0"/>
                <w:iCs w:val="0"/>
                <w:color w:val="auto"/>
                <w:sz w:val="24"/>
                <w:szCs w:val="24"/>
                <w:lang w:val="en-US" w:eastAsia="zh-CN"/>
              </w:rPr>
              <w:t>电子医疗设备拆解流程</w:t>
            </w:r>
            <w:r>
              <w:rPr>
                <w:rFonts w:cs="Times New Roman" w:hint="eastAsia"/>
                <w:b w:val="0"/>
                <w:bCs w:val="0"/>
                <w:color w:val="auto"/>
                <w:sz w:val="24"/>
                <w:szCs w:val="24"/>
                <w:lang w:val="en-US" w:eastAsia="zh-CN"/>
              </w:rPr>
              <w:t>及产污环节详</w:t>
            </w:r>
          </w:p>
          <w:p>
            <w:pPr>
              <w:spacing w:line="360" w:lineRule="auto"/>
              <w:jc w:val="center"/>
            </w:pPr>
            <w:r>
              <w:drawing>
                <wp:inline distT="0" distB="0" distL="114300" distR="114300">
                  <wp:extent cx="4170679" cy="2920365"/>
                  <wp:effectExtent l="0" t="0" r="31" b="44"/>
                  <wp:docPr id="84" name="图片 10"/>
                  <wp:cNvGraphicFramePr>
                    <a:graphicFrameLocks noChangeAspect="1"/>
                  </wp:cNvGraphicFramePr>
                  <a:graphic>
                    <a:graphicData uri="http://schemas.openxmlformats.org/drawingml/2006/picture">
                      <pic:pic>
                        <pic:nvPicPr>
                          <pic:cNvPr id="86" name="图片 10 86"/>
                          <pic:cNvPicPr/>
                        </pic:nvPicPr>
                        <pic:blipFill>
                          <a:blip r:embed="rId16"/>
                          <a:stretch>
                            <a:fillRect/>
                          </a:stretch>
                        </pic:blipFill>
                        <pic:spPr>
                          <a:xfrm rot="0">
                            <a:off x="0" y="0"/>
                            <a:ext cx="4170679" cy="2920365"/>
                          </a:xfrm>
                          <a:prstGeom prst="rect"/>
                          <a:noFill/>
                          <a:ln w="9525" cmpd="sng" cap="flat">
                            <a:noFill/>
                            <a:prstDash val="solid"/>
                            <a:round/>
                          </a:ln>
                        </pic:spPr>
                      </pic:pic>
                    </a:graphicData>
                  </a:graphic>
                </wp:inline>
              </w:drawing>
            </w:r>
          </w:p>
          <w:p>
            <w:pPr>
              <w:spacing w:line="360" w:lineRule="auto"/>
              <w:jc w:val="center"/>
              <w:rPr>
                <w:rFonts w:ascii="Times New Roman" w:eastAsia="宋体" w:cs="Times New Roman" w:hAnsi="Times New Roman"/>
                <w:b/>
                <w:bCs/>
                <w:i w:val="0"/>
                <w:iCs w:val="0"/>
                <w:color w:val="auto"/>
                <w:sz w:val="21"/>
                <w:szCs w:val="21"/>
                <w:lang w:val="en-US" w:eastAsia="zh-CN"/>
              </w:rPr>
            </w:pPr>
            <w:r>
              <w:rPr>
                <w:rFonts w:ascii="Times New Roman" w:eastAsia="宋体" w:cs="Times New Roman" w:hAnsi="Times New Roman"/>
                <w:b/>
                <w:bCs/>
                <w:i w:val="0"/>
                <w:iCs w:val="0"/>
                <w:color w:val="auto"/>
                <w:sz w:val="21"/>
                <w:szCs w:val="21"/>
                <w:lang w:val="en-US" w:eastAsia="zh-CN"/>
              </w:rPr>
              <w:t>图2-</w:t>
            </w:r>
            <w:r>
              <w:rPr>
                <w:rFonts w:cs="Times New Roman" w:hint="eastAsia"/>
                <w:b/>
                <w:bCs/>
                <w:i w:val="0"/>
                <w:iCs w:val="0"/>
                <w:color w:val="auto"/>
                <w:sz w:val="21"/>
                <w:szCs w:val="21"/>
                <w:lang w:val="en-US" w:eastAsia="zh-CN"/>
              </w:rPr>
              <w:t>5</w:t>
            </w:r>
            <w:r>
              <w:rPr>
                <w:rFonts w:ascii="Times New Roman" w:eastAsia="宋体" w:cs="Times New Roman" w:hAnsi="Times New Roman"/>
                <w:b/>
                <w:bCs/>
                <w:i w:val="0"/>
                <w:iCs w:val="0"/>
                <w:color w:val="auto"/>
                <w:sz w:val="21"/>
                <w:szCs w:val="21"/>
                <w:lang w:val="en-US" w:eastAsia="zh-CN"/>
              </w:rPr>
              <w:t xml:space="preserve"> 电子医疗设备拆解工艺流程及产污流程图</w:t>
            </w:r>
          </w:p>
          <w:p>
            <w:pPr>
              <w:spacing w:line="360" w:lineRule="auto"/>
              <w:ind w:left="0" w:firstLineChars="200" w:firstLine="480"/>
              <w:jc w:val="both"/>
              <w:rPr>
                <w:rFonts w:cs="Times New Roman"/>
                <w:b w:val="0"/>
                <w:bCs w:val="0"/>
                <w:color w:val="auto"/>
                <w:sz w:val="24"/>
                <w:szCs w:val="24"/>
                <w:lang w:val="en-US" w:eastAsia="zh-CN"/>
              </w:rPr>
            </w:pPr>
            <w:r>
              <w:rPr>
                <w:rFonts w:ascii="Times New Roman" w:eastAsia="宋体" w:cs="Times New Roman" w:hAnsi="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cs="Times New Roman" w:hint="eastAsia"/>
                <w:b w:val="0"/>
                <w:bCs w:val="0"/>
                <w:color w:val="auto"/>
                <w:sz w:val="24"/>
                <w:szCs w:val="24"/>
                <w:lang w:val="en-US" w:eastAsia="zh-CN"/>
              </w:rPr>
              <w:t>。</w:t>
            </w:r>
          </w:p>
          <w:p>
            <w:pPr>
              <w:numPr>
                <w:ilvl w:val="0"/>
                <w:numId w:val="37"/>
              </w:numPr>
              <w:spacing w:line="360" w:lineRule="auto"/>
              <w:ind w:left="0" w:firstLineChars="200" w:firstLine="480"/>
              <w:jc w:val="both"/>
              <w:rPr>
                <w:rFonts w:cs="Times New Roman"/>
                <w:b w:val="0"/>
                <w:bCs w:val="0"/>
                <w:color w:val="auto"/>
                <w:sz w:val="24"/>
                <w:szCs w:val="24"/>
                <w:lang w:val="en-US" w:eastAsia="zh-CN"/>
              </w:rPr>
            </w:pPr>
            <w:r>
              <w:rPr>
                <w:rFonts w:cs="Times New Roman" w:hint="eastAsia"/>
                <w:b w:val="0"/>
                <w:bCs w:val="0"/>
                <w:color w:val="auto"/>
                <w:sz w:val="24"/>
                <w:szCs w:val="24"/>
                <w:lang w:val="en-US" w:eastAsia="zh-CN"/>
              </w:rPr>
              <w:t>废电线、电缆剥皮采用人工手动废旧电线剥线机进行；此过程主要产生废塑料线皮。</w:t>
            </w:r>
          </w:p>
          <w:p>
            <w:pPr>
              <w:numPr>
                <w:ilvl w:val="0"/>
                <w:numId w:val="36"/>
              </w:numPr>
              <w:spacing w:line="360" w:lineRule="auto"/>
              <w:ind w:left="0" w:firstLineChars="200" w:firstLine="480"/>
              <w:jc w:val="both"/>
              <w:rPr>
                <w:rFonts w:cs="Times New Roman" w:hint="eastAsia"/>
                <w:b w:val="0"/>
                <w:bCs w:val="0"/>
                <w:color w:val="auto"/>
                <w:sz w:val="24"/>
                <w:szCs w:val="24"/>
                <w:lang w:val="en-US" w:eastAsia="zh-CN"/>
              </w:rPr>
            </w:pPr>
            <w:r>
              <w:rPr>
                <w:rFonts w:cs="Times New Roman" w:hint="eastAsia"/>
                <w:b/>
                <w:bCs/>
                <w:color w:val="auto"/>
                <w:sz w:val="24"/>
                <w:szCs w:val="24"/>
                <w:lang w:val="en-US" w:eastAsia="zh-CN"/>
              </w:rPr>
              <w:t>产排污环节分析</w:t>
            </w:r>
          </w:p>
          <w:p>
            <w:pPr>
              <w:spacing w:line="360" w:lineRule="auto"/>
              <w:ind w:left="0" w:firstLineChars="200" w:firstLine="480"/>
              <w:jc w:val="both"/>
              <w:rPr>
                <w:rFonts w:cs="Times New Roman" w:hint="eastAsia"/>
                <w:b w:val="0"/>
                <w:bCs w:val="0"/>
                <w:color w:val="auto"/>
                <w:sz w:val="24"/>
                <w:szCs w:val="24"/>
                <w:lang w:val="en-US" w:eastAsia="zh-CN"/>
              </w:rPr>
            </w:pPr>
            <w:r>
              <w:rPr>
                <w:rFonts w:cs="Times New Roman" w:hint="eastAsia"/>
                <w:b w:val="0"/>
                <w:bCs w:val="0"/>
                <w:color w:val="auto"/>
                <w:sz w:val="24"/>
                <w:szCs w:val="24"/>
                <w:lang w:val="en-US" w:eastAsia="zh-CN"/>
              </w:rPr>
              <w:t>根据对项目生产工艺、生产设备及原辅材料的分析，运营期主要污染工序及污染物种类如下表：</w:t>
            </w:r>
          </w:p>
          <w:p>
            <w:pPr>
              <w:spacing w:line="36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lang w:val="en-US" w:eastAsia="zh-CN"/>
              </w:rPr>
              <w:t>表2-7 项目主要产污环节汇总</w:t>
            </w:r>
          </w:p>
          <w:tbl>
            <w:tblPr>
              <w:jc w:val="left"/>
              <w:tblInd w:w="0" w:type="dxa"/>
              <w:tblW w:w="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tc>
                <w:tcPr>
                  <w:tcW w:w="960" w:type="dxa"/>
                  <w:vAlign w:val="center"/>
                </w:tcPr>
                <w:p>
                  <w:pPr>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污染源</w:t>
                  </w:r>
                </w:p>
              </w:tc>
              <w:tc>
                <w:tcPr>
                  <w:tcW w:w="1403" w:type="dxa"/>
                  <w:gridSpan w:val="2"/>
                  <w:vAlign w:val="center"/>
                </w:tcPr>
                <w:p>
                  <w:pPr>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污染物类别</w:t>
                  </w:r>
                </w:p>
              </w:tc>
              <w:tc>
                <w:tcPr>
                  <w:tcW w:w="1100" w:type="dxa"/>
                  <w:vAlign w:val="center"/>
                </w:tcPr>
                <w:p>
                  <w:pPr>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产污位置</w:t>
                  </w:r>
                </w:p>
              </w:tc>
              <w:tc>
                <w:tcPr>
                  <w:tcW w:w="1125" w:type="dxa"/>
                  <w:vAlign w:val="center"/>
                </w:tcPr>
                <w:p>
                  <w:pPr>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产污节点</w:t>
                  </w:r>
                </w:p>
              </w:tc>
              <w:tc>
                <w:tcPr>
                  <w:tcW w:w="2535" w:type="dxa"/>
                  <w:vAlign w:val="center"/>
                </w:tcPr>
                <w:p>
                  <w:pPr>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污染物名称</w:t>
                  </w:r>
                </w:p>
              </w:tc>
              <w:tc>
                <w:tcPr>
                  <w:tcW w:w="1305" w:type="dxa"/>
                  <w:vAlign w:val="center"/>
                </w:tcPr>
                <w:p>
                  <w:pPr>
                    <w:spacing w:line="240" w:lineRule="auto"/>
                    <w:jc w:val="center"/>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污染因子</w:t>
                  </w:r>
                </w:p>
              </w:tc>
            </w:tr>
            <w:tr>
              <w:tc>
                <w:tcPr>
                  <w:tcW w:w="960" w:type="dxa"/>
                  <w:vMerge w:val="restart"/>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工业源</w:t>
                  </w:r>
                </w:p>
              </w:tc>
              <w:tc>
                <w:tcPr>
                  <w:tcW w:w="1403" w:type="dxa"/>
                  <w:gridSpan w:val="2"/>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废气</w:t>
                  </w:r>
                </w:p>
              </w:tc>
              <w:tc>
                <w:tcPr>
                  <w:tcW w:w="1100"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拆解线</w:t>
                  </w: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清灰作业</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eastAsia="宋体" w:cs="Times New Roman" w:hint="eastAsia"/>
                      <w:b w:val="0"/>
                      <w:bCs w:val="0"/>
                      <w:color w:val="auto"/>
                      <w:sz w:val="21"/>
                      <w:szCs w:val="21"/>
                      <w:vertAlign w:val="baseline"/>
                      <w:lang w:val="en-US" w:eastAsia="zh-CN"/>
                    </w:rPr>
                  </w:pPr>
                  <w:r>
                    <w:rPr>
                      <w:rFonts w:hint="eastAsia"/>
                      <w:lang w:val="en-US" w:eastAsia="zh-CN"/>
                    </w:rPr>
                    <w:t>颗粒物</w:t>
                  </w:r>
                </w:p>
              </w:tc>
            </w:tr>
            <w:tr>
              <w:tc>
                <w:tcPr>
                  <w:tcW w:w="960" w:type="dxa"/>
                  <w:vMerge/>
                  <w:tcBorders>
                    <w:top w:val="single" w:sz="4" w:space="0" w:color="auto"/>
                    <w:left w:val="single" w:sz="4" w:space="0" w:color="auto"/>
                    <w:right w:val="single" w:sz="4" w:space="0" w:color="auto"/>
                  </w:tcBorders>
                  <w:vAlign w:val="center"/>
                </w:tcPr>
                <w:p/>
              </w:tc>
              <w:tc>
                <w:tcPr>
                  <w:tcW w:w="1403" w:type="dxa"/>
                  <w:gridSpan w:val="2"/>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ascii="Times New Roman" w:eastAsia="宋体" w:cs="Times New Roman" w:hAnsi="Times New Roman"/>
                      <w:color w:val="auto"/>
                      <w:sz w:val="21"/>
                      <w:szCs w:val="21"/>
                      <w:lang w:eastAsia="zh-CN"/>
                    </w:rPr>
                    <w:t>噪声</w:t>
                  </w:r>
                </w:p>
              </w:tc>
              <w:tc>
                <w:tcPr>
                  <w:tcW w:w="1100"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拆解线</w:t>
                  </w: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拆解作业</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噪声</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Leq</w:t>
                  </w:r>
                </w:p>
              </w:tc>
            </w:tr>
            <w:tr>
              <w:trPr>
                <w:trHeight w:val="90"/>
              </w:trPr>
              <w:tc>
                <w:tcPr>
                  <w:tcW w:w="960" w:type="dxa"/>
                  <w:vMerge/>
                  <w:tcBorders>
                    <w:top w:val="single" w:sz="4" w:space="0" w:color="auto"/>
                    <w:left w:val="single" w:sz="4" w:space="0" w:color="auto"/>
                    <w:right w:val="single" w:sz="4" w:space="0" w:color="auto"/>
                  </w:tcBorders>
                  <w:vAlign w:val="center"/>
                </w:tcPr>
                <w:p/>
              </w:tc>
              <w:tc>
                <w:tcPr>
                  <w:tcW w:w="701" w:type="dxa"/>
                  <w:vMerge w:val="restart"/>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固体废物</w:t>
                  </w:r>
                </w:p>
                <w:p>
                  <w:pPr>
                    <w:spacing w:line="240" w:lineRule="auto"/>
                    <w:jc w:val="center"/>
                    <w:rPr>
                      <w:rFonts w:cs="Times New Roman" w:hint="eastAsia"/>
                      <w:b w:val="0"/>
                      <w:bCs w:val="0"/>
                      <w:color w:val="auto"/>
                      <w:sz w:val="21"/>
                      <w:szCs w:val="21"/>
                      <w:vertAlign w:val="baseline"/>
                      <w:lang w:val="en-US" w:eastAsia="zh-CN"/>
                    </w:rPr>
                  </w:pPr>
                </w:p>
              </w:tc>
              <w:tc>
                <w:tcPr>
                  <w:tcW w:w="702" w:type="dxa"/>
                  <w:vMerge w:val="restart"/>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一般工业固体废物</w:t>
                  </w:r>
                </w:p>
              </w:tc>
              <w:tc>
                <w:tcPr>
                  <w:tcW w:w="1100" w:type="dxa"/>
                  <w:vMerge w:val="restart"/>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拆解线</w:t>
                  </w: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拆解作业</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拆解产生不可利用物</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w:t>
                  </w:r>
                </w:p>
              </w:tc>
            </w:tr>
            <w:tr>
              <w:trPr>
                <w:trHeight w:val="90"/>
              </w:trP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拆解作业</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拆解产生不可利用零部件</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w:t>
                  </w:r>
                </w:p>
              </w:tc>
            </w:tr>
            <w:tr>
              <w:trPr>
                <w:trHeight w:val="90"/>
              </w:trP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打包作业</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废包装材料</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w:t>
                  </w:r>
                </w:p>
              </w:tc>
            </w:tr>
            <w:t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废气治理</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除尘器收尘</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w:t>
                  </w:r>
                </w:p>
              </w:tc>
            </w:tr>
            <w:t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val="restart"/>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危险废物</w:t>
                  </w:r>
                </w:p>
              </w:tc>
              <w:tc>
                <w:tcPr>
                  <w:tcW w:w="1100" w:type="dxa"/>
                  <w:vMerge/>
                  <w:tcBorders>
                    <w:top w:val="single" w:sz="4" w:space="0" w:color="auto"/>
                    <w:left w:val="single" w:sz="4" w:space="0" w:color="auto"/>
                    <w:right w:val="single" w:sz="4" w:space="0" w:color="auto"/>
                  </w:tcBorders>
                  <w:vAlign w:val="center"/>
                </w:tcP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拆解作业</w:t>
                  </w:r>
                </w:p>
              </w:tc>
              <w:tc>
                <w:tcPr>
                  <w:tcW w:w="253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hint="eastAsia"/>
                    </w:rPr>
                    <w:t>废电路板</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多氯联苯</w:t>
                  </w:r>
                </w:p>
              </w:tc>
            </w:tr>
            <w:t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tcBorders>
                    <w:top w:val="single" w:sz="4" w:space="0" w:color="auto"/>
                    <w:left w:val="single" w:sz="4" w:space="0" w:color="auto"/>
                    <w:right w:val="single" w:sz="4" w:space="0" w:color="auto"/>
                  </w:tcBorders>
                  <w:vAlign w:val="center"/>
                </w:tcPr>
                <w:p>
                  <w:pPr>
                    <w:spacing w:line="240" w:lineRule="auto"/>
                    <w:jc w:val="center"/>
                    <w:rPr>
                      <w:rFonts w:hint="eastAsia"/>
                      <w:lang w:val="en-US" w:eastAsia="zh-CN"/>
                    </w:rPr>
                  </w:pPr>
                  <w:r>
                    <w:rPr>
                      <w:rFonts w:cs="Times New Roman" w:hint="eastAsia"/>
                      <w:b w:val="0"/>
                      <w:bCs w:val="0"/>
                      <w:color w:val="auto"/>
                      <w:sz w:val="21"/>
                      <w:szCs w:val="21"/>
                      <w:vertAlign w:val="baseline"/>
                      <w:lang w:val="en-US" w:eastAsia="zh-CN"/>
                    </w:rPr>
                    <w:t>拆解作业</w:t>
                  </w:r>
                </w:p>
              </w:tc>
              <w:tc>
                <w:tcPr>
                  <w:tcW w:w="2535" w:type="dxa"/>
                  <w:tcBorders>
                    <w:top w:val="single" w:sz="4" w:space="0" w:color="auto"/>
                    <w:left w:val="single" w:sz="4" w:space="0" w:color="auto"/>
                    <w:right w:val="single" w:sz="4" w:space="0" w:color="auto"/>
                  </w:tcBorders>
                  <w:vAlign w:val="center"/>
                </w:tcPr>
                <w:p>
                  <w:pPr>
                    <w:spacing w:line="240" w:lineRule="auto"/>
                    <w:ind w:left="0" w:firstLine="0"/>
                    <w:jc w:val="center"/>
                    <w:rPr>
                      <w:rFonts w:cs="Times New Roman" w:hint="eastAsia"/>
                      <w:b w:val="0"/>
                      <w:bCs w:val="0"/>
                      <w:color w:val="auto"/>
                      <w:sz w:val="21"/>
                      <w:szCs w:val="21"/>
                      <w:vertAlign w:val="baseline"/>
                      <w:lang w:val="en-US" w:eastAsia="zh-CN"/>
                    </w:rPr>
                  </w:pPr>
                  <w:r>
                    <w:rPr>
                      <w:rFonts w:hint="eastAsia"/>
                    </w:rPr>
                    <w:t>废含汞元（器）件</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hint="eastAsia"/>
                    </w:rPr>
                    <w:t>汞</w:t>
                  </w:r>
                </w:p>
              </w:tc>
            </w:tr>
            <w:t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拆解作业</w:t>
                  </w:r>
                </w:p>
              </w:tc>
              <w:tc>
                <w:tcPr>
                  <w:tcW w:w="2535" w:type="dxa"/>
                  <w:tcBorders>
                    <w:top w:val="single" w:sz="4" w:space="0" w:color="auto"/>
                    <w:left w:val="single" w:sz="4" w:space="0" w:color="auto"/>
                    <w:right w:val="single" w:sz="4" w:space="0" w:color="auto"/>
                  </w:tcBorders>
                  <w:vAlign w:val="center"/>
                </w:tcPr>
                <w:p>
                  <w:pPr>
                    <w:spacing w:line="240" w:lineRule="auto"/>
                    <w:ind w:left="0" w:firstLine="0"/>
                    <w:jc w:val="center"/>
                    <w:rPr>
                      <w:rFonts w:eastAsia="宋体" w:hint="eastAsia"/>
                      <w:lang w:eastAsia="zh-CN"/>
                    </w:rPr>
                  </w:pPr>
                  <w:r>
                    <w:rPr>
                      <w:rFonts w:hint="eastAsia"/>
                      <w:lang w:val="en-US" w:eastAsia="zh-CN"/>
                    </w:rPr>
                    <w:t>废矿物油</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矿物油</w:t>
                  </w:r>
                </w:p>
              </w:tc>
            </w:tr>
            <w:t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vMerge w:val="restart"/>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设备保养</w:t>
                  </w:r>
                </w:p>
              </w:tc>
              <w:tc>
                <w:tcPr>
                  <w:tcW w:w="2535" w:type="dxa"/>
                  <w:tcBorders>
                    <w:top w:val="single" w:sz="4" w:space="0" w:color="auto"/>
                    <w:left w:val="single" w:sz="4" w:space="0" w:color="auto"/>
                    <w:right w:val="single" w:sz="4" w:space="0" w:color="auto"/>
                  </w:tcBorders>
                  <w:vAlign w:val="center"/>
                </w:tcPr>
                <w:p>
                  <w:pPr>
                    <w:spacing w:line="240" w:lineRule="auto"/>
                    <w:ind w:left="0" w:firstLine="0"/>
                    <w:jc w:val="center"/>
                    <w:rPr>
                      <w:rFonts w:eastAsia="宋体" w:hint="eastAsia"/>
                      <w:lang w:eastAsia="zh-CN"/>
                    </w:rPr>
                  </w:pPr>
                  <w:r>
                    <w:rPr>
                      <w:rFonts w:hint="eastAsia"/>
                      <w:lang w:eastAsia="zh-CN"/>
                    </w:rPr>
                    <w:t>废润滑油</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矿物油</w:t>
                  </w:r>
                </w:p>
              </w:tc>
            </w:tr>
            <w:tr>
              <w:tc>
                <w:tcPr>
                  <w:tcW w:w="960" w:type="dxa"/>
                  <w:vMerge/>
                  <w:tcBorders>
                    <w:top w:val="single" w:sz="4" w:space="0" w:color="auto"/>
                    <w:left w:val="single" w:sz="4" w:space="0" w:color="auto"/>
                    <w:right w:val="single" w:sz="4" w:space="0" w:color="auto"/>
                  </w:tcBorders>
                  <w:vAlign w:val="center"/>
                </w:tcPr>
                <w:p/>
              </w:tc>
              <w:tc>
                <w:tcPr>
                  <w:tcW w:w="701" w:type="dxa"/>
                  <w:vMerge/>
                  <w:tcBorders>
                    <w:top w:val="single" w:sz="4" w:space="0" w:color="auto"/>
                    <w:left w:val="single" w:sz="4" w:space="0" w:color="auto"/>
                    <w:right w:val="single" w:sz="4" w:space="0" w:color="auto"/>
                  </w:tcBorders>
                  <w:vAlign w:val="center"/>
                </w:tcPr>
                <w:p/>
              </w:tc>
              <w:tc>
                <w:tcPr>
                  <w:tcW w:w="702" w:type="dxa"/>
                  <w:vMerge/>
                  <w:tcBorders>
                    <w:top w:val="single" w:sz="4" w:space="0" w:color="auto"/>
                    <w:left w:val="single" w:sz="4" w:space="0" w:color="auto"/>
                    <w:right w:val="single" w:sz="4" w:space="0" w:color="auto"/>
                  </w:tcBorders>
                  <w:vAlign w:val="center"/>
                </w:tcPr>
                <w:p/>
              </w:tc>
              <w:tc>
                <w:tcPr>
                  <w:tcW w:w="1100" w:type="dxa"/>
                  <w:vMerge/>
                  <w:tcBorders>
                    <w:top w:val="single" w:sz="4" w:space="0" w:color="auto"/>
                    <w:left w:val="single" w:sz="4" w:space="0" w:color="auto"/>
                    <w:right w:val="single" w:sz="4" w:space="0" w:color="auto"/>
                  </w:tcBorders>
                  <w:vAlign w:val="center"/>
                </w:tcPr>
                <w:p/>
              </w:tc>
              <w:tc>
                <w:tcPr>
                  <w:tcW w:w="1125" w:type="dxa"/>
                  <w:vMerge/>
                  <w:tcBorders>
                    <w:top w:val="single" w:sz="4" w:space="0" w:color="auto"/>
                    <w:left w:val="single" w:sz="4" w:space="0" w:color="auto"/>
                    <w:right w:val="single" w:sz="4" w:space="0" w:color="auto"/>
                  </w:tcBorders>
                  <w:vAlign w:val="center"/>
                </w:tcPr>
                <w:p/>
              </w:tc>
              <w:tc>
                <w:tcPr>
                  <w:tcW w:w="2535" w:type="dxa"/>
                  <w:tcBorders>
                    <w:top w:val="single" w:sz="4" w:space="0" w:color="auto"/>
                    <w:left w:val="single" w:sz="4" w:space="0" w:color="auto"/>
                    <w:right w:val="single" w:sz="4" w:space="0" w:color="auto"/>
                  </w:tcBorders>
                  <w:vAlign w:val="center"/>
                </w:tcPr>
                <w:p>
                  <w:pPr>
                    <w:spacing w:line="240" w:lineRule="auto"/>
                    <w:ind w:left="0" w:firstLine="0"/>
                    <w:jc w:val="center"/>
                    <w:rPr>
                      <w:rFonts w:hint="eastAsia"/>
                    </w:rPr>
                  </w:pPr>
                  <w:r>
                    <w:rPr>
                      <w:rFonts w:hint="eastAsia"/>
                    </w:rPr>
                    <w:t>含油废劳保用品</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矿物油</w:t>
                  </w:r>
                </w:p>
              </w:tc>
            </w:tr>
            <w:tr>
              <w:tc>
                <w:tcPr>
                  <w:tcW w:w="960" w:type="dxa"/>
                  <w:vMerge w:val="restart"/>
                  <w:tcBorders>
                    <w:top w:val="single" w:sz="4" w:space="0" w:color="auto"/>
                    <w:left w:val="single" w:sz="4" w:space="0" w:color="auto"/>
                    <w:right w:val="single" w:sz="4" w:space="0" w:color="auto"/>
                  </w:tcBorders>
                  <w:vAlign w:val="center"/>
                </w:tcPr>
                <w:p>
                  <w:pPr>
                    <w:adjustRightInd w:val="0"/>
                    <w:snapToGrid w:val="0"/>
                    <w:spacing w:line="240" w:lineRule="auto"/>
                    <w:jc w:val="center"/>
                    <w:rPr>
                      <w:rFonts w:cs="Times New Roman" w:hint="eastAsia"/>
                      <w:b w:val="0"/>
                      <w:bCs w:val="0"/>
                      <w:color w:val="auto"/>
                      <w:sz w:val="21"/>
                      <w:szCs w:val="21"/>
                      <w:vertAlign w:val="baseline"/>
                      <w:lang w:val="en-US" w:eastAsia="zh-CN"/>
                    </w:rPr>
                  </w:pPr>
                  <w:r>
                    <w:rPr>
                      <w:rFonts w:ascii="Times New Roman" w:eastAsia="宋体" w:cs="Times New Roman" w:hAnsi="Times New Roman"/>
                      <w:color w:val="auto"/>
                      <w:sz w:val="21"/>
                      <w:szCs w:val="21"/>
                    </w:rPr>
                    <w:t>生活源</w:t>
                  </w:r>
                </w:p>
              </w:tc>
              <w:tc>
                <w:tcPr>
                  <w:tcW w:w="1403" w:type="dxa"/>
                  <w:gridSpan w:val="2"/>
                  <w:tcBorders>
                    <w:top w:val="single" w:sz="4" w:space="0" w:color="auto"/>
                    <w:left w:val="single" w:sz="4" w:space="0" w:color="auto"/>
                    <w:right w:val="single" w:sz="4" w:space="0" w:color="auto"/>
                  </w:tcBorders>
                  <w:vAlign w:val="center"/>
                </w:tcPr>
                <w:p>
                  <w:pPr>
                    <w:adjustRightInd w:val="0"/>
                    <w:snapToGrid w:val="0"/>
                    <w:spacing w:line="240" w:lineRule="auto"/>
                    <w:jc w:val="center"/>
                    <w:rPr>
                      <w:rFonts w:cs="Times New Roman" w:hint="eastAsia"/>
                      <w:b w:val="0"/>
                      <w:bCs w:val="0"/>
                      <w:color w:val="auto"/>
                      <w:sz w:val="21"/>
                      <w:szCs w:val="21"/>
                      <w:vertAlign w:val="baseline"/>
                      <w:lang w:val="en-US" w:eastAsia="zh-CN"/>
                    </w:rPr>
                  </w:pPr>
                  <w:r>
                    <w:rPr>
                      <w:rFonts w:ascii="Times New Roman" w:eastAsia="宋体" w:cs="Times New Roman" w:hAnsi="Times New Roman"/>
                      <w:color w:val="auto"/>
                      <w:sz w:val="21"/>
                      <w:szCs w:val="21"/>
                      <w:lang w:eastAsia="zh-CN"/>
                    </w:rPr>
                    <w:t>废水</w:t>
                  </w:r>
                </w:p>
              </w:tc>
              <w:tc>
                <w:tcPr>
                  <w:tcW w:w="1100" w:type="dxa"/>
                  <w:tcBorders>
                    <w:top w:val="single" w:sz="4" w:space="0" w:color="auto"/>
                    <w:left w:val="single" w:sz="4" w:space="0" w:color="auto"/>
                    <w:right w:val="single" w:sz="4" w:space="0" w:color="auto"/>
                  </w:tcBorders>
                  <w:vAlign w:val="center"/>
                </w:tcPr>
                <w:p>
                  <w:pPr>
                    <w:spacing w:line="240" w:lineRule="auto"/>
                    <w:ind w:left="0" w:firstLine="0"/>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color w:val="auto"/>
                      <w:sz w:val="21"/>
                      <w:szCs w:val="21"/>
                      <w:vertAlign w:val="baseline"/>
                      <w:lang w:val="en-US" w:eastAsia="zh-CN"/>
                    </w:rPr>
                    <w:t>办公室</w:t>
                  </w:r>
                </w:p>
              </w:tc>
              <w:tc>
                <w:tcPr>
                  <w:tcW w:w="1125" w:type="dxa"/>
                  <w:vMerge w:val="restart"/>
                  <w:tcBorders>
                    <w:top w:val="single" w:sz="4" w:space="0" w:color="auto"/>
                    <w:left w:val="single" w:sz="4" w:space="0" w:color="auto"/>
                    <w:right w:val="single" w:sz="4" w:space="0" w:color="auto"/>
                  </w:tcBorders>
                  <w:vAlign w:val="center"/>
                </w:tcPr>
                <w:p>
                  <w:pPr>
                    <w:spacing w:line="240" w:lineRule="auto"/>
                    <w:ind w:left="0" w:firstLine="0"/>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员工办</w:t>
                  </w:r>
                </w:p>
                <w:p>
                  <w:pPr>
                    <w:spacing w:line="240" w:lineRule="auto"/>
                    <w:ind w:left="0" w:firstLine="0"/>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color w:val="auto"/>
                      <w:sz w:val="21"/>
                      <w:szCs w:val="21"/>
                      <w:vertAlign w:val="baseline"/>
                      <w:lang w:val="en-US" w:eastAsia="zh-CN"/>
                    </w:rPr>
                    <w:t>公生活</w:t>
                  </w:r>
                </w:p>
              </w:tc>
              <w:tc>
                <w:tcPr>
                  <w:tcW w:w="2535" w:type="dxa"/>
                  <w:tcBorders>
                    <w:top w:val="single" w:sz="4" w:space="0" w:color="auto"/>
                    <w:left w:val="single" w:sz="4" w:space="0" w:color="auto"/>
                    <w:right w:val="single" w:sz="4" w:space="0" w:color="auto"/>
                  </w:tcBorders>
                  <w:vAlign w:val="center"/>
                </w:tcPr>
                <w:p>
                  <w:pPr>
                    <w:spacing w:line="240" w:lineRule="auto"/>
                    <w:ind w:left="0" w:firstLine="0"/>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color w:val="auto"/>
                      <w:sz w:val="21"/>
                      <w:szCs w:val="21"/>
                      <w:vertAlign w:val="baseline"/>
                      <w:lang w:val="en-US" w:eastAsia="zh-CN"/>
                    </w:rPr>
                    <w:t>生活污水W</w:t>
                  </w:r>
                </w:p>
              </w:tc>
              <w:tc>
                <w:tcPr>
                  <w:tcW w:w="1305" w:type="dxa"/>
                  <w:tcBorders>
                    <w:top w:val="single" w:sz="4" w:space="0" w:color="auto"/>
                    <w:left w:val="single" w:sz="4" w:space="0" w:color="auto"/>
                    <w:right w:val="single" w:sz="4" w:space="0" w:color="auto"/>
                  </w:tcBorders>
                  <w:vAlign w:val="center"/>
                </w:tcPr>
                <w:p>
                  <w:pPr>
                    <w:spacing w:line="240" w:lineRule="auto"/>
                    <w:jc w:val="both"/>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CODcr、氨氮、SS、pH</w:t>
                  </w:r>
                </w:p>
              </w:tc>
            </w:tr>
            <w:tr>
              <w:tc>
                <w:tcPr>
                  <w:tcW w:w="960" w:type="dxa"/>
                  <w:vMerge/>
                  <w:tcBorders>
                    <w:top w:val="single" w:sz="4" w:space="0" w:color="auto"/>
                    <w:left w:val="single" w:sz="4" w:space="0" w:color="auto"/>
                    <w:right w:val="single" w:sz="4" w:space="0" w:color="auto"/>
                  </w:tcBorders>
                  <w:vAlign w:val="center"/>
                </w:tcPr>
                <w:p/>
              </w:tc>
              <w:tc>
                <w:tcPr>
                  <w:tcW w:w="1403" w:type="dxa"/>
                  <w:gridSpan w:val="2"/>
                  <w:tcBorders>
                    <w:top w:val="single" w:sz="4" w:space="0" w:color="auto"/>
                    <w:left w:val="single" w:sz="4" w:space="0" w:color="auto"/>
                    <w:right w:val="single" w:sz="4" w:space="0" w:color="auto"/>
                  </w:tcBorders>
                  <w:vAlign w:val="center"/>
                </w:tcPr>
                <w:p>
                  <w:pPr>
                    <w:adjustRightInd w:val="0"/>
                    <w:snapToGrid w:val="0"/>
                    <w:spacing w:line="240" w:lineRule="auto"/>
                    <w:jc w:val="center"/>
                    <w:rPr>
                      <w:rFonts w:cs="Times New Roman" w:hint="eastAsia"/>
                      <w:b w:val="0"/>
                      <w:bCs w:val="0"/>
                      <w:color w:val="auto"/>
                      <w:sz w:val="21"/>
                      <w:szCs w:val="21"/>
                      <w:vertAlign w:val="baseline"/>
                      <w:lang w:val="en-US" w:eastAsia="zh-CN"/>
                    </w:rPr>
                  </w:pPr>
                  <w:r>
                    <w:rPr>
                      <w:rFonts w:ascii="Times New Roman" w:eastAsia="宋体" w:cs="Times New Roman" w:hAnsi="Times New Roman"/>
                      <w:color w:val="auto"/>
                      <w:sz w:val="21"/>
                      <w:szCs w:val="21"/>
                    </w:rPr>
                    <w:t>固废</w:t>
                  </w:r>
                </w:p>
              </w:tc>
              <w:tc>
                <w:tcPr>
                  <w:tcW w:w="1100" w:type="dxa"/>
                  <w:tcBorders>
                    <w:top w:val="single" w:sz="4" w:space="0" w:color="auto"/>
                    <w:left w:val="single" w:sz="4" w:space="0" w:color="auto"/>
                    <w:right w:val="single" w:sz="4" w:space="0" w:color="auto"/>
                  </w:tcBorders>
                  <w:vAlign w:val="center"/>
                </w:tcPr>
                <w:p>
                  <w:pPr>
                    <w:spacing w:line="240" w:lineRule="auto"/>
                    <w:ind w:left="0" w:firstLine="0"/>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办公室</w:t>
                  </w:r>
                </w:p>
              </w:tc>
              <w:tc>
                <w:tcPr>
                  <w:tcW w:w="1125" w:type="dxa"/>
                  <w:vMerge/>
                  <w:tcBorders>
                    <w:top w:val="single" w:sz="4" w:space="0" w:color="auto"/>
                    <w:left w:val="single" w:sz="4" w:space="0" w:color="auto"/>
                    <w:right w:val="single" w:sz="4" w:space="0" w:color="auto"/>
                  </w:tcBorders>
                  <w:vAlign w:val="center"/>
                </w:tcPr>
                <w:p/>
              </w:tc>
              <w:tc>
                <w:tcPr>
                  <w:tcW w:w="2535" w:type="dxa"/>
                  <w:tcBorders>
                    <w:top w:val="single" w:sz="4" w:space="0" w:color="auto"/>
                    <w:left w:val="single" w:sz="4" w:space="0" w:color="auto"/>
                    <w:right w:val="single" w:sz="4" w:space="0" w:color="auto"/>
                  </w:tcBorders>
                  <w:vAlign w:val="center"/>
                </w:tcPr>
                <w:p>
                  <w:pPr>
                    <w:spacing w:line="240" w:lineRule="auto"/>
                    <w:ind w:left="0" w:firstLine="0"/>
                    <w:jc w:val="center"/>
                    <w:rPr>
                      <w:rFonts w:cs="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生活垃圾</w:t>
                  </w:r>
                </w:p>
              </w:tc>
              <w:tc>
                <w:tcPr>
                  <w:tcW w:w="1305" w:type="dxa"/>
                  <w:tcBorders>
                    <w:top w:val="single" w:sz="4" w:space="0" w:color="auto"/>
                    <w:left w:val="single" w:sz="4" w:space="0" w:color="auto"/>
                    <w:right w:val="single" w:sz="4" w:space="0" w:color="auto"/>
                  </w:tcBorders>
                  <w:vAlign w:val="center"/>
                </w:tcPr>
                <w:p>
                  <w:pPr>
                    <w:spacing w:line="240" w:lineRule="auto"/>
                    <w:jc w:val="center"/>
                    <w:rPr>
                      <w:rFonts w:cs="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w:t>
                  </w:r>
                </w:p>
              </w:tc>
            </w:tr>
          </w:tbl>
          <w:p>
            <w:pPr>
              <w:spacing w:line="360" w:lineRule="auto"/>
              <w:jc w:val="both"/>
              <w:rPr>
                <w:rFonts w:ascii="Times New Roman" w:eastAsia="宋体" w:cs="Times New Roman" w:hAnsi="Times New Roman"/>
                <w:color w:val="auto"/>
                <w:sz w:val="24"/>
                <w:szCs w:val="24"/>
                <w:lang w:val="en-US" w:eastAsia="zh-CN"/>
              </w:rPr>
            </w:pPr>
          </w:p>
        </w:tc>
      </w:tr>
      <w:tr>
        <w:trPr>
          <w:trHeight w:val="93"/>
        </w:trPr>
        <w:tc>
          <w:tcPr>
            <w:tcW w:w="532" w:type="pct"/>
            <w:tcBorders>
              <w:top w:val="single" w:sz="4" w:space="0" w:color="auto"/>
              <w:left w:val="single" w:sz="4" w:space="0" w:color="auto"/>
              <w:right w:val="single" w:sz="4" w:space="0" w:color="auto"/>
            </w:tcBorders>
            <w:noWrap/>
            <w:vAlign w:val="center"/>
          </w:tcPr>
          <w:p>
            <w:pPr>
              <w:jc w:val="center"/>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与项目有关的原有环境污染问题</w:t>
            </w:r>
          </w:p>
        </w:tc>
        <w:tc>
          <w:tcPr>
            <w:tcW w:w="4467" w:type="pct"/>
            <w:tcBorders>
              <w:top w:val="single" w:sz="4" w:space="0" w:color="auto"/>
              <w:left w:val="single" w:sz="4" w:space="0" w:color="auto"/>
              <w:right w:val="single" w:sz="4" w:space="0" w:color="auto"/>
            </w:tcBorders>
            <w:noWrap/>
          </w:tcPr>
          <w:p>
            <w:pPr>
              <w:spacing w:line="360" w:lineRule="auto"/>
              <w:ind w:left="0" w:firstLineChars="200" w:firstLine="480"/>
              <w:jc w:val="both"/>
              <w:rPr>
                <w:rFonts w:eastAsia="宋体" w:hint="eastAsia"/>
                <w:vertAlign w:val="baseline"/>
                <w:lang w:eastAsia="zh-CN"/>
              </w:rPr>
            </w:pPr>
            <w:r>
              <w:rPr>
                <w:rFonts w:ascii="Times New Roman" w:eastAsia="宋体" w:cs="Times New Roman" w:hAnsi="Times New Roman"/>
                <w:color w:val="auto"/>
                <w:sz w:val="24"/>
                <w:szCs w:val="24"/>
                <w:lang w:val="en-US" w:eastAsia="zh-CN"/>
              </w:rPr>
              <w:t>本项目为新建项目，租赁嘉泰城市建设投资开发公司20幢厂房第3层</w:t>
            </w:r>
            <w:r>
              <w:rPr>
                <w:rFonts w:cs="Times New Roman" w:hint="eastAsia"/>
                <w:color w:val="auto"/>
                <w:sz w:val="24"/>
                <w:szCs w:val="24"/>
                <w:lang w:val="en-US" w:eastAsia="zh-CN"/>
              </w:rPr>
              <w:t>部分</w:t>
            </w:r>
            <w:r>
              <w:rPr>
                <w:rFonts w:ascii="Times New Roman" w:eastAsia="宋体" w:cs="Times New Roman" w:hAnsi="Times New Roman"/>
                <w:color w:val="auto"/>
                <w:sz w:val="24"/>
                <w:szCs w:val="24"/>
                <w:lang w:val="en-US" w:eastAsia="zh-CN"/>
              </w:rPr>
              <w:t>进行改造建设</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根据</w:t>
            </w:r>
            <w:r>
              <w:rPr>
                <w:rFonts w:cs="Times New Roman" w:hint="eastAsia"/>
                <w:color w:val="auto"/>
                <w:sz w:val="24"/>
                <w:szCs w:val="24"/>
                <w:lang w:val="en-US" w:eastAsia="zh-CN"/>
              </w:rPr>
              <w:t>现场踏勘</w:t>
            </w:r>
            <w:r>
              <w:rPr>
                <w:rFonts w:ascii="Times New Roman" w:eastAsia="宋体" w:cs="Times New Roman" w:hAnsi="Times New Roman"/>
                <w:color w:val="auto"/>
                <w:sz w:val="24"/>
                <w:szCs w:val="24"/>
                <w:lang w:val="en-US" w:eastAsia="zh-CN"/>
              </w:rPr>
              <w:t>，</w:t>
            </w:r>
            <w:r>
              <w:rPr>
                <w:rFonts w:cs="Times New Roman" w:hint="eastAsia"/>
                <w:color w:val="auto"/>
                <w:sz w:val="24"/>
                <w:szCs w:val="24"/>
                <w:lang w:val="en-US" w:eastAsia="zh-CN"/>
              </w:rPr>
              <w:t>本项目租赁</w:t>
            </w:r>
            <w:r>
              <w:rPr>
                <w:rFonts w:ascii="Times New Roman" w:eastAsia="宋体" w:cs="Times New Roman" w:hAnsi="Times New Roman"/>
                <w:color w:val="auto"/>
                <w:sz w:val="24"/>
                <w:szCs w:val="24"/>
                <w:lang w:val="en-US" w:eastAsia="zh-CN"/>
              </w:rPr>
              <w:t>厂房</w:t>
            </w:r>
            <w:r>
              <w:rPr>
                <w:rFonts w:cs="Times New Roman" w:hint="eastAsia"/>
                <w:color w:val="auto"/>
                <w:sz w:val="24"/>
                <w:szCs w:val="24"/>
                <w:lang w:val="en-US" w:eastAsia="zh-CN"/>
              </w:rPr>
              <w:t>处于闲置状态</w:t>
            </w:r>
            <w:r>
              <w:rPr>
                <w:rFonts w:ascii="Times New Roman" w:eastAsia="宋体" w:cs="Times New Roman" w:hAnsi="Times New Roman"/>
                <w:color w:val="auto"/>
                <w:sz w:val="24"/>
                <w:szCs w:val="24"/>
                <w:lang w:val="en-US" w:eastAsia="zh-CN"/>
              </w:rPr>
              <w:t>（现状见下图），不存在与本项目有关的原有污染及环境问题。</w:t>
            </w:r>
          </w:p>
          <w:p>
            <w:pPr>
              <w:spacing w:line="360" w:lineRule="auto"/>
              <w:jc w:val="center"/>
              <w:rPr>
                <w:rFonts w:cs="Times New Roman" w:hint="eastAsia"/>
                <w:b/>
                <w:bCs/>
                <w:color w:val="auto"/>
                <w:sz w:val="21"/>
                <w:szCs w:val="21"/>
                <w:lang w:val="en-US" w:eastAsia="zh-CN"/>
              </w:rPr>
            </w:pPr>
            <w:r>
              <w:rPr>
                <w:rFonts w:cs="Times New Roman" w:hint="eastAsia"/>
                <w:b/>
                <w:bCs/>
                <w:color w:val="auto"/>
                <w:sz w:val="21"/>
                <w:szCs w:val="21"/>
                <w:lang w:val="en-US" w:eastAsia="zh-CN"/>
              </w:rPr>
              <w:drawing>
                <wp:inline distT="0" distB="0" distL="114300" distR="114300">
                  <wp:extent cx="2634615" cy="1975485"/>
                  <wp:effectExtent l="0" t="0" r="40" b="30"/>
                  <wp:docPr id="87" name="图片 13" descr="微信图片_20241021150459"/>
                  <wp:cNvGraphicFramePr>
                    <a:graphicFrameLocks noChangeAspect="1"/>
                  </wp:cNvGraphicFramePr>
                  <a:graphic>
                    <a:graphicData uri="http://schemas.openxmlformats.org/drawingml/2006/picture">
                      <pic:pic>
                        <pic:nvPicPr>
                          <pic:cNvPr id="89" name="图片 13 89"/>
                          <pic:cNvPicPr/>
                        </pic:nvPicPr>
                        <pic:blipFill>
                          <a:blip r:embed="rId17"/>
                          <a:stretch>
                            <a:fillRect/>
                          </a:stretch>
                        </pic:blipFill>
                        <pic:spPr>
                          <a:xfrm rot="0">
                            <a:off x="0" y="0"/>
                            <a:ext cx="2634615" cy="1975485"/>
                          </a:xfrm>
                          <a:prstGeom prst="rect"/>
                          <a:noFill/>
                          <a:ln w="9525" cmpd="sng" cap="flat">
                            <a:noFill/>
                            <a:prstDash val="solid"/>
                            <a:miter/>
                          </a:ln>
                        </pic:spPr>
                      </pic:pic>
                    </a:graphicData>
                  </a:graphic>
                </wp:inline>
              </w:drawing>
            </w:r>
            <w:r>
              <w:rPr>
                <w:rFonts w:cs="Times New Roman" w:hint="eastAsia"/>
                <w:b/>
                <w:bCs/>
                <w:color w:val="auto"/>
                <w:sz w:val="21"/>
                <w:szCs w:val="21"/>
                <w:lang w:val="en-US" w:eastAsia="zh-CN"/>
              </w:rPr>
              <w:drawing>
                <wp:inline distT="0" distB="0" distL="114300" distR="114300">
                  <wp:extent cx="2626360" cy="1968500"/>
                  <wp:effectExtent l="0" t="0" r="23" b="1"/>
                  <wp:docPr id="90" name="图片 27" descr="微信图片_20241021150520"/>
                  <wp:cNvGraphicFramePr>
                    <a:graphicFrameLocks noChangeAspect="1"/>
                  </wp:cNvGraphicFramePr>
                  <a:graphic>
                    <a:graphicData uri="http://schemas.openxmlformats.org/drawingml/2006/picture">
                      <pic:pic>
                        <pic:nvPicPr>
                          <pic:cNvPr id="92" name="图片 27 92"/>
                          <pic:cNvPicPr/>
                        </pic:nvPicPr>
                        <pic:blipFill>
                          <a:blip r:embed="rId18"/>
                          <a:stretch>
                            <a:fillRect/>
                          </a:stretch>
                        </pic:blipFill>
                        <pic:spPr>
                          <a:xfrm rot="0">
                            <a:off x="0" y="0"/>
                            <a:ext cx="2626360" cy="1968500"/>
                          </a:xfrm>
                          <a:prstGeom prst="rect"/>
                          <a:noFill/>
                          <a:ln w="9525" cmpd="sng" cap="flat">
                            <a:noFill/>
                            <a:prstDash val="solid"/>
                            <a:miter/>
                          </a:ln>
                        </pic:spPr>
                      </pic:pic>
                    </a:graphicData>
                  </a:graphic>
                </wp:inline>
              </w:drawing>
            </w:r>
          </w:p>
          <w:p>
            <w:pPr>
              <w:spacing w:line="360" w:lineRule="auto"/>
              <w:jc w:val="center"/>
              <w:rPr>
                <w:rFonts w:ascii="Times New Roman" w:eastAsia="宋体" w:cs="Times New Roman" w:hAnsi="Times New Roman"/>
                <w:color w:val="auto"/>
                <w:sz w:val="24"/>
                <w:szCs w:val="24"/>
                <w:lang w:val="en-US" w:eastAsia="zh-CN"/>
              </w:rPr>
            </w:pPr>
            <w:r>
              <w:rPr>
                <w:rFonts w:cs="Times New Roman" w:hint="eastAsia"/>
                <w:b/>
                <w:bCs/>
                <w:color w:val="auto"/>
                <w:sz w:val="21"/>
                <w:szCs w:val="21"/>
                <w:lang w:val="en-US" w:eastAsia="zh-CN"/>
              </w:rPr>
              <w:t>图2-6 租赁厂房现状图</w:t>
            </w:r>
          </w:p>
        </w:tc>
      </w:tr>
    </w:tbl>
    <w:p>
      <w:pPr>
        <w:spacing w:line="360" w:lineRule="auto"/>
        <w:jc w:val="center"/>
        <w:rPr>
          <w:rFonts w:ascii="Times New Roman" w:eastAsia="宋体" w:cs="Times New Roman" w:hAnsi="Times New Roman"/>
          <w:b/>
          <w:bCs/>
          <w:color w:val="auto"/>
          <w:sz w:val="28"/>
          <w:szCs w:val="28"/>
        </w:rPr>
      </w:pPr>
      <w:r>
        <w:rPr>
          <w:rFonts w:ascii="Times New Roman" w:eastAsia="宋体" w:cs="Times New Roman" w:hAnsi="Times New Roman" w:hint="eastAsia"/>
          <w:b/>
          <w:bCs/>
          <w:color w:val="auto"/>
          <w:sz w:val="28"/>
          <w:szCs w:val="28"/>
          <w:lang w:val="en-US" w:eastAsia="zh-CN"/>
        </w:rPr>
        <w:t>三</w:t>
      </w:r>
      <w:r>
        <w:rPr>
          <w:rFonts w:cs="Times New Roman" w:hint="eastAsia"/>
          <w:b/>
          <w:bCs/>
          <w:color w:val="auto"/>
          <w:sz w:val="28"/>
          <w:szCs w:val="28"/>
          <w:lang w:val="en-US" w:eastAsia="zh-CN"/>
        </w:rPr>
        <w:t>、</w:t>
      </w:r>
      <w:r>
        <w:rPr>
          <w:rFonts w:ascii="Times New Roman" w:eastAsia="宋体" w:cs="Times New Roman" w:hAnsi="Times New Roman" w:hint="eastAsia"/>
          <w:b/>
          <w:bCs/>
          <w:color w:val="auto"/>
          <w:sz w:val="28"/>
          <w:szCs w:val="28"/>
          <w:lang w:val="en-US" w:eastAsia="zh-CN"/>
        </w:rPr>
        <w:t>生态环境现状</w:t>
      </w:r>
      <w:r>
        <w:rPr>
          <w:rFonts w:cs="Times New Roman" w:hint="eastAsia"/>
          <w:b/>
          <w:bCs/>
          <w:color w:val="auto"/>
          <w:sz w:val="28"/>
          <w:szCs w:val="28"/>
          <w:lang w:val="en-US" w:eastAsia="zh-CN"/>
        </w:rPr>
        <w:t>、</w:t>
      </w:r>
      <w:r>
        <w:rPr>
          <w:rFonts w:ascii="Times New Roman" w:eastAsia="宋体" w:cs="Times New Roman" w:hAnsi="Times New Roman" w:hint="eastAsia"/>
          <w:b/>
          <w:bCs/>
          <w:color w:val="auto"/>
          <w:sz w:val="28"/>
          <w:szCs w:val="28"/>
          <w:lang w:val="en-US" w:eastAsia="zh-CN"/>
        </w:rPr>
        <w:t>保护目标及评价标准</w:t>
      </w:r>
    </w:p>
    <w:tbl>
      <w:tblPr>
        <w:jc w:val="cent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24"/>
        <w:gridCol w:w="8595"/>
      </w:tblGrid>
      <w:tr>
        <w:trPr>
          <w:trHeight w:val="93"/>
        </w:trPr>
        <w:tc>
          <w:tcPr>
            <w:tcW w:w="532" w:type="pct"/>
            <w:noWrap/>
            <w:vAlign w:val="center"/>
          </w:tcPr>
          <w:p>
            <w:pPr>
              <w:bidi w:val="0"/>
              <w:spacing w:line="360" w:lineRule="auto"/>
              <w:jc w:val="center"/>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区域环境质量</w:t>
            </w:r>
          </w:p>
          <w:p>
            <w:pPr>
              <w:bidi w:val="0"/>
              <w:spacing w:line="360" w:lineRule="auto"/>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b/>
                <w:bCs/>
                <w:color w:val="auto"/>
                <w:sz w:val="24"/>
                <w:szCs w:val="24"/>
                <w:lang w:val="en-US" w:eastAsia="zh-CN"/>
              </w:rPr>
              <w:t>现状</w:t>
            </w:r>
          </w:p>
        </w:tc>
        <w:tc>
          <w:tcPr>
            <w:tcW w:w="4467" w:type="pct"/>
            <w:noWrap/>
            <w:vAlign w:val="center"/>
          </w:tcPr>
          <w:p>
            <w:pPr>
              <w:bidi w:val="0"/>
              <w:spacing w:line="360" w:lineRule="auto"/>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建设项目所在地区域环境质量现状及主要环境问题（环境空气、地面水、地下水、声环 境、辐射环境、生态环境等</w:t>
            </w:r>
            <w:r>
              <w:rPr>
                <w:rFonts w:cs="Times New Roman" w:hint="eastAsia"/>
                <w:b/>
                <w:bCs/>
                <w:sz w:val="24"/>
                <w:szCs w:val="24"/>
                <w:lang w:val="en-US" w:eastAsia="zh-CN"/>
              </w:rPr>
              <w:t>）</w:t>
            </w:r>
          </w:p>
          <w:p>
            <w:pPr>
              <w:numPr>
                <w:ilvl w:val="0"/>
                <w:numId w:val="38"/>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大气环境质量现状</w:t>
            </w:r>
          </w:p>
          <w:p>
            <w:pPr>
              <w:numPr>
                <w:ilvl w:val="0"/>
                <w:numId w:val="39"/>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达标区判定</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sz w:val="24"/>
                <w:szCs w:val="24"/>
                <w:lang w:val="en-US" w:eastAsia="zh-CN"/>
              </w:rPr>
              <w:t>根据《建设项目环境影响报告表编制技术指南（污染影响类）》（试行）的要求：</w:t>
            </w:r>
            <w:r>
              <w:rPr>
                <w:rFonts w:ascii="宋体" w:eastAsia="宋体" w:cs="宋体" w:hint="eastAsia"/>
                <w:color w:val="auto"/>
                <w:sz w:val="24"/>
                <w:szCs w:val="24"/>
                <w:lang w:val="en-US" w:eastAsia="zh-CN"/>
              </w:rPr>
              <w:t>“大气</w:t>
            </w:r>
            <w:r>
              <w:rPr>
                <w:rFonts w:ascii="Times New Roman" w:eastAsia="宋体" w:cs="Times New Roman" w:hAnsi="Times New Roman"/>
                <w:color w:val="auto"/>
                <w:sz w:val="24"/>
                <w:szCs w:val="24"/>
                <w:lang w:val="en-US" w:eastAsia="zh-CN"/>
              </w:rPr>
              <w:t>环境；常规污染物引用与建设项目距离近的有效数据</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包括近3年的规划环境影响评价的监测数据</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国家、地方环境空气质量监测网数据或生态环境主管部门公开发布的质量数据等</w:t>
            </w:r>
            <w:r>
              <w:rPr>
                <w:rFonts w:ascii="宋体" w:eastAsia="宋体" w:cs="宋体" w:hint="eastAsia"/>
                <w:color w:val="auto"/>
                <w:sz w:val="24"/>
                <w:szCs w:val="24"/>
                <w:lang w:val="en-US" w:eastAsia="zh-CN"/>
              </w:rPr>
              <w:t>”</w:t>
            </w:r>
            <w:r>
              <w:rPr>
                <w:rFonts w:ascii="Times New Roman" w:eastAsia="宋体" w:cs="Times New Roman" w:hAnsi="Times New Roman"/>
                <w:color w:val="auto"/>
                <w:sz w:val="24"/>
                <w:szCs w:val="24"/>
                <w:lang w:val="en-US" w:eastAsia="zh-CN"/>
              </w:rPr>
              <w:t>。</w:t>
            </w:r>
            <w:r>
              <w:rPr>
                <w:rFonts w:ascii="宋体" w:eastAsia="宋体" w:cs="宋体" w:hint="eastAsia"/>
                <w:color w:val="auto"/>
                <w:sz w:val="24"/>
                <w:szCs w:val="24"/>
                <w:lang w:val="en-US" w:eastAsia="zh-CN"/>
              </w:rPr>
              <w:t>故本</w:t>
            </w:r>
            <w:r>
              <w:rPr>
                <w:rFonts w:ascii="Times New Roman" w:eastAsia="宋体" w:cs="Times New Roman" w:hAnsi="Times New Roman"/>
                <w:color w:val="auto"/>
                <w:sz w:val="24"/>
                <w:szCs w:val="24"/>
                <w:lang w:val="en-US" w:eastAsia="zh-CN"/>
              </w:rPr>
              <w:t>次环境空气质量现状评价采用《遂宁市污染防治攻坚战领导小组办公室关于2023年12月全市地表水和环境空气质量排名情况的通报》（遂污防攻坚办〔2024〕4号）的数据。</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根据</w:t>
            </w:r>
            <w:r>
              <w:rPr>
                <w:rFonts w:ascii="Times New Roman" w:eastAsia="宋体" w:cs="Times New Roman" w:hAnsi="Times New Roman"/>
                <w:b/>
                <w:bCs/>
                <w:color w:val="auto"/>
                <w:sz w:val="24"/>
                <w:szCs w:val="24"/>
                <w:lang w:val="en-US" w:eastAsia="zh-CN"/>
              </w:rPr>
              <w:t>遂污防攻坚办〔2024〕4号</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大英县2023年度1</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12月环境空气质量优良天数率为91.5%，主要污染物PM</w:t>
            </w:r>
            <w:r>
              <w:rPr>
                <w:rFonts w:ascii="Times New Roman" w:eastAsia="宋体" w:cs="Times New Roman" w:hAnsi="Times New Roman"/>
                <w:color w:val="auto"/>
                <w:sz w:val="24"/>
                <w:szCs w:val="24"/>
                <w:vertAlign w:val="subscript"/>
                <w:lang w:val="en-US" w:eastAsia="zh-CN"/>
              </w:rPr>
              <w:t>2.5</w:t>
            </w:r>
            <w:r>
              <w:rPr>
                <w:rFonts w:ascii="Times New Roman" w:eastAsia="宋体" w:cs="Times New Roman" w:hAnsi="Times New Roman"/>
                <w:color w:val="auto"/>
                <w:sz w:val="24"/>
                <w:szCs w:val="24"/>
                <w:lang w:val="en-US" w:eastAsia="zh-CN"/>
              </w:rPr>
              <w:t>、PM</w:t>
            </w:r>
            <w:r>
              <w:rPr>
                <w:rFonts w:ascii="Times New Roman" w:eastAsia="宋体" w:cs="Times New Roman" w:hAnsi="Times New Roman"/>
                <w:color w:val="auto"/>
                <w:sz w:val="24"/>
                <w:szCs w:val="24"/>
                <w:vertAlign w:val="subscript"/>
                <w:lang w:val="en-US" w:eastAsia="zh-CN"/>
              </w:rPr>
              <w:t>10</w:t>
            </w:r>
            <w:r>
              <w:rPr>
                <w:rFonts w:ascii="Times New Roman" w:eastAsia="宋体" w:cs="Times New Roman" w:hAnsi="Times New Roman"/>
                <w:color w:val="auto"/>
                <w:sz w:val="24"/>
                <w:szCs w:val="24"/>
                <w:lang w:val="en-US" w:eastAsia="zh-CN"/>
              </w:rPr>
              <w:t>、SO</w:t>
            </w:r>
            <w:r>
              <w:rPr>
                <w:rFonts w:ascii="Times New Roman" w:eastAsia="宋体" w:cs="Times New Roman" w:hAnsi="Times New Roman"/>
                <w:color w:val="auto"/>
                <w:sz w:val="24"/>
                <w:szCs w:val="24"/>
                <w:vertAlign w:val="subscript"/>
                <w:lang w:val="en-US" w:eastAsia="zh-CN"/>
              </w:rPr>
              <w:t>2</w:t>
            </w:r>
            <w:r>
              <w:rPr>
                <w:rFonts w:ascii="Times New Roman" w:eastAsia="宋体" w:cs="Times New Roman" w:hAnsi="Times New Roman"/>
                <w:color w:val="auto"/>
                <w:sz w:val="24"/>
                <w:szCs w:val="24"/>
                <w:lang w:val="en-US" w:eastAsia="zh-CN"/>
              </w:rPr>
              <w:t>、NO</w:t>
            </w:r>
            <w:r>
              <w:rPr>
                <w:rFonts w:ascii="Times New Roman" w:eastAsia="宋体" w:cs="Times New Roman" w:hAnsi="Times New Roman"/>
                <w:color w:val="auto"/>
                <w:sz w:val="24"/>
                <w:szCs w:val="24"/>
                <w:vertAlign w:val="subscript"/>
                <w:lang w:val="en-US" w:eastAsia="zh-CN"/>
              </w:rPr>
              <w:t>2</w:t>
            </w:r>
            <w:r>
              <w:rPr>
                <w:rFonts w:ascii="Times New Roman" w:eastAsia="宋体" w:cs="Times New Roman" w:hAnsi="Times New Roman"/>
                <w:color w:val="auto"/>
                <w:sz w:val="24"/>
                <w:szCs w:val="24"/>
                <w:lang w:val="en-US" w:eastAsia="zh-CN"/>
              </w:rPr>
              <w:t>、O</w:t>
            </w:r>
            <w:r>
              <w:rPr>
                <w:rFonts w:ascii="Times New Roman" w:eastAsia="宋体" w:cs="Times New Roman" w:hAnsi="Times New Roman"/>
                <w:color w:val="auto"/>
                <w:sz w:val="24"/>
                <w:szCs w:val="24"/>
                <w:vertAlign w:val="subscript"/>
                <w:lang w:val="en-US" w:eastAsia="zh-CN"/>
              </w:rPr>
              <w:t>3</w:t>
            </w:r>
            <w:r>
              <w:rPr>
                <w:rFonts w:ascii="Times New Roman" w:eastAsia="宋体" w:cs="Times New Roman" w:hAnsi="Times New Roman"/>
                <w:color w:val="auto"/>
                <w:sz w:val="24"/>
                <w:szCs w:val="24"/>
                <w:lang w:val="en-US" w:eastAsia="zh-CN"/>
              </w:rPr>
              <w:t>和CO的年均值分别为25.8微克/立方米、39.8微克/立方米、5.6微克/立方米、13.4微克/立方米、141.2毫克/立方米和1.0微克/立方米。同比PM</w:t>
            </w:r>
            <w:r>
              <w:rPr>
                <w:rFonts w:ascii="Times New Roman" w:eastAsia="宋体" w:cs="Times New Roman" w:hAnsi="Times New Roman"/>
                <w:color w:val="auto"/>
                <w:sz w:val="24"/>
                <w:szCs w:val="24"/>
                <w:vertAlign w:val="subscript"/>
                <w:lang w:val="en-US" w:eastAsia="zh-CN"/>
              </w:rPr>
              <w:t>2.5</w:t>
            </w:r>
            <w:r>
              <w:rPr>
                <w:rFonts w:ascii="Times New Roman" w:eastAsia="宋体" w:cs="Times New Roman" w:hAnsi="Times New Roman"/>
                <w:color w:val="auto"/>
                <w:sz w:val="24"/>
                <w:szCs w:val="24"/>
                <w:lang w:val="en-US" w:eastAsia="zh-CN"/>
              </w:rPr>
              <w:t>、PM</w:t>
            </w:r>
            <w:r>
              <w:rPr>
                <w:rFonts w:ascii="Times New Roman" w:eastAsia="宋体" w:cs="Times New Roman" w:hAnsi="Times New Roman"/>
                <w:color w:val="auto"/>
                <w:sz w:val="24"/>
                <w:szCs w:val="24"/>
                <w:vertAlign w:val="subscript"/>
                <w:lang w:val="en-US" w:eastAsia="zh-CN"/>
              </w:rPr>
              <w:t>10</w:t>
            </w:r>
            <w:r>
              <w:rPr>
                <w:rFonts w:ascii="Times New Roman" w:eastAsia="宋体" w:cs="Times New Roman" w:hAnsi="Times New Roman"/>
                <w:color w:val="auto"/>
                <w:sz w:val="24"/>
                <w:szCs w:val="24"/>
                <w:lang w:val="en-US" w:eastAsia="zh-CN"/>
              </w:rPr>
              <w:t>和SO</w:t>
            </w:r>
            <w:r>
              <w:rPr>
                <w:rFonts w:ascii="Times New Roman" w:eastAsia="宋体" w:cs="Times New Roman" w:hAnsi="Times New Roman"/>
                <w:color w:val="auto"/>
                <w:sz w:val="24"/>
                <w:szCs w:val="24"/>
                <w:vertAlign w:val="subscript"/>
                <w:lang w:val="en-US" w:eastAsia="zh-CN"/>
              </w:rPr>
              <w:t>2</w:t>
            </w:r>
            <w:r>
              <w:rPr>
                <w:rFonts w:ascii="Times New Roman" w:eastAsia="宋体" w:cs="Times New Roman" w:hAnsi="Times New Roman"/>
                <w:color w:val="auto"/>
                <w:sz w:val="24"/>
                <w:szCs w:val="24"/>
                <w:lang w:val="en-US" w:eastAsia="zh-CN"/>
              </w:rPr>
              <w:t>浓度分别下降了3.0%、0.5%和9.7%，NO</w:t>
            </w:r>
            <w:r>
              <w:rPr>
                <w:rFonts w:ascii="Times New Roman" w:eastAsia="宋体" w:cs="Times New Roman" w:hAnsi="Times New Roman"/>
                <w:color w:val="auto"/>
                <w:sz w:val="24"/>
                <w:szCs w:val="24"/>
                <w:vertAlign w:val="subscript"/>
                <w:lang w:val="en-US" w:eastAsia="zh-CN"/>
              </w:rPr>
              <w:t>2</w:t>
            </w:r>
            <w:r>
              <w:rPr>
                <w:rFonts w:ascii="Times New Roman" w:eastAsia="宋体" w:cs="Times New Roman" w:hAnsi="Times New Roman"/>
                <w:color w:val="auto"/>
                <w:sz w:val="24"/>
                <w:szCs w:val="24"/>
                <w:lang w:val="en-US" w:eastAsia="zh-CN"/>
              </w:rPr>
              <w:t>、O</w:t>
            </w:r>
            <w:r>
              <w:rPr>
                <w:rFonts w:ascii="Times New Roman" w:eastAsia="宋体" w:cs="Times New Roman" w:hAnsi="Times New Roman"/>
                <w:color w:val="auto"/>
                <w:sz w:val="24"/>
                <w:szCs w:val="24"/>
                <w:vertAlign w:val="subscript"/>
                <w:lang w:val="en-US" w:eastAsia="zh-CN"/>
              </w:rPr>
              <w:t>3</w:t>
            </w:r>
            <w:r>
              <w:rPr>
                <w:rFonts w:ascii="Times New Roman" w:eastAsia="宋体" w:cs="Times New Roman" w:hAnsi="Times New Roman"/>
                <w:color w:val="auto"/>
                <w:sz w:val="24"/>
                <w:szCs w:val="24"/>
                <w:lang w:val="en-US" w:eastAsia="zh-CN"/>
              </w:rPr>
              <w:t>和CO浓度分别上升了20.7%、2.3%和0.0%。</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202</w:t>
            </w:r>
            <w:r>
              <w:rPr>
                <w:rFonts w:eastAsia="宋体" w:cs="Times New Roman" w:hint="eastAsia"/>
                <w:color w:val="auto"/>
                <w:sz w:val="24"/>
                <w:szCs w:val="24"/>
                <w:lang w:val="en-US" w:eastAsia="zh-CN"/>
              </w:rPr>
              <w:t>3</w:t>
            </w:r>
            <w:r>
              <w:rPr>
                <w:rFonts w:ascii="Times New Roman" w:eastAsia="宋体" w:cs="Times New Roman" w:hAnsi="Times New Roman"/>
                <w:color w:val="auto"/>
                <w:sz w:val="24"/>
                <w:szCs w:val="24"/>
                <w:lang w:val="en-US" w:eastAsia="zh-CN"/>
              </w:rPr>
              <w:t>年大英县环境空气质量详见下表3-1。</w:t>
            </w:r>
          </w:p>
          <w:p>
            <w:pPr>
              <w:bidi w:val="0"/>
              <w:spacing w:line="360" w:lineRule="auto"/>
              <w:jc w:val="center"/>
              <w:rPr>
                <w:rFonts w:ascii="Times New Roman" w:eastAsia="宋体" w:cs="Times New Roman" w:hAnsi="Times New Roman"/>
                <w:b/>
                <w:bCs/>
                <w:color w:val="auto"/>
                <w:sz w:val="21"/>
                <w:szCs w:val="21"/>
                <w:lang w:val="en-US" w:eastAsia="zh-CN"/>
              </w:rPr>
            </w:pPr>
            <w:r>
              <w:rPr>
                <w:rFonts w:ascii="Times New Roman" w:eastAsia="宋体" w:cs="Times New Roman" w:hAnsi="Times New Roman"/>
                <w:b/>
                <w:bCs/>
                <w:color w:val="auto"/>
                <w:sz w:val="21"/>
                <w:szCs w:val="21"/>
                <w:lang w:val="en-US" w:eastAsia="zh-CN"/>
              </w:rPr>
              <w:t>表3-1 2023年大英县城市环境空气质量</w:t>
            </w:r>
          </w:p>
          <w:tbl>
            <w:tblPr>
              <w:jc w:val="left"/>
              <w:tblInd w:w="0" w:type="dx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19"/>
              <w:gridCol w:w="2398"/>
              <w:gridCol w:w="1716"/>
              <w:gridCol w:w="1341"/>
              <w:gridCol w:w="1083"/>
              <w:gridCol w:w="807"/>
            </w:tblGrid>
            <w:tr>
              <w:trPr>
                <w:trHeight w:val="114"/>
              </w:trPr>
              <w:tc>
                <w:tcPr>
                  <w:tcW w:w="609"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污染物</w:t>
                  </w:r>
                </w:p>
              </w:tc>
              <w:tc>
                <w:tcPr>
                  <w:tcW w:w="1433"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年评价指标</w:t>
                  </w:r>
                </w:p>
              </w:tc>
              <w:tc>
                <w:tcPr>
                  <w:tcW w:w="1025"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现状浓度（</w:t>
                  </w:r>
                  <w:r>
                    <w:rPr>
                      <w:rFonts w:ascii="Times New Roman" w:eastAsia="宋体" w:cs="Times New Roman" w:hAnsi="Times New Roman"/>
                      <w:b/>
                      <w:bCs/>
                      <w:sz w:val="21"/>
                      <w:szCs w:val="21"/>
                      <w:lang w:eastAsia="zh-CN"/>
                    </w:rPr>
                    <w:t>μg/m</w:t>
                  </w:r>
                  <w:r>
                    <w:rPr>
                      <w:rFonts w:ascii="Times New Roman" w:eastAsia="宋体" w:cs="Times New Roman" w:hAnsi="Times New Roman"/>
                      <w:b/>
                      <w:bCs/>
                      <w:sz w:val="21"/>
                      <w:szCs w:val="21"/>
                      <w:vertAlign w:val="superscript"/>
                      <w:lang w:eastAsia="zh-CN"/>
                    </w:rPr>
                    <w:t>3</w:t>
                  </w:r>
                  <w:r>
                    <w:rPr>
                      <w:rFonts w:ascii="Times New Roman" w:eastAsia="宋体" w:cs="Times New Roman" w:hAnsi="Times New Roman"/>
                      <w:b/>
                      <w:bCs/>
                      <w:sz w:val="21"/>
                      <w:szCs w:val="21"/>
                    </w:rPr>
                    <w:t>）</w:t>
                  </w:r>
                </w:p>
              </w:tc>
              <w:tc>
                <w:tcPr>
                  <w:tcW w:w="801"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标准值</w:t>
                  </w:r>
                </w:p>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w:t>
                  </w:r>
                  <w:r>
                    <w:rPr>
                      <w:rFonts w:ascii="Times New Roman" w:eastAsia="宋体" w:cs="Times New Roman" w:hAnsi="Times New Roman"/>
                      <w:b/>
                      <w:bCs/>
                      <w:sz w:val="21"/>
                      <w:szCs w:val="21"/>
                      <w:lang w:eastAsia="zh-CN"/>
                    </w:rPr>
                    <w:t>μg/m</w:t>
                  </w:r>
                  <w:r>
                    <w:rPr>
                      <w:rFonts w:ascii="Times New Roman" w:eastAsia="宋体" w:cs="Times New Roman" w:hAnsi="Times New Roman"/>
                      <w:b/>
                      <w:bCs/>
                      <w:sz w:val="21"/>
                      <w:szCs w:val="21"/>
                      <w:vertAlign w:val="superscript"/>
                      <w:lang w:eastAsia="zh-CN"/>
                    </w:rPr>
                    <w:t>3</w:t>
                  </w:r>
                  <w:r>
                    <w:rPr>
                      <w:rFonts w:ascii="Times New Roman" w:eastAsia="宋体" w:cs="Times New Roman" w:hAnsi="Times New Roman"/>
                      <w:b/>
                      <w:bCs/>
                      <w:sz w:val="21"/>
                      <w:szCs w:val="21"/>
                    </w:rPr>
                    <w:t>）</w:t>
                  </w:r>
                </w:p>
              </w:tc>
              <w:tc>
                <w:tcPr>
                  <w:tcW w:w="647"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占标率（%）</w:t>
                  </w:r>
                </w:p>
              </w:tc>
              <w:tc>
                <w:tcPr>
                  <w:tcW w:w="482" w:type="pct"/>
                  <w:vAlign w:val="center"/>
                </w:tcPr>
                <w:p>
                  <w:pPr>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达标情况</w:t>
                  </w:r>
                </w:p>
              </w:tc>
            </w:tr>
            <w:tr>
              <w:trPr>
                <w:trHeight w:val="90"/>
              </w:trPr>
              <w:tc>
                <w:tcPr>
                  <w:tcW w:w="609"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SO</w:t>
                  </w:r>
                  <w:r>
                    <w:rPr>
                      <w:rFonts w:ascii="Times New Roman" w:eastAsia="宋体" w:cs="Times New Roman" w:hAnsi="Times New Roman"/>
                      <w:sz w:val="21"/>
                      <w:szCs w:val="21"/>
                      <w:vertAlign w:val="subscript"/>
                    </w:rPr>
                    <w:t>2</w:t>
                  </w:r>
                </w:p>
              </w:tc>
              <w:tc>
                <w:tcPr>
                  <w:tcW w:w="14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年平均质量浓度</w:t>
                  </w:r>
                </w:p>
              </w:tc>
              <w:tc>
                <w:tcPr>
                  <w:tcW w:w="102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5.6</w:t>
                  </w:r>
                </w:p>
              </w:tc>
              <w:tc>
                <w:tcPr>
                  <w:tcW w:w="80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60</w:t>
                  </w:r>
                </w:p>
              </w:tc>
              <w:tc>
                <w:tcPr>
                  <w:tcW w:w="647" w:type="pct"/>
                  <w:tcBorders>
                    <w:top w:val="single" w:sz="4" w:space="0" w:color="auto"/>
                    <w:left w:val="single" w:sz="4" w:space="0" w:color="auto"/>
                    <w:right w:val="single" w:sz="4" w:space="0" w:color="auto"/>
                  </w:tcBorders>
                  <w:vAlign w:val="center"/>
                </w:tcPr>
                <w:p>
                  <w:pPr>
                    <w:widowControl/>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9.3</w:t>
                  </w:r>
                </w:p>
              </w:tc>
              <w:tc>
                <w:tcPr>
                  <w:tcW w:w="482"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达标</w:t>
                  </w:r>
                </w:p>
              </w:tc>
            </w:tr>
            <w:tr>
              <w:trPr>
                <w:trHeight w:val="90"/>
              </w:trPr>
              <w:tc>
                <w:tcPr>
                  <w:tcW w:w="609"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NO</w:t>
                  </w:r>
                  <w:r>
                    <w:rPr>
                      <w:rFonts w:ascii="Times New Roman" w:eastAsia="宋体" w:cs="Times New Roman" w:hAnsi="Times New Roman"/>
                      <w:sz w:val="21"/>
                      <w:szCs w:val="21"/>
                      <w:vertAlign w:val="subscript"/>
                    </w:rPr>
                    <w:t>2</w:t>
                  </w:r>
                </w:p>
              </w:tc>
              <w:tc>
                <w:tcPr>
                  <w:tcW w:w="14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年平均质量浓度</w:t>
                  </w:r>
                </w:p>
              </w:tc>
              <w:tc>
                <w:tcPr>
                  <w:tcW w:w="102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13.4</w:t>
                  </w:r>
                </w:p>
              </w:tc>
              <w:tc>
                <w:tcPr>
                  <w:tcW w:w="80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40</w:t>
                  </w:r>
                </w:p>
              </w:tc>
              <w:tc>
                <w:tcPr>
                  <w:tcW w:w="647"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33.5</w:t>
                  </w:r>
                </w:p>
              </w:tc>
              <w:tc>
                <w:tcPr>
                  <w:tcW w:w="482"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达标</w:t>
                  </w:r>
                </w:p>
              </w:tc>
            </w:tr>
            <w:tr>
              <w:trPr>
                <w:trHeight w:val="90"/>
              </w:trPr>
              <w:tc>
                <w:tcPr>
                  <w:tcW w:w="609"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PM</w:t>
                  </w:r>
                  <w:r>
                    <w:rPr>
                      <w:rFonts w:ascii="Times New Roman" w:eastAsia="宋体" w:cs="Times New Roman" w:hAnsi="Times New Roman"/>
                      <w:sz w:val="21"/>
                      <w:szCs w:val="21"/>
                      <w:vertAlign w:val="subscript"/>
                    </w:rPr>
                    <w:t>10</w:t>
                  </w:r>
                </w:p>
              </w:tc>
              <w:tc>
                <w:tcPr>
                  <w:tcW w:w="14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年平均质量浓度</w:t>
                  </w:r>
                </w:p>
              </w:tc>
              <w:tc>
                <w:tcPr>
                  <w:tcW w:w="102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39.8</w:t>
                  </w:r>
                </w:p>
              </w:tc>
              <w:tc>
                <w:tcPr>
                  <w:tcW w:w="80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70</w:t>
                  </w:r>
                </w:p>
              </w:tc>
              <w:tc>
                <w:tcPr>
                  <w:tcW w:w="647"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56.9</w:t>
                  </w:r>
                </w:p>
              </w:tc>
              <w:tc>
                <w:tcPr>
                  <w:tcW w:w="482"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达标</w:t>
                  </w:r>
                </w:p>
              </w:tc>
            </w:tr>
            <w:tr>
              <w:trPr>
                <w:trHeight w:val="90"/>
              </w:trPr>
              <w:tc>
                <w:tcPr>
                  <w:tcW w:w="609"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PM</w:t>
                  </w:r>
                  <w:r>
                    <w:rPr>
                      <w:rFonts w:ascii="Times New Roman" w:eastAsia="宋体" w:cs="Times New Roman" w:hAnsi="Times New Roman"/>
                      <w:sz w:val="21"/>
                      <w:szCs w:val="21"/>
                      <w:vertAlign w:val="subscript"/>
                    </w:rPr>
                    <w:t>2.5</w:t>
                  </w:r>
                </w:p>
              </w:tc>
              <w:tc>
                <w:tcPr>
                  <w:tcW w:w="14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年平均质量浓度</w:t>
                  </w:r>
                </w:p>
              </w:tc>
              <w:tc>
                <w:tcPr>
                  <w:tcW w:w="102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25.8</w:t>
                  </w:r>
                </w:p>
              </w:tc>
              <w:tc>
                <w:tcPr>
                  <w:tcW w:w="80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35</w:t>
                  </w:r>
                </w:p>
              </w:tc>
              <w:tc>
                <w:tcPr>
                  <w:tcW w:w="647"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73.7</w:t>
                  </w:r>
                </w:p>
              </w:tc>
              <w:tc>
                <w:tcPr>
                  <w:tcW w:w="482"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达标</w:t>
                  </w:r>
                </w:p>
              </w:tc>
            </w:tr>
            <w:tr>
              <w:trPr>
                <w:trHeight w:val="90"/>
              </w:trPr>
              <w:tc>
                <w:tcPr>
                  <w:tcW w:w="609"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CO</w:t>
                  </w:r>
                </w:p>
              </w:tc>
              <w:tc>
                <w:tcPr>
                  <w:tcW w:w="14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日均值第95百分位数</w:t>
                  </w:r>
                </w:p>
              </w:tc>
              <w:tc>
                <w:tcPr>
                  <w:tcW w:w="102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1000</w:t>
                  </w:r>
                </w:p>
              </w:tc>
              <w:tc>
                <w:tcPr>
                  <w:tcW w:w="80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4000</w:t>
                  </w:r>
                </w:p>
              </w:tc>
              <w:tc>
                <w:tcPr>
                  <w:tcW w:w="647"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25.0</w:t>
                  </w:r>
                </w:p>
              </w:tc>
              <w:tc>
                <w:tcPr>
                  <w:tcW w:w="482"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达标</w:t>
                  </w:r>
                </w:p>
              </w:tc>
            </w:tr>
            <w:tr>
              <w:trPr>
                <w:trHeight w:val="90"/>
              </w:trPr>
              <w:tc>
                <w:tcPr>
                  <w:tcW w:w="609"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O</w:t>
                  </w:r>
                  <w:r>
                    <w:rPr>
                      <w:rFonts w:ascii="Times New Roman" w:eastAsia="宋体" w:cs="Times New Roman" w:hAnsi="Times New Roman"/>
                      <w:sz w:val="21"/>
                      <w:szCs w:val="21"/>
                      <w:vertAlign w:val="subscript"/>
                    </w:rPr>
                    <w:t>3</w:t>
                  </w:r>
                </w:p>
              </w:tc>
              <w:tc>
                <w:tcPr>
                  <w:tcW w:w="1433"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日最大8小时平均第90百分位数</w:t>
                  </w:r>
                </w:p>
              </w:tc>
              <w:tc>
                <w:tcPr>
                  <w:tcW w:w="102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141.2</w:t>
                  </w:r>
                </w:p>
              </w:tc>
              <w:tc>
                <w:tcPr>
                  <w:tcW w:w="80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160</w:t>
                  </w:r>
                </w:p>
              </w:tc>
              <w:tc>
                <w:tcPr>
                  <w:tcW w:w="647"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88.3</w:t>
                  </w:r>
                </w:p>
              </w:tc>
              <w:tc>
                <w:tcPr>
                  <w:tcW w:w="482"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21"/>
                      <w:szCs w:val="21"/>
                    </w:rPr>
                  </w:pPr>
                  <w:r>
                    <w:rPr>
                      <w:rFonts w:ascii="Times New Roman" w:eastAsia="宋体" w:cs="Times New Roman" w:hAnsi="Times New Roman"/>
                      <w:sz w:val="21"/>
                      <w:szCs w:val="21"/>
                    </w:rPr>
                    <w:t>达标</w:t>
                  </w:r>
                </w:p>
              </w:tc>
            </w:tr>
          </w:tbl>
          <w:p>
            <w:pPr>
              <w:bidi w:val="0"/>
              <w:spacing w:line="360" w:lineRule="auto"/>
              <w:ind w:left="0" w:firstLineChars="200" w:firstLine="480"/>
              <w:rPr>
                <w:rFonts w:ascii="Times New Roman" w:cs="Times New Roman" w:hAnsi="Times New Roman" w:hint="eastAsia"/>
                <w:color w:val="auto"/>
                <w:sz w:val="24"/>
                <w:szCs w:val="24"/>
                <w:lang w:val="en-US" w:eastAsia="zh-CN"/>
              </w:rPr>
            </w:pPr>
            <w:r>
              <w:rPr>
                <w:rFonts w:ascii="Times New Roman" w:eastAsia="宋体" w:cs="Times New Roman" w:hAnsi="Times New Roman"/>
                <w:color w:val="auto"/>
                <w:sz w:val="24"/>
                <w:szCs w:val="24"/>
                <w:lang w:val="en-US" w:eastAsia="zh-CN"/>
              </w:rPr>
              <w:t>根据上表3-</w:t>
            </w:r>
            <w:r>
              <w:rPr>
                <w:rFonts w:ascii="Times New Roman" w:eastAsia="宋体" w:cs="Times New Roman" w:hAnsi="Times New Roman" w:hint="eastAsia"/>
                <w:color w:val="auto"/>
                <w:sz w:val="24"/>
                <w:szCs w:val="24"/>
                <w:lang w:val="en-US" w:eastAsia="zh-CN"/>
              </w:rPr>
              <w:t>1</w:t>
            </w:r>
            <w:r>
              <w:rPr>
                <w:rFonts w:ascii="Times New Roman" w:eastAsia="宋体" w:cs="Times New Roman" w:hAnsi="Times New Roman"/>
                <w:color w:val="auto"/>
                <w:sz w:val="24"/>
                <w:szCs w:val="24"/>
                <w:lang w:val="en-US" w:eastAsia="zh-CN"/>
              </w:rPr>
              <w:t>分析</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本</w:t>
            </w:r>
            <w:r>
              <w:rPr>
                <w:rFonts w:ascii="Times New Roman" w:eastAsia="宋体" w:cs="Times New Roman" w:hAnsi="Times New Roman"/>
                <w:color w:val="auto"/>
                <w:sz w:val="24"/>
                <w:szCs w:val="24"/>
                <w:lang w:val="en-US" w:eastAsia="zh-CN"/>
              </w:rPr>
              <w:t>项目所在区域大英县</w:t>
            </w:r>
            <w:r>
              <w:rPr>
                <w:rFonts w:cs="Times New Roman" w:hint="eastAsia"/>
                <w:color w:val="auto"/>
                <w:sz w:val="24"/>
                <w:szCs w:val="24"/>
                <w:lang w:val="en-US" w:eastAsia="zh-CN"/>
              </w:rPr>
              <w:t>2023年</w:t>
            </w:r>
            <w:r>
              <w:rPr>
                <w:rFonts w:ascii="Times New Roman" w:eastAsia="宋体" w:cs="Times New Roman" w:hAnsi="Times New Roman"/>
                <w:color w:val="auto"/>
                <w:sz w:val="24"/>
                <w:szCs w:val="24"/>
                <w:lang w:val="en-US" w:eastAsia="zh-CN"/>
              </w:rPr>
              <w:t>空气质量现状各项指标均能达到《环境空气质量标准》（GB3095-2012</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中</w:t>
            </w:r>
            <w:r>
              <w:rPr>
                <w:rFonts w:ascii="Times New Roman" w:eastAsia="宋体" w:cs="Times New Roman" w:hAnsi="Times New Roman"/>
                <w:color w:val="auto"/>
                <w:sz w:val="24"/>
                <w:szCs w:val="24"/>
                <w:lang w:val="en-US" w:eastAsia="zh-CN"/>
              </w:rPr>
              <w:t>二级标准要求，属于环境空气质量达标区域</w:t>
            </w:r>
            <w:r>
              <w:rPr>
                <w:rFonts w:ascii="Times New Roman" w:eastAsia="宋体" w:cs="Times New Roman" w:hAnsi="Times New Roman"/>
                <w:b w:val="0"/>
                <w:bCs w:val="0"/>
                <w:color w:val="auto"/>
                <w:sz w:val="24"/>
                <w:szCs w:val="24"/>
                <w:lang w:val="en-US" w:eastAsia="zh-CN"/>
              </w:rPr>
              <w:t>。</w:t>
            </w:r>
          </w:p>
          <w:p>
            <w:pPr>
              <w:numPr>
                <w:ilvl w:val="0"/>
                <w:numId w:val="39"/>
              </w:numPr>
              <w:bidi w:val="0"/>
              <w:spacing w:line="360" w:lineRule="auto"/>
              <w:ind w:left="0" w:firstLineChars="200" w:firstLine="480"/>
              <w:rPr>
                <w:rFonts w:ascii="Times New Roman"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其他污染物环境质量现状评价</w:t>
            </w:r>
          </w:p>
          <w:p>
            <w:pPr>
              <w:bidi w:val="0"/>
              <w:spacing w:line="360" w:lineRule="auto"/>
              <w:ind w:left="0" w:firstLineChars="200" w:firstLine="480"/>
              <w:rPr>
                <w:rFonts w:ascii="Times New Roman" w:cs="Times New Roman" w:hAnsi="Times New Roman" w:hint="eastAsia"/>
                <w:color w:val="auto"/>
                <w:sz w:val="24"/>
                <w:szCs w:val="24"/>
                <w:lang w:val="en-US" w:eastAsia="zh-CN"/>
              </w:rPr>
            </w:pPr>
            <w:r>
              <w:rPr>
                <w:rFonts w:ascii="Times New Roman" w:cs="Times New Roman" w:hAnsi="Times New Roman" w:hint="eastAsia"/>
                <w:color w:val="auto"/>
                <w:sz w:val="24"/>
                <w:szCs w:val="24"/>
                <w:lang w:val="en-US" w:eastAsia="zh-CN"/>
              </w:rPr>
              <w:t>本项目排放</w:t>
            </w:r>
            <w:r>
              <w:rPr>
                <w:rFonts w:cs="Times New Roman" w:hint="eastAsia"/>
                <w:color w:val="auto"/>
                <w:sz w:val="24"/>
                <w:szCs w:val="24"/>
                <w:lang w:val="en-US" w:eastAsia="zh-CN"/>
              </w:rPr>
              <w:t>的</w:t>
            </w:r>
            <w:r>
              <w:rPr>
                <w:rFonts w:ascii="Times New Roman" w:cs="Times New Roman" w:hAnsi="Times New Roman" w:hint="eastAsia"/>
                <w:color w:val="auto"/>
                <w:sz w:val="24"/>
                <w:szCs w:val="24"/>
                <w:lang w:val="en-US" w:eastAsia="zh-CN"/>
              </w:rPr>
              <w:t>其他污染物主要</w:t>
            </w:r>
            <w:r>
              <w:rPr>
                <w:rFonts w:cs="Times New Roman" w:hint="eastAsia"/>
                <w:color w:val="auto"/>
                <w:sz w:val="24"/>
                <w:szCs w:val="24"/>
                <w:lang w:val="en-US" w:eastAsia="zh-CN"/>
              </w:rPr>
              <w:t>为</w:t>
            </w:r>
            <w:r>
              <w:rPr>
                <w:rFonts w:ascii="Times New Roman" w:cs="Times New Roman" w:hAnsi="Times New Roman" w:hint="eastAsia"/>
                <w:color w:val="auto"/>
                <w:sz w:val="24"/>
                <w:szCs w:val="24"/>
                <w:lang w:val="en-US" w:eastAsia="zh-CN"/>
              </w:rPr>
              <w:t>颗粒物，为了解评价范围TSP的环境质量现状，本次评价引用</w:t>
            </w:r>
            <w:r>
              <w:rPr>
                <w:rFonts w:ascii="Times New Roman" w:eastAsia="宋体" w:cs="Times New Roman" w:hAnsi="Times New Roman"/>
                <w:color w:val="auto"/>
                <w:sz w:val="24"/>
                <w:szCs w:val="24"/>
                <w:lang w:val="en-US" w:eastAsia="zh-CN"/>
              </w:rPr>
              <w:t>四川铁环检测技术有限公司于2024年5月17日~5月23日对遂宁升宏新材料科技有限公司</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遂宁升宏年产2万吨耐高温尼龙建设项目</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的监测资料</w:t>
            </w:r>
            <w:r>
              <w:rPr>
                <w:rFonts w:cs="Times New Roman" w:hint="eastAsia"/>
                <w:color w:val="auto"/>
                <w:sz w:val="24"/>
                <w:szCs w:val="24"/>
                <w:lang w:val="en-US" w:eastAsia="zh-CN"/>
              </w:rPr>
              <w:t>；</w:t>
            </w:r>
            <w:r>
              <w:rPr>
                <w:rFonts w:ascii="Times New Roman" w:cs="Times New Roman" w:hAnsi="Times New Roman" w:hint="eastAsia"/>
                <w:color w:val="auto"/>
                <w:sz w:val="24"/>
                <w:szCs w:val="24"/>
                <w:lang w:val="en-US" w:eastAsia="zh-CN"/>
              </w:rPr>
              <w:t>采样点位于</w:t>
            </w:r>
            <w:r>
              <w:rPr>
                <w:rFonts w:cs="Times New Roman" w:hint="eastAsia"/>
                <w:color w:val="auto"/>
                <w:sz w:val="24"/>
                <w:szCs w:val="24"/>
                <w:lang w:val="en-US" w:eastAsia="zh-CN"/>
              </w:rPr>
              <w:t>本项目</w:t>
            </w:r>
            <w:r>
              <w:rPr>
                <w:rFonts w:ascii="Times New Roman" w:cs="Times New Roman" w:hAnsi="Times New Roman" w:hint="eastAsia"/>
                <w:color w:val="auto"/>
                <w:sz w:val="24"/>
                <w:szCs w:val="24"/>
                <w:lang w:val="en-US" w:eastAsia="zh-CN"/>
              </w:rPr>
              <w:t>所在地</w:t>
            </w:r>
            <w:r>
              <w:rPr>
                <w:rFonts w:cs="Times New Roman" w:hint="eastAsia"/>
                <w:color w:val="auto"/>
                <w:sz w:val="24"/>
                <w:szCs w:val="24"/>
                <w:lang w:val="en-US" w:eastAsia="zh-CN"/>
              </w:rPr>
              <w:t>东</w:t>
            </w:r>
            <w:r>
              <w:rPr>
                <w:rFonts w:ascii="Times New Roman" w:cs="Times New Roman" w:hAnsi="Times New Roman" w:hint="eastAsia"/>
                <w:color w:val="auto"/>
                <w:sz w:val="24"/>
                <w:szCs w:val="24"/>
                <w:lang w:val="en-US" w:eastAsia="zh-CN"/>
              </w:rPr>
              <w:t>侧（</w:t>
            </w:r>
            <w:r>
              <w:rPr>
                <w:rFonts w:cs="Times New Roman" w:hint="eastAsia"/>
                <w:color w:val="auto"/>
                <w:sz w:val="24"/>
                <w:szCs w:val="24"/>
                <w:lang w:val="en-US" w:eastAsia="zh-CN"/>
              </w:rPr>
              <w:t>距离</w:t>
            </w:r>
            <w:r>
              <w:rPr>
                <w:rFonts w:ascii="Times New Roman" w:cs="Times New Roman" w:hAnsi="Times New Roman" w:hint="eastAsia"/>
                <w:color w:val="auto"/>
                <w:sz w:val="24"/>
                <w:szCs w:val="24"/>
                <w:lang w:val="en-US" w:eastAsia="zh-CN"/>
              </w:rPr>
              <w:t>约</w:t>
            </w:r>
            <w:r>
              <w:rPr>
                <w:rFonts w:cs="Times New Roman" w:hint="eastAsia"/>
                <w:color w:val="auto"/>
                <w:sz w:val="24"/>
                <w:szCs w:val="24"/>
                <w:lang w:val="en-US" w:eastAsia="zh-CN"/>
              </w:rPr>
              <w:t>3.98k</w:t>
            </w:r>
            <w:r>
              <w:rPr>
                <w:rFonts w:ascii="Times New Roman" w:cs="Times New Roman" w:hAnsi="Times New Roman" w:hint="eastAsia"/>
                <w:color w:val="auto"/>
                <w:sz w:val="24"/>
                <w:szCs w:val="24"/>
                <w:lang w:val="en-US" w:eastAsia="zh-CN"/>
              </w:rPr>
              <w:t>m），监测至今区域污染源未发生较大变化，上述引用数据可以反映本项目区域的环境空气质量现状，引用数据有效。</w:t>
            </w:r>
          </w:p>
          <w:p>
            <w:pPr>
              <w:bidi w:val="0"/>
              <w:spacing w:line="360" w:lineRule="auto"/>
              <w:ind w:left="0" w:firstLineChars="200" w:firstLine="480"/>
              <w:rPr>
                <w:rFonts w:ascii="Times New Roman" w:cs="Times New Roman" w:hAnsi="Times New Roman" w:hint="eastAsia"/>
                <w:color w:val="auto"/>
                <w:sz w:val="24"/>
                <w:szCs w:val="24"/>
                <w:lang w:val="en-US" w:eastAsia="zh-CN"/>
              </w:rPr>
            </w:pPr>
            <w:r>
              <w:rPr>
                <w:rFonts w:ascii="Times New Roman" w:cs="Times New Roman" w:hAnsi="Times New Roman" w:hint="eastAsia"/>
                <w:color w:val="auto"/>
                <w:sz w:val="24"/>
                <w:szCs w:val="24"/>
                <w:lang w:val="en-US" w:eastAsia="zh-CN"/>
              </w:rPr>
              <w:t>监测点位置见表3-2。</w:t>
            </w:r>
          </w:p>
          <w:p>
            <w:pPr>
              <w:bidi w:val="0"/>
              <w:spacing w:line="36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lang w:val="en-US" w:eastAsia="zh-CN"/>
              </w:rPr>
              <w:t>表3-2 项目大气监测点位置</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304"/>
              <w:gridCol w:w="3502"/>
              <w:gridCol w:w="2558"/>
            </w:tblGrid>
            <w:tr>
              <w:tc>
                <w:tcPr>
                  <w:tcW w:w="1377"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lang w:val="en-US" w:eastAsia="zh-CN"/>
                    </w:rPr>
                    <w:t>监测点位名称</w:t>
                  </w:r>
                </w:p>
              </w:tc>
              <w:tc>
                <w:tcPr>
                  <w:tcW w:w="2093"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lang w:val="en-US" w:eastAsia="zh-CN"/>
                    </w:rPr>
                    <w:t>与本项目相对位置</w:t>
                  </w:r>
                </w:p>
              </w:tc>
              <w:tc>
                <w:tcPr>
                  <w:tcW w:w="1529"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lang w:val="en-US" w:eastAsia="zh-CN"/>
                    </w:rPr>
                    <w:t>备注</w:t>
                  </w:r>
                </w:p>
              </w:tc>
            </w:tr>
            <w:tr>
              <w:tc>
                <w:tcPr>
                  <w:tcW w:w="1377"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lang w:val="en-US" w:eastAsia="zh-CN"/>
                    </w:rPr>
                    <w:t>1#</w:t>
                  </w:r>
                </w:p>
              </w:tc>
              <w:tc>
                <w:tcPr>
                  <w:tcW w:w="2093"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lang w:val="en-US" w:eastAsia="zh-CN"/>
                    </w:rPr>
                    <w:t>厂区东侧约3.98km</w:t>
                  </w:r>
                </w:p>
              </w:tc>
              <w:tc>
                <w:tcPr>
                  <w:tcW w:w="1529"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引用数据点位</w:t>
                  </w:r>
                </w:p>
              </w:tc>
            </w:tr>
          </w:tbl>
          <w:p>
            <w:pPr>
              <w:numPr>
                <w:ilvl w:val="0"/>
                <w:numId w:val="40"/>
              </w:num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监测因子</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监测因子：TSP。</w:t>
            </w:r>
          </w:p>
          <w:p>
            <w:pPr>
              <w:numPr>
                <w:ilvl w:val="0"/>
                <w:numId w:val="40"/>
              </w:numPr>
              <w:bidi w:val="0"/>
              <w:spacing w:line="360" w:lineRule="auto"/>
              <w:ind w:left="0"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采样及分析方法</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采样按规范执行，分析方法采用《环境空气质量标准》（GB3095-2012</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中的规定方法。</w:t>
            </w:r>
          </w:p>
          <w:p>
            <w:pPr>
              <w:bidi w:val="0"/>
              <w:spacing w:line="36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lang w:val="en-US" w:eastAsia="zh-CN"/>
              </w:rPr>
              <w:t>表3-3大气污染物监测方法来源</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52"/>
              <w:gridCol w:w="1959"/>
              <w:gridCol w:w="2548"/>
              <w:gridCol w:w="2802"/>
            </w:tblGrid>
            <w:tr>
              <w:trPr>
                <w:trHeight w:val="90"/>
              </w:trPr>
              <w:tc>
                <w:tcPr>
                  <w:tcW w:w="629" w:type="pct"/>
                  <w:noWrap/>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项目</w:t>
                  </w:r>
                </w:p>
              </w:tc>
              <w:tc>
                <w:tcPr>
                  <w:tcW w:w="1171" w:type="pct"/>
                  <w:noWrap/>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监测方法</w:t>
                  </w:r>
                </w:p>
              </w:tc>
              <w:tc>
                <w:tcPr>
                  <w:tcW w:w="1523" w:type="pct"/>
                  <w:noWrap/>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方法来源</w:t>
                  </w:r>
                </w:p>
              </w:tc>
              <w:tc>
                <w:tcPr>
                  <w:tcW w:w="1675" w:type="pct"/>
                  <w:noWrap/>
                  <w:vAlign w:val="center"/>
                </w:tcPr>
                <w:p>
                  <w:pPr>
                    <w:bidi w:val="0"/>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使用仪器</w:t>
                  </w:r>
                </w:p>
              </w:tc>
            </w:tr>
            <w:tr>
              <w:trPr>
                <w:trHeight w:val="90"/>
              </w:trPr>
              <w:tc>
                <w:tcPr>
                  <w:tcW w:w="629"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color w:val="auto"/>
                      <w:sz w:val="21"/>
                      <w:szCs w:val="21"/>
                      <w:vertAlign w:val="baseline"/>
                      <w:lang w:val="en-US" w:eastAsia="zh-CN"/>
                    </w:rPr>
                    <w:t>TSP</w:t>
                  </w:r>
                </w:p>
              </w:tc>
              <w:tc>
                <w:tcPr>
                  <w:tcW w:w="1171"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color w:val="auto"/>
                      <w:sz w:val="21"/>
                      <w:szCs w:val="21"/>
                      <w:vertAlign w:val="baseline"/>
                      <w:lang w:val="en-US" w:eastAsia="zh-CN"/>
                    </w:rPr>
                    <w:t>重量法</w:t>
                  </w:r>
                </w:p>
              </w:tc>
              <w:tc>
                <w:tcPr>
                  <w:tcW w:w="1523"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bCs/>
                      <w:color w:val="auto"/>
                      <w:sz w:val="21"/>
                      <w:szCs w:val="21"/>
                      <w:vertAlign w:val="baseline"/>
                      <w:lang w:val="en-US" w:eastAsia="zh-CN"/>
                    </w:rPr>
                  </w:pPr>
                  <w:r>
                    <w:rPr>
                      <w:rFonts w:cs="Times New Roman" w:hint="eastAsia"/>
                      <w:color w:val="auto"/>
                      <w:sz w:val="21"/>
                      <w:szCs w:val="21"/>
                      <w:vertAlign w:val="baseline"/>
                      <w:lang w:val="en-US" w:eastAsia="zh-CN"/>
                    </w:rPr>
                    <w:t>HJ1263-2022</w:t>
                  </w:r>
                </w:p>
              </w:tc>
              <w:tc>
                <w:tcPr>
                  <w:tcW w:w="1675"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color w:val="auto"/>
                      <w:sz w:val="21"/>
                      <w:szCs w:val="21"/>
                      <w:vertAlign w:val="baseline"/>
                      <w:lang w:val="en-US" w:eastAsia="zh-CN"/>
                    </w:rPr>
                    <w:t>岛津分析天平</w:t>
                  </w:r>
                  <w:r>
                    <w:rPr>
                      <w:rFonts w:cs="Times New Roman" w:hint="eastAsia"/>
                      <w:color w:val="auto"/>
                      <w:sz w:val="21"/>
                      <w:szCs w:val="21"/>
                      <w:vertAlign w:val="baseline"/>
                      <w:lang w:val="en-US" w:eastAsia="zh-CN"/>
                    </w:rPr>
                    <w:t>（</w:t>
                  </w:r>
                  <w:r>
                    <w:rPr>
                      <w:rFonts w:ascii="Times New Roman" w:eastAsia="宋体" w:cs="Times New Roman" w:hAnsi="Times New Roman" w:hint="eastAsia"/>
                      <w:color w:val="auto"/>
                      <w:sz w:val="21"/>
                      <w:szCs w:val="21"/>
                      <w:vertAlign w:val="baseline"/>
                      <w:lang w:val="en-US" w:eastAsia="zh-CN"/>
                    </w:rPr>
                    <w:t>SB74</w:t>
                  </w:r>
                  <w:r>
                    <w:rPr>
                      <w:rFonts w:cs="Times New Roman" w:hint="eastAsia"/>
                      <w:color w:val="auto"/>
                      <w:sz w:val="21"/>
                      <w:szCs w:val="21"/>
                      <w:vertAlign w:val="baseline"/>
                      <w:lang w:val="en-US" w:eastAsia="zh-CN"/>
                    </w:rPr>
                    <w:t>）</w:t>
                  </w:r>
                </w:p>
              </w:tc>
            </w:tr>
          </w:tbl>
          <w:p>
            <w:pPr>
              <w:numPr>
                <w:ilvl w:val="0"/>
                <w:numId w:val="40"/>
              </w:numPr>
              <w:bidi w:val="0"/>
              <w:spacing w:line="360" w:lineRule="auto"/>
              <w:ind w:left="0"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环境空气质量现状评价</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①评价因子</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评价因子</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TSP。</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②评价标准</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TSP执行《环境空气质量标准》（GB3095-2012</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中相关标准</w:t>
            </w:r>
            <w:r>
              <w:rPr>
                <w:rFonts w:cs="Times New Roman" w:hint="eastAsia"/>
                <w:color w:val="auto"/>
                <w:sz w:val="24"/>
                <w:szCs w:val="24"/>
                <w:lang w:val="en-US" w:eastAsia="zh-CN"/>
              </w:rPr>
              <w:t>。</w:t>
            </w:r>
          </w:p>
          <w:p>
            <w:pPr>
              <w:bidi w:val="0"/>
              <w:spacing w:line="360" w:lineRule="auto"/>
              <w:ind w:left="0"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③评价方法</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大气环境现状采用单项标准指数法进行评价。评价公式：</w:t>
            </w:r>
          </w:p>
          <w:p>
            <w:pPr>
              <w:bidi w:val="0"/>
              <w:spacing w:line="360" w:lineRule="auto"/>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I</w:t>
            </w:r>
            <w:r>
              <w:rPr>
                <w:rFonts w:ascii="Times New Roman" w:eastAsia="宋体" w:cs="Times New Roman" w:hAnsi="Times New Roman" w:hint="eastAsia"/>
                <w:color w:val="auto"/>
                <w:sz w:val="24"/>
                <w:szCs w:val="24"/>
                <w:vertAlign w:val="subscript"/>
                <w:lang w:val="en-US" w:eastAsia="zh-CN"/>
              </w:rPr>
              <w:t>i</w:t>
            </w:r>
            <w:r>
              <w:rPr>
                <w:rFonts w:ascii="Times New Roman" w:eastAsia="宋体" w:cs="Times New Roman" w:hAnsi="Times New Roman" w:hint="eastAsia"/>
                <w:color w:val="auto"/>
                <w:sz w:val="24"/>
                <w:szCs w:val="24"/>
                <w:lang w:val="en-US" w:eastAsia="zh-CN"/>
              </w:rPr>
              <w:t>=</w:t>
            </w:r>
            <w:r>
              <w:rPr>
                <w:rFonts w:ascii="Times New Roman" w:eastAsia="宋体" w:cs="Times New Roman" w:hAnsi="Times New Roman" w:hint="eastAsia"/>
                <w:color w:val="auto"/>
                <w:position w:val="-24"/>
                <w:sz w:val="24"/>
                <w:szCs w:val="24"/>
                <w:vertAlign w:val="subscript"/>
                <w:lang w:val="en-US" w:eastAsia="zh-CN"/>
              </w:rPr>
              <w:object>
                <v:shapetype id="_x0000_t75" coordsize="21600,2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type="#_x0000_t75" filled="f" stroked="f" style="width:16.0pt;height:30.999998pt;" o:ole="">
                  <v:stroke color="#000000"/>
                  <v:imagedata r:id="rId19" o:title="image11"/>
                  <o:lock aspectratio="t"/>
                  <w10:anchorLock/>
                </v:shape>
                <o:OLEObject Type="Embed" ProgID="Package" ShapeID="_x0000_i1" DrawAspect="Content" ObjectID="_1393063351" r:id="rId20"/>
              </w:objec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式中：I</w:t>
            </w:r>
            <w:r>
              <w:rPr>
                <w:rFonts w:ascii="Times New Roman" w:eastAsia="宋体" w:cs="Times New Roman" w:hAnsi="Times New Roman" w:hint="eastAsia"/>
                <w:color w:val="auto"/>
                <w:sz w:val="24"/>
                <w:szCs w:val="24"/>
                <w:vertAlign w:val="subscript"/>
                <w:lang w:val="en-US" w:eastAsia="zh-CN"/>
              </w:rPr>
              <w:t>i</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i种污染物的单项指数；</w:t>
            </w:r>
          </w:p>
          <w:p>
            <w:pPr>
              <w:bidi w:val="0"/>
              <w:spacing w:line="360" w:lineRule="auto"/>
              <w:ind w:left="0" w:firstLineChars="400" w:firstLine="96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Ci</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i种污染物的实测浓度，</w:t>
            </w:r>
            <w:r>
              <w:rPr>
                <w:rFonts w:ascii="Times New Roman" w:eastAsia="宋体" w:cs="Times New Roman" w:hAnsi="Times New Roman"/>
                <w:b w:val="0"/>
                <w:bCs w:val="0"/>
                <w:color w:val="auto"/>
                <w:sz w:val="21"/>
                <w:szCs w:val="21"/>
              </w:rPr>
              <w:t>ug</w:t>
            </w:r>
            <w:r>
              <w:rPr>
                <w:rFonts w:ascii="Times New Roman" w:eastAsia="宋体" w:cs="Times New Roman" w:hAnsi="Times New Roman" w:hint="eastAsia"/>
                <w:color w:val="auto"/>
                <w:sz w:val="24"/>
                <w:szCs w:val="24"/>
                <w:lang w:val="en-US" w:eastAsia="zh-CN"/>
              </w:rPr>
              <w:t>/Nm</w:t>
            </w:r>
            <w:r>
              <w:rPr>
                <w:rFonts w:ascii="Times New Roman" w:eastAsia="宋体" w:cs="Times New Roman" w:hAnsi="Times New Roman" w:hint="eastAsia"/>
                <w:color w:val="auto"/>
                <w:sz w:val="24"/>
                <w:szCs w:val="24"/>
                <w:vertAlign w:val="superscript"/>
                <w:lang w:val="en-US" w:eastAsia="zh-CN"/>
              </w:rPr>
              <w:t>3</w:t>
            </w:r>
            <w:r>
              <w:rPr>
                <w:rFonts w:ascii="Times New Roman" w:eastAsia="宋体" w:cs="Times New Roman" w:hAnsi="Times New Roman" w:hint="eastAsia"/>
                <w:color w:val="auto"/>
                <w:sz w:val="24"/>
                <w:szCs w:val="24"/>
                <w:lang w:val="en-US" w:eastAsia="zh-CN"/>
              </w:rPr>
              <w:t>；</w:t>
            </w:r>
          </w:p>
          <w:p>
            <w:pPr>
              <w:bidi w:val="0"/>
              <w:spacing w:line="360" w:lineRule="auto"/>
              <w:ind w:left="0" w:firstLineChars="400" w:firstLine="96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Si</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i种污染物的评价标准，</w:t>
            </w:r>
            <w:r>
              <w:rPr>
                <w:rFonts w:ascii="Times New Roman" w:eastAsia="宋体" w:cs="Times New Roman" w:hAnsi="Times New Roman"/>
                <w:b w:val="0"/>
                <w:bCs w:val="0"/>
                <w:color w:val="auto"/>
                <w:sz w:val="21"/>
                <w:szCs w:val="21"/>
              </w:rPr>
              <w:t>ug</w:t>
            </w:r>
            <w:r>
              <w:rPr>
                <w:rFonts w:ascii="Times New Roman" w:eastAsia="宋体" w:cs="Times New Roman" w:hAnsi="Times New Roman" w:hint="eastAsia"/>
                <w:color w:val="auto"/>
                <w:sz w:val="24"/>
                <w:szCs w:val="24"/>
                <w:lang w:val="en-US" w:eastAsia="zh-CN"/>
              </w:rPr>
              <w:t>/Nm</w:t>
            </w:r>
            <w:r>
              <w:rPr>
                <w:rFonts w:ascii="Times New Roman" w:eastAsia="宋体" w:cs="Times New Roman" w:hAnsi="Times New Roman" w:hint="eastAsia"/>
                <w:color w:val="auto"/>
                <w:sz w:val="24"/>
                <w:szCs w:val="24"/>
                <w:vertAlign w:val="superscript"/>
                <w:lang w:val="en-US" w:eastAsia="zh-CN"/>
              </w:rPr>
              <w:t>3</w:t>
            </w:r>
            <w:r>
              <w:rPr>
                <w:rFonts w:ascii="Times New Roman" w:eastAsia="宋体" w:cs="Times New Roman" w:hAnsi="Times New Roman" w:hint="eastAsia"/>
                <w:color w:val="auto"/>
                <w:sz w:val="24"/>
                <w:szCs w:val="24"/>
                <w:lang w:val="en-US" w:eastAsia="zh-CN"/>
              </w:rPr>
              <w:t>。</w:t>
            </w:r>
          </w:p>
          <w:p>
            <w:pPr>
              <w:bidi w:val="0"/>
              <w:spacing w:line="360" w:lineRule="auto"/>
              <w:ind w:left="0"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④监测结果</w:t>
            </w:r>
          </w:p>
          <w:p>
            <w:pPr>
              <w:bidi w:val="0"/>
              <w:spacing w:line="36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lang w:val="en-US" w:eastAsia="zh-CN"/>
              </w:rPr>
              <w:t>表3-4大气监测因子评价结果表</w:t>
            </w:r>
            <w:r>
              <w:rPr>
                <w:rFonts w:cs="Times New Roman" w:hint="eastAsia"/>
                <w:b/>
                <w:bCs/>
                <w:color w:val="auto"/>
                <w:sz w:val="21"/>
                <w:szCs w:val="21"/>
                <w:lang w:val="en-US" w:eastAsia="zh-CN"/>
              </w:rPr>
              <w:t xml:space="preserve">   </w:t>
            </w:r>
            <w:r>
              <w:rPr>
                <w:rFonts w:ascii="Times New Roman" w:eastAsia="宋体" w:cs="Times New Roman" w:hAnsi="Times New Roman" w:hint="eastAsia"/>
                <w:b/>
                <w:bCs/>
                <w:color w:val="auto"/>
                <w:sz w:val="21"/>
                <w:szCs w:val="21"/>
                <w:lang w:val="en-US" w:eastAsia="zh-CN"/>
              </w:rPr>
              <w:t>单位：mg/m</w:t>
            </w:r>
            <w:r>
              <w:rPr>
                <w:rFonts w:ascii="Times New Roman" w:eastAsia="宋体" w:cs="Times New Roman" w:hAnsi="Times New Roman" w:hint="eastAsia"/>
                <w:b/>
                <w:bCs/>
                <w:color w:val="auto"/>
                <w:sz w:val="21"/>
                <w:szCs w:val="21"/>
                <w:vertAlign w:val="superscript"/>
                <w:lang w:val="en-US" w:eastAsia="zh-CN"/>
              </w:rPr>
              <w:t>3</w:t>
            </w:r>
          </w:p>
          <w:tbl>
            <w:tblPr>
              <w:jc w:val="cente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108" w:type="dxa"/>
                <w:bottom w:w="0" w:type="dxa"/>
                <w:right w:w="108" w:type="dxa"/>
              </w:tblCellMar>
            </w:tblPr>
            <w:tblGrid>
              <w:gridCol w:w="1393"/>
              <w:gridCol w:w="1749"/>
              <w:gridCol w:w="1052"/>
              <w:gridCol w:w="1052"/>
              <w:gridCol w:w="3112"/>
            </w:tblGrid>
            <w:tr>
              <w:trPr>
                <w:trHeight w:val="90"/>
              </w:trPr>
              <w:tc>
                <w:tcPr>
                  <w:tcW w:w="833" w:type="pct"/>
                  <w:vMerge w:val="restart"/>
                  <w:tcBorders>
                    <w:tl2br w:val="nil"/>
                    <w:tr2bl w:val="nil"/>
                  </w:tcBorders>
                  <w:noWrap/>
                  <w:vAlign w:val="center"/>
                </w:tcPr>
                <w:p>
                  <w:pPr>
                    <w:widowControl/>
                    <w:spacing w:line="240" w:lineRule="auto"/>
                    <w:jc w:val="center"/>
                    <w:textAlignment w:val="center"/>
                    <w:rPr>
                      <w:rFonts w:ascii="Times New Roman" w:eastAsia="宋体" w:cs="Times New Roman" w:hAnsi="Times New Roman" w:hint="eastAsia"/>
                      <w:b/>
                      <w:bCs/>
                      <w:color w:val="auto"/>
                      <w:sz w:val="21"/>
                      <w:szCs w:val="21"/>
                      <w:lang w:eastAsia="zh-CN"/>
                      <w:highlight w:val="auto"/>
                    </w:rPr>
                  </w:pPr>
                  <w:r>
                    <w:rPr>
                      <w:rFonts w:ascii="Times New Roman" w:eastAsia="宋体" w:cs="Times New Roman" w:hAnsi="Times New Roman"/>
                      <w:b/>
                      <w:bCs/>
                      <w:color w:val="auto"/>
                      <w:sz w:val="21"/>
                      <w:szCs w:val="21"/>
                      <w:highlight w:val="auto"/>
                    </w:rPr>
                    <w:t>监测</w:t>
                  </w:r>
                  <w:r>
                    <w:rPr>
                      <w:rFonts w:cs="Times New Roman" w:hint="eastAsia"/>
                      <w:b/>
                      <w:bCs/>
                      <w:color w:val="auto"/>
                      <w:sz w:val="21"/>
                      <w:szCs w:val="21"/>
                      <w:lang w:val="en-US" w:eastAsia="zh-CN"/>
                      <w:highlight w:val="auto"/>
                    </w:rPr>
                    <w:t>项目</w:t>
                  </w:r>
                </w:p>
              </w:tc>
              <w:tc>
                <w:tcPr>
                  <w:tcW w:w="1675" w:type="pct"/>
                  <w:gridSpan w:val="2"/>
                  <w:tcBorders>
                    <w:tl2br w:val="nil"/>
                    <w:tr2bl w:val="nil"/>
                  </w:tcBorders>
                  <w:noWrap/>
                  <w:vAlign w:val="center"/>
                </w:tcPr>
                <w:p>
                  <w:pPr>
                    <w:widowControl/>
                    <w:spacing w:line="240" w:lineRule="auto"/>
                    <w:jc w:val="center"/>
                    <w:textAlignment w:val="center"/>
                    <w:rPr>
                      <w:rFonts w:ascii="Times New Roman" w:eastAsia="宋体" w:cs="Times New Roman" w:hAnsi="Times New Roman" w:hint="eastAsia"/>
                      <w:b/>
                      <w:bCs/>
                      <w:color w:val="auto"/>
                      <w:sz w:val="21"/>
                      <w:szCs w:val="21"/>
                      <w:lang w:eastAsia="zh-CN"/>
                      <w:highlight w:val="auto"/>
                    </w:rPr>
                  </w:pPr>
                  <w:r>
                    <w:rPr>
                      <w:rFonts w:hint="eastAsia"/>
                      <w:b/>
                      <w:bCs/>
                    </w:rPr>
                    <w:t>监测点位</w:t>
                  </w:r>
                </w:p>
              </w:tc>
              <w:tc>
                <w:tcPr>
                  <w:tcW w:w="629" w:type="pct"/>
                  <w:vMerge w:val="restart"/>
                  <w:tcBorders>
                    <w:tl2br w:val="nil"/>
                    <w:tr2bl w:val="nil"/>
                  </w:tcBorders>
                  <w:noWrap/>
                  <w:vAlign w:val="center"/>
                </w:tcPr>
                <w:p>
                  <w:pPr>
                    <w:widowControl/>
                    <w:spacing w:line="240" w:lineRule="auto"/>
                    <w:jc w:val="center"/>
                    <w:textAlignment w:val="center"/>
                    <w:rPr>
                      <w:rFonts w:ascii="Times New Roman" w:eastAsia="宋体" w:cs="Times New Roman" w:hAnsi="Times New Roman"/>
                      <w:b/>
                      <w:bCs/>
                      <w:color w:val="auto"/>
                      <w:sz w:val="21"/>
                      <w:szCs w:val="21"/>
                      <w:lang w:val="en-US" w:eastAsia="zh-CN"/>
                      <w:highlight w:val="auto"/>
                    </w:rPr>
                  </w:pPr>
                  <w:r>
                    <w:rPr>
                      <w:rFonts w:ascii="Times New Roman" w:eastAsia="宋体" w:cs="Times New Roman" w:hAnsi="Times New Roman"/>
                      <w:b/>
                      <w:bCs/>
                      <w:color w:val="auto"/>
                      <w:sz w:val="21"/>
                      <w:szCs w:val="21"/>
                      <w:lang w:val="en-US" w:eastAsia="zh-CN"/>
                      <w:highlight w:val="auto"/>
                    </w:rPr>
                    <w:t>标准值</w:t>
                  </w:r>
                </w:p>
              </w:tc>
              <w:tc>
                <w:tcPr>
                  <w:tcW w:w="1861" w:type="pct"/>
                  <w:vMerge w:val="restart"/>
                  <w:tcBorders>
                    <w:tl2br w:val="nil"/>
                    <w:tr2bl w:val="nil"/>
                  </w:tcBorders>
                  <w:noWrap/>
                  <w:vAlign w:val="center"/>
                </w:tcPr>
                <w:p>
                  <w:pPr>
                    <w:widowControl/>
                    <w:spacing w:line="240" w:lineRule="auto"/>
                    <w:jc w:val="center"/>
                    <w:textAlignment w:val="center"/>
                    <w:rPr>
                      <w:rFonts w:ascii="Times New Roman" w:eastAsia="宋体" w:cs="Times New Roman" w:hAnsi="Times New Roman" w:hint="eastAsia"/>
                      <w:b/>
                      <w:bCs/>
                      <w:color w:val="auto"/>
                      <w:sz w:val="21"/>
                      <w:szCs w:val="21"/>
                      <w:lang w:eastAsia="zh-CN"/>
                      <w:highlight w:val="auto"/>
                    </w:rPr>
                  </w:pPr>
                  <w:r>
                    <w:rPr>
                      <w:rFonts w:hint="eastAsia"/>
                      <w:b/>
                      <w:bCs/>
                    </w:rPr>
                    <w:t>备注</w:t>
                  </w:r>
                </w:p>
              </w:tc>
            </w:tr>
            <w:tr>
              <w:trPr>
                <w:trHeight w:val="90"/>
              </w:trPr>
              <w:tc>
                <w:tcPr>
                  <w:tcW w:w="833" w:type="pct"/>
                  <w:vMerge/>
                  <w:tcBorders>
                    <w:tl2br w:val="nil"/>
                    <w:tr2bl w:val="nil"/>
                  </w:tcBorders>
                  <w:noWrap/>
                  <w:vAlign w:val="center"/>
                </w:tcPr>
                <w:p/>
              </w:tc>
              <w:tc>
                <w:tcPr>
                  <w:tcW w:w="1046" w:type="pct"/>
                  <w:tcBorders>
                    <w:tl2br w:val="nil"/>
                    <w:tr2bl w:val="nil"/>
                  </w:tcBorders>
                  <w:noWrap/>
                  <w:vAlign w:val="center"/>
                </w:tcPr>
                <w:p>
                  <w:pPr>
                    <w:widowControl/>
                    <w:spacing w:line="240" w:lineRule="auto"/>
                    <w:jc w:val="center"/>
                    <w:textAlignment w:val="center"/>
                    <w:rPr>
                      <w:rFonts w:ascii="Times New Roman" w:eastAsia="宋体" w:cs="Times New Roman" w:hAnsi="Times New Roman"/>
                      <w:color w:val="auto"/>
                      <w:sz w:val="21"/>
                      <w:szCs w:val="21"/>
                      <w:lang w:val="en-US" w:eastAsia="zh-CN"/>
                      <w:highlight w:val="auto"/>
                    </w:rPr>
                  </w:pPr>
                  <w:r>
                    <w:rPr>
                      <w:rFonts w:ascii="Times New Roman" w:eastAsia="宋体" w:cs="Times New Roman" w:hAnsi="Times New Roman"/>
                      <w:color w:val="auto"/>
                      <w:sz w:val="21"/>
                      <w:szCs w:val="21"/>
                      <w:lang w:val="en-US" w:eastAsia="zh-CN"/>
                      <w:highlight w:val="auto"/>
                    </w:rPr>
                    <w:t>浓度范围</w:t>
                  </w:r>
                </w:p>
              </w:tc>
              <w:tc>
                <w:tcPr>
                  <w:tcW w:w="629" w:type="pct"/>
                  <w:tcBorders>
                    <w:tl2br w:val="nil"/>
                    <w:tr2bl w:val="nil"/>
                  </w:tcBorders>
                  <w:noWrap/>
                  <w:vAlign w:val="center"/>
                </w:tcPr>
                <w:p>
                  <w:pPr>
                    <w:widowControl/>
                    <w:spacing w:line="240" w:lineRule="auto"/>
                    <w:jc w:val="center"/>
                    <w:textAlignment w:val="center"/>
                    <w:rPr>
                      <w:rFonts w:ascii="Times New Roman" w:eastAsia="宋体" w:cs="Times New Roman" w:hAnsi="Times New Roman"/>
                      <w:color w:val="auto"/>
                      <w:sz w:val="21"/>
                      <w:szCs w:val="21"/>
                      <w:lang w:val="en-US" w:eastAsia="zh-CN"/>
                      <w:highlight w:val="auto"/>
                    </w:rPr>
                  </w:pPr>
                  <w:r>
                    <w:rPr>
                      <w:rFonts w:ascii="Times New Roman" w:eastAsia="宋体" w:cs="Times New Roman" w:hAnsi="Times New Roman"/>
                      <w:color w:val="auto"/>
                      <w:sz w:val="21"/>
                      <w:szCs w:val="21"/>
                      <w:lang w:val="en-US" w:eastAsia="zh-CN"/>
                      <w:highlight w:val="auto"/>
                    </w:rPr>
                    <w:t>I</w:t>
                  </w:r>
                  <w:r>
                    <w:rPr>
                      <w:rFonts w:ascii="Times New Roman" w:eastAsia="宋体" w:cs="Times New Roman" w:hAnsi="Times New Roman"/>
                      <w:color w:val="auto"/>
                      <w:sz w:val="21"/>
                      <w:szCs w:val="21"/>
                      <w:vertAlign w:val="subscript"/>
                      <w:lang w:val="en-US" w:eastAsia="zh-CN"/>
                      <w:highlight w:val="auto"/>
                    </w:rPr>
                    <w:t>imax</w:t>
                  </w:r>
                </w:p>
              </w:tc>
              <w:tc>
                <w:tcPr>
                  <w:tcW w:w="629" w:type="pct"/>
                  <w:vMerge/>
                  <w:tcBorders>
                    <w:tl2br w:val="nil"/>
                    <w:tr2bl w:val="nil"/>
                  </w:tcBorders>
                  <w:noWrap/>
                  <w:vAlign w:val="center"/>
                </w:tcPr>
                <w:p/>
              </w:tc>
              <w:tc>
                <w:tcPr>
                  <w:tcW w:w="1861" w:type="pct"/>
                  <w:vMerge/>
                  <w:tcBorders>
                    <w:tl2br w:val="nil"/>
                    <w:tr2bl w:val="nil"/>
                  </w:tcBorders>
                  <w:noWrap/>
                  <w:vAlign w:val="center"/>
                </w:tcPr>
                <w:p/>
              </w:tc>
            </w:tr>
            <w:tr>
              <w:trPr>
                <w:trHeight w:val="90"/>
              </w:trPr>
              <w:tc>
                <w:tcPr>
                  <w:tcW w:w="833" w:type="pct"/>
                  <w:tcBorders>
                    <w:tl2br w:val="nil"/>
                    <w:tr2bl w:val="nil"/>
                  </w:tcBorders>
                  <w:noWrap/>
                  <w:vAlign w:val="center"/>
                </w:tcPr>
                <w:p>
                  <w:pPr>
                    <w:bidi w:val="0"/>
                    <w:spacing w:line="240" w:lineRule="auto"/>
                    <w:ind w:left="0" w:firstLine="0"/>
                    <w:jc w:val="center"/>
                    <w:rPr>
                      <w:rFonts w:ascii="Times New Roman" w:eastAsia="宋体" w:cs="Times New Roman" w:hAnsi="Times New Roman"/>
                      <w:color w:val="auto"/>
                      <w:sz w:val="21"/>
                      <w:szCs w:val="21"/>
                      <w:highlight w:val="auto"/>
                    </w:rPr>
                  </w:pPr>
                  <w:r>
                    <w:rPr>
                      <w:rFonts w:ascii="Times New Roman" w:eastAsia="宋体" w:cs="Times New Roman" w:hAnsi="Times New Roman" w:hint="eastAsia"/>
                      <w:color w:val="auto"/>
                      <w:sz w:val="21"/>
                      <w:szCs w:val="21"/>
                      <w:vertAlign w:val="baseline"/>
                      <w:lang w:val="en-US" w:eastAsia="zh-CN"/>
                    </w:rPr>
                    <w:t>TSP</w:t>
                  </w:r>
                </w:p>
              </w:tc>
              <w:tc>
                <w:tcPr>
                  <w:tcW w:w="1046" w:type="pct"/>
                  <w:tcBorders>
                    <w:tl2br w:val="nil"/>
                    <w:tr2bl w:val="nil"/>
                  </w:tcBorders>
                  <w:noWrap/>
                  <w:vAlign w:val="center"/>
                </w:tcPr>
                <w:p>
                  <w:pPr>
                    <w:widowControl/>
                    <w:spacing w:line="240" w:lineRule="auto"/>
                    <w:jc w:val="center"/>
                    <w:textAlignment w:val="center"/>
                    <w:rPr>
                      <w:rFonts w:ascii="Times New Roman" w:eastAsia="宋体" w:cs="Times New Roman" w:hAnsi="Times New Roman"/>
                      <w:color w:val="auto"/>
                      <w:sz w:val="21"/>
                      <w:szCs w:val="21"/>
                      <w:lang w:val="en-US" w:eastAsia="zh-CN"/>
                      <w:highlight w:val="auto"/>
                    </w:rPr>
                  </w:pPr>
                  <w:r>
                    <w:rPr>
                      <w:rFonts w:cs="Times New Roman" w:hint="eastAsia"/>
                      <w:color w:val="auto"/>
                      <w:sz w:val="21"/>
                      <w:szCs w:val="21"/>
                      <w:lang w:val="en-US" w:eastAsia="zh-CN"/>
                      <w:highlight w:val="auto"/>
                    </w:rPr>
                    <w:t>0.102~0.119</w:t>
                  </w:r>
                </w:p>
              </w:tc>
              <w:tc>
                <w:tcPr>
                  <w:tcW w:w="629" w:type="pct"/>
                  <w:tcBorders>
                    <w:tl2br w:val="nil"/>
                    <w:tr2bl w:val="nil"/>
                  </w:tcBorders>
                  <w:noWrap/>
                  <w:vAlign w:val="center"/>
                </w:tcPr>
                <w:p>
                  <w:pPr>
                    <w:widowControl/>
                    <w:spacing w:line="240" w:lineRule="auto"/>
                    <w:jc w:val="center"/>
                    <w:textAlignment w:val="center"/>
                    <w:rPr>
                      <w:rFonts w:ascii="Times New Roman" w:eastAsia="宋体" w:cs="Times New Roman" w:hAnsi="Times New Roman"/>
                      <w:color w:val="auto"/>
                      <w:sz w:val="21"/>
                      <w:szCs w:val="21"/>
                      <w:lang w:val="en-US" w:eastAsia="zh-CN"/>
                      <w:highlight w:val="auto"/>
                    </w:rPr>
                  </w:pPr>
                  <w:r>
                    <w:rPr>
                      <w:rFonts w:ascii="Times New Roman" w:eastAsia="宋体" w:cs="Times New Roman" w:hAnsi="Times New Roman"/>
                      <w:color w:val="auto"/>
                      <w:sz w:val="21"/>
                      <w:szCs w:val="21"/>
                      <w:lang w:val="en-US" w:eastAsia="zh-CN"/>
                      <w:highlight w:val="auto"/>
                    </w:rPr>
                    <w:t>0.</w:t>
                  </w:r>
                  <w:r>
                    <w:rPr>
                      <w:rFonts w:cs="Times New Roman" w:hint="eastAsia"/>
                      <w:color w:val="auto"/>
                      <w:sz w:val="21"/>
                      <w:szCs w:val="21"/>
                      <w:lang w:val="en-US" w:eastAsia="zh-CN"/>
                      <w:highlight w:val="auto"/>
                    </w:rPr>
                    <w:t>397</w:t>
                  </w:r>
                </w:p>
              </w:tc>
              <w:tc>
                <w:tcPr>
                  <w:tcW w:w="629" w:type="pct"/>
                  <w:tcBorders>
                    <w:tl2br w:val="nil"/>
                    <w:tr2bl w:val="nil"/>
                  </w:tcBorders>
                  <w:noWrap/>
                  <w:vAlign w:val="center"/>
                </w:tcPr>
                <w:p>
                  <w:pPr>
                    <w:widowControl/>
                    <w:spacing w:line="240" w:lineRule="auto"/>
                    <w:jc w:val="center"/>
                    <w:textAlignment w:val="center"/>
                    <w:rPr>
                      <w:rFonts w:ascii="Times New Roman" w:eastAsia="宋体" w:cs="Times New Roman" w:hAnsi="Times New Roman"/>
                      <w:color w:val="auto"/>
                      <w:sz w:val="21"/>
                      <w:szCs w:val="21"/>
                      <w:lang w:val="en-US" w:eastAsia="zh-CN"/>
                      <w:highlight w:val="auto"/>
                    </w:rPr>
                  </w:pPr>
                  <w:r>
                    <w:rPr>
                      <w:rFonts w:ascii="Times New Roman" w:eastAsia="宋体" w:cs="Times New Roman" w:hAnsi="Times New Roman"/>
                      <w:color w:val="auto"/>
                      <w:sz w:val="21"/>
                      <w:szCs w:val="21"/>
                      <w:lang w:val="en-US" w:eastAsia="zh-CN"/>
                      <w:highlight w:val="auto"/>
                    </w:rPr>
                    <w:t>0.3</w:t>
                  </w:r>
                </w:p>
              </w:tc>
              <w:tc>
                <w:tcPr>
                  <w:tcW w:w="1861" w:type="pct"/>
                  <w:tcBorders>
                    <w:tl2br w:val="nil"/>
                    <w:tr2bl w:val="nil"/>
                  </w:tcBorders>
                  <w:noWrap/>
                  <w:vAlign w:val="center"/>
                </w:tcPr>
                <w:p>
                  <w:pPr>
                    <w:widowControl/>
                    <w:spacing w:line="240" w:lineRule="auto"/>
                    <w:jc w:val="center"/>
                    <w:textAlignment w:val="center"/>
                    <w:rPr>
                      <w:rFonts w:ascii="Times New Roman" w:eastAsia="宋体" w:cs="Times New Roman" w:hAnsi="Times New Roman"/>
                      <w:color w:val="auto"/>
                      <w:sz w:val="21"/>
                      <w:szCs w:val="21"/>
                      <w:lang w:val="en-US" w:eastAsia="zh-CN"/>
                      <w:highlight w:val="auto"/>
                    </w:rPr>
                  </w:pPr>
                  <w:r>
                    <w:rPr>
                      <w:rFonts w:ascii="Times New Roman" w:eastAsia="宋体" w:cs="Times New Roman" w:hAnsi="Times New Roman"/>
                      <w:color w:val="auto"/>
                      <w:sz w:val="21"/>
                      <w:szCs w:val="21"/>
                      <w:lang w:val="en-US" w:eastAsia="zh-CN"/>
                      <w:highlight w:val="auto"/>
                    </w:rPr>
                    <w:t>（GB3095-2012）中二级标准</w:t>
                  </w:r>
                </w:p>
              </w:tc>
            </w:tr>
          </w:tbl>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ascii="Times New Roman" w:eastAsia="宋体" w:cs="Times New Roman" w:hAnsi="Times New Roman" w:hint="eastAsia"/>
                <w:b w:val="0"/>
                <w:bCs w:val="0"/>
                <w:color w:val="auto"/>
                <w:sz w:val="24"/>
                <w:szCs w:val="24"/>
                <w:lang w:val="en-US" w:eastAsia="zh-CN"/>
              </w:rPr>
              <w:t>⑤现状评价结论</w:t>
            </w:r>
          </w:p>
          <w:p>
            <w:pPr>
              <w:bidi w:val="0"/>
              <w:spacing w:line="360" w:lineRule="auto"/>
              <w:ind w:left="0" w:firstLineChars="200" w:firstLine="480"/>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b w:val="0"/>
                <w:bCs w:val="0"/>
                <w:color w:val="auto"/>
                <w:sz w:val="24"/>
                <w:szCs w:val="24"/>
                <w:lang w:val="en-US" w:eastAsia="zh-CN"/>
              </w:rPr>
              <w:t>监测结果表明：监测期间，</w:t>
            </w:r>
            <w:r>
              <w:rPr>
                <w:rFonts w:cs="Times New Roman" w:hint="eastAsia"/>
                <w:b w:val="0"/>
                <w:bCs w:val="0"/>
                <w:color w:val="auto"/>
                <w:sz w:val="24"/>
                <w:szCs w:val="24"/>
                <w:lang w:val="en-US" w:eastAsia="zh-CN"/>
              </w:rPr>
              <w:t>本</w:t>
            </w:r>
            <w:r>
              <w:rPr>
                <w:rFonts w:ascii="Times New Roman" w:eastAsia="宋体" w:cs="Times New Roman" w:hAnsi="Times New Roman" w:hint="eastAsia"/>
                <w:b w:val="0"/>
                <w:bCs w:val="0"/>
                <w:color w:val="auto"/>
                <w:sz w:val="24"/>
                <w:szCs w:val="24"/>
                <w:lang w:val="en-US" w:eastAsia="zh-CN"/>
              </w:rPr>
              <w:t>项目所在区域环境空气中TSP满足《环境空气质量标准》（GB3095-2012）中二级标准要求</w:t>
            </w:r>
            <w:r>
              <w:rPr>
                <w:rFonts w:ascii="Times New Roman" w:cs="Times New Roman" w:hAnsi="Times New Roman" w:hint="eastAsia"/>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说明所在区域环境空气质量</w:t>
            </w:r>
            <w:r>
              <w:rPr>
                <w:rFonts w:ascii="Times New Roman" w:eastAsia="宋体" w:cs="Times New Roman" w:hAnsi="Times New Roman"/>
                <w:b w:val="0"/>
                <w:bCs w:val="0"/>
                <w:color w:val="auto"/>
                <w:sz w:val="24"/>
                <w:szCs w:val="24"/>
                <w:lang w:val="en-US" w:eastAsia="zh-CN"/>
              </w:rPr>
              <w:t>现状良好。</w:t>
            </w:r>
          </w:p>
          <w:p>
            <w:pPr>
              <w:numPr>
                <w:ilvl w:val="0"/>
                <w:numId w:val="38"/>
              </w:numPr>
              <w:bidi w:val="0"/>
              <w:spacing w:line="360" w:lineRule="auto"/>
              <w:ind w:left="0" w:firstLineChars="200" w:firstLine="480"/>
              <w:rPr>
                <w:rFonts w:ascii="Times New Roman" w:eastAsia="宋体" w:cs="Times New Roman" w:hAnsi="Times New Roman" w:hint="eastAsia"/>
                <w:sz w:val="24"/>
                <w:szCs w:val="24"/>
                <w:lang w:val="en-US" w:eastAsia="zh-CN"/>
              </w:rPr>
            </w:pPr>
            <w:r>
              <w:rPr>
                <w:rFonts w:ascii="Times New Roman" w:eastAsia="宋体" w:cs="Times New Roman" w:hAnsi="Times New Roman"/>
                <w:b/>
                <w:bCs/>
                <w:color w:val="auto"/>
                <w:sz w:val="24"/>
                <w:szCs w:val="24"/>
                <w:lang w:val="en-US" w:eastAsia="zh-CN"/>
              </w:rPr>
              <w:t>地表水环境质量现状</w:t>
            </w:r>
          </w:p>
          <w:p>
            <w:pPr>
              <w:numPr>
                <w:ilvl w:val="0"/>
                <w:numId w:val="41"/>
              </w:numPr>
              <w:bidi w:val="0"/>
              <w:spacing w:line="360" w:lineRule="auto"/>
              <w:ind w:left="0" w:firstLineChars="200" w:firstLine="480"/>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地表水环境质量现状监测</w:t>
            </w:r>
          </w:p>
          <w:p>
            <w:pPr>
              <w:bidi w:val="0"/>
              <w:spacing w:line="360" w:lineRule="auto"/>
              <w:ind w:left="0" w:firstLineChars="200" w:firstLine="480"/>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根据《建设项目环境影响报告表编制技术指南（污染影响类）》（试行）的要求：引用与建设项目距离近的有效数据，包括近3年的规划环境影响评价的监测数据，所在流域控制单元内国家、地方控制断面监测数据，生态环境主管部门发布的水环境质量数据或地表水达标情况的结论。</w:t>
            </w:r>
          </w:p>
          <w:p>
            <w:pPr>
              <w:bidi w:val="0"/>
              <w:spacing w:line="360" w:lineRule="auto"/>
              <w:ind w:left="0" w:firstLineChars="200" w:firstLine="480"/>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本项目附近地表水体为</w:t>
            </w:r>
            <w:r>
              <w:rPr>
                <w:rFonts w:cs="Times New Roman" w:hint="eastAsia"/>
                <w:sz w:val="24"/>
                <w:szCs w:val="24"/>
                <w:lang w:val="en-US" w:eastAsia="zh-CN"/>
              </w:rPr>
              <w:t>郪江，</w:t>
            </w:r>
            <w:r>
              <w:rPr>
                <w:rFonts w:ascii="Times New Roman" w:eastAsia="宋体" w:cs="Times New Roman" w:hAnsi="Times New Roman" w:hint="eastAsia"/>
                <w:sz w:val="24"/>
                <w:szCs w:val="24"/>
                <w:lang w:val="en-US" w:eastAsia="zh-CN"/>
              </w:rPr>
              <w:t>位于</w:t>
            </w:r>
            <w:r>
              <w:rPr>
                <w:rFonts w:cs="Times New Roman" w:hint="eastAsia"/>
                <w:sz w:val="24"/>
                <w:szCs w:val="24"/>
                <w:lang w:val="en-US" w:eastAsia="zh-CN"/>
              </w:rPr>
              <w:t>厂界西北侧约469m处；</w:t>
            </w:r>
            <w:r>
              <w:rPr>
                <w:rFonts w:ascii="Times New Roman" w:eastAsia="宋体" w:cs="Times New Roman" w:hAnsi="Times New Roman" w:hint="eastAsia"/>
                <w:sz w:val="24"/>
                <w:szCs w:val="24"/>
                <w:lang w:val="en-US" w:eastAsia="zh-CN"/>
              </w:rPr>
              <w:t>为解</w:t>
            </w:r>
            <w:r>
              <w:rPr>
                <w:rFonts w:cs="Times New Roman" w:hint="eastAsia"/>
                <w:sz w:val="24"/>
                <w:szCs w:val="24"/>
                <w:lang w:val="en-US" w:eastAsia="zh-CN"/>
              </w:rPr>
              <w:t>本</w:t>
            </w:r>
            <w:r>
              <w:rPr>
                <w:rFonts w:ascii="Times New Roman" w:eastAsia="宋体" w:cs="Times New Roman" w:hAnsi="Times New Roman" w:hint="eastAsia"/>
                <w:sz w:val="24"/>
                <w:szCs w:val="24"/>
                <w:lang w:val="en-US" w:eastAsia="zh-CN"/>
              </w:rPr>
              <w:t>项目所在区域地表水环境质量现状</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本次环评引用遂宁市生态环境局公开发布的《2023年遂宁市环境质量公告》中地表水环境质量结论</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根据《2023年遂宁市环境质量公告》，遂宁市9个国、省控地表水监测断面（含2个长江经济带断面）水环境质量状况、主要污染指标、环比和同比情况见下表</w:t>
            </w:r>
            <w:r>
              <w:rPr>
                <w:rFonts w:cs="Times New Roman" w:hint="eastAsia"/>
                <w:sz w:val="24"/>
                <w:szCs w:val="24"/>
                <w:lang w:val="en-US" w:eastAsia="zh-CN"/>
              </w:rPr>
              <w:t>。</w:t>
            </w:r>
          </w:p>
          <w:p>
            <w:pPr>
              <w:bidi w:val="0"/>
              <w:spacing w:line="360" w:lineRule="auto"/>
              <w:jc w:val="center"/>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表3-5 2023年大英县地表水环境质量公告数据</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73"/>
              <w:gridCol w:w="1303"/>
              <w:gridCol w:w="923"/>
              <w:gridCol w:w="1109"/>
              <w:gridCol w:w="1355"/>
              <w:gridCol w:w="1397"/>
              <w:gridCol w:w="1407"/>
            </w:tblGrid>
            <w:tr>
              <w:tc>
                <w:tcPr>
                  <w:tcW w:w="873" w:type="dxa"/>
                  <w:vAlign w:val="center"/>
                </w:tcPr>
                <w:p>
                  <w:pPr>
                    <w:pStyle w:val="96"/>
                    <w:framePr w:w="0" w:hRule="auto" w:wrap="auto" w:vAnchor="margin" w:hAnchor="text" w:xAlign="left" w:yAlign="inline"/>
                    <w:rPr>
                      <w:rFonts w:ascii="Times New Roman" w:eastAsia="宋体" w:cs="Times New Roman" w:hAnsi="Times New Roman"/>
                      <w:b/>
                      <w:bCs/>
                      <w:sz w:val="21"/>
                      <w:szCs w:val="21"/>
                    </w:rPr>
                  </w:pPr>
                  <w:r>
                    <w:rPr>
                      <w:rFonts w:ascii="Times New Roman" w:eastAsia="宋体" w:cs="Times New Roman" w:hAnsi="Times New Roman"/>
                      <w:b/>
                      <w:bCs/>
                      <w:sz w:val="21"/>
                      <w:szCs w:val="21"/>
                    </w:rPr>
                    <w:t>断面</w:t>
                  </w:r>
                </w:p>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名称</w:t>
                  </w:r>
                </w:p>
              </w:tc>
              <w:tc>
                <w:tcPr>
                  <w:tcW w:w="1303" w:type="dxa"/>
                  <w:vAlign w:val="center"/>
                </w:tcPr>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所在地</w:t>
                  </w:r>
                </w:p>
              </w:tc>
              <w:tc>
                <w:tcPr>
                  <w:tcW w:w="923" w:type="dxa"/>
                  <w:vAlign w:val="center"/>
                </w:tcPr>
                <w:p>
                  <w:pPr>
                    <w:pStyle w:val="96"/>
                    <w:framePr w:w="0" w:hRule="auto" w:wrap="auto" w:vAnchor="margin" w:hAnchor="text" w:xAlign="left" w:yAlign="inline"/>
                    <w:rPr>
                      <w:rFonts w:ascii="Times New Roman" w:eastAsia="宋体" w:cs="Times New Roman" w:hAnsi="Times New Roman"/>
                      <w:b/>
                      <w:bCs/>
                      <w:sz w:val="21"/>
                      <w:szCs w:val="21"/>
                    </w:rPr>
                  </w:pPr>
                  <w:r>
                    <w:rPr>
                      <w:rFonts w:ascii="Times New Roman" w:eastAsia="宋体" w:cs="Times New Roman" w:hAnsi="Times New Roman"/>
                      <w:b/>
                      <w:bCs/>
                      <w:sz w:val="21"/>
                      <w:szCs w:val="21"/>
                    </w:rPr>
                    <w:t>断面</w:t>
                  </w:r>
                </w:p>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类别</w:t>
                  </w:r>
                </w:p>
              </w:tc>
              <w:tc>
                <w:tcPr>
                  <w:tcW w:w="1109" w:type="dxa"/>
                  <w:vAlign w:val="center"/>
                </w:tcPr>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规定类别</w:t>
                  </w:r>
                </w:p>
              </w:tc>
              <w:tc>
                <w:tcPr>
                  <w:tcW w:w="1355" w:type="dxa"/>
                  <w:vAlign w:val="center"/>
                </w:tcPr>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上年度类别</w:t>
                  </w:r>
                </w:p>
              </w:tc>
              <w:tc>
                <w:tcPr>
                  <w:tcW w:w="1397" w:type="dxa"/>
                  <w:vAlign w:val="center"/>
                </w:tcPr>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本年度类别</w:t>
                  </w:r>
                </w:p>
              </w:tc>
              <w:tc>
                <w:tcPr>
                  <w:tcW w:w="1407" w:type="dxa"/>
                  <w:vAlign w:val="center"/>
                </w:tcPr>
                <w:p>
                  <w:pPr>
                    <w:pStyle w:val="96"/>
                    <w:framePr w:w="0" w:hRule="auto" w:wrap="auto" w:vAnchor="margin" w:hAnchor="text" w:xAlign="left" w:yAlign="inline"/>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rPr>
                    <w:t>主要污染指标/超标倍数</w:t>
                  </w:r>
                </w:p>
              </w:tc>
            </w:tr>
            <w:tr>
              <w:trPr>
                <w:trHeight w:val="90"/>
              </w:trPr>
              <w:tc>
                <w:tcPr>
                  <w:tcW w:w="873"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郪江口</w:t>
                  </w:r>
                </w:p>
              </w:tc>
              <w:tc>
                <w:tcPr>
                  <w:tcW w:w="1303"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大英县</w:t>
                  </w:r>
                </w:p>
              </w:tc>
              <w:tc>
                <w:tcPr>
                  <w:tcW w:w="923"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国控</w:t>
                  </w:r>
                </w:p>
              </w:tc>
              <w:tc>
                <w:tcPr>
                  <w:tcW w:w="1109"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III</w:t>
                  </w:r>
                </w:p>
              </w:tc>
              <w:tc>
                <w:tcPr>
                  <w:tcW w:w="1355"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III</w:t>
                  </w:r>
                </w:p>
              </w:tc>
              <w:tc>
                <w:tcPr>
                  <w:tcW w:w="1397"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III</w:t>
                  </w:r>
                </w:p>
              </w:tc>
              <w:tc>
                <w:tcPr>
                  <w:tcW w:w="1407" w:type="dxa"/>
                  <w:tcBorders>
                    <w:top w:val="single" w:sz="4" w:space="0" w:color="auto"/>
                    <w:left w:val="single" w:sz="4" w:space="0" w:color="auto"/>
                    <w:right w:val="single" w:sz="4" w:space="0" w:color="auto"/>
                  </w:tcBorders>
                  <w:vAlign w:val="center"/>
                </w:tcPr>
                <w:p>
                  <w:pPr>
                    <w:pStyle w:val="96"/>
                    <w:framePr w:w="0" w:hRule="auto" w:wrap="auto" w:vAnchor="margin" w:hAnchor="text" w:xAlign="left" w:yAlign="inline"/>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rPr>
                    <w:t>/</w:t>
                  </w:r>
                </w:p>
              </w:tc>
            </w:tr>
          </w:tbl>
          <w:p>
            <w:pPr>
              <w:numPr>
                <w:ilvl w:val="0"/>
                <w:numId w:val="41"/>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评价结论</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根据环境质量公报数据进行分析，本项目附近水域郪江口监测断面水质符合规定水质标准，水质满足</w:t>
            </w:r>
            <w:r>
              <w:rPr>
                <w:rFonts w:ascii="Times New Roman" w:eastAsia="宋体" w:cs="Times New Roman" w:hAnsi="Times New Roman"/>
                <w:sz w:val="24"/>
                <w:szCs w:val="24"/>
                <w:lang w:val="en-US" w:eastAsia="zh-CN"/>
              </w:rPr>
              <w:t>《地表水环境质量标准》（GB3838-2002）III类</w:t>
            </w:r>
            <w:r>
              <w:rPr>
                <w:rFonts w:cs="Times New Roman" w:hint="eastAsia"/>
                <w:sz w:val="24"/>
                <w:szCs w:val="24"/>
                <w:lang w:val="en-US" w:eastAsia="zh-CN"/>
              </w:rPr>
              <w:t>水质要求，水环境质量达标。</w:t>
            </w:r>
          </w:p>
          <w:p>
            <w:pPr>
              <w:numPr>
                <w:ilvl w:val="0"/>
                <w:numId w:val="38"/>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b/>
                <w:bCs/>
                <w:sz w:val="24"/>
                <w:szCs w:val="24"/>
                <w:lang w:val="en-US" w:eastAsia="zh-CN"/>
              </w:rPr>
              <w:t>声环境质量现状</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根据《建设项目环境影响报告表编制技术指南》（污染影响类</w:t>
            </w:r>
            <w:r>
              <w:rPr>
                <w:rFonts w:cs="Times New Roman" w:hint="eastAsia"/>
                <w:sz w:val="24"/>
                <w:szCs w:val="24"/>
                <w:lang w:val="en-US" w:eastAsia="zh-CN"/>
              </w:rPr>
              <w:t>）</w:t>
            </w:r>
            <w:r>
              <w:rPr>
                <w:rFonts w:ascii="Times New Roman" w:eastAsia="宋体" w:cs="Times New Roman" w:hAnsi="Times New Roman"/>
                <w:sz w:val="24"/>
                <w:szCs w:val="24"/>
                <w:lang w:val="en-US" w:eastAsia="zh-CN"/>
              </w:rPr>
              <w:t>（试行</w:t>
            </w:r>
            <w:r>
              <w:rPr>
                <w:rFonts w:cs="Times New Roman" w:hint="eastAsia"/>
                <w:sz w:val="24"/>
                <w:szCs w:val="24"/>
                <w:lang w:val="en-US" w:eastAsia="zh-CN"/>
              </w:rPr>
              <w:t>）</w:t>
            </w:r>
            <w:r>
              <w:rPr>
                <w:rFonts w:ascii="Times New Roman" w:eastAsia="宋体" w:cs="Times New Roman" w:hAnsi="Times New Roman"/>
                <w:sz w:val="24"/>
                <w:szCs w:val="24"/>
                <w:lang w:val="en-US" w:eastAsia="zh-CN"/>
              </w:rPr>
              <w:t>，</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厂界外周边50米范围内存在声环境保护目标的建设项目，应监测保护目标声环境质量现状并评价达标情况</w:t>
            </w:r>
            <w:r>
              <w:rPr>
                <w:rFonts w:ascii="Times New Roman" w:eastAsia="宋体" w:cs="Times New Roman" w:hAnsi="Times New Roman" w:hint="eastAsia"/>
                <w:sz w:val="24"/>
                <w:szCs w:val="24"/>
                <w:lang w:val="en-US" w:eastAsia="zh-CN"/>
              </w:rPr>
              <w:t>”。</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根据现场踏勘，</w:t>
            </w:r>
            <w:r>
              <w:rPr>
                <w:rFonts w:ascii="Times New Roman" w:eastAsia="宋体" w:cs="Times New Roman" w:hAnsi="Times New Roman" w:hint="eastAsia"/>
                <w:sz w:val="24"/>
                <w:szCs w:val="24"/>
                <w:lang w:val="en-US" w:eastAsia="zh-CN"/>
              </w:rPr>
              <w:t>本</w:t>
            </w:r>
            <w:r>
              <w:rPr>
                <w:rFonts w:ascii="Times New Roman" w:eastAsia="宋体" w:cs="Times New Roman" w:hAnsi="Times New Roman"/>
                <w:sz w:val="24"/>
                <w:szCs w:val="24"/>
                <w:lang w:val="en-US" w:eastAsia="zh-CN"/>
              </w:rPr>
              <w:t>项目厂界外周边50米范围内，不存在声环境保护目标；因此，无需对声环境质量现状达标情况进行监测评价。</w:t>
            </w:r>
          </w:p>
          <w:p>
            <w:pPr>
              <w:numPr>
                <w:ilvl w:val="0"/>
                <w:numId w:val="38"/>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生态环境</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根据《建设项目环境影响报告表编制技术指南》（污染影响类</w:t>
            </w:r>
            <w:r>
              <w:rPr>
                <w:rFonts w:cs="Times New Roman" w:hint="eastAsia"/>
                <w:sz w:val="24"/>
                <w:szCs w:val="24"/>
                <w:lang w:val="en-US" w:eastAsia="zh-CN"/>
              </w:rPr>
              <w:t>）</w:t>
            </w:r>
            <w:r>
              <w:rPr>
                <w:rFonts w:ascii="Times New Roman" w:eastAsia="宋体" w:cs="Times New Roman" w:hAnsi="Times New Roman"/>
                <w:sz w:val="24"/>
                <w:szCs w:val="24"/>
                <w:lang w:val="en-US" w:eastAsia="zh-CN"/>
              </w:rPr>
              <w:t>（试行</w:t>
            </w:r>
            <w:r>
              <w:rPr>
                <w:rFonts w:cs="Times New Roman" w:hint="eastAsia"/>
                <w:sz w:val="24"/>
                <w:szCs w:val="24"/>
                <w:lang w:val="en-US" w:eastAsia="zh-CN"/>
              </w:rPr>
              <w:t>）</w:t>
            </w:r>
            <w:r>
              <w:rPr>
                <w:rFonts w:ascii="Times New Roman" w:eastAsia="宋体" w:cs="Times New Roman" w:hAnsi="Times New Roman"/>
                <w:sz w:val="24"/>
                <w:szCs w:val="24"/>
                <w:lang w:val="en-US" w:eastAsia="zh-CN"/>
              </w:rPr>
              <w:t>，</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产业园区外建设项目新增用地且用地范围内含有生态环境保护目标时，应进行生态现状调查</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hint="eastAsia"/>
                <w:sz w:val="24"/>
                <w:szCs w:val="24"/>
                <w:lang w:val="en-US" w:eastAsia="zh-CN"/>
              </w:rPr>
              <w:t>本项目选址</w:t>
            </w:r>
            <w:r>
              <w:rPr>
                <w:rFonts w:cs="Times New Roman" w:hint="eastAsia"/>
                <w:sz w:val="24"/>
                <w:szCs w:val="24"/>
                <w:lang w:val="en-US" w:eastAsia="zh-CN"/>
              </w:rPr>
              <w:t>于</w:t>
            </w:r>
            <w:r>
              <w:rPr>
                <w:rFonts w:ascii="Times New Roman" w:eastAsia="宋体" w:cs="Times New Roman" w:hAnsi="Times New Roman" w:hint="eastAsia"/>
                <w:sz w:val="24"/>
                <w:szCs w:val="24"/>
                <w:lang w:val="en-US" w:eastAsia="zh-CN"/>
              </w:rPr>
              <w:t>遂宁市大英县蓬莱镇南华路</w:t>
            </w:r>
            <w:r>
              <w:rPr>
                <w:rFonts w:ascii="Times New Roman" w:eastAsia="宋体" w:cs="Times New Roman" w:hAnsi="Times New Roman"/>
                <w:sz w:val="24"/>
                <w:szCs w:val="24"/>
                <w:lang w:val="en-US" w:eastAsia="zh-CN"/>
              </w:rPr>
              <w:t>，</w:t>
            </w:r>
            <w:r>
              <w:rPr>
                <w:rFonts w:cs="Times New Roman" w:hint="eastAsia"/>
                <w:sz w:val="24"/>
                <w:szCs w:val="24"/>
                <w:lang w:val="en-US" w:eastAsia="zh-CN"/>
              </w:rPr>
              <w:t>不</w:t>
            </w:r>
            <w:r>
              <w:rPr>
                <w:rFonts w:ascii="Times New Roman" w:eastAsia="宋体" w:cs="Times New Roman" w:hAnsi="Times New Roman"/>
                <w:sz w:val="24"/>
                <w:szCs w:val="24"/>
                <w:lang w:val="en-US" w:eastAsia="zh-CN"/>
              </w:rPr>
              <w:t>新增用地</w:t>
            </w:r>
            <w:r>
              <w:rPr>
                <w:rFonts w:cs="Times New Roman" w:hint="eastAsia"/>
                <w:sz w:val="24"/>
                <w:szCs w:val="24"/>
                <w:lang w:val="en-US" w:eastAsia="zh-CN"/>
              </w:rPr>
              <w:t>（租赁</w:t>
            </w:r>
            <w:r>
              <w:rPr>
                <w:rFonts w:ascii="Times New Roman" w:eastAsia="宋体" w:cs="Times New Roman" w:hAnsi="Times New Roman" w:hint="eastAsia"/>
                <w:sz w:val="24"/>
                <w:szCs w:val="24"/>
                <w:lang w:val="en-US" w:eastAsia="zh-CN"/>
              </w:rPr>
              <w:t>大英县嘉泰城市建设投资开发有限责任公司</w:t>
            </w:r>
            <w:r>
              <w:rPr>
                <w:rFonts w:cs="Times New Roman" w:hint="eastAsia"/>
                <w:sz w:val="24"/>
                <w:szCs w:val="24"/>
                <w:lang w:val="en-US" w:eastAsia="zh-CN"/>
              </w:rPr>
              <w:t>已建厂房建设）</w:t>
            </w:r>
            <w:r>
              <w:rPr>
                <w:rFonts w:ascii="Times New Roman" w:eastAsia="宋体" w:cs="Times New Roman" w:hAnsi="Times New Roman"/>
                <w:sz w:val="24"/>
                <w:szCs w:val="24"/>
                <w:lang w:val="en-US" w:eastAsia="zh-CN"/>
              </w:rPr>
              <w:t>且用地范围内无生态环境保护目标存在</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因此</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可不进行生态现状调查。</w:t>
            </w:r>
          </w:p>
          <w:p>
            <w:pPr>
              <w:numPr>
                <w:ilvl w:val="0"/>
                <w:numId w:val="38"/>
              </w:numPr>
              <w:bidi w:val="0"/>
              <w:spacing w:line="360" w:lineRule="auto"/>
              <w:ind w:left="0" w:firstLineChars="200" w:firstLine="480"/>
              <w:rPr>
                <w:rFonts w:ascii="Times New Roman" w:eastAsia="宋体" w:cs="Times New Roman" w:hAnsi="Times New Roman"/>
                <w:b/>
                <w:bCs/>
                <w:sz w:val="24"/>
                <w:szCs w:val="24"/>
                <w:lang w:eastAsia="zh-CN"/>
              </w:rPr>
            </w:pPr>
            <w:r>
              <w:rPr>
                <w:rFonts w:ascii="Times New Roman" w:eastAsia="宋体" w:cs="Times New Roman" w:hAnsi="Times New Roman"/>
                <w:b/>
                <w:bCs/>
                <w:sz w:val="24"/>
                <w:szCs w:val="24"/>
                <w:lang w:val="en-US" w:eastAsia="zh-CN"/>
              </w:rPr>
              <w:t>地下水、土壤环境</w:t>
            </w:r>
          </w:p>
          <w:p>
            <w:pPr>
              <w:bidi w:val="0"/>
              <w:spacing w:line="360" w:lineRule="auto"/>
              <w:ind w:left="0" w:firstLineChars="200" w:firstLine="480"/>
              <w:rPr>
                <w:rFonts w:ascii="Times New Roman" w:eastAsia="宋体" w:cs="Times New Roman" w:hAnsi="Times New Roman"/>
                <w:color w:val="auto"/>
                <w:sz w:val="24"/>
                <w:szCs w:val="24"/>
                <w:lang w:eastAsia="zh-CN"/>
              </w:rPr>
            </w:pPr>
            <w:r>
              <w:rPr>
                <w:rFonts w:ascii="Times New Roman" w:eastAsia="宋体" w:cs="Times New Roman" w:hAnsi="Times New Roman"/>
                <w:sz w:val="24"/>
                <w:szCs w:val="24"/>
                <w:lang w:val="en-US" w:eastAsia="zh-CN"/>
              </w:rPr>
              <w:t>本项目</w:t>
            </w:r>
            <w:r>
              <w:rPr>
                <w:rFonts w:cs="Times New Roman" w:hint="eastAsia"/>
                <w:sz w:val="24"/>
                <w:szCs w:val="24"/>
                <w:lang w:val="en-US" w:eastAsia="zh-CN"/>
              </w:rPr>
              <w:t>租赁</w:t>
            </w:r>
            <w:r>
              <w:rPr>
                <w:rFonts w:ascii="Times New Roman" w:eastAsia="宋体" w:cs="Times New Roman" w:hAnsi="Times New Roman"/>
                <w:color w:val="auto"/>
                <w:sz w:val="24"/>
                <w:szCs w:val="24"/>
                <w:lang w:val="en-US" w:eastAsia="zh-CN"/>
              </w:rPr>
              <w:t>厂房</w:t>
            </w:r>
            <w:r>
              <w:rPr>
                <w:rFonts w:ascii="Times New Roman" w:eastAsia="宋体" w:cs="Times New Roman" w:hAnsi="Times New Roman" w:hint="eastAsia"/>
                <w:color w:val="auto"/>
                <w:sz w:val="24"/>
                <w:szCs w:val="24"/>
                <w:lang w:val="en-US" w:eastAsia="zh-CN"/>
              </w:rPr>
              <w:t>的</w:t>
            </w:r>
            <w:r>
              <w:rPr>
                <w:rFonts w:ascii="Times New Roman" w:eastAsia="宋体" w:cs="Times New Roman" w:hAnsi="Times New Roman"/>
                <w:color w:val="auto"/>
                <w:sz w:val="24"/>
                <w:szCs w:val="24"/>
                <w:lang w:val="en-US" w:eastAsia="zh-CN"/>
              </w:rPr>
              <w:t>第三层</w:t>
            </w:r>
            <w:r>
              <w:rPr>
                <w:rFonts w:cs="Times New Roman" w:hint="eastAsia"/>
                <w:sz w:val="24"/>
                <w:szCs w:val="24"/>
                <w:lang w:val="en-US" w:eastAsia="zh-CN"/>
              </w:rPr>
              <w:t>，</w:t>
            </w:r>
            <w:r>
              <w:rPr>
                <w:rFonts w:ascii="Times New Roman" w:eastAsia="宋体" w:cs="Times New Roman" w:hAnsi="Times New Roman"/>
                <w:sz w:val="24"/>
                <w:szCs w:val="24"/>
                <w:lang w:val="en-US" w:eastAsia="zh-CN"/>
              </w:rPr>
              <w:t>车间内部均进行了地面硬化</w:t>
            </w:r>
            <w:r>
              <w:rPr>
                <w:rFonts w:cs="Times New Roman" w:hint="eastAsia"/>
                <w:sz w:val="24"/>
                <w:szCs w:val="24"/>
                <w:lang w:val="en-US" w:eastAsia="zh-CN"/>
              </w:rPr>
              <w:t>处理；根据项目工程分析，运营期不存在明显土壤、地下水环境污染途径，同时对车间内部采取分区防渗措施，因此未开展地下水和土壤现状监测</w:t>
            </w:r>
            <w:r>
              <w:rPr>
                <w:rFonts w:ascii="Times New Roman" w:eastAsia="宋体" w:cs="Times New Roman" w:hAnsi="Times New Roman"/>
                <w:color w:val="auto"/>
                <w:sz w:val="24"/>
                <w:szCs w:val="24"/>
                <w:lang w:val="en-US" w:eastAsia="zh-CN"/>
              </w:rPr>
              <w:t>。</w:t>
            </w:r>
          </w:p>
        </w:tc>
      </w:tr>
      <w:tr>
        <w:trPr>
          <w:trHeight w:val="93"/>
        </w:trPr>
        <w:tc>
          <w:tcPr>
            <w:tcW w:w="532"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环境保护目标</w:t>
            </w:r>
          </w:p>
        </w:tc>
        <w:tc>
          <w:tcPr>
            <w:tcW w:w="4467" w:type="pct"/>
            <w:tcBorders>
              <w:top w:val="single" w:sz="4" w:space="0" w:color="auto"/>
              <w:left w:val="single" w:sz="4" w:space="0" w:color="auto"/>
              <w:right w:val="single" w:sz="4" w:space="0" w:color="auto"/>
            </w:tcBorders>
            <w:noWrap/>
            <w:vAlign w:val="center"/>
          </w:tcPr>
          <w:p>
            <w:pPr>
              <w:bidi w:val="0"/>
              <w:spacing w:line="360" w:lineRule="auto"/>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主要环境保护目标（列出名单及保护级别</w:t>
            </w:r>
            <w:r>
              <w:rPr>
                <w:rFonts w:cs="Times New Roman" w:hint="eastAsia"/>
                <w:b/>
                <w:bCs/>
                <w:color w:val="auto"/>
                <w:sz w:val="24"/>
                <w:szCs w:val="24"/>
                <w:lang w:val="en-US" w:eastAsia="zh-CN"/>
              </w:rPr>
              <w:t>）</w:t>
            </w:r>
          </w:p>
          <w:p>
            <w:pPr>
              <w:bidi w:val="0"/>
              <w:spacing w:line="360" w:lineRule="auto"/>
              <w:ind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根据本项目排污特点和外环境现状特征，确定环境保护目标为：</w:t>
            </w:r>
          </w:p>
          <w:p>
            <w:pPr>
              <w:numPr>
                <w:ilvl w:val="0"/>
                <w:numId w:val="42"/>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大气环境保护目标</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bidi w:val="0"/>
              <w:spacing w:line="360" w:lineRule="auto"/>
              <w:jc w:val="center"/>
              <w:rPr>
                <w:rFonts w:cs="Times New Roman" w:hint="eastAsia"/>
                <w:b/>
                <w:bCs/>
                <w:color w:val="auto"/>
                <w:sz w:val="21"/>
                <w:szCs w:val="21"/>
                <w:lang w:val="en-US" w:eastAsia="zh-CN"/>
              </w:rPr>
            </w:pPr>
            <w:r>
              <w:rPr>
                <w:rFonts w:cs="Times New Roman" w:hint="eastAsia"/>
                <w:b/>
                <w:bCs/>
                <w:color w:val="auto"/>
                <w:sz w:val="21"/>
                <w:szCs w:val="21"/>
                <w:lang w:val="en-US" w:eastAsia="zh-CN"/>
              </w:rPr>
              <w:t>表3-6 项目环境敏感保护目标</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1"/>
              <w:gridCol w:w="656"/>
              <w:gridCol w:w="1544"/>
              <w:gridCol w:w="1071"/>
              <w:gridCol w:w="1071"/>
              <w:gridCol w:w="699"/>
              <w:gridCol w:w="750"/>
              <w:gridCol w:w="716"/>
              <w:gridCol w:w="1154"/>
            </w:tblGrid>
            <w:tr>
              <w:trPr>
                <w:trHeight w:val="307"/>
              </w:trPr>
              <w:tc>
                <w:tcPr>
                  <w:tcW w:w="419" w:type="pct"/>
                  <w:vMerge w:val="restart"/>
                  <w:noWrap/>
                  <w:vAlign w:val="center"/>
                </w:tcPr>
                <w:p>
                  <w:pPr>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rPr>
                    <w:t>类别</w:t>
                  </w:r>
                </w:p>
              </w:tc>
              <w:tc>
                <w:tcPr>
                  <w:tcW w:w="392" w:type="pct"/>
                  <w:vMerge w:val="restart"/>
                  <w:noWrap/>
                  <w:vAlign w:val="center"/>
                </w:tcPr>
                <w:p>
                  <w:pPr>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rPr>
                    <w:t>序号</w:t>
                  </w:r>
                </w:p>
              </w:tc>
              <w:tc>
                <w:tcPr>
                  <w:tcW w:w="923" w:type="pct"/>
                  <w:vMerge w:val="restart"/>
                  <w:noWrap/>
                  <w:vAlign w:val="center"/>
                </w:tcPr>
                <w:p>
                  <w:pPr>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rPr>
                    <w:t>敏感目标名称</w:t>
                  </w:r>
                </w:p>
              </w:tc>
              <w:tc>
                <w:tcPr>
                  <w:tcW w:w="1280" w:type="pct"/>
                  <w:gridSpan w:val="2"/>
                  <w:noWrap/>
                  <w:vAlign w:val="center"/>
                </w:tcPr>
                <w:p>
                  <w:pPr>
                    <w:pStyle w:val="59"/>
                    <w:spacing w:line="240" w:lineRule="auto"/>
                    <w:ind w:left="0" w:firstLine="0"/>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highlight w:val="auto"/>
                    </w:rPr>
                    <w:t>坐标</w:t>
                  </w:r>
                </w:p>
              </w:tc>
              <w:tc>
                <w:tcPr>
                  <w:tcW w:w="418" w:type="pct"/>
                  <w:vMerge w:val="restart"/>
                  <w:noWrap/>
                  <w:vAlign w:val="center"/>
                </w:tcPr>
                <w:p>
                  <w:pPr>
                    <w:spacing w:line="240" w:lineRule="auto"/>
                    <w:jc w:val="center"/>
                    <w:rPr>
                      <w:rFonts w:ascii="Times New Roman" w:eastAsia="宋体" w:cs="Times New Roman" w:hAnsi="Times New Roman"/>
                      <w:b/>
                      <w:bCs/>
                      <w:color w:val="auto"/>
                      <w:sz w:val="21"/>
                      <w:szCs w:val="21"/>
                    </w:rPr>
                  </w:pPr>
                  <w:r>
                    <w:rPr>
                      <w:rFonts w:ascii="Times New Roman" w:eastAsia="宋体" w:cs="Times New Roman" w:hAnsi="Times New Roman"/>
                      <w:b/>
                      <w:bCs/>
                      <w:color w:val="auto"/>
                      <w:sz w:val="21"/>
                      <w:szCs w:val="21"/>
                    </w:rPr>
                    <w:t>相对方位</w:t>
                  </w:r>
                </w:p>
              </w:tc>
              <w:tc>
                <w:tcPr>
                  <w:tcW w:w="448" w:type="pct"/>
                  <w:vMerge w:val="restart"/>
                  <w:noWrap/>
                  <w:vAlign w:val="center"/>
                </w:tcPr>
                <w:p>
                  <w:pPr>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b/>
                      <w:bCs/>
                      <w:color w:val="auto"/>
                      <w:sz w:val="21"/>
                      <w:szCs w:val="21"/>
                    </w:rPr>
                    <w:t>距离</w:t>
                  </w:r>
                </w:p>
              </w:tc>
              <w:tc>
                <w:tcPr>
                  <w:tcW w:w="428" w:type="pct"/>
                  <w:vMerge w:val="restart"/>
                  <w:noWrap/>
                  <w:vAlign w:val="center"/>
                </w:tcPr>
                <w:p>
                  <w:pPr>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rPr>
                    <w:t>属性</w:t>
                  </w:r>
                </w:p>
              </w:tc>
              <w:tc>
                <w:tcPr>
                  <w:tcW w:w="690" w:type="pct"/>
                  <w:vMerge w:val="restart"/>
                  <w:noWrap/>
                  <w:vAlign w:val="center"/>
                </w:tcPr>
                <w:p>
                  <w:pPr>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rPr>
                    <w:t>人口数</w:t>
                  </w:r>
                </w:p>
              </w:tc>
            </w:tr>
            <w:tr>
              <w:trPr>
                <w:trHeight w:val="307"/>
              </w:trPr>
              <w:tc>
                <w:tcPr>
                  <w:tcW w:w="419" w:type="pct"/>
                  <w:vMerge/>
                  <w:tcBorders>
                    <w:top w:val="single" w:sz="4" w:space="0" w:color="auto"/>
                    <w:left w:val="single" w:sz="4" w:space="0" w:color="auto"/>
                    <w:right w:val="single" w:sz="4" w:space="0" w:color="auto"/>
                  </w:tcBorders>
                  <w:noWrap/>
                  <w:vAlign w:val="center"/>
                </w:tcPr>
                <w:p/>
              </w:tc>
              <w:tc>
                <w:tcPr>
                  <w:tcW w:w="392" w:type="pct"/>
                  <w:vMerge/>
                  <w:tcBorders>
                    <w:top w:val="single" w:sz="4" w:space="0" w:color="auto"/>
                    <w:left w:val="single" w:sz="4" w:space="0" w:color="auto"/>
                    <w:right w:val="single" w:sz="4" w:space="0" w:color="auto"/>
                  </w:tcBorders>
                  <w:noWrap/>
                  <w:vAlign w:val="center"/>
                </w:tcPr>
                <w:p/>
              </w:tc>
              <w:tc>
                <w:tcPr>
                  <w:tcW w:w="923" w:type="pct"/>
                  <w:vMerge/>
                  <w:tcBorders>
                    <w:top w:val="single" w:sz="4" w:space="0" w:color="auto"/>
                    <w:left w:val="single" w:sz="4" w:space="0" w:color="auto"/>
                    <w:right w:val="single" w:sz="4" w:space="0" w:color="auto"/>
                  </w:tcBorders>
                  <w:noWrap/>
                  <w:vAlign w:val="center"/>
                </w:tcPr>
                <w:p/>
              </w:tc>
              <w:tc>
                <w:tcPr>
                  <w:tcW w:w="640" w:type="pct"/>
                  <w:tcBorders>
                    <w:top w:val="single" w:sz="4" w:space="0" w:color="auto"/>
                    <w:left w:val="single" w:sz="4" w:space="0" w:color="auto"/>
                    <w:right w:val="single" w:sz="4" w:space="0" w:color="auto"/>
                  </w:tcBorders>
                  <w:noWrap/>
                  <w:vAlign w:val="center"/>
                </w:tcPr>
                <w:p>
                  <w:pPr>
                    <w:pStyle w:val="59"/>
                    <w:spacing w:line="240" w:lineRule="auto"/>
                    <w:ind w:left="0" w:firstLine="0"/>
                    <w:jc w:val="center"/>
                    <w:rPr>
                      <w:rFonts w:ascii="Times New Roman" w:eastAsia="宋体" w:cs="Times New Roman" w:hAnsi="Times New Roman"/>
                      <w:sz w:val="21"/>
                      <w:szCs w:val="21"/>
                    </w:rPr>
                  </w:pPr>
                  <w:r>
                    <w:rPr>
                      <w:rFonts w:ascii="Times New Roman" w:eastAsia="宋体" w:cs="Times New Roman" w:hAnsi="Times New Roman"/>
                      <w:color w:val="auto"/>
                      <w:sz w:val="21"/>
                      <w:szCs w:val="21"/>
                      <w:highlight w:val="auto"/>
                    </w:rPr>
                    <w:t>X</w:t>
                  </w:r>
                </w:p>
              </w:tc>
              <w:tc>
                <w:tcPr>
                  <w:tcW w:w="640" w:type="pct"/>
                  <w:tcBorders>
                    <w:top w:val="single" w:sz="4" w:space="0" w:color="auto"/>
                    <w:left w:val="single" w:sz="4" w:space="0" w:color="auto"/>
                    <w:right w:val="single" w:sz="4" w:space="0" w:color="auto"/>
                  </w:tcBorders>
                  <w:noWrap/>
                  <w:vAlign w:val="center"/>
                </w:tcPr>
                <w:p>
                  <w:pPr>
                    <w:pStyle w:val="59"/>
                    <w:spacing w:line="240" w:lineRule="auto"/>
                    <w:ind w:left="0" w:firstLine="0"/>
                    <w:jc w:val="center"/>
                    <w:rPr>
                      <w:rFonts w:ascii="Times New Roman" w:eastAsia="宋体" w:cs="Times New Roman" w:hAnsi="Times New Roman"/>
                      <w:sz w:val="21"/>
                      <w:szCs w:val="21"/>
                    </w:rPr>
                  </w:pPr>
                  <w:r>
                    <w:rPr>
                      <w:rFonts w:ascii="Times New Roman" w:eastAsia="宋体" w:cs="Times New Roman" w:hAnsi="Times New Roman"/>
                      <w:color w:val="auto"/>
                      <w:sz w:val="21"/>
                      <w:szCs w:val="21"/>
                      <w:highlight w:val="auto"/>
                    </w:rPr>
                    <w:t>Y</w:t>
                  </w:r>
                </w:p>
              </w:tc>
              <w:tc>
                <w:tcPr>
                  <w:tcW w:w="418" w:type="pct"/>
                  <w:vMerge/>
                  <w:tcBorders>
                    <w:top w:val="single" w:sz="4" w:space="0" w:color="auto"/>
                    <w:left w:val="single" w:sz="4" w:space="0" w:color="auto"/>
                    <w:right w:val="single" w:sz="4" w:space="0" w:color="auto"/>
                  </w:tcBorders>
                  <w:noWrap/>
                  <w:vAlign w:val="center"/>
                </w:tcPr>
                <w:p/>
              </w:tc>
              <w:tc>
                <w:tcPr>
                  <w:tcW w:w="448" w:type="pct"/>
                  <w:vMerge/>
                  <w:tcBorders>
                    <w:top w:val="single" w:sz="4" w:space="0" w:color="auto"/>
                    <w:left w:val="single" w:sz="4" w:space="0" w:color="auto"/>
                    <w:right w:val="single" w:sz="4" w:space="0" w:color="auto"/>
                  </w:tcBorders>
                  <w:noWrap/>
                  <w:vAlign w:val="center"/>
                </w:tcPr>
                <w:p/>
              </w:tc>
              <w:tc>
                <w:tcPr>
                  <w:tcW w:w="428" w:type="pct"/>
                  <w:vMerge/>
                  <w:tcBorders>
                    <w:top w:val="single" w:sz="4" w:space="0" w:color="auto"/>
                    <w:left w:val="single" w:sz="4" w:space="0" w:color="auto"/>
                    <w:right w:val="single" w:sz="4" w:space="0" w:color="auto"/>
                  </w:tcBorders>
                  <w:noWrap/>
                  <w:vAlign w:val="center"/>
                </w:tcPr>
                <w:p/>
              </w:tc>
              <w:tc>
                <w:tcPr>
                  <w:tcW w:w="690" w:type="pct"/>
                  <w:vMerge/>
                  <w:tcBorders>
                    <w:top w:val="single" w:sz="4" w:space="0" w:color="auto"/>
                    <w:left w:val="single" w:sz="4" w:space="0" w:color="auto"/>
                    <w:right w:val="single" w:sz="4" w:space="0" w:color="auto"/>
                  </w:tcBorders>
                  <w:noWrap/>
                  <w:vAlign w:val="center"/>
                </w:tcPr>
                <w:p/>
              </w:tc>
            </w:tr>
            <w:tr>
              <w:tc>
                <w:tcPr>
                  <w:tcW w:w="419" w:type="pct"/>
                  <w:vMerge w:val="restar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rPr>
                    <w:t>环境空气</w:t>
                  </w:r>
                </w:p>
              </w:tc>
              <w:tc>
                <w:tcPr>
                  <w:tcW w:w="392" w:type="pct"/>
                  <w:tcBorders>
                    <w:top w:val="single" w:sz="4" w:space="0" w:color="auto"/>
                    <w:left w:val="single" w:sz="4" w:space="0" w:color="auto"/>
                    <w:right w:val="single" w:sz="4" w:space="0" w:color="auto"/>
                  </w:tcBorders>
                  <w:noWrap/>
                  <w:vAlign w:val="center"/>
                </w:tcPr>
                <w:p>
                  <w:pPr>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rPr>
                    <w:t>1</w:t>
                  </w:r>
                </w:p>
              </w:tc>
              <w:tc>
                <w:tcPr>
                  <w:tcW w:w="923"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val="0"/>
                      <w:color w:val="auto"/>
                      <w:sz w:val="21"/>
                      <w:szCs w:val="21"/>
                      <w:lang w:val="en-US" w:eastAsia="zh-CN"/>
                    </w:rPr>
                    <w:t>蓬莱山水居住小区</w:t>
                  </w:r>
                </w:p>
              </w:tc>
              <w:tc>
                <w:tcPr>
                  <w:tcW w:w="640" w:type="pct"/>
                  <w:tcBorders>
                    <w:top w:val="single" w:sz="4" w:space="0" w:color="auto"/>
                    <w:left w:val="single" w:sz="4" w:space="0" w:color="auto"/>
                    <w:right w:val="single" w:sz="4" w:space="0" w:color="auto"/>
                  </w:tcBorders>
                  <w:noWrap/>
                  <w:vAlign w:val="center"/>
                </w:tcPr>
                <w:p>
                  <w:pPr>
                    <w:pStyle w:val="59"/>
                    <w:spacing w:line="240" w:lineRule="auto"/>
                    <w:ind w:left="0" w:firstLine="0"/>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b w:val="0"/>
                      <w:bCs/>
                      <w:color w:val="auto"/>
                      <w:kern w:val="2"/>
                      <w:sz w:val="21"/>
                      <w:szCs w:val="21"/>
                      <w:lang w:val="en-US" w:eastAsia="zh-CN" w:bidi="ar-SA"/>
                      <w:highlight w:val="auto"/>
                    </w:rPr>
                    <w:t>105°</w:t>
                  </w:r>
                  <w:r>
                    <w:rPr>
                      <w:rFonts w:eastAsia="宋体" w:cs="Times New Roman" w:hint="eastAsia"/>
                      <w:b w:val="0"/>
                      <w:bCs/>
                      <w:color w:val="auto"/>
                      <w:kern w:val="2"/>
                      <w:sz w:val="21"/>
                      <w:szCs w:val="21"/>
                      <w:lang w:val="en-US" w:eastAsia="zh-CN" w:bidi="ar-SA"/>
                      <w:highlight w:val="auto"/>
                    </w:rPr>
                    <w:t>15</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45.064</w:t>
                  </w:r>
                  <w:r>
                    <w:rPr>
                      <w:rFonts w:ascii="Times New Roman" w:eastAsia="宋体" w:cs="Times New Roman" w:hAnsi="Times New Roman"/>
                      <w:b w:val="0"/>
                      <w:bCs/>
                      <w:color w:val="auto"/>
                      <w:kern w:val="2"/>
                      <w:sz w:val="21"/>
                      <w:szCs w:val="21"/>
                      <w:lang w:val="en-US" w:eastAsia="zh-CN" w:bidi="ar-SA"/>
                      <w:highlight w:val="auto"/>
                    </w:rPr>
                    <w:t>″</w:t>
                  </w:r>
                </w:p>
              </w:tc>
              <w:tc>
                <w:tcPr>
                  <w:tcW w:w="640" w:type="pct"/>
                  <w:tcBorders>
                    <w:top w:val="single" w:sz="4" w:space="0" w:color="auto"/>
                    <w:left w:val="single" w:sz="4" w:space="0" w:color="auto"/>
                    <w:right w:val="single" w:sz="4" w:space="0" w:color="auto"/>
                  </w:tcBorders>
                  <w:noWrap/>
                  <w:vAlign w:val="center"/>
                </w:tcPr>
                <w:p>
                  <w:pPr>
                    <w:pStyle w:val="59"/>
                    <w:spacing w:line="240" w:lineRule="auto"/>
                    <w:ind w:left="0" w:firstLine="0"/>
                    <w:jc w:val="center"/>
                    <w:rPr>
                      <w:rFonts w:cs="Times New Roman"/>
                      <w:b w:val="0"/>
                      <w:bCs w:val="0"/>
                      <w:color w:val="auto"/>
                      <w:sz w:val="21"/>
                      <w:szCs w:val="21"/>
                      <w:lang w:val="en-US" w:eastAsia="zh-CN"/>
                    </w:rPr>
                  </w:pPr>
                  <w:r>
                    <w:rPr>
                      <w:rFonts w:ascii="Times New Roman" w:eastAsia="宋体" w:cs="Times New Roman" w:hAnsi="Times New Roman"/>
                      <w:b w:val="0"/>
                      <w:bCs/>
                      <w:color w:val="auto"/>
                      <w:kern w:val="2"/>
                      <w:sz w:val="21"/>
                      <w:szCs w:val="21"/>
                      <w:lang w:val="en-US" w:eastAsia="zh-CN" w:bidi="ar-SA"/>
                      <w:highlight w:val="auto"/>
                    </w:rPr>
                    <w:t>30°</w:t>
                  </w:r>
                  <w:r>
                    <w:rPr>
                      <w:rFonts w:eastAsia="宋体" w:cs="Times New Roman" w:hint="eastAsia"/>
                      <w:b w:val="0"/>
                      <w:bCs/>
                      <w:color w:val="auto"/>
                      <w:kern w:val="2"/>
                      <w:sz w:val="21"/>
                      <w:szCs w:val="21"/>
                      <w:lang w:val="en-US" w:eastAsia="zh-CN" w:bidi="ar-SA"/>
                      <w:highlight w:val="auto"/>
                    </w:rPr>
                    <w:t>34</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54.515</w:t>
                  </w:r>
                  <w:r>
                    <w:rPr>
                      <w:rFonts w:ascii="Times New Roman" w:eastAsia="宋体" w:cs="Times New Roman" w:hAnsi="Times New Roman"/>
                      <w:b w:val="0"/>
                      <w:bCs/>
                      <w:color w:val="auto"/>
                      <w:kern w:val="2"/>
                      <w:sz w:val="21"/>
                      <w:szCs w:val="21"/>
                      <w:lang w:val="en-US" w:eastAsia="zh-CN" w:bidi="ar-SA"/>
                      <w:highlight w:val="auto"/>
                    </w:rPr>
                    <w:t>″</w:t>
                  </w:r>
                </w:p>
              </w:tc>
              <w:tc>
                <w:tcPr>
                  <w:tcW w:w="418" w:type="pct"/>
                  <w:tcBorders>
                    <w:top w:val="single" w:sz="4" w:space="0" w:color="auto"/>
                    <w:left w:val="single" w:sz="4" w:space="0" w:color="auto"/>
                    <w:right w:val="single" w:sz="4" w:space="0" w:color="auto"/>
                  </w:tcBorders>
                  <w:noWrap/>
                  <w:vAlign w:val="center"/>
                </w:tcPr>
                <w:p>
                  <w:pPr>
                    <w:bidi w:val="0"/>
                    <w:spacing w:line="240" w:lineRule="auto"/>
                    <w:jc w:val="center"/>
                    <w:rPr>
                      <w:rFonts w:cs="Times New Roman" w:hint="eastAsia"/>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西北</w:t>
                  </w:r>
                </w:p>
              </w:tc>
              <w:tc>
                <w:tcPr>
                  <w:tcW w:w="448"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cs="Times New Roman" w:hint="eastAsia"/>
                      <w:b w:val="0"/>
                      <w:bCs w:val="0"/>
                      <w:color w:val="auto"/>
                      <w:sz w:val="21"/>
                      <w:szCs w:val="21"/>
                      <w:lang w:val="en-US" w:eastAsia="zh-CN"/>
                    </w:rPr>
                    <w:t>288</w:t>
                  </w:r>
                  <w:r>
                    <w:rPr>
                      <w:rFonts w:ascii="Times New Roman" w:eastAsia="宋体" w:cs="Times New Roman" w:hAnsi="Times New Roman"/>
                      <w:b w:val="0"/>
                      <w:bCs w:val="0"/>
                      <w:sz w:val="21"/>
                      <w:szCs w:val="21"/>
                      <w:vertAlign w:val="baseline"/>
                      <w:lang w:val="en-US" w:eastAsia="zh-CN"/>
                    </w:rPr>
                    <w:t>m</w:t>
                  </w:r>
                </w:p>
              </w:tc>
              <w:tc>
                <w:tcPr>
                  <w:tcW w:w="428"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b w:val="0"/>
                      <w:bCs w:val="0"/>
                      <w:color w:val="auto"/>
                      <w:kern w:val="2"/>
                      <w:sz w:val="21"/>
                      <w:szCs w:val="21"/>
                      <w:vertAlign w:val="baseline"/>
                      <w:lang w:val="en-US" w:eastAsia="zh-CN" w:bidi="ar-SA"/>
                    </w:rPr>
                  </w:pPr>
                  <w:r>
                    <w:rPr>
                      <w:rFonts w:cs="Times New Roman" w:hint="eastAsia"/>
                      <w:b w:val="0"/>
                      <w:bCs w:val="0"/>
                      <w:sz w:val="21"/>
                      <w:szCs w:val="21"/>
                      <w:vertAlign w:val="baseline"/>
                      <w:lang w:val="en-US" w:eastAsia="zh-CN"/>
                    </w:rPr>
                    <w:t>居民</w:t>
                  </w:r>
                </w:p>
              </w:tc>
              <w:tc>
                <w:tcPr>
                  <w:tcW w:w="690"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vertAlign w:val="baseline"/>
                      <w:lang w:val="en-US" w:eastAsia="zh-CN"/>
                    </w:rPr>
                  </w:pPr>
                  <w:r>
                    <w:rPr>
                      <w:rFonts w:cs="Times New Roman" w:hint="eastAsia"/>
                      <w:b w:val="0"/>
                      <w:bCs w:val="0"/>
                      <w:sz w:val="21"/>
                      <w:szCs w:val="21"/>
                      <w:vertAlign w:val="baseline"/>
                      <w:lang w:val="en-US" w:eastAsia="zh-CN"/>
                    </w:rPr>
                    <w:t>约600人</w:t>
                  </w:r>
                </w:p>
              </w:tc>
            </w:tr>
            <w:tr>
              <w:trPr>
                <w:trHeight w:val="75"/>
              </w:trPr>
              <w:tc>
                <w:tcPr>
                  <w:tcW w:w="419" w:type="pct"/>
                  <w:vMerge/>
                  <w:tcBorders>
                    <w:top w:val="single" w:sz="4" w:space="0" w:color="auto"/>
                    <w:left w:val="single" w:sz="4" w:space="0" w:color="auto"/>
                    <w:right w:val="single" w:sz="4" w:space="0" w:color="auto"/>
                  </w:tcBorders>
                  <w:noWrap/>
                  <w:vAlign w:val="center"/>
                </w:tcPr>
                <w:p/>
              </w:tc>
              <w:tc>
                <w:tcPr>
                  <w:tcW w:w="392"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cs="Times New Roman" w:hint="eastAsia"/>
                      <w:b w:val="0"/>
                      <w:bCs w:val="0"/>
                      <w:color w:val="auto"/>
                      <w:sz w:val="21"/>
                      <w:szCs w:val="21"/>
                      <w:lang w:val="en-US" w:eastAsia="zh-CN"/>
                    </w:rPr>
                    <w:t>2</w:t>
                  </w:r>
                </w:p>
              </w:tc>
              <w:tc>
                <w:tcPr>
                  <w:tcW w:w="923"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rPr>
                  </w:pPr>
                  <w:r>
                    <w:rPr>
                      <w:rFonts w:ascii="Times New Roman" w:eastAsia="宋体" w:cs="Times New Roman" w:hAnsi="Times New Roman"/>
                      <w:b w:val="0"/>
                      <w:bCs w:val="0"/>
                      <w:color w:val="auto"/>
                      <w:sz w:val="21"/>
                      <w:szCs w:val="21"/>
                      <w:lang w:val="en-US" w:eastAsia="zh-CN"/>
                    </w:rPr>
                    <w:t>杉荷锦城居住小区</w:t>
                  </w:r>
                </w:p>
              </w:tc>
              <w:tc>
                <w:tcPr>
                  <w:tcW w:w="640" w:type="pct"/>
                  <w:tcBorders>
                    <w:top w:val="single" w:sz="4" w:space="0" w:color="auto"/>
                    <w:left w:val="single" w:sz="4" w:space="0" w:color="auto"/>
                    <w:right w:val="single" w:sz="4" w:space="0" w:color="auto"/>
                  </w:tcBorders>
                  <w:noWrap/>
                  <w:vAlign w:val="center"/>
                </w:tcPr>
                <w:p>
                  <w:pPr>
                    <w:pStyle w:val="59"/>
                    <w:spacing w:line="240" w:lineRule="auto"/>
                    <w:ind w:left="0" w:firstLine="0"/>
                    <w:jc w:val="center"/>
                    <w:rPr>
                      <w:rFonts w:ascii="Times New Roman" w:eastAsia="宋体" w:cs="Times New Roman" w:hAnsi="Times New Roman"/>
                      <w:b w:val="0"/>
                      <w:bCs w:val="0"/>
                      <w:color w:val="auto"/>
                      <w:sz w:val="21"/>
                      <w:szCs w:val="21"/>
                    </w:rPr>
                  </w:pPr>
                  <w:r>
                    <w:rPr>
                      <w:rFonts w:ascii="Times New Roman" w:eastAsia="宋体" w:cs="Times New Roman" w:hAnsi="Times New Roman"/>
                      <w:b w:val="0"/>
                      <w:bCs/>
                      <w:color w:val="auto"/>
                      <w:kern w:val="2"/>
                      <w:sz w:val="21"/>
                      <w:szCs w:val="21"/>
                      <w:lang w:val="en-US" w:eastAsia="zh-CN" w:bidi="ar-SA"/>
                      <w:highlight w:val="auto"/>
                    </w:rPr>
                    <w:t>105°</w:t>
                  </w:r>
                  <w:r>
                    <w:rPr>
                      <w:rFonts w:eastAsia="宋体" w:cs="Times New Roman" w:hint="eastAsia"/>
                      <w:b w:val="0"/>
                      <w:bCs/>
                      <w:color w:val="auto"/>
                      <w:kern w:val="2"/>
                      <w:sz w:val="21"/>
                      <w:szCs w:val="21"/>
                      <w:lang w:val="en-US" w:eastAsia="zh-CN" w:bidi="ar-SA"/>
                      <w:highlight w:val="auto"/>
                    </w:rPr>
                    <w:t>15</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40.767</w:t>
                  </w:r>
                  <w:r>
                    <w:rPr>
                      <w:rFonts w:ascii="Times New Roman" w:eastAsia="宋体" w:cs="Times New Roman" w:hAnsi="Times New Roman"/>
                      <w:b w:val="0"/>
                      <w:bCs/>
                      <w:color w:val="auto"/>
                      <w:kern w:val="2"/>
                      <w:sz w:val="21"/>
                      <w:szCs w:val="21"/>
                      <w:lang w:val="en-US" w:eastAsia="zh-CN" w:bidi="ar-SA"/>
                      <w:highlight w:val="auto"/>
                    </w:rPr>
                    <w:t>″</w:t>
                  </w:r>
                </w:p>
              </w:tc>
              <w:tc>
                <w:tcPr>
                  <w:tcW w:w="640" w:type="pct"/>
                  <w:tcBorders>
                    <w:top w:val="single" w:sz="4" w:space="0" w:color="auto"/>
                    <w:left w:val="single" w:sz="4" w:space="0" w:color="auto"/>
                    <w:right w:val="single" w:sz="4" w:space="0" w:color="auto"/>
                  </w:tcBorders>
                  <w:noWrap/>
                  <w:vAlign w:val="center"/>
                </w:tcPr>
                <w:p>
                  <w:pPr>
                    <w:pStyle w:val="59"/>
                    <w:spacing w:line="240" w:lineRule="auto"/>
                    <w:ind w:left="0" w:firstLine="0"/>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color w:val="auto"/>
                      <w:kern w:val="2"/>
                      <w:sz w:val="21"/>
                      <w:szCs w:val="21"/>
                      <w:lang w:val="en-US" w:eastAsia="zh-CN" w:bidi="ar-SA"/>
                      <w:highlight w:val="auto"/>
                    </w:rPr>
                    <w:t>30°</w:t>
                  </w:r>
                  <w:r>
                    <w:rPr>
                      <w:rFonts w:eastAsia="宋体" w:cs="Times New Roman" w:hint="eastAsia"/>
                      <w:b w:val="0"/>
                      <w:bCs/>
                      <w:color w:val="auto"/>
                      <w:kern w:val="2"/>
                      <w:sz w:val="21"/>
                      <w:szCs w:val="21"/>
                      <w:lang w:val="en-US" w:eastAsia="zh-CN" w:bidi="ar-SA"/>
                      <w:highlight w:val="auto"/>
                    </w:rPr>
                    <w:t>34</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43.766</w:t>
                  </w:r>
                  <w:r>
                    <w:rPr>
                      <w:rFonts w:ascii="Times New Roman" w:eastAsia="宋体" w:cs="Times New Roman" w:hAnsi="Times New Roman"/>
                      <w:b w:val="0"/>
                      <w:bCs/>
                      <w:color w:val="auto"/>
                      <w:kern w:val="2"/>
                      <w:sz w:val="21"/>
                      <w:szCs w:val="21"/>
                      <w:lang w:val="en-US" w:eastAsia="zh-CN" w:bidi="ar-SA"/>
                      <w:highlight w:val="auto"/>
                    </w:rPr>
                    <w:t>″</w:t>
                  </w:r>
                </w:p>
              </w:tc>
              <w:tc>
                <w:tcPr>
                  <w:tcW w:w="418"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西</w:t>
                  </w:r>
                </w:p>
              </w:tc>
              <w:tc>
                <w:tcPr>
                  <w:tcW w:w="448"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rPr>
                  </w:pPr>
                  <w:r>
                    <w:rPr>
                      <w:rFonts w:cs="Times New Roman" w:hint="eastAsia"/>
                      <w:b w:val="0"/>
                      <w:bCs w:val="0"/>
                      <w:sz w:val="21"/>
                      <w:szCs w:val="21"/>
                      <w:vertAlign w:val="baseline"/>
                      <w:lang w:val="en-US" w:eastAsia="zh-CN"/>
                    </w:rPr>
                    <w:t>184</w:t>
                  </w:r>
                  <w:r>
                    <w:rPr>
                      <w:rFonts w:ascii="Times New Roman" w:eastAsia="宋体" w:cs="Times New Roman" w:hAnsi="Times New Roman"/>
                      <w:b w:val="0"/>
                      <w:bCs w:val="0"/>
                      <w:sz w:val="21"/>
                      <w:szCs w:val="21"/>
                      <w:vertAlign w:val="baseline"/>
                      <w:lang w:val="en-US" w:eastAsia="zh-CN"/>
                    </w:rPr>
                    <w:t>m</w:t>
                  </w:r>
                </w:p>
              </w:tc>
              <w:tc>
                <w:tcPr>
                  <w:tcW w:w="428"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rPr>
                  </w:pPr>
                  <w:r>
                    <w:rPr>
                      <w:rFonts w:cs="Times New Roman" w:hint="eastAsia"/>
                      <w:b w:val="0"/>
                      <w:bCs w:val="0"/>
                      <w:sz w:val="21"/>
                      <w:szCs w:val="21"/>
                      <w:vertAlign w:val="baseline"/>
                      <w:lang w:val="en-US" w:eastAsia="zh-CN"/>
                    </w:rPr>
                    <w:t>居民</w:t>
                  </w:r>
                </w:p>
              </w:tc>
              <w:tc>
                <w:tcPr>
                  <w:tcW w:w="690"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kern w:val="2"/>
                      <w:sz w:val="21"/>
                      <w:szCs w:val="21"/>
                      <w:vertAlign w:val="baseline"/>
                      <w:lang w:val="en-US" w:eastAsia="zh-CN" w:bidi="ar-SA"/>
                    </w:rPr>
                  </w:pPr>
                  <w:r>
                    <w:rPr>
                      <w:rFonts w:cs="Times New Roman" w:hint="eastAsia"/>
                      <w:b w:val="0"/>
                      <w:bCs w:val="0"/>
                      <w:sz w:val="21"/>
                      <w:szCs w:val="21"/>
                      <w:vertAlign w:val="baseline"/>
                      <w:lang w:val="en-US" w:eastAsia="zh-CN"/>
                    </w:rPr>
                    <w:t>约800人</w:t>
                  </w:r>
                </w:p>
              </w:tc>
            </w:tr>
            <w:tr>
              <w:trPr>
                <w:trHeight w:val="75"/>
              </w:trPr>
              <w:tc>
                <w:tcPr>
                  <w:tcW w:w="419" w:type="pct"/>
                  <w:vMerge/>
                  <w:tcBorders>
                    <w:top w:val="single" w:sz="4" w:space="0" w:color="auto"/>
                    <w:left w:val="single" w:sz="4" w:space="0" w:color="auto"/>
                    <w:right w:val="single" w:sz="4" w:space="0" w:color="auto"/>
                  </w:tcBorders>
                  <w:noWrap/>
                  <w:vAlign w:val="center"/>
                </w:tcPr>
                <w:p/>
              </w:tc>
              <w:tc>
                <w:tcPr>
                  <w:tcW w:w="392" w:type="pct"/>
                  <w:tcBorders>
                    <w:top w:val="single" w:sz="4" w:space="0" w:color="auto"/>
                    <w:left w:val="single" w:sz="4" w:space="0" w:color="auto"/>
                    <w:right w:val="single" w:sz="4" w:space="0" w:color="auto"/>
                  </w:tcBorders>
                  <w:noWrap/>
                  <w:vAlign w:val="center"/>
                </w:tcPr>
                <w:p>
                  <w:pPr>
                    <w:bidi w:val="0"/>
                    <w:spacing w:line="240" w:lineRule="auto"/>
                    <w:jc w:val="center"/>
                    <w:rPr>
                      <w:rFonts w:cs="Times New Roman"/>
                      <w:b w:val="0"/>
                      <w:bCs w:val="0"/>
                      <w:color w:val="auto"/>
                      <w:sz w:val="21"/>
                      <w:szCs w:val="21"/>
                      <w:lang w:val="en-US" w:eastAsia="zh-CN"/>
                    </w:rPr>
                  </w:pPr>
                  <w:r>
                    <w:rPr>
                      <w:rFonts w:cs="Times New Roman" w:hint="eastAsia"/>
                      <w:b w:val="0"/>
                      <w:bCs w:val="0"/>
                      <w:color w:val="auto"/>
                      <w:sz w:val="21"/>
                      <w:szCs w:val="21"/>
                      <w:lang w:val="en-US" w:eastAsia="zh-CN"/>
                    </w:rPr>
                    <w:t>3</w:t>
                  </w:r>
                </w:p>
              </w:tc>
              <w:tc>
                <w:tcPr>
                  <w:tcW w:w="923"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hint="eastAsia"/>
                      <w:b w:val="0"/>
                      <w:bCs w:val="0"/>
                      <w:kern w:val="2"/>
                      <w:sz w:val="21"/>
                      <w:szCs w:val="21"/>
                      <w:vertAlign w:val="baseline"/>
                      <w:lang w:val="en-US" w:eastAsia="zh-CN" w:bidi="ar-SA"/>
                    </w:rPr>
                  </w:pPr>
                  <w:r>
                    <w:rPr>
                      <w:rFonts w:ascii="Times New Roman" w:eastAsia="宋体" w:cs="Times New Roman" w:hAnsi="Times New Roman"/>
                      <w:b w:val="0"/>
                      <w:bCs w:val="0"/>
                      <w:color w:val="auto"/>
                      <w:sz w:val="21"/>
                      <w:szCs w:val="21"/>
                      <w:lang w:val="en-US" w:eastAsia="zh-CN"/>
                    </w:rPr>
                    <w:t>卓同帝景名城居住小区</w:t>
                  </w:r>
                </w:p>
              </w:tc>
              <w:tc>
                <w:tcPr>
                  <w:tcW w:w="640" w:type="pct"/>
                  <w:tcBorders>
                    <w:top w:val="single" w:sz="4" w:space="0" w:color="auto"/>
                    <w:left w:val="single" w:sz="4" w:space="0" w:color="auto"/>
                    <w:right w:val="single" w:sz="4" w:space="0" w:color="auto"/>
                  </w:tcBorders>
                  <w:shd w:val="clear" w:color="auto" w:fill="auto"/>
                  <w:noWrap/>
                  <w:vAlign w:val="center"/>
                </w:tcPr>
                <w:p>
                  <w:pPr>
                    <w:pStyle w:val="59"/>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color w:val="auto"/>
                      <w:kern w:val="2"/>
                      <w:sz w:val="21"/>
                      <w:szCs w:val="21"/>
                      <w:lang w:val="en-US" w:eastAsia="zh-CN" w:bidi="ar-SA"/>
                      <w:highlight w:val="auto"/>
                    </w:rPr>
                    <w:t>105°</w:t>
                  </w:r>
                  <w:r>
                    <w:rPr>
                      <w:rFonts w:eastAsia="宋体" w:cs="Times New Roman" w:hint="eastAsia"/>
                      <w:b w:val="0"/>
                      <w:bCs/>
                      <w:color w:val="auto"/>
                      <w:kern w:val="2"/>
                      <w:sz w:val="21"/>
                      <w:szCs w:val="21"/>
                      <w:lang w:val="en-US" w:eastAsia="zh-CN" w:bidi="ar-SA"/>
                      <w:highlight w:val="auto"/>
                    </w:rPr>
                    <w:t>15</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45.228</w:t>
                  </w:r>
                  <w:r>
                    <w:rPr>
                      <w:rFonts w:ascii="Times New Roman" w:eastAsia="宋体" w:cs="Times New Roman" w:hAnsi="Times New Roman"/>
                      <w:b w:val="0"/>
                      <w:bCs/>
                      <w:color w:val="auto"/>
                      <w:kern w:val="2"/>
                      <w:sz w:val="21"/>
                      <w:szCs w:val="21"/>
                      <w:lang w:val="en-US" w:eastAsia="zh-CN" w:bidi="ar-SA"/>
                      <w:highlight w:val="auto"/>
                    </w:rPr>
                    <w:t>″</w:t>
                  </w:r>
                </w:p>
              </w:tc>
              <w:tc>
                <w:tcPr>
                  <w:tcW w:w="640" w:type="pct"/>
                  <w:tcBorders>
                    <w:top w:val="single" w:sz="4" w:space="0" w:color="auto"/>
                    <w:left w:val="single" w:sz="4" w:space="0" w:color="auto"/>
                    <w:right w:val="single" w:sz="4" w:space="0" w:color="auto"/>
                  </w:tcBorders>
                  <w:shd w:val="clear" w:color="auto" w:fill="auto"/>
                  <w:noWrap/>
                  <w:vAlign w:val="center"/>
                </w:tcPr>
                <w:p>
                  <w:pPr>
                    <w:pStyle w:val="59"/>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color w:val="auto"/>
                      <w:kern w:val="2"/>
                      <w:sz w:val="21"/>
                      <w:szCs w:val="21"/>
                      <w:lang w:val="en-US" w:eastAsia="zh-CN" w:bidi="ar-SA"/>
                      <w:highlight w:val="auto"/>
                    </w:rPr>
                    <w:t>30°</w:t>
                  </w:r>
                  <w:r>
                    <w:rPr>
                      <w:rFonts w:eastAsia="宋体" w:cs="Times New Roman" w:hint="eastAsia"/>
                      <w:b w:val="0"/>
                      <w:bCs/>
                      <w:color w:val="auto"/>
                      <w:kern w:val="2"/>
                      <w:sz w:val="21"/>
                      <w:szCs w:val="21"/>
                      <w:lang w:val="en-US" w:eastAsia="zh-CN" w:bidi="ar-SA"/>
                      <w:highlight w:val="auto"/>
                    </w:rPr>
                    <w:t>34</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40.258</w:t>
                  </w:r>
                  <w:r>
                    <w:rPr>
                      <w:rFonts w:ascii="Times New Roman" w:eastAsia="宋体" w:cs="Times New Roman" w:hAnsi="Times New Roman"/>
                      <w:b w:val="0"/>
                      <w:bCs/>
                      <w:color w:val="auto"/>
                      <w:kern w:val="2"/>
                      <w:sz w:val="21"/>
                      <w:szCs w:val="21"/>
                      <w:lang w:val="en-US" w:eastAsia="zh-CN" w:bidi="ar-SA"/>
                      <w:highlight w:val="auto"/>
                    </w:rPr>
                    <w:t>″</w:t>
                  </w:r>
                </w:p>
              </w:tc>
              <w:tc>
                <w:tcPr>
                  <w:tcW w:w="418"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西</w:t>
                  </w:r>
                </w:p>
              </w:tc>
              <w:tc>
                <w:tcPr>
                  <w:tcW w:w="448" w:type="pct"/>
                  <w:tcBorders>
                    <w:top w:val="single" w:sz="4" w:space="0" w:color="auto"/>
                    <w:left w:val="single" w:sz="4" w:space="0" w:color="auto"/>
                    <w:right w:val="single" w:sz="4" w:space="0" w:color="auto"/>
                  </w:tcBorders>
                  <w:noWrap/>
                  <w:vAlign w:val="center"/>
                </w:tcPr>
                <w:p>
                  <w:pPr>
                    <w:bidi w:val="0"/>
                    <w:spacing w:line="240" w:lineRule="auto"/>
                    <w:jc w:val="center"/>
                    <w:rPr>
                      <w:rFonts w:cs="Times New Roman" w:hint="eastAsia"/>
                      <w:b w:val="0"/>
                      <w:bCs w:val="0"/>
                      <w:color w:val="auto"/>
                      <w:sz w:val="21"/>
                      <w:szCs w:val="21"/>
                      <w:lang w:val="en-US" w:eastAsia="zh-CN"/>
                    </w:rPr>
                  </w:pPr>
                  <w:r>
                    <w:rPr>
                      <w:rFonts w:cs="Times New Roman" w:hint="eastAsia"/>
                      <w:b w:val="0"/>
                      <w:bCs w:val="0"/>
                      <w:color w:val="auto"/>
                      <w:sz w:val="21"/>
                      <w:szCs w:val="21"/>
                      <w:lang w:val="en-US" w:eastAsia="zh-CN"/>
                    </w:rPr>
                    <w:t>184</w:t>
                  </w:r>
                  <w:r>
                    <w:rPr>
                      <w:rFonts w:ascii="Times New Roman" w:eastAsia="宋体" w:cs="Times New Roman" w:hAnsi="Times New Roman"/>
                      <w:b w:val="0"/>
                      <w:bCs w:val="0"/>
                      <w:sz w:val="21"/>
                      <w:szCs w:val="21"/>
                      <w:vertAlign w:val="baseline"/>
                      <w:lang w:val="en-US" w:eastAsia="zh-CN"/>
                    </w:rPr>
                    <w:t>m</w:t>
                  </w:r>
                </w:p>
              </w:tc>
              <w:tc>
                <w:tcPr>
                  <w:tcW w:w="428"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sz w:val="21"/>
                      <w:szCs w:val="21"/>
                      <w:vertAlign w:val="baseline"/>
                      <w:lang w:val="en-US" w:eastAsia="zh-CN"/>
                    </w:rPr>
                    <w:t>居民</w:t>
                  </w:r>
                </w:p>
              </w:tc>
              <w:tc>
                <w:tcPr>
                  <w:tcW w:w="690"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sz w:val="21"/>
                      <w:szCs w:val="21"/>
                      <w:vertAlign w:val="baseline"/>
                      <w:lang w:val="en-US" w:eastAsia="zh-CN"/>
                    </w:rPr>
                    <w:t>约820人</w:t>
                  </w:r>
                </w:p>
              </w:tc>
            </w:tr>
            <w:tr>
              <w:trPr>
                <w:trHeight w:val="75"/>
              </w:trPr>
              <w:tc>
                <w:tcPr>
                  <w:tcW w:w="419" w:type="pct"/>
                  <w:vMerge/>
                  <w:tcBorders>
                    <w:top w:val="single" w:sz="4" w:space="0" w:color="auto"/>
                    <w:left w:val="single" w:sz="4" w:space="0" w:color="auto"/>
                    <w:right w:val="single" w:sz="4" w:space="0" w:color="auto"/>
                  </w:tcBorders>
                  <w:noWrap/>
                  <w:vAlign w:val="center"/>
                </w:tcPr>
                <w:p/>
              </w:tc>
              <w:tc>
                <w:tcPr>
                  <w:tcW w:w="392" w:type="pct"/>
                  <w:tcBorders>
                    <w:top w:val="single" w:sz="4" w:space="0" w:color="auto"/>
                    <w:left w:val="single" w:sz="4" w:space="0" w:color="auto"/>
                    <w:right w:val="single" w:sz="4" w:space="0" w:color="auto"/>
                  </w:tcBorders>
                  <w:noWrap/>
                  <w:vAlign w:val="center"/>
                </w:tcPr>
                <w:p>
                  <w:pPr>
                    <w:bidi w:val="0"/>
                    <w:spacing w:line="240" w:lineRule="auto"/>
                    <w:jc w:val="center"/>
                    <w:rPr>
                      <w:rFonts w:cs="Times New Roman"/>
                      <w:b w:val="0"/>
                      <w:bCs w:val="0"/>
                      <w:color w:val="auto"/>
                      <w:sz w:val="21"/>
                      <w:szCs w:val="21"/>
                      <w:lang w:val="en-US" w:eastAsia="zh-CN"/>
                    </w:rPr>
                  </w:pPr>
                  <w:r>
                    <w:rPr>
                      <w:rFonts w:cs="Times New Roman" w:hint="eastAsia"/>
                      <w:b w:val="0"/>
                      <w:bCs w:val="0"/>
                      <w:color w:val="auto"/>
                      <w:sz w:val="21"/>
                      <w:szCs w:val="21"/>
                      <w:lang w:val="en-US" w:eastAsia="zh-CN"/>
                    </w:rPr>
                    <w:t>4</w:t>
                  </w:r>
                </w:p>
              </w:tc>
              <w:tc>
                <w:tcPr>
                  <w:tcW w:w="923"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hint="eastAsia"/>
                      <w:b w:val="0"/>
                      <w:bCs w:val="0"/>
                      <w:color w:val="auto"/>
                      <w:kern w:val="2"/>
                      <w:sz w:val="21"/>
                      <w:szCs w:val="21"/>
                      <w:lang w:val="en-US" w:eastAsia="zh-CN" w:bidi="ar-SA"/>
                    </w:rPr>
                  </w:pPr>
                  <w:r>
                    <w:rPr>
                      <w:rFonts w:ascii="Times New Roman" w:eastAsia="宋体" w:cs="Times New Roman" w:hAnsi="Times New Roman"/>
                      <w:b w:val="0"/>
                      <w:bCs w:val="0"/>
                      <w:color w:val="auto"/>
                      <w:sz w:val="21"/>
                      <w:szCs w:val="21"/>
                      <w:lang w:val="en-US" w:eastAsia="zh-CN"/>
                    </w:rPr>
                    <w:t>大英县城镇居民区</w:t>
                  </w:r>
                </w:p>
              </w:tc>
              <w:tc>
                <w:tcPr>
                  <w:tcW w:w="640" w:type="pct"/>
                  <w:tcBorders>
                    <w:top w:val="single" w:sz="4" w:space="0" w:color="auto"/>
                    <w:left w:val="single" w:sz="4" w:space="0" w:color="auto"/>
                    <w:right w:val="single" w:sz="4" w:space="0" w:color="auto"/>
                  </w:tcBorders>
                  <w:shd w:val="clear" w:color="auto" w:fill="auto"/>
                  <w:noWrap/>
                  <w:vAlign w:val="center"/>
                </w:tcPr>
                <w:p>
                  <w:pPr>
                    <w:pStyle w:val="59"/>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color w:val="auto"/>
                      <w:kern w:val="2"/>
                      <w:sz w:val="21"/>
                      <w:szCs w:val="21"/>
                      <w:lang w:val="en-US" w:eastAsia="zh-CN" w:bidi="ar-SA"/>
                      <w:highlight w:val="auto"/>
                    </w:rPr>
                    <w:t>105°</w:t>
                  </w:r>
                  <w:r>
                    <w:rPr>
                      <w:rFonts w:eastAsia="宋体" w:cs="Times New Roman" w:hint="eastAsia"/>
                      <w:b w:val="0"/>
                      <w:bCs/>
                      <w:color w:val="auto"/>
                      <w:kern w:val="2"/>
                      <w:sz w:val="21"/>
                      <w:szCs w:val="21"/>
                      <w:lang w:val="en-US" w:eastAsia="zh-CN" w:bidi="ar-SA"/>
                      <w:highlight w:val="auto"/>
                    </w:rPr>
                    <w:t>15</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36.808</w:t>
                  </w:r>
                  <w:r>
                    <w:rPr>
                      <w:rFonts w:ascii="Times New Roman" w:eastAsia="宋体" w:cs="Times New Roman" w:hAnsi="Times New Roman"/>
                      <w:b w:val="0"/>
                      <w:bCs/>
                      <w:color w:val="auto"/>
                      <w:kern w:val="2"/>
                      <w:sz w:val="21"/>
                      <w:szCs w:val="21"/>
                      <w:lang w:val="en-US" w:eastAsia="zh-CN" w:bidi="ar-SA"/>
                      <w:highlight w:val="auto"/>
                    </w:rPr>
                    <w:t>″</w:t>
                  </w:r>
                </w:p>
              </w:tc>
              <w:tc>
                <w:tcPr>
                  <w:tcW w:w="640" w:type="pct"/>
                  <w:tcBorders>
                    <w:top w:val="single" w:sz="4" w:space="0" w:color="auto"/>
                    <w:left w:val="single" w:sz="4" w:space="0" w:color="auto"/>
                    <w:right w:val="single" w:sz="4" w:space="0" w:color="auto"/>
                  </w:tcBorders>
                  <w:shd w:val="clear" w:color="auto" w:fill="auto"/>
                  <w:noWrap/>
                  <w:vAlign w:val="center"/>
                </w:tcPr>
                <w:p>
                  <w:pPr>
                    <w:pStyle w:val="59"/>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color w:val="auto"/>
                      <w:kern w:val="2"/>
                      <w:sz w:val="21"/>
                      <w:szCs w:val="21"/>
                      <w:lang w:val="en-US" w:eastAsia="zh-CN" w:bidi="ar-SA"/>
                      <w:highlight w:val="auto"/>
                    </w:rPr>
                    <w:t>30°</w:t>
                  </w:r>
                  <w:r>
                    <w:rPr>
                      <w:rFonts w:eastAsia="宋体" w:cs="Times New Roman" w:hint="eastAsia"/>
                      <w:b w:val="0"/>
                      <w:bCs/>
                      <w:color w:val="auto"/>
                      <w:kern w:val="2"/>
                      <w:sz w:val="21"/>
                      <w:szCs w:val="21"/>
                      <w:lang w:val="en-US" w:eastAsia="zh-CN" w:bidi="ar-SA"/>
                      <w:highlight w:val="auto"/>
                    </w:rPr>
                    <w:t>34</w:t>
                  </w:r>
                  <w:r>
                    <w:rPr>
                      <w:rFonts w:ascii="Times New Roman" w:eastAsia="宋体" w:cs="Times New Roman" w:hAnsi="Times New Roman"/>
                      <w:b w:val="0"/>
                      <w:bCs/>
                      <w:color w:val="auto"/>
                      <w:kern w:val="2"/>
                      <w:sz w:val="21"/>
                      <w:szCs w:val="21"/>
                      <w:lang w:val="en-US" w:eastAsia="zh-CN" w:bidi="ar-SA"/>
                      <w:highlight w:val="auto"/>
                    </w:rPr>
                    <w:t>′</w:t>
                  </w:r>
                  <w:r>
                    <w:rPr>
                      <w:rFonts w:eastAsia="宋体" w:cs="Times New Roman" w:hint="eastAsia"/>
                      <w:b w:val="0"/>
                      <w:bCs/>
                      <w:color w:val="auto"/>
                      <w:kern w:val="2"/>
                      <w:sz w:val="21"/>
                      <w:szCs w:val="21"/>
                      <w:lang w:val="en-US" w:eastAsia="zh-CN" w:bidi="ar-SA"/>
                      <w:highlight w:val="auto"/>
                    </w:rPr>
                    <w:t>42.968</w:t>
                  </w:r>
                  <w:r>
                    <w:rPr>
                      <w:rFonts w:ascii="Times New Roman" w:eastAsia="宋体" w:cs="Times New Roman" w:hAnsi="Times New Roman"/>
                      <w:b w:val="0"/>
                      <w:bCs/>
                      <w:color w:val="auto"/>
                      <w:kern w:val="2"/>
                      <w:sz w:val="21"/>
                      <w:szCs w:val="21"/>
                      <w:lang w:val="en-US" w:eastAsia="zh-CN" w:bidi="ar-SA"/>
                      <w:highlight w:val="auto"/>
                    </w:rPr>
                    <w:t>″</w:t>
                  </w:r>
                </w:p>
              </w:tc>
              <w:tc>
                <w:tcPr>
                  <w:tcW w:w="418" w:type="pct"/>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auto"/>
                      <w:sz w:val="21"/>
                      <w:szCs w:val="21"/>
                      <w:lang w:val="en-US" w:eastAsia="zh-CN"/>
                    </w:rPr>
                    <w:t>西</w:t>
                  </w:r>
                </w:p>
              </w:tc>
              <w:tc>
                <w:tcPr>
                  <w:tcW w:w="448" w:type="pct"/>
                  <w:tcBorders>
                    <w:top w:val="single" w:sz="4" w:space="0" w:color="auto"/>
                    <w:left w:val="single" w:sz="4" w:space="0" w:color="auto"/>
                    <w:right w:val="single" w:sz="4" w:space="0" w:color="auto"/>
                  </w:tcBorders>
                  <w:noWrap/>
                  <w:vAlign w:val="center"/>
                </w:tcPr>
                <w:p>
                  <w:pPr>
                    <w:bidi w:val="0"/>
                    <w:spacing w:line="240" w:lineRule="auto"/>
                    <w:jc w:val="center"/>
                    <w:rPr>
                      <w:rFonts w:cs="Times New Roman" w:hint="eastAsia"/>
                      <w:b w:val="0"/>
                      <w:bCs w:val="0"/>
                      <w:color w:val="auto"/>
                      <w:sz w:val="21"/>
                      <w:szCs w:val="21"/>
                      <w:lang w:val="en-US" w:eastAsia="zh-CN"/>
                    </w:rPr>
                  </w:pPr>
                  <w:r>
                    <w:rPr>
                      <w:rFonts w:cs="Times New Roman" w:hint="eastAsia"/>
                      <w:b w:val="0"/>
                      <w:bCs w:val="0"/>
                      <w:sz w:val="21"/>
                      <w:szCs w:val="21"/>
                      <w:vertAlign w:val="baseline"/>
                      <w:lang w:val="en-US" w:eastAsia="zh-CN"/>
                    </w:rPr>
                    <w:t>292</w:t>
                  </w:r>
                  <w:r>
                    <w:rPr>
                      <w:rFonts w:ascii="Times New Roman" w:eastAsia="宋体" w:cs="Times New Roman" w:hAnsi="Times New Roman"/>
                      <w:b w:val="0"/>
                      <w:bCs w:val="0"/>
                      <w:sz w:val="21"/>
                      <w:szCs w:val="21"/>
                      <w:vertAlign w:val="baseline"/>
                      <w:lang w:val="en-US" w:eastAsia="zh-CN"/>
                    </w:rPr>
                    <w:t>m</w:t>
                  </w:r>
                </w:p>
              </w:tc>
              <w:tc>
                <w:tcPr>
                  <w:tcW w:w="428"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sz w:val="21"/>
                      <w:szCs w:val="21"/>
                      <w:vertAlign w:val="baseline"/>
                      <w:lang w:val="en-US" w:eastAsia="zh-CN"/>
                    </w:rPr>
                    <w:t>居民</w:t>
                  </w:r>
                </w:p>
              </w:tc>
              <w:tc>
                <w:tcPr>
                  <w:tcW w:w="690" w:type="pct"/>
                  <w:tcBorders>
                    <w:top w:val="single" w:sz="4" w:space="0" w:color="auto"/>
                    <w:left w:val="single" w:sz="4" w:space="0" w:color="auto"/>
                    <w:right w:val="single" w:sz="4" w:space="0" w:color="auto"/>
                  </w:tcBorders>
                  <w:shd w:val="clear" w:color="auto" w:fill="auto"/>
                  <w:noWrap/>
                  <w:vAlign w:val="center"/>
                </w:tcPr>
                <w:p>
                  <w:pPr>
                    <w:bidi w:val="0"/>
                    <w:spacing w:line="240" w:lineRule="auto"/>
                    <w:jc w:val="center"/>
                    <w:rPr>
                      <w:rFonts w:ascii="Times New Roman" w:eastAsia="宋体" w:cs="Times New Roman" w:hAnsi="Times New Roman" w:hint="eastAsia"/>
                      <w:b w:val="0"/>
                      <w:bCs w:val="0"/>
                      <w:color w:val="auto"/>
                      <w:kern w:val="2"/>
                      <w:sz w:val="21"/>
                      <w:szCs w:val="21"/>
                      <w:vertAlign w:val="baseline"/>
                      <w:lang w:val="en-US" w:eastAsia="zh-CN" w:bidi="ar-SA"/>
                    </w:rPr>
                  </w:pPr>
                  <w:r>
                    <w:rPr>
                      <w:rFonts w:cs="Times New Roman" w:hint="eastAsia"/>
                      <w:b w:val="0"/>
                      <w:bCs w:val="0"/>
                      <w:sz w:val="21"/>
                      <w:szCs w:val="21"/>
                      <w:vertAlign w:val="baseline"/>
                      <w:lang w:val="en-US" w:eastAsia="zh-CN"/>
                    </w:rPr>
                    <w:t>约2400人</w:t>
                  </w:r>
                </w:p>
              </w:tc>
            </w:tr>
          </w:tbl>
          <w:p>
            <w:pPr>
              <w:numPr>
                <w:ilvl w:val="0"/>
                <w:numId w:val="42"/>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地表水环境保护目标</w:t>
            </w:r>
          </w:p>
          <w:p>
            <w:pPr>
              <w:bidi w:val="0"/>
              <w:spacing w:line="360" w:lineRule="auto"/>
              <w:ind w:left="0" w:firstLineChars="200" w:firstLine="480"/>
              <w:rPr>
                <w:rFonts w:cs="Times New Roman" w:hint="eastAsia"/>
                <w:color w:val="000000"/>
                <w:sz w:val="24"/>
                <w:szCs w:val="24"/>
                <w14:textFill>
                  <w14:solidFill>
                    <w14:srgbClr w14:val="000000"/>
                  </w14:solidFill>
                </w14:textFill>
                <w:lang w:val="en-US" w:eastAsia="zh-CN"/>
              </w:rPr>
            </w:pPr>
            <w:r>
              <w:rPr>
                <w:rFonts w:cs="Times New Roman" w:hint="eastAsia"/>
                <w:color w:val="000000"/>
                <w:sz w:val="24"/>
                <w:szCs w:val="24"/>
                <w14:textFill>
                  <w14:solidFill>
                    <w14:srgbClr w14:val="000000"/>
                  </w14:solidFill>
                </w14:textFill>
                <w:lang w:val="en-US" w:eastAsia="zh-CN"/>
              </w:rPr>
              <w:t>本项目区域周围最近地表水体为西北侧约469m处的郪江，水质执行《地表水环境质量标准》（GB3838-2002）中Ⅲ类水域标准。</w:t>
            </w:r>
          </w:p>
          <w:p>
            <w:pPr>
              <w:bidi w:val="0"/>
              <w:spacing w:line="360" w:lineRule="auto"/>
              <w:ind w:left="0" w:firstLineChars="200" w:firstLine="480"/>
              <w:rPr>
                <w:rFonts w:cs="Times New Roman" w:hint="eastAsia"/>
                <w:color w:val="000000"/>
                <w:sz w:val="24"/>
                <w:szCs w:val="24"/>
                <w14:textFill>
                  <w14:solidFill>
                    <w14:srgbClr w14:val="000000"/>
                  </w14:solidFill>
                </w14:textFill>
                <w:lang w:val="en-US" w:eastAsia="zh-CN"/>
              </w:rPr>
            </w:pPr>
            <w:r>
              <w:rPr>
                <w:rFonts w:cs="Times New Roman" w:hint="eastAsia"/>
                <w:color w:val="000000"/>
                <w:sz w:val="24"/>
                <w:szCs w:val="24"/>
                <w14:textFill>
                  <w14:solidFill>
                    <w14:srgbClr w14:val="000000"/>
                  </w14:solidFill>
                </w14:textFill>
                <w:lang w:val="en-US" w:eastAsia="zh-CN"/>
              </w:rPr>
              <w:t>本项目运营期废水最终排入市政污水管网送入大英县工业污水处理厂达标处理，对区域地表水环境功能无明显影响。</w:t>
            </w:r>
          </w:p>
          <w:p>
            <w:pPr>
              <w:bidi w:val="0"/>
              <w:spacing w:line="36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表3-7 地表水环境敏感目标环境</w:t>
            </w:r>
          </w:p>
          <w:tbl>
            <w:tblPr>
              <w:jc w:val="left"/>
              <w:tblInd w:w="0" w:type="dxa"/>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82"/>
              <w:gridCol w:w="662"/>
              <w:gridCol w:w="375"/>
              <w:gridCol w:w="375"/>
              <w:gridCol w:w="898"/>
              <w:gridCol w:w="910"/>
              <w:gridCol w:w="1788"/>
              <w:gridCol w:w="878"/>
              <w:gridCol w:w="718"/>
              <w:gridCol w:w="870"/>
            </w:tblGrid>
            <w:tr>
              <w:tc>
                <w:tcPr>
                  <w:tcW w:w="527" w:type="pct"/>
                  <w:vMerge w:val="restart"/>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要素</w:t>
                  </w:r>
                </w:p>
              </w:tc>
              <w:tc>
                <w:tcPr>
                  <w:tcW w:w="396" w:type="pct"/>
                  <w:vMerge w:val="restart"/>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名称</w:t>
                  </w:r>
                </w:p>
              </w:tc>
              <w:tc>
                <w:tcPr>
                  <w:tcW w:w="448" w:type="pct"/>
                  <w:gridSpan w:val="2"/>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坐标</w:t>
                  </w:r>
                </w:p>
              </w:tc>
              <w:tc>
                <w:tcPr>
                  <w:tcW w:w="537" w:type="pct"/>
                  <w:vMerge w:val="restart"/>
                  <w:vAlign w:val="center"/>
                </w:tcPr>
                <w:p>
                  <w:pPr>
                    <w:bidi w:val="0"/>
                    <w:spacing w:line="240" w:lineRule="auto"/>
                    <w:jc w:val="center"/>
                    <w:rPr>
                      <w:rFonts w:cs="Times New Roman" w:hint="eastAsia"/>
                      <w:b/>
                      <w:bCs/>
                      <w:color w:val="000000"/>
                      <w:sz w:val="21"/>
                      <w:szCs w:val="21"/>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保护</w:t>
                  </w:r>
                </w:p>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对象</w:t>
                  </w:r>
                </w:p>
              </w:tc>
              <w:tc>
                <w:tcPr>
                  <w:tcW w:w="544" w:type="pct"/>
                  <w:vMerge w:val="restart"/>
                  <w:vAlign w:val="center"/>
                </w:tcPr>
                <w:p>
                  <w:pPr>
                    <w:bidi w:val="0"/>
                    <w:spacing w:line="240" w:lineRule="auto"/>
                    <w:jc w:val="center"/>
                    <w:rPr>
                      <w:rFonts w:cs="Times New Roman" w:hint="eastAsia"/>
                      <w:b/>
                      <w:bCs/>
                      <w:color w:val="000000"/>
                      <w:sz w:val="21"/>
                      <w:szCs w:val="21"/>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保护</w:t>
                  </w:r>
                </w:p>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内容</w:t>
                  </w:r>
                </w:p>
              </w:tc>
              <w:tc>
                <w:tcPr>
                  <w:tcW w:w="1069" w:type="pct"/>
                  <w:vMerge w:val="restart"/>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环境功能区划</w:t>
                  </w:r>
                </w:p>
              </w:tc>
              <w:tc>
                <w:tcPr>
                  <w:tcW w:w="525" w:type="pct"/>
                  <w:vMerge w:val="restart"/>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相对厂址方位</w:t>
                  </w:r>
                </w:p>
              </w:tc>
              <w:tc>
                <w:tcPr>
                  <w:tcW w:w="429" w:type="pct"/>
                  <w:vMerge w:val="restart"/>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相对距离</w:t>
                  </w:r>
                </w:p>
              </w:tc>
              <w:tc>
                <w:tcPr>
                  <w:tcW w:w="520" w:type="pct"/>
                  <w:vMerge w:val="restart"/>
                  <w:vAlign w:val="center"/>
                </w:tcPr>
                <w:p>
                  <w:pPr>
                    <w:bidi w:val="0"/>
                    <w:spacing w:line="240" w:lineRule="auto"/>
                    <w:jc w:val="center"/>
                    <w:rPr>
                      <w:rFonts w:cs="Times New Roman" w:hint="eastAsia"/>
                      <w:b/>
                      <w:bCs/>
                      <w:color w:val="000000"/>
                      <w:sz w:val="21"/>
                      <w:szCs w:val="21"/>
                      <w:vertAlign w:val="baseline"/>
                      <w14:textFill>
                        <w14:solidFill>
                          <w14:srgbClr w14:val="000000"/>
                        </w14:solidFill>
                      </w14:textFill>
                      <w:lang w:val="en-US" w:eastAsia="zh-CN"/>
                    </w:rPr>
                  </w:pPr>
                  <w:r>
                    <w:rPr>
                      <w:rFonts w:cs="Times New Roman" w:hint="eastAsia"/>
                      <w:b/>
                      <w:bCs/>
                      <w:color w:val="000000"/>
                      <w:sz w:val="21"/>
                      <w:szCs w:val="21"/>
                      <w14:textFill>
                        <w14:solidFill>
                          <w14:srgbClr w14:val="000000"/>
                        </w14:solidFill>
                      </w14:textFill>
                      <w:lang w:val="en-US" w:eastAsia="zh-CN"/>
                    </w:rPr>
                    <w:t>与本项目水利联系</w:t>
                  </w:r>
                </w:p>
              </w:tc>
            </w:tr>
            <w:tr>
              <w:tc>
                <w:tcPr>
                  <w:tcW w:w="527"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24"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X</w:t>
                  </w:r>
                </w:p>
              </w:tc>
              <w:tc>
                <w:tcPr>
                  <w:tcW w:w="224"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Y</w:t>
                  </w:r>
                </w:p>
              </w:tc>
              <w:tc>
                <w:tcPr>
                  <w:tcW w:w="537" w:type="pct"/>
                  <w:vMerge/>
                  <w:tcBorders>
                    <w:top w:val="single" w:sz="4" w:space="0" w:color="auto"/>
                    <w:left w:val="single" w:sz="4" w:space="0" w:color="auto"/>
                    <w:right w:val="single" w:sz="4" w:space="0" w:color="auto"/>
                  </w:tcBorders>
                  <w:vAlign w:val="center"/>
                </w:tcPr>
                <w:p/>
              </w:tc>
              <w:tc>
                <w:tcPr>
                  <w:tcW w:w="544" w:type="pct"/>
                  <w:vMerge/>
                  <w:tcBorders>
                    <w:top w:val="single" w:sz="4" w:space="0" w:color="auto"/>
                    <w:left w:val="single" w:sz="4" w:space="0" w:color="auto"/>
                    <w:right w:val="single" w:sz="4" w:space="0" w:color="auto"/>
                  </w:tcBorders>
                  <w:vAlign w:val="center"/>
                </w:tcPr>
                <w:p/>
              </w:tc>
              <w:tc>
                <w:tcPr>
                  <w:tcW w:w="1069" w:type="pct"/>
                  <w:vMerge/>
                  <w:tcBorders>
                    <w:top w:val="single" w:sz="4" w:space="0" w:color="auto"/>
                    <w:left w:val="single" w:sz="4" w:space="0" w:color="auto"/>
                    <w:right w:val="single" w:sz="4" w:space="0" w:color="auto"/>
                  </w:tcBorders>
                  <w:vAlign w:val="center"/>
                </w:tcPr>
                <w:p/>
              </w:tc>
              <w:tc>
                <w:tcPr>
                  <w:tcW w:w="525" w:type="pct"/>
                  <w:vMerge/>
                  <w:tcBorders>
                    <w:top w:val="single" w:sz="4" w:space="0" w:color="auto"/>
                    <w:left w:val="single" w:sz="4" w:space="0" w:color="auto"/>
                    <w:right w:val="single" w:sz="4" w:space="0" w:color="auto"/>
                  </w:tcBorders>
                  <w:vAlign w:val="center"/>
                </w:tcPr>
                <w:p/>
              </w:tc>
              <w:tc>
                <w:tcPr>
                  <w:tcW w:w="429" w:type="pct"/>
                  <w:vMerge/>
                  <w:tcBorders>
                    <w:top w:val="single" w:sz="4" w:space="0" w:color="auto"/>
                    <w:left w:val="single" w:sz="4" w:space="0" w:color="auto"/>
                    <w:right w:val="single" w:sz="4" w:space="0" w:color="auto"/>
                  </w:tcBorders>
                  <w:vAlign w:val="center"/>
                </w:tcPr>
                <w:p/>
              </w:tc>
              <w:tc>
                <w:tcPr>
                  <w:tcW w:w="520" w:type="pct"/>
                  <w:vMerge/>
                  <w:tcBorders>
                    <w:top w:val="single" w:sz="4" w:space="0" w:color="auto"/>
                    <w:left w:val="single" w:sz="4" w:space="0" w:color="auto"/>
                    <w:right w:val="single" w:sz="4" w:space="0" w:color="auto"/>
                  </w:tcBorders>
                  <w:vAlign w:val="center"/>
                </w:tcPr>
                <w:p/>
              </w:tc>
            </w:tr>
            <w:tr>
              <w:tc>
                <w:tcPr>
                  <w:tcW w:w="527"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地表水</w:t>
                  </w:r>
                </w:p>
              </w:tc>
              <w:tc>
                <w:tcPr>
                  <w:tcW w:w="396"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郪江</w:t>
                  </w:r>
                </w:p>
              </w:tc>
              <w:tc>
                <w:tcPr>
                  <w:tcW w:w="224"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w:t>
                  </w:r>
                </w:p>
              </w:tc>
              <w:tc>
                <w:tcPr>
                  <w:tcW w:w="224"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w:t>
                  </w:r>
                </w:p>
              </w:tc>
              <w:tc>
                <w:tcPr>
                  <w:tcW w:w="537"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地表水</w:t>
                  </w:r>
                </w:p>
              </w:tc>
              <w:tc>
                <w:tcPr>
                  <w:tcW w:w="544"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地表水环境</w:t>
                  </w:r>
                </w:p>
              </w:tc>
              <w:tc>
                <w:tcPr>
                  <w:tcW w:w="1069"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（GB3838-2002）Ⅲ类</w:t>
                  </w:r>
                </w:p>
              </w:tc>
              <w:tc>
                <w:tcPr>
                  <w:tcW w:w="525"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西北侧</w:t>
                  </w:r>
                </w:p>
              </w:tc>
              <w:tc>
                <w:tcPr>
                  <w:tcW w:w="429" w:type="pct"/>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469m</w:t>
                  </w:r>
                </w:p>
              </w:tc>
              <w:tc>
                <w:tcPr>
                  <w:tcW w:w="520" w:type="pc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受纳</w:t>
                  </w:r>
                </w:p>
                <w:p>
                  <w:pPr>
                    <w:bidi w:val="0"/>
                    <w:spacing w:line="240" w:lineRule="auto"/>
                    <w:ind w:left="0" w:firstLine="0"/>
                    <w:jc w:val="center"/>
                    <w:rPr>
                      <w:rFonts w:cs="Times New Roman"/>
                      <w:color w:val="000000"/>
                      <w:sz w:val="21"/>
                      <w:szCs w:val="21"/>
                      <w:vertAlign w:val="baseline"/>
                      <w14:textFill>
                        <w14:solidFill>
                          <w14:srgbClr w14:val="000000"/>
                        </w14:solidFill>
                      </w14:textFill>
                      <w:lang w:val="en-US" w:eastAsia="zh-CN"/>
                    </w:rPr>
                  </w:pPr>
                  <w:r>
                    <w:rPr>
                      <w:rFonts w:cs="Times New Roman" w:hint="eastAsia"/>
                      <w:color w:val="000000"/>
                      <w:sz w:val="21"/>
                      <w:szCs w:val="21"/>
                      <w:vertAlign w:val="baseline"/>
                      <w14:textFill>
                        <w14:solidFill>
                          <w14:srgbClr w14:val="000000"/>
                        </w14:solidFill>
                      </w14:textFill>
                      <w:lang w:val="en-US" w:eastAsia="zh-CN"/>
                    </w:rPr>
                    <w:t>水体</w:t>
                  </w:r>
                </w:p>
              </w:tc>
            </w:tr>
          </w:tbl>
          <w:p>
            <w:pPr>
              <w:numPr>
                <w:ilvl w:val="0"/>
                <w:numId w:val="42"/>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声环境保护目标</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本项目声环境保护目标为以拟建地块为中心50m范围内的噪声敏感区，确保本项目实施后不产生噪声扰民现象。</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根据调查，本项目厂界外50m范围内不存在声环境保护目标。</w:t>
            </w:r>
          </w:p>
          <w:p>
            <w:pPr>
              <w:numPr>
                <w:ilvl w:val="0"/>
                <w:numId w:val="42"/>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地下水环境保护目标</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本项目厂界外500m范围内不存在的地下水集中式饮用水水源和热水、矿泉水、温泉等特殊地下水资源。</w:t>
            </w:r>
          </w:p>
          <w:p>
            <w:pPr>
              <w:numPr>
                <w:ilvl w:val="0"/>
                <w:numId w:val="42"/>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土壤环境</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本项目租赁已建工业厂房建设，土壤环境不敏感。</w:t>
            </w:r>
          </w:p>
          <w:p>
            <w:pPr>
              <w:numPr>
                <w:ilvl w:val="0"/>
                <w:numId w:val="42"/>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生态环境保护目标</w:t>
            </w:r>
          </w:p>
          <w:p>
            <w:pPr>
              <w:bidi w:val="0"/>
              <w:spacing w:line="360" w:lineRule="auto"/>
              <w:ind w:left="0" w:firstLineChars="200" w:firstLine="480"/>
              <w:rPr>
                <w:rFonts w:ascii="Times New Roman" w:eastAsia="宋体" w:cs="Times New Roman" w:hAnsi="Times New Roman"/>
                <w:b/>
                <w:bCs/>
                <w:color w:val="auto"/>
                <w:sz w:val="24"/>
                <w:szCs w:val="24"/>
                <w:lang w:val="en-US" w:eastAsia="zh-CN"/>
              </w:rPr>
            </w:pPr>
            <w:r>
              <w:rPr>
                <w:rFonts w:cs="Times New Roman" w:hint="eastAsia"/>
                <w:color w:val="auto"/>
                <w:sz w:val="24"/>
                <w:szCs w:val="24"/>
                <w:lang w:val="en-US" w:eastAsia="zh-CN"/>
              </w:rPr>
              <w:t>根据场地周边现状、现场勘查及建设项目的特点，项目区及其评价范围内无自然保护区、风景名胜区、文物古迹等需要特殊保护的环境敏感目标。</w:t>
            </w:r>
          </w:p>
        </w:tc>
      </w:tr>
      <w:tr>
        <w:trPr>
          <w:trHeight w:val="90"/>
        </w:trPr>
        <w:tc>
          <w:tcPr>
            <w:tcW w:w="532"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污染物排放控制标准</w:t>
            </w:r>
          </w:p>
        </w:tc>
        <w:tc>
          <w:tcPr>
            <w:tcW w:w="4467" w:type="pct"/>
            <w:tcBorders>
              <w:top w:val="single" w:sz="4" w:space="0" w:color="auto"/>
              <w:left w:val="single" w:sz="4" w:space="0" w:color="auto"/>
              <w:right w:val="single" w:sz="4" w:space="0" w:color="auto"/>
            </w:tcBorders>
            <w:noWrap/>
            <w:vAlign w:val="center"/>
          </w:tcPr>
          <w:p>
            <w:pPr>
              <w:bidi w:val="0"/>
              <w:spacing w:line="360" w:lineRule="auto"/>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本项目污染物排放执行以下标准</w:t>
            </w:r>
            <w:r>
              <w:rPr>
                <w:rFonts w:cs="Times New Roman" w:hint="eastAsia"/>
                <w:b/>
                <w:bCs/>
                <w:sz w:val="24"/>
                <w:szCs w:val="24"/>
                <w:lang w:val="en-US" w:eastAsia="zh-CN"/>
              </w:rPr>
              <w:t>：</w:t>
            </w:r>
          </w:p>
          <w:p>
            <w:pPr>
              <w:numPr>
                <w:ilvl w:val="0"/>
                <w:numId w:val="43"/>
              </w:numPr>
              <w:bidi w:val="0"/>
              <w:spacing w:line="360" w:lineRule="auto"/>
              <w:ind w:left="0" w:firstLineChars="200" w:firstLine="480"/>
              <w:rPr>
                <w:rFonts w:ascii="Times New Roman" w:eastAsia="宋体" w:cs="Times New Roman" w:hAnsi="Times New Roman" w:hint="eastAsia"/>
                <w:sz w:val="24"/>
                <w:szCs w:val="24"/>
                <w:lang w:val="en-US" w:eastAsia="zh-CN"/>
              </w:rPr>
            </w:pPr>
            <w:r>
              <w:rPr>
                <w:rFonts w:ascii="Times New Roman" w:eastAsia="宋体" w:cs="Times New Roman" w:hAnsi="Times New Roman"/>
                <w:b/>
                <w:bCs/>
                <w:sz w:val="24"/>
                <w:szCs w:val="24"/>
                <w:lang w:val="en-US" w:eastAsia="zh-CN"/>
              </w:rPr>
              <w:t>大气污染物</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hint="eastAsia"/>
                <w:sz w:val="24"/>
                <w:szCs w:val="24"/>
                <w:lang w:val="en-US" w:eastAsia="zh-CN"/>
              </w:rPr>
              <w:t>本项目</w:t>
            </w:r>
            <w:r>
              <w:rPr>
                <w:rFonts w:eastAsia="宋体" w:cs="Times New Roman" w:hint="eastAsia"/>
                <w:sz w:val="24"/>
                <w:szCs w:val="24"/>
                <w:lang w:val="en-US" w:eastAsia="zh-CN"/>
              </w:rPr>
              <w:t>运营期颗粒物执行《大气污染物综合排放标准》（GB16297-1996）中表2二级标准及无组织排放厂界监控浓度限值</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具体标准值见下表</w:t>
            </w:r>
            <w:r>
              <w:rPr>
                <w:rFonts w:ascii="Times New Roman" w:eastAsia="宋体" w:cs="Times New Roman" w:hAnsi="Times New Roman"/>
                <w:sz w:val="24"/>
                <w:szCs w:val="24"/>
                <w:lang w:val="en-US" w:eastAsia="zh-CN"/>
              </w:rPr>
              <w:t>。</w:t>
            </w:r>
          </w:p>
          <w:p>
            <w:pPr>
              <w:bidi w:val="0"/>
              <w:spacing w:line="360" w:lineRule="auto"/>
              <w:jc w:val="center"/>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表3</w:t>
            </w:r>
            <w:r>
              <w:rPr>
                <w:rFonts w:ascii="Times New Roman" w:eastAsia="宋体" w:cs="Times New Roman" w:hAnsi="Times New Roman" w:hint="eastAsia"/>
                <w:b/>
                <w:bCs/>
                <w:sz w:val="21"/>
                <w:szCs w:val="21"/>
                <w:lang w:val="en-US" w:eastAsia="zh-CN"/>
              </w:rPr>
              <w:t>-</w:t>
            </w:r>
            <w:r>
              <w:rPr>
                <w:rFonts w:cs="Times New Roman" w:hint="eastAsia"/>
                <w:b/>
                <w:bCs/>
                <w:sz w:val="21"/>
                <w:szCs w:val="21"/>
                <w:lang w:val="en-US" w:eastAsia="zh-CN"/>
              </w:rPr>
              <w:t xml:space="preserve">8 </w:t>
            </w:r>
            <w:r>
              <w:rPr>
                <w:rFonts w:ascii="Times New Roman" w:eastAsia="宋体" w:cs="Times New Roman" w:hAnsi="Times New Roman"/>
                <w:b/>
                <w:bCs/>
                <w:sz w:val="21"/>
                <w:szCs w:val="21"/>
                <w:lang w:val="en-US" w:eastAsia="zh-CN"/>
              </w:rPr>
              <w:t>大气污染物综合排放标准</w:t>
            </w:r>
          </w:p>
          <w:tbl>
            <w:tblPr>
              <w:jc w:val="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Pr>
            <w:tblGrid>
              <w:gridCol w:w="1279"/>
              <w:gridCol w:w="1460"/>
              <w:gridCol w:w="1426"/>
              <w:gridCol w:w="1080"/>
              <w:gridCol w:w="1906"/>
              <w:gridCol w:w="1215"/>
            </w:tblGrid>
            <w:tr>
              <w:trPr>
                <w:trHeight w:val="90"/>
              </w:trPr>
              <w:tc>
                <w:tcPr>
                  <w:tcW w:w="764" w:type="pct"/>
                  <w:vMerge w:val="restart"/>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污染物</w:t>
                  </w:r>
                </w:p>
              </w:tc>
              <w:tc>
                <w:tcPr>
                  <w:tcW w:w="872" w:type="pct"/>
                  <w:vMerge w:val="restart"/>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最高允许排放浓度mg/m</w:t>
                  </w:r>
                  <w:r>
                    <w:rPr>
                      <w:rFonts w:ascii="Times New Roman" w:eastAsia="宋体" w:cs="Times New Roman" w:hAnsi="Times New Roman"/>
                      <w:b/>
                      <w:bCs/>
                      <w:sz w:val="21"/>
                      <w:szCs w:val="21"/>
                      <w:vertAlign w:val="superscript"/>
                    </w:rPr>
                    <w:t>3</w:t>
                  </w:r>
                </w:p>
              </w:tc>
              <w:tc>
                <w:tcPr>
                  <w:tcW w:w="1497" w:type="pct"/>
                  <w:gridSpan w:val="2"/>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最高允许排放速率</w:t>
                  </w:r>
                  <w:r>
                    <w:rPr>
                      <w:rFonts w:ascii="Times New Roman" w:eastAsia="宋体" w:cs="Times New Roman" w:hAnsi="Times New Roman"/>
                      <w:b/>
                      <w:bCs/>
                      <w:sz w:val="21"/>
                      <w:szCs w:val="21"/>
                      <w:lang w:eastAsia="zh-CN"/>
                    </w:rPr>
                    <w:t>，</w:t>
                  </w:r>
                  <w:r>
                    <w:rPr>
                      <w:rFonts w:ascii="Times New Roman" w:eastAsia="宋体" w:cs="Times New Roman" w:hAnsi="Times New Roman"/>
                      <w:b/>
                      <w:bCs/>
                      <w:sz w:val="21"/>
                      <w:szCs w:val="21"/>
                    </w:rPr>
                    <w:t>kg/h</w:t>
                  </w:r>
                </w:p>
              </w:tc>
              <w:tc>
                <w:tcPr>
                  <w:tcW w:w="1865" w:type="pct"/>
                  <w:gridSpan w:val="2"/>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无组织排放监控浓度限值</w:t>
                  </w:r>
                </w:p>
              </w:tc>
            </w:tr>
            <w:tr>
              <w:trPr>
                <w:trHeight w:val="90"/>
              </w:trPr>
              <w:tc>
                <w:tcPr>
                  <w:tcW w:w="764" w:type="pct"/>
                  <w:vMerge/>
                  <w:tcBorders>
                    <w:top w:val="single" w:sz="4" w:space="0" w:color="auto"/>
                    <w:left w:val="single" w:sz="4" w:space="0" w:color="auto"/>
                    <w:right w:val="single" w:sz="4" w:space="0" w:color="auto"/>
                  </w:tcBorders>
                  <w:noWrap/>
                  <w:vAlign w:val="center"/>
                </w:tcPr>
                <w:p/>
              </w:tc>
              <w:tc>
                <w:tcPr>
                  <w:tcW w:w="872" w:type="pct"/>
                  <w:vMerge/>
                  <w:tcBorders>
                    <w:top w:val="single" w:sz="4" w:space="0" w:color="auto"/>
                    <w:left w:val="single" w:sz="4" w:space="0" w:color="auto"/>
                    <w:right w:val="single" w:sz="4" w:space="0" w:color="auto"/>
                  </w:tcBorders>
                  <w:noWrap/>
                  <w:vAlign w:val="center"/>
                </w:tcPr>
                <w:p/>
              </w:tc>
              <w:tc>
                <w:tcPr>
                  <w:tcW w:w="852"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排气筒高度</w:t>
                  </w:r>
                </w:p>
              </w:tc>
              <w:tc>
                <w:tcPr>
                  <w:tcW w:w="644"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二级</w:t>
                  </w:r>
                </w:p>
              </w:tc>
              <w:tc>
                <w:tcPr>
                  <w:tcW w:w="1139"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监控点</w:t>
                  </w:r>
                </w:p>
              </w:tc>
              <w:tc>
                <w:tcPr>
                  <w:tcW w:w="726"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
                      <w:bCs/>
                      <w:sz w:val="21"/>
                      <w:szCs w:val="21"/>
                    </w:rPr>
                  </w:pPr>
                  <w:r>
                    <w:rPr>
                      <w:rFonts w:ascii="Times New Roman" w:eastAsia="宋体" w:cs="Times New Roman" w:hAnsi="Times New Roman"/>
                      <w:b/>
                      <w:bCs/>
                      <w:sz w:val="21"/>
                      <w:szCs w:val="21"/>
                    </w:rPr>
                    <w:t>浓度mg/m</w:t>
                  </w:r>
                  <w:r>
                    <w:rPr>
                      <w:rFonts w:ascii="Times New Roman" w:eastAsia="宋体" w:cs="Times New Roman" w:hAnsi="Times New Roman"/>
                      <w:b/>
                      <w:bCs/>
                      <w:sz w:val="21"/>
                      <w:szCs w:val="21"/>
                      <w:vertAlign w:val="superscript"/>
                    </w:rPr>
                    <w:t>3</w:t>
                  </w:r>
                </w:p>
              </w:tc>
            </w:tr>
            <w:tr>
              <w:trPr>
                <w:trHeight w:val="90"/>
              </w:trPr>
              <w:tc>
                <w:tcPr>
                  <w:tcW w:w="764"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Cs/>
                      <w:sz w:val="21"/>
                      <w:szCs w:val="21"/>
                    </w:rPr>
                  </w:pPr>
                  <w:r>
                    <w:rPr>
                      <w:rFonts w:ascii="Times New Roman" w:eastAsia="宋体" w:cs="Times New Roman" w:hAnsi="Times New Roman"/>
                      <w:bCs/>
                      <w:sz w:val="21"/>
                      <w:szCs w:val="21"/>
                    </w:rPr>
                    <w:t>颗粒物</w:t>
                  </w:r>
                </w:p>
              </w:tc>
              <w:tc>
                <w:tcPr>
                  <w:tcW w:w="872"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Cs/>
                      <w:sz w:val="21"/>
                      <w:szCs w:val="21"/>
                    </w:rPr>
                  </w:pPr>
                  <w:r>
                    <w:rPr>
                      <w:rFonts w:ascii="Times New Roman" w:eastAsia="宋体" w:cs="Times New Roman" w:hAnsi="Times New Roman"/>
                      <w:bCs/>
                      <w:sz w:val="21"/>
                      <w:szCs w:val="21"/>
                    </w:rPr>
                    <w:t>120</w:t>
                  </w:r>
                </w:p>
              </w:tc>
              <w:tc>
                <w:tcPr>
                  <w:tcW w:w="852"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Cs/>
                      <w:sz w:val="21"/>
                      <w:szCs w:val="21"/>
                    </w:rPr>
                  </w:pPr>
                  <w:r>
                    <w:rPr>
                      <w:rFonts w:ascii="Times New Roman" w:eastAsia="宋体" w:cs="Times New Roman" w:hAnsi="Times New Roman"/>
                      <w:bCs/>
                      <w:sz w:val="21"/>
                      <w:szCs w:val="21"/>
                    </w:rPr>
                    <w:t>15m</w:t>
                  </w:r>
                </w:p>
              </w:tc>
              <w:tc>
                <w:tcPr>
                  <w:tcW w:w="644"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Cs/>
                      <w:sz w:val="21"/>
                      <w:szCs w:val="21"/>
                    </w:rPr>
                  </w:pPr>
                  <w:r>
                    <w:rPr>
                      <w:rFonts w:ascii="Times New Roman" w:eastAsia="宋体" w:cs="Times New Roman" w:hAnsi="Times New Roman"/>
                      <w:bCs/>
                      <w:sz w:val="21"/>
                      <w:szCs w:val="21"/>
                    </w:rPr>
                    <w:t>3.5</w:t>
                  </w:r>
                </w:p>
              </w:tc>
              <w:tc>
                <w:tcPr>
                  <w:tcW w:w="1139"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Cs/>
                      <w:sz w:val="21"/>
                      <w:szCs w:val="21"/>
                    </w:rPr>
                  </w:pPr>
                  <w:r>
                    <w:rPr>
                      <w:rFonts w:ascii="Times New Roman" w:eastAsia="宋体" w:cs="Times New Roman" w:hAnsi="Times New Roman"/>
                      <w:bCs/>
                      <w:sz w:val="21"/>
                      <w:szCs w:val="21"/>
                    </w:rPr>
                    <w:t>周界外浓度最高点</w:t>
                  </w:r>
                </w:p>
              </w:tc>
              <w:tc>
                <w:tcPr>
                  <w:tcW w:w="726" w:type="pct"/>
                  <w:tcBorders>
                    <w:top w:val="single" w:sz="4" w:space="0" w:color="auto"/>
                    <w:left w:val="single" w:sz="4" w:space="0" w:color="auto"/>
                    <w:right w:val="single" w:sz="4" w:space="0" w:color="auto"/>
                  </w:tcBorders>
                  <w:noWrap/>
                  <w:vAlign w:val="center"/>
                </w:tcPr>
                <w:p>
                  <w:pPr>
                    <w:adjustRightInd w:val="0"/>
                    <w:snapToGrid w:val="0"/>
                    <w:spacing w:line="240" w:lineRule="auto"/>
                    <w:jc w:val="center"/>
                    <w:rPr>
                      <w:rFonts w:ascii="Times New Roman" w:eastAsia="宋体" w:cs="Times New Roman" w:hAnsi="Times New Roman"/>
                      <w:bCs/>
                      <w:sz w:val="21"/>
                      <w:szCs w:val="21"/>
                    </w:rPr>
                  </w:pPr>
                  <w:r>
                    <w:rPr>
                      <w:rFonts w:ascii="Times New Roman" w:eastAsia="宋体" w:cs="Times New Roman" w:hAnsi="Times New Roman"/>
                      <w:bCs/>
                      <w:sz w:val="21"/>
                      <w:szCs w:val="21"/>
                    </w:rPr>
                    <w:t>1.0</w:t>
                  </w:r>
                </w:p>
              </w:tc>
            </w:tr>
          </w:tbl>
          <w:p>
            <w:pPr>
              <w:numPr>
                <w:ilvl w:val="0"/>
                <w:numId w:val="4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废水</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w:t>
            </w:r>
            <w:r>
              <w:rPr>
                <w:rFonts w:ascii="Times New Roman" w:eastAsia="宋体" w:cs="Times New Roman" w:hAnsi="Times New Roman" w:hint="eastAsia"/>
                <w:sz w:val="24"/>
                <w:szCs w:val="24"/>
                <w:lang w:val="en-US" w:eastAsia="zh-CN"/>
              </w:rPr>
              <w:t>运营期废水执行《污水综合排放标准》（GB8978-1996</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中的三级排放标准，</w:t>
            </w:r>
            <w:r>
              <w:rPr>
                <w:rFonts w:cs="Times New Roman" w:hint="eastAsia"/>
                <w:sz w:val="24"/>
                <w:szCs w:val="24"/>
                <w:lang w:val="en-US" w:eastAsia="zh-CN"/>
              </w:rPr>
              <w:t>其中</w:t>
            </w:r>
            <w:r>
              <w:rPr>
                <w:rFonts w:ascii="Times New Roman" w:eastAsia="宋体" w:cs="Times New Roman" w:hAnsi="Times New Roman" w:hint="eastAsia"/>
                <w:sz w:val="24"/>
                <w:szCs w:val="24"/>
                <w:lang w:val="en-US" w:eastAsia="zh-CN"/>
              </w:rPr>
              <w:t>氨氮、总磷执行</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GB/T31962-2015</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《污水排入城市下水道水质标准》</w:t>
            </w:r>
            <w:r>
              <w:rPr>
                <w:rFonts w:cs="Times New Roman" w:hint="eastAsia"/>
                <w:sz w:val="24"/>
                <w:szCs w:val="24"/>
                <w:lang w:val="en-US" w:eastAsia="zh-CN"/>
              </w:rPr>
              <w:t>中</w:t>
            </w:r>
            <w:r>
              <w:rPr>
                <w:rFonts w:ascii="Times New Roman" w:eastAsia="宋体" w:cs="Times New Roman" w:hAnsi="Times New Roman" w:hint="eastAsia"/>
                <w:sz w:val="24"/>
                <w:szCs w:val="24"/>
                <w:lang w:val="en-US" w:eastAsia="zh-CN"/>
              </w:rPr>
              <w:t>B级标准间接排放标准</w:t>
            </w:r>
            <w:r>
              <w:rPr>
                <w:rFonts w:cs="Times New Roman" w:hint="eastAsia"/>
                <w:sz w:val="24"/>
                <w:szCs w:val="24"/>
                <w:lang w:val="en-US" w:eastAsia="zh-CN"/>
              </w:rPr>
              <w:t>；由市政污水管网进入大英县工业污水处理厂处理后执行《地表水环境质量标准</w:t>
            </w:r>
            <w:r>
              <w:rPr>
                <w:rFonts w:cs="Times New Roman" w:hint="eastAsia"/>
                <w:color w:val="auto"/>
                <w:sz w:val="24"/>
                <w:szCs w:val="24"/>
                <w:lang w:val="en-US" w:eastAsia="zh-CN"/>
              </w:rPr>
              <w:t>》（GB3838-2002）中Ⅲ类水体标准（总氮参照《四川省岷江、沱江流域水污染物排放标准》（DB51/2311-2016）、SS参照《城镇污水处理厂污染物排放标准》（GB18918-2002）中一级A标），</w:t>
            </w:r>
            <w:r>
              <w:rPr>
                <w:rFonts w:ascii="Times New Roman" w:eastAsia="宋体" w:cs="Times New Roman" w:hAnsi="Times New Roman" w:hint="eastAsia"/>
                <w:color w:val="auto"/>
                <w:sz w:val="24"/>
                <w:szCs w:val="24"/>
                <w:lang w:val="en-US" w:eastAsia="zh-CN"/>
              </w:rPr>
              <w:t>见表3-</w:t>
            </w:r>
            <w:r>
              <w:rPr>
                <w:rFonts w:cs="Times New Roman" w:hint="eastAsia"/>
                <w:color w:val="auto"/>
                <w:sz w:val="24"/>
                <w:szCs w:val="24"/>
                <w:lang w:val="en-US" w:eastAsia="zh-CN"/>
              </w:rPr>
              <w:t>9。</w:t>
            </w:r>
          </w:p>
          <w:p>
            <w:pPr>
              <w:bidi w:val="0"/>
              <w:spacing w:line="360" w:lineRule="auto"/>
              <w:jc w:val="center"/>
              <w:rPr>
                <w:rFonts w:ascii="Times New Roman" w:eastAsia="宋体" w:cs="Times New Roman" w:hAnsi="Times New Roman"/>
                <w:b/>
                <w:bCs/>
                <w:color w:val="auto"/>
                <w:sz w:val="21"/>
                <w:szCs w:val="21"/>
                <w:lang w:val="en-US" w:eastAsia="zh-CN"/>
              </w:rPr>
            </w:pPr>
            <w:r>
              <w:rPr>
                <w:rFonts w:ascii="Times New Roman" w:eastAsia="宋体" w:cs="Times New Roman" w:hAnsi="Times New Roman"/>
                <w:b/>
                <w:bCs/>
                <w:color w:val="auto"/>
                <w:sz w:val="21"/>
                <w:szCs w:val="21"/>
                <w:lang w:val="en-US" w:eastAsia="zh-CN"/>
              </w:rPr>
              <w:t>表3-</w:t>
            </w:r>
            <w:r>
              <w:rPr>
                <w:rFonts w:cs="Times New Roman" w:hint="eastAsia"/>
                <w:b/>
                <w:bCs/>
                <w:color w:val="auto"/>
                <w:sz w:val="21"/>
                <w:szCs w:val="21"/>
                <w:lang w:val="en-US" w:eastAsia="zh-CN"/>
              </w:rPr>
              <w:t xml:space="preserve">9 </w:t>
            </w:r>
            <w:r>
              <w:rPr>
                <w:rFonts w:ascii="Times New Roman" w:eastAsia="宋体" w:cs="Times New Roman" w:hAnsi="Times New Roman"/>
                <w:b/>
                <w:bCs/>
                <w:color w:val="auto"/>
                <w:sz w:val="21"/>
                <w:szCs w:val="21"/>
                <w:lang w:val="en-US" w:eastAsia="zh-CN"/>
              </w:rPr>
              <w:t>污水排放标准   单位：mg/L，pH无量纲</w:t>
            </w:r>
          </w:p>
          <w:tbl>
            <w:tblPr>
              <w:jc w:val="center"/>
              <w:tblW w:w="8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108" w:type="dxa"/>
                <w:bottom w:w="0" w:type="dxa"/>
                <w:right w:w="108" w:type="dxa"/>
              </w:tblCellMar>
            </w:tblPr>
            <w:tblGrid>
              <w:gridCol w:w="2620"/>
              <w:gridCol w:w="819"/>
              <w:gridCol w:w="819"/>
              <w:gridCol w:w="819"/>
              <w:gridCol w:w="819"/>
              <w:gridCol w:w="819"/>
              <w:gridCol w:w="819"/>
              <w:gridCol w:w="822"/>
            </w:tblGrid>
            <w:tr>
              <w:trPr>
                <w:trHeight w:val="90"/>
              </w:trPr>
              <w:tc>
                <w:tcPr>
                  <w:tcW w:w="1568"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污染物</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pH</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COD</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hint="eastAsia"/>
                      <w:b/>
                      <w:bCs/>
                      <w:color w:val="auto"/>
                      <w:sz w:val="21"/>
                      <w:szCs w:val="21"/>
                      <w:lang w:val="en-US" w:eastAsia="zh-CN"/>
                      <w:highlight w:val="auto"/>
                    </w:rPr>
                  </w:pPr>
                  <w:r>
                    <w:rPr>
                      <w:rFonts w:ascii="Times New Roman" w:eastAsia="宋体" w:cs="Times New Roman" w:hAnsi="Times New Roman"/>
                      <w:b/>
                      <w:bCs/>
                      <w:color w:val="auto"/>
                      <w:sz w:val="21"/>
                      <w:szCs w:val="21"/>
                      <w:highlight w:val="auto"/>
                    </w:rPr>
                    <w:t>SS</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氨氮</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总磷</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总氮</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color w:val="auto"/>
                      <w:sz w:val="21"/>
                      <w:szCs w:val="21"/>
                      <w:highlight w:val="auto"/>
                    </w:rPr>
                  </w:pPr>
                  <w:r>
                    <w:rPr>
                      <w:rFonts w:ascii="Times New Roman" w:eastAsia="宋体" w:cs="Times New Roman" w:hAnsi="Times New Roman"/>
                      <w:b/>
                      <w:bCs/>
                      <w:color w:val="auto"/>
                      <w:sz w:val="21"/>
                      <w:szCs w:val="21"/>
                      <w:highlight w:val="auto"/>
                    </w:rPr>
                    <w:t>BOD</w:t>
                  </w:r>
                  <w:r>
                    <w:rPr>
                      <w:rFonts w:ascii="Times New Roman" w:eastAsia="宋体" w:cs="Times New Roman" w:hAnsi="Times New Roman"/>
                      <w:b/>
                      <w:bCs/>
                      <w:color w:val="auto"/>
                      <w:sz w:val="21"/>
                      <w:szCs w:val="21"/>
                      <w:vertAlign w:val="subscript"/>
                      <w:highlight w:val="auto"/>
                    </w:rPr>
                    <w:t>5</w:t>
                  </w:r>
                </w:p>
              </w:tc>
            </w:tr>
            <w:tr>
              <w:trPr>
                <w:trHeight w:val="90"/>
              </w:trPr>
              <w:tc>
                <w:tcPr>
                  <w:tcW w:w="5000" w:type="pct"/>
                  <w:gridSpan w:val="8"/>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val="0"/>
                      <w:color w:val="auto"/>
                      <w:sz w:val="21"/>
                      <w:szCs w:val="21"/>
                      <w:highlight w:val="auto"/>
                    </w:rPr>
                  </w:pPr>
                  <w:r>
                    <w:rPr>
                      <w:rFonts w:ascii="Times New Roman" w:eastAsia="宋体" w:cs="Times New Roman" w:hAnsi="Times New Roman"/>
                      <w:b/>
                      <w:bCs w:val="0"/>
                      <w:color w:val="auto"/>
                      <w:sz w:val="21"/>
                      <w:szCs w:val="21"/>
                      <w:highlight w:val="auto"/>
                    </w:rPr>
                    <w:t>排入市政污水管网</w:t>
                  </w:r>
                </w:p>
              </w:tc>
            </w:tr>
            <w:tr>
              <w:trPr>
                <w:trHeight w:val="90"/>
              </w:trPr>
              <w:tc>
                <w:tcPr>
                  <w:tcW w:w="1568"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GB8978</w:t>
                  </w:r>
                  <w:r>
                    <w:rPr>
                      <w:rFonts w:cs="Times New Roman" w:hint="eastAsia"/>
                      <w:bCs/>
                      <w:color w:val="auto"/>
                      <w:sz w:val="21"/>
                      <w:szCs w:val="21"/>
                      <w:lang w:eastAsia="zh-CN"/>
                      <w:highlight w:val="auto"/>
                    </w:rPr>
                    <w:t>—</w:t>
                  </w:r>
                  <w:r>
                    <w:rPr>
                      <w:rFonts w:ascii="Times New Roman" w:eastAsia="宋体" w:cs="Times New Roman" w:hAnsi="Times New Roman"/>
                      <w:bCs/>
                      <w:color w:val="auto"/>
                      <w:sz w:val="21"/>
                      <w:szCs w:val="21"/>
                      <w:highlight w:val="auto"/>
                    </w:rPr>
                    <w:t>1996三级标准</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6~9</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500</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400</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300</w:t>
                  </w:r>
                </w:p>
              </w:tc>
            </w:tr>
            <w:tr>
              <w:trPr>
                <w:trHeight w:val="90"/>
              </w:trPr>
              <w:tc>
                <w:tcPr>
                  <w:tcW w:w="1568"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color w:val="auto"/>
                      <w:sz w:val="21"/>
                      <w:szCs w:val="21"/>
                      <w:highlight w:val="auto"/>
                    </w:rPr>
                    <w:t>GB/T31962-2015 B级标准</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45</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8</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r>
            <w:tr>
              <w:trPr>
                <w:trHeight w:val="90"/>
              </w:trPr>
              <w:tc>
                <w:tcPr>
                  <w:tcW w:w="5000" w:type="pct"/>
                  <w:gridSpan w:val="8"/>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
                      <w:bCs w:val="0"/>
                      <w:color w:val="auto"/>
                      <w:sz w:val="21"/>
                      <w:szCs w:val="21"/>
                      <w:highlight w:val="auto"/>
                    </w:rPr>
                  </w:pPr>
                  <w:r>
                    <w:rPr>
                      <w:rFonts w:ascii="Times New Roman" w:eastAsia="宋体" w:cs="Times New Roman" w:hAnsi="Times New Roman"/>
                      <w:b/>
                      <w:bCs w:val="0"/>
                      <w:color w:val="auto"/>
                      <w:sz w:val="21"/>
                      <w:szCs w:val="21"/>
                      <w:highlight w:val="auto"/>
                    </w:rPr>
                    <w:t>经污水处理厂处理后</w:t>
                  </w:r>
                  <w:r>
                    <w:rPr>
                      <w:rFonts w:cs="Times New Roman" w:hint="eastAsia"/>
                      <w:b/>
                      <w:bCs w:val="0"/>
                      <w:color w:val="auto"/>
                      <w:sz w:val="21"/>
                      <w:szCs w:val="21"/>
                      <w:lang w:val="en-US" w:eastAsia="zh-CN"/>
                      <w:highlight w:val="auto"/>
                    </w:rPr>
                    <w:t>排放</w:t>
                  </w:r>
                </w:p>
              </w:tc>
            </w:tr>
            <w:tr>
              <w:trPr>
                <w:trHeight w:val="90"/>
              </w:trPr>
              <w:tc>
                <w:tcPr>
                  <w:tcW w:w="1568"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color w:val="auto"/>
                      <w:sz w:val="21"/>
                      <w:szCs w:val="21"/>
                      <w:highlight w:val="auto"/>
                    </w:rPr>
                  </w:pPr>
                  <w:r>
                    <w:rPr>
                      <w:rFonts w:ascii="Times New Roman" w:eastAsia="宋体" w:cs="Times New Roman" w:hAnsi="Times New Roman"/>
                      <w:color w:val="auto"/>
                      <w:sz w:val="21"/>
                      <w:szCs w:val="21"/>
                      <w:highlight w:val="auto"/>
                    </w:rPr>
                    <w:t>GB3838-2002</w:t>
                  </w:r>
                  <w:r>
                    <w:rPr>
                      <w:rFonts w:cs="Times New Roman" w:hint="eastAsia"/>
                      <w:color w:val="auto"/>
                      <w:sz w:val="21"/>
                      <w:szCs w:val="21"/>
                      <w:lang w:val="en-US" w:eastAsia="zh-CN"/>
                      <w:highlight w:val="auto"/>
                    </w:rPr>
                    <w:t xml:space="preserve"> </w:t>
                  </w:r>
                  <w:r>
                    <w:rPr>
                      <w:rFonts w:ascii="Times New Roman" w:eastAsia="宋体" w:cs="Times New Roman" w:hAnsi="Times New Roman"/>
                      <w:color w:val="auto"/>
                      <w:sz w:val="21"/>
                      <w:szCs w:val="21"/>
                      <w:highlight w:val="auto"/>
                    </w:rPr>
                    <w:t>Ⅲ类水体标准</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6~9</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cs="Times New Roman" w:hint="eastAsia"/>
                      <w:bCs/>
                      <w:color w:val="auto"/>
                      <w:sz w:val="21"/>
                      <w:szCs w:val="21"/>
                      <w:lang w:val="en-US" w:eastAsia="zh-CN"/>
                      <w:highlight w:val="auto"/>
                    </w:rPr>
                    <w:t>20.0</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cs="Times New Roman" w:hint="eastAsia"/>
                      <w:bCs/>
                      <w:color w:val="auto"/>
                      <w:sz w:val="21"/>
                      <w:szCs w:val="21"/>
                      <w:lang w:val="en-US" w:eastAsia="zh-CN"/>
                      <w:highlight w:val="auto"/>
                    </w:rPr>
                    <w:t>1.0</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cs="Times New Roman" w:hint="eastAsia"/>
                      <w:bCs/>
                      <w:color w:val="auto"/>
                      <w:sz w:val="21"/>
                      <w:szCs w:val="21"/>
                      <w:lang w:val="en-US" w:eastAsia="zh-CN"/>
                      <w:highlight w:val="auto"/>
                    </w:rPr>
                    <w:t>0.2</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cs="Times New Roman" w:hint="eastAsia"/>
                      <w:bCs/>
                      <w:color w:val="auto"/>
                      <w:sz w:val="21"/>
                      <w:szCs w:val="21"/>
                      <w:lang w:val="en-US" w:eastAsia="zh-CN"/>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cs="Times New Roman" w:hint="eastAsia"/>
                      <w:bCs/>
                      <w:color w:val="auto"/>
                      <w:sz w:val="21"/>
                      <w:szCs w:val="21"/>
                      <w:lang w:val="en-US" w:eastAsia="zh-CN"/>
                      <w:highlight w:val="auto"/>
                    </w:rPr>
                    <w:t>4.0</w:t>
                  </w:r>
                </w:p>
              </w:tc>
            </w:tr>
            <w:tr>
              <w:trPr>
                <w:trHeight w:val="90"/>
              </w:trPr>
              <w:tc>
                <w:tcPr>
                  <w:tcW w:w="1568"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color w:val="auto"/>
                      <w:sz w:val="21"/>
                      <w:szCs w:val="21"/>
                      <w:highlight w:val="auto"/>
                    </w:rPr>
                  </w:pPr>
                  <w:r>
                    <w:rPr>
                      <w:rFonts w:ascii="Times New Roman" w:eastAsia="宋体" w:cs="Times New Roman" w:hAnsi="Times New Roman"/>
                      <w:color w:val="auto"/>
                      <w:sz w:val="21"/>
                      <w:szCs w:val="21"/>
                      <w:highlight w:val="auto"/>
                    </w:rPr>
                    <w:t>DB51/2311-2016</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lang w:val="en-US" w:eastAsia="zh-CN"/>
                      <w:highlight w:val="auto"/>
                    </w:rPr>
                  </w:pPr>
                  <w:r>
                    <w:rPr>
                      <w:rFonts w:cs="Times New Roman" w:hint="eastAsia"/>
                      <w:bCs/>
                      <w:color w:val="auto"/>
                      <w:sz w:val="21"/>
                      <w:szCs w:val="21"/>
                      <w:lang w:val="en-US" w:eastAsia="zh-CN"/>
                      <w:highlight w:val="auto"/>
                    </w:rPr>
                    <w:t>10.0</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r>
            <w:tr>
              <w:trPr>
                <w:trHeight w:val="90"/>
              </w:trPr>
              <w:tc>
                <w:tcPr>
                  <w:tcW w:w="1568"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color w:val="auto"/>
                      <w:sz w:val="21"/>
                      <w:szCs w:val="21"/>
                      <w:highlight w:val="auto"/>
                    </w:rPr>
                  </w:pPr>
                  <w:r>
                    <w:rPr>
                      <w:rFonts w:ascii="Times New Roman" w:eastAsia="宋体" w:cs="Times New Roman" w:hAnsi="Times New Roman"/>
                      <w:color w:val="auto"/>
                      <w:sz w:val="21"/>
                      <w:szCs w:val="21"/>
                      <w:highlight w:val="auto"/>
                    </w:rPr>
                    <w:t>GB18918-2002</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cs="Times New Roman" w:hint="eastAsia"/>
                      <w:bCs/>
                      <w:color w:val="auto"/>
                      <w:sz w:val="21"/>
                      <w:szCs w:val="21"/>
                      <w:lang w:val="en-US" w:eastAsia="zh-CN"/>
                      <w:highlight w:val="auto"/>
                    </w:rPr>
                  </w:pPr>
                  <w:r>
                    <w:rPr>
                      <w:rFonts w:cs="Times New Roman" w:hint="eastAsia"/>
                      <w:bCs/>
                      <w:color w:val="auto"/>
                      <w:sz w:val="21"/>
                      <w:szCs w:val="21"/>
                      <w:lang w:val="en-US" w:eastAsia="zh-CN"/>
                      <w:highlight w:val="auto"/>
                    </w:rPr>
                    <w:t>10.0</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c>
                <w:tcPr>
                  <w:tcW w:w="490" w:type="pct"/>
                  <w:tcBorders>
                    <w:tl2br w:val="nil"/>
                    <w:tr2bl w:val="nil"/>
                  </w:tcBorders>
                  <w:noWrap/>
                  <w:tcMar>
                    <w:left w:w="28" w:type="dxa"/>
                    <w:right w:w="28" w:type="dxa"/>
                  </w:tcMar>
                  <w:vAlign w:val="center"/>
                </w:tcPr>
                <w:p>
                  <w:pPr>
                    <w:spacing w:line="240" w:lineRule="auto"/>
                    <w:jc w:val="center"/>
                    <w:rPr>
                      <w:rFonts w:ascii="Times New Roman" w:eastAsia="宋体" w:cs="Times New Roman" w:hAnsi="Times New Roman"/>
                      <w:bCs/>
                      <w:color w:val="auto"/>
                      <w:sz w:val="21"/>
                      <w:szCs w:val="21"/>
                      <w:highlight w:val="auto"/>
                    </w:rPr>
                  </w:pPr>
                  <w:r>
                    <w:rPr>
                      <w:rFonts w:ascii="Times New Roman" w:eastAsia="宋体" w:cs="Times New Roman" w:hAnsi="Times New Roman"/>
                      <w:bCs/>
                      <w:color w:val="auto"/>
                      <w:sz w:val="21"/>
                      <w:szCs w:val="21"/>
                      <w:highlight w:val="auto"/>
                    </w:rPr>
                    <w:t>-</w:t>
                  </w:r>
                </w:p>
              </w:tc>
            </w:tr>
          </w:tbl>
          <w:p>
            <w:pPr>
              <w:numPr>
                <w:ilvl w:val="0"/>
                <w:numId w:val="43"/>
              </w:numPr>
              <w:bidi w:val="0"/>
              <w:spacing w:line="360" w:lineRule="auto"/>
              <w:ind w:left="0" w:firstLineChars="200" w:firstLine="480"/>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噪声</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本</w:t>
            </w:r>
            <w:r>
              <w:rPr>
                <w:rFonts w:ascii="Times New Roman" w:eastAsia="宋体" w:cs="Times New Roman" w:hAnsi="Times New Roman"/>
                <w:color w:val="auto"/>
                <w:sz w:val="24"/>
                <w:szCs w:val="24"/>
                <w:lang w:val="en-US" w:eastAsia="zh-CN"/>
              </w:rPr>
              <w:t>项目</w:t>
            </w:r>
            <w:r>
              <w:rPr>
                <w:rFonts w:ascii="Times New Roman" w:eastAsia="宋体" w:cs="Times New Roman" w:hAnsi="Times New Roman" w:hint="eastAsia"/>
                <w:color w:val="auto"/>
                <w:sz w:val="24"/>
                <w:szCs w:val="24"/>
                <w:lang w:val="en-US" w:eastAsia="zh-CN"/>
              </w:rPr>
              <w:t>运营期厂界噪声执行（GB12348-2008</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《工业企业厂界环境噪声排放标准》</w:t>
            </w:r>
            <w:r>
              <w:rPr>
                <w:rFonts w:cs="Times New Roman" w:hint="eastAsia"/>
                <w:color w:val="auto"/>
                <w:sz w:val="24"/>
                <w:szCs w:val="24"/>
                <w:lang w:val="en-US" w:eastAsia="zh-CN"/>
              </w:rPr>
              <w:t>中3类</w:t>
            </w:r>
            <w:r>
              <w:rPr>
                <w:rFonts w:ascii="Times New Roman" w:eastAsia="宋体" w:cs="Times New Roman" w:hAnsi="Times New Roman" w:hint="eastAsia"/>
                <w:color w:val="auto"/>
                <w:sz w:val="24"/>
                <w:szCs w:val="24"/>
                <w:lang w:val="en-US" w:eastAsia="zh-CN"/>
              </w:rPr>
              <w:t>标准</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具体标准值见表3-</w:t>
            </w:r>
            <w:r>
              <w:rPr>
                <w:rFonts w:cs="Times New Roman" w:hint="eastAsia"/>
                <w:color w:val="auto"/>
                <w:sz w:val="24"/>
                <w:szCs w:val="24"/>
                <w:lang w:val="en-US" w:eastAsia="zh-CN"/>
              </w:rPr>
              <w:t>10。</w:t>
            </w:r>
          </w:p>
          <w:p>
            <w:pPr>
              <w:bidi w:val="0"/>
              <w:spacing w:line="36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表</w:t>
            </w:r>
            <w:r>
              <w:rPr>
                <w:rFonts w:ascii="Times New Roman" w:eastAsia="宋体" w:cs="Times New Roman" w:hAnsi="Times New Roman" w:hint="eastAsia"/>
                <w:b/>
                <w:bCs/>
                <w:sz w:val="21"/>
                <w:szCs w:val="21"/>
                <w:lang w:val="en-US" w:eastAsia="zh-CN"/>
              </w:rPr>
              <w:t>3-</w:t>
            </w:r>
            <w:r>
              <w:rPr>
                <w:rFonts w:cs="Times New Roman" w:hint="eastAsia"/>
                <w:b/>
                <w:bCs/>
                <w:sz w:val="21"/>
                <w:szCs w:val="21"/>
                <w:lang w:val="en-US" w:eastAsia="zh-CN"/>
              </w:rPr>
              <w:t>10</w:t>
            </w:r>
            <w:r>
              <w:rPr>
                <w:rFonts w:ascii="Times New Roman" w:eastAsia="宋体" w:cs="Times New Roman" w:hAnsi="Times New Roman" w:hint="eastAsia"/>
                <w:b/>
                <w:bCs/>
                <w:sz w:val="21"/>
                <w:szCs w:val="21"/>
                <w:lang w:val="en-US" w:eastAsia="zh-CN"/>
              </w:rPr>
              <w:t xml:space="preserve"> </w:t>
            </w:r>
            <w:r>
              <w:rPr>
                <w:rFonts w:ascii="Times New Roman" w:eastAsia="宋体" w:cs="Times New Roman" w:hAnsi="Times New Roman"/>
                <w:b/>
                <w:bCs/>
                <w:sz w:val="21"/>
                <w:szCs w:val="21"/>
                <w:lang w:val="en-US" w:eastAsia="zh-CN"/>
              </w:rPr>
              <w:t>工业企业厂界环境噪声排放标准值</w:t>
            </w:r>
            <w:r>
              <w:rPr>
                <w:rFonts w:ascii="Times New Roman" w:eastAsia="宋体" w:cs="Times New Roman" w:hAnsi="Times New Roman" w:hint="eastAsia"/>
                <w:b/>
                <w:bCs/>
                <w:sz w:val="21"/>
                <w:szCs w:val="21"/>
                <w:lang w:val="en-US" w:eastAsia="zh-CN"/>
              </w:rPr>
              <w:t xml:space="preserve">  </w:t>
            </w:r>
            <w:r>
              <w:rPr>
                <w:rFonts w:ascii="Times New Roman" w:eastAsia="宋体" w:cs="Times New Roman" w:hAnsi="Times New Roman"/>
                <w:b/>
                <w:bCs/>
                <w:sz w:val="21"/>
                <w:szCs w:val="21"/>
                <w:lang w:val="en-US" w:eastAsia="zh-CN"/>
              </w:rPr>
              <w:t>单位</w:t>
            </w:r>
            <w:r>
              <w:rPr>
                <w:rFonts w:cs="Times New Roman" w:hint="eastAsia"/>
                <w:b/>
                <w:bCs/>
                <w:sz w:val="21"/>
                <w:szCs w:val="21"/>
                <w:lang w:val="en-US" w:eastAsia="zh-CN"/>
              </w:rPr>
              <w:t>：</w:t>
            </w:r>
            <w:r>
              <w:rPr>
                <w:rFonts w:ascii="Times New Roman" w:eastAsia="宋体" w:cs="Times New Roman" w:hAnsi="Times New Roman"/>
                <w:b/>
                <w:bCs/>
                <w:sz w:val="21"/>
                <w:szCs w:val="21"/>
                <w:lang w:val="en-US" w:eastAsia="zh-CN"/>
              </w:rPr>
              <w:t>dB（A</w:t>
            </w:r>
            <w:r>
              <w:rPr>
                <w:rFonts w:cs="Times New Roman" w:hint="eastAsia"/>
                <w:b/>
                <w:bCs/>
                <w:sz w:val="21"/>
                <w:szCs w:val="21"/>
                <w:lang w:val="en-US" w:eastAsia="zh-CN"/>
              </w:rPr>
              <w:t>）</w:t>
            </w:r>
          </w:p>
          <w:tbl>
            <w:tblPr>
              <w:jc w:val="left"/>
              <w:tblInd w:w="0" w:type="dxa"/>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04"/>
              <w:gridCol w:w="654"/>
              <w:gridCol w:w="718"/>
              <w:gridCol w:w="6053"/>
            </w:tblGrid>
            <w:tr>
              <w:tc>
                <w:tcPr>
                  <w:tcW w:w="904"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类别</w:t>
                  </w:r>
                </w:p>
              </w:tc>
              <w:tc>
                <w:tcPr>
                  <w:tcW w:w="654"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昼间</w:t>
                  </w:r>
                </w:p>
              </w:tc>
              <w:tc>
                <w:tcPr>
                  <w:tcW w:w="718"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夜间</w:t>
                  </w:r>
                </w:p>
              </w:tc>
              <w:tc>
                <w:tcPr>
                  <w:tcW w:w="6053"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标准来源</w:t>
                  </w:r>
                </w:p>
              </w:tc>
            </w:tr>
            <w:tr>
              <w:tc>
                <w:tcPr>
                  <w:tcW w:w="9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运营期</w:t>
                  </w:r>
                </w:p>
              </w:tc>
              <w:tc>
                <w:tcPr>
                  <w:tcW w:w="65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lang w:val="en-US" w:eastAsia="zh-CN"/>
                    </w:rPr>
                    <w:t>65</w:t>
                  </w:r>
                </w:p>
              </w:tc>
              <w:tc>
                <w:tcPr>
                  <w:tcW w:w="718"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lang w:val="en-US" w:eastAsia="zh-CN"/>
                    </w:rPr>
                    <w:t>55</w:t>
                  </w:r>
                </w:p>
              </w:tc>
              <w:tc>
                <w:tcPr>
                  <w:tcW w:w="605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《工业企业厂界环境噪声排放标准》（GB12348-2008</w:t>
                  </w:r>
                  <w:r>
                    <w:rPr>
                      <w:rFonts w:cs="Times New Roman" w:hint="eastAsia"/>
                      <w:sz w:val="21"/>
                      <w:szCs w:val="21"/>
                      <w:lang w:val="en-US" w:eastAsia="zh-CN"/>
                    </w:rPr>
                    <w:t>）</w:t>
                  </w:r>
                  <w:r>
                    <w:rPr>
                      <w:rFonts w:ascii="Times New Roman" w:eastAsia="宋体" w:cs="Times New Roman" w:hAnsi="Times New Roman"/>
                      <w:sz w:val="21"/>
                      <w:szCs w:val="21"/>
                      <w:lang w:val="en-US" w:eastAsia="zh-CN"/>
                    </w:rPr>
                    <w:t>中</w:t>
                  </w:r>
                  <w:r>
                    <w:rPr>
                      <w:rFonts w:cs="Times New Roman" w:hint="eastAsia"/>
                      <w:sz w:val="21"/>
                      <w:szCs w:val="21"/>
                      <w:lang w:val="en-US" w:eastAsia="zh-CN"/>
                    </w:rPr>
                    <w:t>3类</w:t>
                  </w:r>
                </w:p>
              </w:tc>
            </w:tr>
          </w:tbl>
          <w:p>
            <w:pPr>
              <w:numPr>
                <w:ilvl w:val="0"/>
                <w:numId w:val="4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固体废弃物</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sz w:val="24"/>
                <w:szCs w:val="24"/>
                <w:lang w:val="en-US" w:eastAsia="zh-CN"/>
              </w:rPr>
              <w:t>本项目危险废物分类收集、暂存、收运及处理过程执行《危险废物贮存污染控制标准》（GB18597-2023）中的有关要求规定；一般工业固体废弃物贮存过程采取“四防”：防风、防雨、防晒及防渗漏措施；生活垃圾按照《四川省生活垃圾分类和处置工作方案》（川办函〔2019〕69号）中相关要求执行</w:t>
            </w:r>
            <w:r>
              <w:rPr>
                <w:rFonts w:cs="Times New Roman" w:hint="eastAsia"/>
                <w:sz w:val="24"/>
                <w:szCs w:val="24"/>
                <w:lang w:val="en-US" w:eastAsia="zh-CN"/>
              </w:rPr>
              <w:t>。</w:t>
            </w:r>
          </w:p>
        </w:tc>
      </w:tr>
      <w:tr>
        <w:trPr>
          <w:trHeight w:val="456"/>
        </w:trPr>
        <w:tc>
          <w:tcPr>
            <w:tcW w:w="532" w:type="pct"/>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b/>
                <w:bCs/>
                <w:color w:val="auto"/>
                <w:sz w:val="24"/>
                <w:szCs w:val="24"/>
                <w:lang w:val="en-US" w:eastAsia="zh-CN"/>
              </w:rPr>
              <w:t>总量控制指标</w:t>
            </w:r>
          </w:p>
        </w:tc>
        <w:tc>
          <w:tcPr>
            <w:tcW w:w="4467" w:type="pct"/>
            <w:tcBorders>
              <w:top w:val="single" w:sz="4" w:space="0" w:color="auto"/>
              <w:left w:val="single" w:sz="4" w:space="0" w:color="auto"/>
              <w:right w:val="single" w:sz="4" w:space="0" w:color="auto"/>
            </w:tcBorders>
            <w:noWrap/>
            <w:vAlign w:val="center"/>
          </w:tcPr>
          <w:p>
            <w:pPr>
              <w:numPr>
                <w:ilvl w:val="0"/>
                <w:numId w:val="44"/>
              </w:numPr>
              <w:bidi w:val="0"/>
              <w:spacing w:line="360" w:lineRule="auto"/>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总量控制主要因子</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根据《</w:t>
            </w:r>
            <w:r>
              <w:rPr>
                <w:rFonts w:ascii="宋体" w:eastAsia="宋体" w:cs="宋体" w:hint="eastAsia"/>
                <w:color w:val="auto"/>
                <w:sz w:val="24"/>
                <w:szCs w:val="24"/>
                <w:lang w:val="en-US" w:eastAsia="zh-CN"/>
              </w:rPr>
              <w:t>“十三五”节能减排</w:t>
            </w:r>
            <w:r>
              <w:rPr>
                <w:rFonts w:ascii="Times New Roman" w:eastAsia="宋体" w:cs="Times New Roman" w:hAnsi="Times New Roman"/>
                <w:color w:val="auto"/>
                <w:sz w:val="24"/>
                <w:szCs w:val="24"/>
                <w:lang w:val="en-US" w:eastAsia="zh-CN"/>
              </w:rPr>
              <w:t>综合工作方案》（国发〔2016〕74号），确</w:t>
            </w:r>
            <w:r>
              <w:rPr>
                <w:rFonts w:ascii="宋体" w:eastAsia="宋体" w:cs="宋体" w:hint="eastAsia"/>
                <w:color w:val="auto"/>
                <w:sz w:val="24"/>
                <w:szCs w:val="24"/>
                <w:lang w:val="en-US" w:eastAsia="zh-CN"/>
              </w:rPr>
              <w:t>定“十三五”各地区化学</w:t>
            </w:r>
            <w:r>
              <w:rPr>
                <w:rFonts w:ascii="Times New Roman" w:eastAsia="宋体" w:cs="Times New Roman" w:hAnsi="Times New Roman"/>
                <w:color w:val="auto"/>
                <w:sz w:val="24"/>
                <w:szCs w:val="24"/>
                <w:lang w:val="en-US" w:eastAsia="zh-CN"/>
              </w:rPr>
              <w:t>需氧量（COD）、氨氮（NH</w:t>
            </w:r>
            <w:r>
              <w:rPr>
                <w:rFonts w:ascii="Times New Roman" w:eastAsia="宋体" w:cs="Times New Roman" w:hAnsi="Times New Roman"/>
                <w:color w:val="auto"/>
                <w:sz w:val="24"/>
                <w:szCs w:val="24"/>
                <w:vertAlign w:val="subscript"/>
                <w:lang w:val="en-US" w:eastAsia="zh-CN"/>
              </w:rPr>
              <w:t>3</w:t>
            </w:r>
            <w:r>
              <w:rPr>
                <w:rFonts w:ascii="Times New Roman" w:eastAsia="宋体" w:cs="Times New Roman" w:hAnsi="Times New Roman"/>
                <w:color w:val="auto"/>
                <w:sz w:val="24"/>
                <w:szCs w:val="24"/>
                <w:lang w:val="en-US" w:eastAsia="zh-CN"/>
              </w:rPr>
              <w:t>-N）、二氧化硫（SO</w:t>
            </w:r>
            <w:r>
              <w:rPr>
                <w:rFonts w:ascii="Times New Roman" w:eastAsia="宋体" w:cs="Times New Roman" w:hAnsi="Times New Roman"/>
                <w:color w:val="auto"/>
                <w:sz w:val="24"/>
                <w:szCs w:val="24"/>
                <w:vertAlign w:val="subscript"/>
                <w:lang w:val="en-US" w:eastAsia="zh-CN"/>
              </w:rPr>
              <w:t>2</w:t>
            </w:r>
            <w:r>
              <w:rPr>
                <w:rFonts w:ascii="Times New Roman" w:eastAsia="宋体" w:cs="Times New Roman" w:hAnsi="Times New Roman"/>
                <w:color w:val="auto"/>
                <w:sz w:val="24"/>
                <w:szCs w:val="24"/>
                <w:lang w:val="en-US" w:eastAsia="zh-CN"/>
              </w:rPr>
              <w:t>）、氮氧化物（NOx）排放总量控制和结合环境质量改善要求，实施行业、区域、流域重点污染物总量减排，在重点行业、重点区域推进挥发性有机物排放总量控制，对重点行业的重点重金属排放实施总量控制。</w:t>
            </w:r>
          </w:p>
          <w:p>
            <w:pPr>
              <w:bidi w:val="0"/>
              <w:spacing w:line="360" w:lineRule="auto"/>
              <w:ind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根据四川省环境保护厅《关于转发&lt;建设项目主要污染物排放总量指标审核及管理暂行办法&gt;的通知》中的相关要求</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除火电、钢铁、水泥、造纸、印染行业外</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其他行业污染物排放总量指标依照国家或地方污染物排放标准及单位产品基准排放量</w:t>
            </w:r>
            <w:r>
              <w:rPr>
                <w:rFonts w:ascii="Times New Roman" w:eastAsia="宋体" w:cs="Times New Roman" w:hAnsi="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行业最高允许排水量</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、烟气量等予以核定。</w:t>
            </w:r>
          </w:p>
          <w:p>
            <w:pPr>
              <w:bidi w:val="0"/>
              <w:spacing w:line="360" w:lineRule="auto"/>
              <w:ind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依据《排污许可证申请与核发技术规范 总则》（HJ942-2018）及其他相关行业排污许可证申请与核发技术规范，同时根据项目特点和污染物排放情况，确定本项目总量控制因子如下：</w:t>
            </w:r>
          </w:p>
          <w:p>
            <w:pPr>
              <w:bidi w:val="0"/>
              <w:spacing w:line="360" w:lineRule="auto"/>
              <w:ind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废水：COD、NH</w:t>
            </w:r>
            <w:r>
              <w:rPr>
                <w:rFonts w:ascii="Times New Roman" w:eastAsia="宋体" w:cs="Times New Roman" w:hAnsi="Times New Roman"/>
                <w:color w:val="auto"/>
                <w:sz w:val="24"/>
                <w:szCs w:val="24"/>
                <w:vertAlign w:val="subscript"/>
                <w:lang w:val="en-US" w:eastAsia="zh-CN"/>
              </w:rPr>
              <w:t>3</w:t>
            </w:r>
            <w:r>
              <w:rPr>
                <w:rFonts w:ascii="Times New Roman" w:eastAsia="宋体" w:cs="Times New Roman" w:hAnsi="Times New Roman"/>
                <w:color w:val="auto"/>
                <w:sz w:val="24"/>
                <w:szCs w:val="24"/>
                <w:lang w:val="en-US" w:eastAsia="zh-CN"/>
              </w:rPr>
              <w:t>-N</w:t>
            </w:r>
            <w:r>
              <w:rPr>
                <w:rFonts w:cs="Times New Roman" w:hint="eastAsia"/>
                <w:color w:val="auto"/>
                <w:sz w:val="24"/>
                <w:szCs w:val="24"/>
                <w:lang w:val="en-US" w:eastAsia="zh-CN"/>
              </w:rPr>
              <w:t>：</w:t>
            </w:r>
            <w:r>
              <w:rPr>
                <w:rFonts w:ascii="Times New Roman" w:eastAsia="宋体" w:cs="Times New Roman" w:hAnsi="Times New Roman"/>
                <w:color w:val="auto"/>
                <w:sz w:val="24"/>
                <w:szCs w:val="24"/>
                <w:lang w:val="en-US" w:eastAsia="zh-CN"/>
              </w:rPr>
              <w:t>废气：颗粒物</w:t>
            </w:r>
          </w:p>
          <w:p>
            <w:pPr>
              <w:numPr>
                <w:ilvl w:val="0"/>
                <w:numId w:val="44"/>
              </w:numPr>
              <w:bidi w:val="0"/>
              <w:spacing w:line="360" w:lineRule="auto"/>
              <w:ind w:left="0" w:firstLine="0"/>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污染物总量指标</w:t>
            </w:r>
          </w:p>
          <w:p>
            <w:pPr>
              <w:numPr>
                <w:ilvl w:val="0"/>
                <w:numId w:val="45"/>
              </w:numPr>
              <w:bidi w:val="0"/>
              <w:spacing w:line="360" w:lineRule="auto"/>
              <w:ind w:left="0" w:firstLineChars="200" w:firstLine="480"/>
              <w:rPr>
                <w:rFonts w:ascii="Times New Roman" w:eastAsia="宋体" w:cs="Times New Roman" w:hAnsi="Times New Roman"/>
                <w:b/>
                <w:bCs/>
                <w:color w:val="auto"/>
                <w:sz w:val="24"/>
                <w:szCs w:val="24"/>
                <w:lang w:val="en-US" w:eastAsia="zh-CN"/>
              </w:rPr>
            </w:pPr>
            <w:r>
              <w:rPr>
                <w:rFonts w:ascii="Times New Roman" w:eastAsia="宋体" w:cs="Times New Roman" w:hAnsi="Times New Roman"/>
                <w:b/>
                <w:bCs/>
                <w:color w:val="auto"/>
                <w:sz w:val="24"/>
                <w:szCs w:val="24"/>
                <w:lang w:val="en-US" w:eastAsia="zh-CN"/>
              </w:rPr>
              <w:t>废水</w:t>
            </w:r>
          </w:p>
          <w:p>
            <w:pPr>
              <w:bidi w:val="0"/>
              <w:spacing w:line="360" w:lineRule="auto"/>
              <w:ind w:left="0" w:firstLineChars="200" w:firstLine="480"/>
              <w:rPr>
                <w:rFonts w:cs="Times New Roman" w:hint="eastAsia"/>
                <w:color w:val="auto"/>
                <w:sz w:val="24"/>
                <w:szCs w:val="24"/>
                <w:lang w:val="en-US" w:eastAsia="zh-CN"/>
              </w:rPr>
            </w:pPr>
            <w:r>
              <w:rPr>
                <w:rFonts w:ascii="Times New Roman" w:eastAsia="宋体" w:cs="Times New Roman" w:hAnsi="Times New Roman"/>
                <w:color w:val="auto"/>
                <w:sz w:val="24"/>
                <w:szCs w:val="24"/>
                <w:lang w:val="en-US" w:eastAsia="zh-CN"/>
              </w:rPr>
              <w:t>根据本项目的排污特征，运营期废水排入</w:t>
            </w:r>
            <w:r>
              <w:rPr>
                <w:rFonts w:cs="Times New Roman" w:hint="eastAsia"/>
                <w:color w:val="auto"/>
                <w:sz w:val="24"/>
                <w:szCs w:val="24"/>
                <w:lang w:val="en-US" w:eastAsia="zh-CN"/>
              </w:rPr>
              <w:t>大英县工业污水处理厂</w:t>
            </w:r>
            <w:r>
              <w:rPr>
                <w:rFonts w:ascii="Times New Roman" w:eastAsia="宋体" w:cs="Times New Roman" w:hAnsi="Times New Roman"/>
                <w:color w:val="auto"/>
                <w:sz w:val="24"/>
                <w:szCs w:val="24"/>
                <w:lang w:val="en-US" w:eastAsia="zh-CN"/>
              </w:rPr>
              <w:t>，污染物总量纳入污水处理厂总量指标控制管理，CODcr和氨氮总量在污水处理厂总量中进行平衡</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不再单独申请</w:t>
            </w:r>
            <w:r>
              <w:rPr>
                <w:rFonts w:cs="Times New Roman" w:hint="eastAsia"/>
                <w:color w:val="auto"/>
                <w:sz w:val="24"/>
                <w:szCs w:val="24"/>
                <w:lang w:val="en-US" w:eastAsia="zh-CN"/>
              </w:rPr>
              <w:t>。结合本项目编制情况，采用排放标准法进行计算：</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企业排口：</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COD：153.0t/a×500mg/L/1000/1000≈0.077 t/a</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NH</w:t>
            </w:r>
            <w:r>
              <w:rPr>
                <w:rFonts w:cs="Times New Roman" w:hint="eastAsia"/>
                <w:color w:val="auto"/>
                <w:sz w:val="24"/>
                <w:szCs w:val="24"/>
                <w:vertAlign w:val="subscript"/>
                <w:lang w:val="en-US" w:eastAsia="zh-CN"/>
              </w:rPr>
              <w:t>3</w:t>
            </w:r>
            <w:r>
              <w:rPr>
                <w:rFonts w:cs="Times New Roman" w:hint="eastAsia"/>
                <w:color w:val="auto"/>
                <w:sz w:val="24"/>
                <w:szCs w:val="24"/>
                <w:lang w:val="en-US" w:eastAsia="zh-CN"/>
              </w:rPr>
              <w:t>-N：153.0t/a×45mg/L/1000/1000≈0.0078t/a</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污水处理厂排口：</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COD：153.0t/a×20mg/L/1000/1000≈0.0031</w:t>
              <w:tab/>
              <w:t>t/a</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NH</w:t>
            </w:r>
            <w:r>
              <w:rPr>
                <w:rFonts w:cs="Times New Roman" w:hint="eastAsia"/>
                <w:color w:val="auto"/>
                <w:sz w:val="24"/>
                <w:szCs w:val="24"/>
                <w:vertAlign w:val="subscript"/>
                <w:lang w:val="en-US" w:eastAsia="zh-CN"/>
              </w:rPr>
              <w:t>3</w:t>
            </w:r>
            <w:r>
              <w:rPr>
                <w:rFonts w:cs="Times New Roman" w:hint="eastAsia"/>
                <w:color w:val="auto"/>
                <w:sz w:val="24"/>
                <w:szCs w:val="24"/>
                <w:lang w:val="en-US" w:eastAsia="zh-CN"/>
              </w:rPr>
              <w:t>-N：153.0t/a×1.0mg/L/1000/1000≈0.0002t/a</w:t>
            </w:r>
          </w:p>
          <w:p>
            <w:pPr>
              <w:numPr>
                <w:ilvl w:val="0"/>
                <w:numId w:val="45"/>
              </w:numPr>
              <w:bidi w:val="0"/>
              <w:spacing w:line="360" w:lineRule="auto"/>
              <w:ind w:left="0"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b/>
                <w:bCs/>
                <w:color w:val="auto"/>
                <w:sz w:val="24"/>
                <w:szCs w:val="24"/>
                <w:lang w:val="en-US" w:eastAsia="zh-CN"/>
              </w:rPr>
              <w:t>废气</w:t>
            </w:r>
          </w:p>
          <w:p>
            <w:pPr>
              <w:bidi w:val="0"/>
              <w:spacing w:line="360" w:lineRule="auto"/>
              <w:ind w:left="0" w:firstLineChars="200" w:firstLine="480"/>
              <w:rPr>
                <w:rFonts w:cs="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本项目废气总量指标按工程分析预测排放量进行核算</w:t>
            </w:r>
            <w:r>
              <w:rPr>
                <w:rFonts w:cs="Times New Roman" w:hint="eastAsia"/>
                <w:color w:val="auto"/>
                <w:sz w:val="24"/>
                <w:szCs w:val="24"/>
                <w:lang w:val="en-US" w:eastAsia="zh-CN"/>
              </w:rPr>
              <w:t>：</w:t>
            </w:r>
          </w:p>
          <w:p>
            <w:pPr>
              <w:bidi w:val="0"/>
              <w:spacing w:line="360" w:lineRule="auto"/>
              <w:ind w:left="0" w:firstLineChars="200" w:firstLine="480"/>
              <w:rPr>
                <w:rFonts w:cs="Times New Roman"/>
                <w:color w:val="auto"/>
                <w:sz w:val="24"/>
                <w:szCs w:val="24"/>
                <w:lang w:val="en-US" w:eastAsia="zh-CN"/>
              </w:rPr>
            </w:pPr>
            <w:r>
              <w:rPr>
                <w:rFonts w:cs="Times New Roman" w:hint="eastAsia"/>
                <w:color w:val="auto"/>
                <w:sz w:val="24"/>
                <w:szCs w:val="24"/>
                <w:lang w:val="en-US" w:eastAsia="zh-CN"/>
              </w:rPr>
              <w:t>粉尘（颗粒物）：</w:t>
            </w:r>
            <w:r>
              <w:rPr>
                <w:rFonts w:ascii="Times New Roman" w:eastAsia="宋体" w:cs="Times New Roman" w:hAnsi="Times New Roman" w:hint="eastAsia"/>
                <w:color w:val="auto"/>
                <w:sz w:val="24"/>
                <w:szCs w:val="24"/>
                <w:lang w:val="en-US" w:eastAsia="zh-CN"/>
              </w:rPr>
              <w:t>有组织</w:t>
            </w:r>
            <w:r>
              <w:rPr>
                <w:rFonts w:cs="Times New Roman" w:hint="eastAsia"/>
                <w:color w:val="auto"/>
                <w:sz w:val="24"/>
                <w:szCs w:val="24"/>
                <w:lang w:val="en-US" w:eastAsia="zh-CN"/>
              </w:rPr>
              <w:t>：1.422</w:t>
            </w:r>
            <w:r>
              <w:rPr>
                <w:rFonts w:ascii="Times New Roman" w:cs="Times New Roman" w:hAnsi="Times New Roman"/>
                <w:color w:val="auto"/>
                <w:sz w:val="24"/>
                <w:szCs w:val="24"/>
                <w:lang w:val="en-US" w:eastAsia="zh-CN"/>
              </w:rPr>
              <w:t>×</w:t>
            </w:r>
            <w:r>
              <w:rPr>
                <w:rFonts w:cs="Times New Roman" w:hint="eastAsia"/>
                <w:color w:val="auto"/>
                <w:sz w:val="24"/>
                <w:szCs w:val="24"/>
                <w:lang w:val="en-US" w:eastAsia="zh-CN"/>
              </w:rPr>
              <w:t>0.9</w:t>
            </w:r>
            <w:r>
              <w:rPr>
                <w:rFonts w:ascii="Times New Roman" w:cs="Times New Roman" w:hAnsi="Times New Roman"/>
                <w:color w:val="auto"/>
                <w:sz w:val="24"/>
                <w:szCs w:val="24"/>
                <w:lang w:val="en-US" w:eastAsia="zh-CN"/>
              </w:rPr>
              <w:t>×</w:t>
            </w:r>
            <w:r>
              <w:rPr>
                <w:rFonts w:cs="Times New Roman" w:hint="eastAsia"/>
                <w:color w:val="auto"/>
                <w:sz w:val="24"/>
                <w:szCs w:val="24"/>
                <w:lang w:val="en-US" w:eastAsia="zh-CN"/>
              </w:rPr>
              <w:t>5%≈0.064t/a</w:t>
            </w:r>
          </w:p>
          <w:p>
            <w:pPr>
              <w:bidi w:val="0"/>
              <w:spacing w:line="360" w:lineRule="auto"/>
              <w:ind w:left="0" w:firstLineChars="200" w:firstLine="480"/>
              <w:rPr>
                <w:rFonts w:cs="Times New Roman"/>
                <w:color w:val="auto"/>
                <w:sz w:val="24"/>
                <w:szCs w:val="24"/>
                <w:lang w:val="en-US" w:eastAsia="zh-CN"/>
              </w:rPr>
            </w:pPr>
            <w:r>
              <w:rPr>
                <w:rFonts w:ascii="Times New Roman" w:eastAsia="宋体" w:cs="Times New Roman" w:hAnsi="Times New Roman" w:hint="eastAsia"/>
                <w:color w:val="auto"/>
                <w:sz w:val="24"/>
                <w:szCs w:val="24"/>
                <w:lang w:val="en-US" w:eastAsia="zh-CN"/>
              </w:rPr>
              <w:t>无组织</w:t>
            </w:r>
            <w:r>
              <w:rPr>
                <w:rFonts w:cs="Times New Roman" w:hint="eastAsia"/>
                <w:color w:val="auto"/>
                <w:sz w:val="24"/>
                <w:szCs w:val="24"/>
                <w:lang w:val="en-US" w:eastAsia="zh-CN"/>
              </w:rPr>
              <w:t>：1.422</w:t>
            </w:r>
            <w:r>
              <w:rPr>
                <w:rFonts w:ascii="Times New Roman" w:cs="Times New Roman" w:hAnsi="Times New Roman"/>
                <w:color w:val="auto"/>
                <w:sz w:val="24"/>
                <w:szCs w:val="24"/>
                <w:lang w:val="en-US" w:eastAsia="zh-CN"/>
              </w:rPr>
              <w:t>×</w:t>
            </w:r>
            <w:r>
              <w:rPr>
                <w:rFonts w:cs="Times New Roman" w:hint="eastAsia"/>
                <w:color w:val="auto"/>
                <w:sz w:val="24"/>
                <w:szCs w:val="24"/>
                <w:lang w:val="en-US" w:eastAsia="zh-CN"/>
              </w:rPr>
              <w:t>0.1≈0.142</w:t>
            </w:r>
            <w:r>
              <w:rPr>
                <w:rFonts w:cs="Times New Roman" w:hint="eastAsia"/>
                <w:b w:val="0"/>
                <w:bCs w:val="0"/>
                <w:color w:val="auto"/>
                <w:sz w:val="24"/>
                <w:szCs w:val="24"/>
                <w:lang w:val="en-US" w:eastAsia="zh-CN"/>
              </w:rPr>
              <w:t>t</w:t>
            </w:r>
            <w:r>
              <w:rPr>
                <w:rFonts w:ascii="Times New Roman" w:eastAsia="宋体" w:cs="Times New Roman" w:hAnsi="Times New Roman" w:hint="eastAsia"/>
                <w:b w:val="0"/>
                <w:bCs w:val="0"/>
                <w:color w:val="auto"/>
                <w:sz w:val="24"/>
                <w:szCs w:val="24"/>
                <w:lang w:val="en-US" w:eastAsia="zh-CN"/>
              </w:rPr>
              <w:t>/a</w:t>
            </w:r>
          </w:p>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cs="Times New Roman" w:hint="eastAsia"/>
                <w:color w:val="auto"/>
                <w:sz w:val="24"/>
                <w:szCs w:val="24"/>
                <w:lang w:val="en-US" w:eastAsia="zh-CN"/>
              </w:rPr>
              <w:t>总</w:t>
            </w:r>
            <w:r>
              <w:rPr>
                <w:rFonts w:ascii="Times New Roman" w:eastAsia="宋体" w:cs="Times New Roman" w:hAnsi="Times New Roman" w:hint="eastAsia"/>
                <w:color w:val="auto"/>
                <w:sz w:val="24"/>
                <w:szCs w:val="24"/>
                <w:lang w:val="en-US" w:eastAsia="zh-CN"/>
              </w:rPr>
              <w:t>排放量</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有组织</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无组织</w:t>
            </w:r>
            <w:r>
              <w:rPr>
                <w:rFonts w:cs="Times New Roman" w:hint="eastAsia"/>
                <w:color w:val="auto"/>
                <w:sz w:val="24"/>
                <w:szCs w:val="24"/>
                <w:lang w:val="en-US" w:eastAsia="zh-CN"/>
              </w:rPr>
              <w:t>）：</w:t>
            </w:r>
            <w:r>
              <w:rPr>
                <w:rFonts w:cs="Times New Roman" w:hint="eastAsia"/>
                <w:b w:val="0"/>
                <w:bCs w:val="0"/>
                <w:color w:val="auto"/>
                <w:sz w:val="24"/>
                <w:szCs w:val="24"/>
                <w:vertAlign w:val="baseline"/>
                <w:lang w:val="en-US" w:eastAsia="zh-CN"/>
              </w:rPr>
              <w:t>0.206</w:t>
            </w:r>
            <w:r>
              <w:rPr>
                <w:rFonts w:cs="Times New Roman" w:hint="eastAsia"/>
                <w:b w:val="0"/>
                <w:bCs w:val="0"/>
                <w:color w:val="auto"/>
                <w:sz w:val="24"/>
                <w:szCs w:val="24"/>
                <w:lang w:val="en-US" w:eastAsia="zh-CN"/>
              </w:rPr>
              <w:t>t</w:t>
            </w:r>
            <w:r>
              <w:rPr>
                <w:rFonts w:ascii="Times New Roman" w:eastAsia="宋体" w:cs="Times New Roman" w:hAnsi="Times New Roman" w:hint="eastAsia"/>
                <w:b w:val="0"/>
                <w:bCs w:val="0"/>
                <w:color w:val="auto"/>
                <w:sz w:val="24"/>
                <w:szCs w:val="24"/>
                <w:lang w:val="en-US" w:eastAsia="zh-CN"/>
              </w:rPr>
              <w:t>/a；</w:t>
            </w:r>
          </w:p>
          <w:p>
            <w:pPr>
              <w:bidi w:val="0"/>
              <w:spacing w:line="360" w:lineRule="auto"/>
              <w:ind w:left="0" w:firstLineChars="200" w:firstLine="480"/>
              <w:rPr>
                <w:rFonts w:ascii="Times New Roman" w:eastAsia="宋体" w:cs="Times New Roman" w:hAnsi="Times New Roman" w:hint="eastAsia"/>
                <w:b w:val="0"/>
                <w:bCs w:val="0"/>
                <w:color w:val="auto"/>
                <w:sz w:val="24"/>
                <w:szCs w:val="24"/>
                <w:lang w:val="en-US" w:eastAsia="zh-CN"/>
              </w:rPr>
            </w:pPr>
            <w:r>
              <w:rPr>
                <w:rFonts w:ascii="Times New Roman" w:eastAsia="宋体" w:cs="Times New Roman" w:hAnsi="Times New Roman" w:hint="eastAsia"/>
                <w:b w:val="0"/>
                <w:bCs w:val="0"/>
                <w:color w:val="auto"/>
                <w:sz w:val="24"/>
                <w:szCs w:val="24"/>
                <w:lang w:val="en-US" w:eastAsia="zh-CN"/>
              </w:rPr>
              <w:t>则本项目总量控制指标及建议量如下</w:t>
            </w:r>
            <w:r>
              <w:rPr>
                <w:rFonts w:cs="Times New Roman" w:hint="eastAsia"/>
                <w:b w:val="0"/>
                <w:bCs w:val="0"/>
                <w:color w:val="auto"/>
                <w:sz w:val="24"/>
                <w:szCs w:val="24"/>
                <w:lang w:val="en-US" w:eastAsia="zh-CN"/>
              </w:rPr>
              <w:t>：</w:t>
            </w:r>
          </w:p>
          <w:p>
            <w:pPr>
              <w:bidi w:val="0"/>
              <w:spacing w:line="360" w:lineRule="auto"/>
              <w:jc w:val="center"/>
              <w:rPr>
                <w:rFonts w:ascii="Times New Roman" w:eastAsia="宋体" w:cs="Times New Roman" w:hAnsi="Times New Roman" w:hint="eastAsia"/>
                <w:b/>
                <w:bCs/>
                <w:color w:val="auto"/>
                <w:sz w:val="21"/>
                <w:szCs w:val="21"/>
                <w:lang w:val="en-US" w:eastAsia="zh-CN"/>
              </w:rPr>
            </w:pPr>
            <w:r>
              <w:rPr>
                <w:rFonts w:ascii="Times New Roman" w:eastAsia="宋体" w:cs="Times New Roman" w:hAnsi="Times New Roman" w:hint="eastAsia"/>
                <w:b/>
                <w:bCs/>
                <w:color w:val="auto"/>
                <w:sz w:val="21"/>
                <w:szCs w:val="21"/>
                <w:lang w:val="en-US" w:eastAsia="zh-CN"/>
              </w:rPr>
              <w:t>表3-</w:t>
            </w:r>
            <w:r>
              <w:rPr>
                <w:rFonts w:cs="Times New Roman" w:hint="eastAsia"/>
                <w:b/>
                <w:bCs/>
                <w:color w:val="auto"/>
                <w:sz w:val="21"/>
                <w:szCs w:val="21"/>
                <w:lang w:val="en-US" w:eastAsia="zh-CN"/>
              </w:rPr>
              <w:t>11</w:t>
            </w:r>
            <w:r>
              <w:rPr>
                <w:rFonts w:ascii="Times New Roman" w:eastAsia="宋体" w:cs="Times New Roman" w:hAnsi="Times New Roman" w:hint="eastAsia"/>
                <w:b/>
                <w:bCs/>
                <w:color w:val="auto"/>
                <w:sz w:val="21"/>
                <w:szCs w:val="21"/>
                <w:lang w:val="en-US" w:eastAsia="zh-CN"/>
              </w:rPr>
              <w:t xml:space="preserve"> 项目</w:t>
            </w:r>
            <w:r>
              <w:rPr>
                <w:rFonts w:cs="Times New Roman" w:hint="eastAsia"/>
                <w:b/>
                <w:bCs/>
                <w:color w:val="auto"/>
                <w:sz w:val="21"/>
                <w:szCs w:val="21"/>
                <w:lang w:val="en-US" w:eastAsia="zh-CN"/>
              </w:rPr>
              <w:t>废气污染物</w:t>
            </w:r>
            <w:r>
              <w:rPr>
                <w:rFonts w:ascii="Times New Roman" w:eastAsia="宋体" w:cs="Times New Roman" w:hAnsi="Times New Roman" w:hint="eastAsia"/>
                <w:b/>
                <w:bCs/>
                <w:color w:val="auto"/>
                <w:sz w:val="21"/>
                <w:szCs w:val="21"/>
                <w:lang w:val="en-US" w:eastAsia="zh-CN"/>
              </w:rPr>
              <w:t>总量控制指标</w:t>
            </w:r>
          </w:p>
          <w:tbl>
            <w:tblPr>
              <w:jc w:val="left"/>
              <w:tblInd w:w="0" w:type="dxa"/>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00"/>
              <w:gridCol w:w="3255"/>
              <w:gridCol w:w="1208"/>
              <w:gridCol w:w="2301"/>
            </w:tblGrid>
            <w:tr>
              <w:trPr>
                <w:trHeight w:val="98"/>
              </w:trPr>
              <w:tc>
                <w:tcPr>
                  <w:tcW w:w="956"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类别</w:t>
                  </w:r>
                </w:p>
              </w:tc>
              <w:tc>
                <w:tcPr>
                  <w:tcW w:w="1945"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污染物名称</w:t>
                  </w:r>
                </w:p>
              </w:tc>
              <w:tc>
                <w:tcPr>
                  <w:tcW w:w="722"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单位</w:t>
                  </w:r>
                </w:p>
              </w:tc>
              <w:tc>
                <w:tcPr>
                  <w:tcW w:w="1375" w:type="pct"/>
                  <w:noWrap/>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建议指标</w:t>
                  </w:r>
                </w:p>
              </w:tc>
            </w:tr>
            <w:tr>
              <w:trPr>
                <w:trHeight w:val="90"/>
              </w:trPr>
              <w:tc>
                <w:tcPr>
                  <w:tcW w:w="956"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大气污染物</w:t>
                  </w:r>
                </w:p>
              </w:tc>
              <w:tc>
                <w:tcPr>
                  <w:tcW w:w="1945" w:type="pct"/>
                  <w:tcBorders>
                    <w:top w:val="single" w:sz="4" w:space="0" w:color="auto"/>
                    <w:left w:val="single" w:sz="4" w:space="0" w:color="auto"/>
                    <w:right w:val="single" w:sz="4" w:space="0" w:color="auto"/>
                  </w:tcBorders>
                  <w:noWrap/>
                  <w:vAlign w:val="center"/>
                </w:tcPr>
                <w:p>
                  <w:pPr>
                    <w:spacing w:line="240" w:lineRule="auto"/>
                    <w:ind w:left="0" w:firstLine="0"/>
                    <w:jc w:val="center"/>
                    <w:rPr>
                      <w:rFonts w:ascii="Times New Roman" w:eastAsia="宋体" w:cs="Times New Roman" w:hAnsi="Times New Roman"/>
                      <w:b w:val="0"/>
                      <w:bCs w:val="0"/>
                      <w:color w:val="auto"/>
                      <w:sz w:val="21"/>
                      <w:szCs w:val="21"/>
                      <w:vertAlign w:val="baseline"/>
                      <w:lang w:val="en-US" w:eastAsia="zh-CN"/>
                    </w:rPr>
                  </w:pPr>
                  <w:r>
                    <w:rPr>
                      <w:rFonts w:ascii="Times New Roman" w:eastAsia="宋体" w:cs="Times New Roman" w:hAnsi="Times New Roman" w:hint="eastAsia"/>
                      <w:b w:val="0"/>
                      <w:bCs w:val="0"/>
                      <w:color w:val="auto"/>
                      <w:kern w:val="28"/>
                      <w:sz w:val="21"/>
                      <w:szCs w:val="21"/>
                      <w:vertAlign w:val="baseline"/>
                      <w:lang w:val="en-US" w:eastAsia="zh-CN"/>
                    </w:rPr>
                    <w:t>颗粒物</w:t>
                  </w:r>
                </w:p>
              </w:tc>
              <w:tc>
                <w:tcPr>
                  <w:tcW w:w="722"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t/a</w:t>
                  </w:r>
                </w:p>
              </w:tc>
              <w:tc>
                <w:tcPr>
                  <w:tcW w:w="1375" w:type="pct"/>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val="0"/>
                      <w:bCs w:val="0"/>
                      <w:color w:val="auto"/>
                      <w:sz w:val="21"/>
                      <w:szCs w:val="21"/>
                      <w:vertAlign w:val="baseline"/>
                      <w:lang w:val="en-US" w:eastAsia="zh-CN"/>
                    </w:rPr>
                  </w:pPr>
                  <w:r>
                    <w:rPr>
                      <w:rFonts w:cs="Times New Roman" w:hint="eastAsia"/>
                      <w:i w:val="0"/>
                      <w:iCs w:val="0"/>
                      <w:color w:val="auto"/>
                      <w:kern w:val="0"/>
                      <w:sz w:val="21"/>
                      <w:szCs w:val="21"/>
                      <w:u w:val="none"/>
                      <w:lang w:val="en-US" w:eastAsia="zh-CN"/>
                    </w:rPr>
                    <w:t>0.206</w:t>
                  </w:r>
                </w:p>
              </w:tc>
            </w:tr>
          </w:tbl>
          <w:p>
            <w:pPr>
              <w:bidi w:val="0"/>
              <w:spacing w:line="360" w:lineRule="auto"/>
              <w:jc w:val="both"/>
              <w:rPr>
                <w:rFonts w:ascii="Times New Roman" w:eastAsia="宋体" w:cs="Times New Roman" w:hAnsi="Times New Roman"/>
                <w:color w:val="auto"/>
                <w:sz w:val="24"/>
                <w:szCs w:val="24"/>
                <w:lang w:val="en-US" w:eastAsia="zh-CN"/>
              </w:rPr>
            </w:pPr>
          </w:p>
        </w:tc>
      </w:tr>
    </w:tbl>
    <w:p>
      <w:pPr>
        <w:spacing w:line="360" w:lineRule="auto"/>
        <w:rPr>
          <w:rFonts w:ascii="Times New Roman" w:eastAsia="宋体" w:cs="Times New Roman" w:hAnsi="Times New Roman"/>
          <w:b/>
          <w:bCs/>
          <w:color w:val="auto"/>
          <w:kern w:val="28"/>
          <w:sz w:val="28"/>
          <w:szCs w:val="28"/>
        </w:rPr>
        <w:sectPr>
          <w:pgSz w:w="11906" w:h="16838"/>
          <w:pgMar w:top="1587" w:right="1247" w:bottom="1587" w:left="1247" w:header="851" w:footer="992" w:gutter="0"/>
          <w:pgNumType/>
          <w:rtlGutter/>
          <w:docGrid w:type="lines" w:linePitch="312" w:charSpace="0"/>
        </w:sectPr>
      </w:pPr>
    </w:p>
    <w:p>
      <w:pPr>
        <w:spacing w:line="360" w:lineRule="auto"/>
        <w:jc w:val="center"/>
        <w:rPr>
          <w:rFonts w:ascii="Times New Roman" w:eastAsia="宋体" w:cs="Times New Roman" w:hAnsi="Times New Roman"/>
          <w:b/>
          <w:bCs/>
          <w:color w:val="auto"/>
          <w:kern w:val="28"/>
          <w:sz w:val="28"/>
          <w:szCs w:val="28"/>
        </w:rPr>
      </w:pPr>
      <w:r>
        <w:rPr>
          <w:rFonts w:ascii="Times New Roman" w:eastAsia="宋体" w:cs="Times New Roman" w:hAnsi="Times New Roman" w:hint="eastAsia"/>
          <w:b/>
          <w:bCs/>
          <w:color w:val="auto"/>
          <w:kern w:val="28"/>
          <w:sz w:val="28"/>
          <w:szCs w:val="28"/>
          <w:lang w:val="en-US" w:eastAsia="zh-CN"/>
        </w:rPr>
        <w:t>四</w:t>
      </w:r>
      <w:r>
        <w:rPr>
          <w:rFonts w:cs="Times New Roman" w:hint="eastAsia"/>
          <w:b/>
          <w:bCs/>
          <w:color w:val="auto"/>
          <w:kern w:val="28"/>
          <w:sz w:val="28"/>
          <w:szCs w:val="28"/>
          <w:lang w:val="en-US" w:eastAsia="zh-CN"/>
        </w:rPr>
        <w:t>、</w:t>
      </w:r>
      <w:r>
        <w:rPr>
          <w:rFonts w:ascii="Times New Roman" w:eastAsia="宋体" w:cs="Times New Roman" w:hAnsi="Times New Roman" w:hint="eastAsia"/>
          <w:b/>
          <w:bCs/>
          <w:color w:val="auto"/>
          <w:kern w:val="28"/>
          <w:sz w:val="28"/>
          <w:szCs w:val="28"/>
          <w:lang w:val="en-US" w:eastAsia="zh-CN"/>
        </w:rPr>
        <w:t>主要环境影响和保护措施</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16"/>
        <w:gridCol w:w="8539"/>
      </w:tblGrid>
      <w:tr>
        <w:trPr>
          <w:trHeight w:val="90"/>
        </w:trPr>
        <w:tc>
          <w:tcPr>
            <w:tcW w:w="1116" w:type="dxa"/>
            <w:noWrap/>
            <w:vAlign w:val="center"/>
          </w:tcPr>
          <w:p>
            <w:pPr>
              <w:bidi w:val="0"/>
              <w:spacing w:line="360" w:lineRule="auto"/>
              <w:jc w:val="center"/>
              <w:rPr>
                <w:rFonts w:ascii="Times New Roman" w:eastAsia="宋体" w:cs="Times New Roman" w:hAnsi="Times New Roman"/>
                <w:sz w:val="24"/>
                <w:szCs w:val="24"/>
                <w:lang w:val="en-US" w:eastAsia="zh-CN"/>
              </w:rPr>
            </w:pPr>
            <w:r>
              <w:rPr>
                <w:rFonts w:ascii="Times New Roman" w:eastAsia="宋体" w:cs="Times New Roman" w:hAnsi="Times New Roman"/>
                <w:b/>
                <w:bCs/>
                <w:sz w:val="24"/>
                <w:szCs w:val="24"/>
                <w:lang w:val="en-US" w:eastAsia="zh-CN"/>
              </w:rPr>
              <w:t>施工期环境保护措施</w:t>
            </w:r>
          </w:p>
        </w:tc>
        <w:tc>
          <w:tcPr>
            <w:tcW w:w="8539" w:type="dxa"/>
            <w:noWrap/>
            <w:vAlign w:val="center"/>
          </w:tcPr>
          <w:p>
            <w:pPr>
              <w:spacing w:line="360" w:lineRule="auto"/>
              <w:ind w:left="0" w:firstLineChars="200" w:firstLine="480"/>
              <w:jc w:val="both"/>
              <w:rPr>
                <w:rFonts w:ascii="Times New Roman" w:eastAsia="宋体" w:cs="Times New Roman" w:hAnsi="Times New Roman"/>
                <w:sz w:val="24"/>
                <w:szCs w:val="24"/>
                <w:lang w:val="en-US" w:eastAsia="zh-CN"/>
              </w:rPr>
            </w:pPr>
            <w:r>
              <w:rPr>
                <w:rFonts w:ascii="Times New Roman" w:eastAsia="宋体" w:cs="Times New Roman" w:hAnsi="Times New Roman" w:hint="eastAsia"/>
                <w:b w:val="0"/>
                <w:bCs w:val="0"/>
                <w:sz w:val="24"/>
                <w:szCs w:val="24"/>
                <w:lang w:val="en-US" w:eastAsia="zh-CN"/>
              </w:rPr>
              <w:t>本项目</w:t>
            </w:r>
            <w:r>
              <w:rPr>
                <w:rFonts w:cs="Times New Roman" w:hint="eastAsia"/>
                <w:b w:val="0"/>
                <w:bCs w:val="0"/>
                <w:sz w:val="24"/>
                <w:szCs w:val="24"/>
                <w:lang w:val="en-US" w:eastAsia="zh-CN"/>
              </w:rPr>
              <w:t>租赁</w:t>
            </w:r>
            <w:r>
              <w:rPr>
                <w:rFonts w:ascii="Times New Roman" w:eastAsia="宋体" w:cs="Times New Roman" w:hAnsi="Times New Roman" w:hint="eastAsia"/>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cs="Times New Roman" w:hint="eastAsia"/>
                <w:b w:val="0"/>
                <w:bCs w:val="0"/>
                <w:sz w:val="24"/>
                <w:szCs w:val="24"/>
                <w:lang w:val="en-US" w:eastAsia="zh-CN"/>
              </w:rPr>
              <w:t>明显</w:t>
            </w:r>
            <w:r>
              <w:rPr>
                <w:rFonts w:ascii="Times New Roman" w:eastAsia="宋体" w:cs="Times New Roman" w:hAnsi="Times New Roman" w:hint="eastAsia"/>
                <w:b w:val="0"/>
                <w:bCs w:val="0"/>
                <w:sz w:val="24"/>
                <w:szCs w:val="24"/>
                <w:lang w:val="en-US" w:eastAsia="zh-CN"/>
              </w:rPr>
              <w:t>施工期环境影响，故本次评价不对施工期进行环境影响评价。</w:t>
            </w:r>
          </w:p>
        </w:tc>
      </w:tr>
      <w:tr>
        <w:trPr>
          <w:trHeight w:val="90"/>
        </w:trPr>
        <w:tc>
          <w:tcPr>
            <w:tcW w:w="1116" w:type="dxa"/>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sz w:val="24"/>
                <w:szCs w:val="24"/>
                <w:lang w:val="en-US" w:eastAsia="zh-CN"/>
              </w:rPr>
            </w:pPr>
            <w:r>
              <w:rPr>
                <w:rFonts w:ascii="Times New Roman" w:eastAsia="宋体" w:cs="Times New Roman" w:hAnsi="Times New Roman"/>
                <w:b/>
                <w:bCs/>
                <w:sz w:val="24"/>
                <w:szCs w:val="24"/>
                <w:lang w:val="en-US" w:eastAsia="zh-CN"/>
              </w:rPr>
              <w:t>运营期环境影响和保护措施</w:t>
            </w:r>
          </w:p>
        </w:tc>
        <w:tc>
          <w:tcPr>
            <w:tcW w:w="8539" w:type="dxa"/>
            <w:tcBorders>
              <w:top w:val="single" w:sz="4" w:space="0" w:color="auto"/>
              <w:left w:val="single" w:sz="4" w:space="0" w:color="auto"/>
              <w:right w:val="single" w:sz="4" w:space="0" w:color="auto"/>
            </w:tcBorders>
            <w:noWrap/>
            <w:vAlign w:val="center"/>
          </w:tcPr>
          <w:p>
            <w:pPr>
              <w:numPr>
                <w:ilvl w:val="0"/>
                <w:numId w:val="46"/>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营运期污染物治理及排放</w:t>
            </w:r>
          </w:p>
          <w:p>
            <w:pPr>
              <w:numPr>
                <w:ilvl w:val="0"/>
                <w:numId w:val="47"/>
              </w:numPr>
              <w:bidi w:val="0"/>
              <w:spacing w:line="360" w:lineRule="auto"/>
              <w:ind w:left="0" w:firstLineChars="200" w:firstLine="480"/>
              <w:rPr>
                <w:rFonts w:ascii="Times New Roman" w:eastAsia="宋体" w:cs="Times New Roman" w:hAnsi="Times New Roman" w:hint="eastAsia"/>
                <w:b/>
                <w:bCs/>
                <w:sz w:val="24"/>
                <w:szCs w:val="24"/>
                <w:lang w:val="en-US" w:eastAsia="zh-CN"/>
              </w:rPr>
            </w:pPr>
            <w:r>
              <w:rPr>
                <w:rFonts w:ascii="Times New Roman" w:eastAsia="宋体" w:cs="Times New Roman" w:hAnsi="Times New Roman"/>
                <w:b/>
                <w:bCs/>
                <w:sz w:val="24"/>
                <w:szCs w:val="24"/>
                <w:lang w:val="en-US" w:eastAsia="zh-CN"/>
              </w:rPr>
              <w:t>废水</w:t>
            </w:r>
          </w:p>
          <w:p>
            <w:pPr>
              <w:numPr>
                <w:ilvl w:val="0"/>
                <w:numId w:val="48"/>
              </w:numPr>
              <w:bidi w:val="0"/>
              <w:spacing w:line="360" w:lineRule="auto"/>
              <w:ind w:left="0" w:firstLineChars="200" w:firstLine="480"/>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废水类别及污染物种类</w:t>
            </w:r>
          </w:p>
          <w:p>
            <w:pPr>
              <w:bidi w:val="0"/>
              <w:spacing w:line="360" w:lineRule="auto"/>
              <w:ind w:left="0" w:firstLineChars="200" w:firstLine="480"/>
              <w:rPr>
                <w:rFonts w:cs="Times New Roman" w:hint="eastAsia"/>
                <w:sz w:val="24"/>
                <w:szCs w:val="24"/>
                <w:lang w:val="en-US" w:eastAsia="zh-CN"/>
              </w:rPr>
            </w:pPr>
            <w:r>
              <w:rPr>
                <w:rFonts w:ascii="Times New Roman" w:eastAsia="宋体" w:cs="Times New Roman" w:hAnsi="Times New Roman" w:hint="eastAsia"/>
                <w:sz w:val="24"/>
                <w:szCs w:val="24"/>
                <w:lang w:val="en-US" w:eastAsia="zh-CN"/>
              </w:rPr>
              <w:t>根据废水处理“分类收集、分质处理”的原则；</w:t>
            </w:r>
            <w:r>
              <w:rPr>
                <w:rFonts w:cs="Times New Roman" w:hint="eastAsia"/>
                <w:sz w:val="24"/>
                <w:szCs w:val="24"/>
                <w:lang w:val="en-US" w:eastAsia="zh-CN"/>
              </w:rPr>
              <w:t>本</w:t>
            </w:r>
            <w:r>
              <w:rPr>
                <w:rFonts w:ascii="Times New Roman" w:eastAsia="宋体" w:cs="Times New Roman" w:hAnsi="Times New Roman" w:hint="eastAsia"/>
                <w:sz w:val="24"/>
                <w:szCs w:val="24"/>
                <w:lang w:val="en-US" w:eastAsia="zh-CN"/>
              </w:rPr>
              <w:t>项目</w:t>
            </w:r>
            <w:r>
              <w:rPr>
                <w:rFonts w:cs="Times New Roman" w:hint="eastAsia"/>
                <w:sz w:val="24"/>
                <w:szCs w:val="24"/>
                <w:lang w:val="en-US" w:eastAsia="zh-CN"/>
              </w:rPr>
              <w:t>无</w:t>
            </w:r>
            <w:r>
              <w:rPr>
                <w:rFonts w:ascii="Times New Roman" w:eastAsia="宋体" w:cs="Times New Roman" w:hAnsi="Times New Roman" w:hint="eastAsia"/>
                <w:sz w:val="24"/>
                <w:szCs w:val="24"/>
                <w:lang w:val="en-US" w:eastAsia="zh-CN"/>
              </w:rPr>
              <w:t>生产废水</w:t>
            </w:r>
            <w:r>
              <w:rPr>
                <w:rFonts w:cs="Times New Roman" w:hint="eastAsia"/>
                <w:sz w:val="24"/>
                <w:szCs w:val="24"/>
                <w:lang w:val="en-US" w:eastAsia="zh-CN"/>
              </w:rPr>
              <w:t>外排，运营期废水主要为生活废水，产生量为153.0t/a。参照《排放源统计调查产排污核算方法和系数手册》（生态环境部公告2021年第24号）其中的《生活污染源产排污系数手册》，污水水质情况见下表表4-1。</w:t>
            </w:r>
          </w:p>
          <w:p>
            <w:pPr>
              <w:bidi w:val="0"/>
              <w:spacing w:line="360" w:lineRule="auto"/>
              <w:jc w:val="center"/>
              <w:rPr>
                <w:rFonts w:cs="Times New Roman" w:hint="eastAsia"/>
                <w:b/>
                <w:bCs/>
                <w:sz w:val="21"/>
                <w:szCs w:val="21"/>
                <w:vertAlign w:val="baseline"/>
                <w:lang w:val="en-US" w:eastAsia="zh-CN"/>
              </w:rPr>
            </w:pPr>
            <w:r>
              <w:rPr>
                <w:rFonts w:cs="Times New Roman" w:hint="eastAsia"/>
                <w:b/>
                <w:bCs/>
                <w:sz w:val="21"/>
                <w:szCs w:val="21"/>
                <w:lang w:val="en-US" w:eastAsia="zh-CN"/>
              </w:rPr>
              <w:t>表4-1 项目污水水质一览表</w:t>
            </w:r>
          </w:p>
          <w:tbl>
            <w:tblPr>
              <w:jc w:val="center"/>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c>
                <w:tcPr>
                  <w:tcW w:w="2626" w:type="dxa"/>
                  <w:gridSpan w:val="2"/>
                  <w:vAlign w:val="center"/>
                </w:tcPr>
                <w:p>
                  <w:pPr>
                    <w:bidi w:val="0"/>
                    <w:spacing w:line="240" w:lineRule="auto"/>
                    <w:jc w:val="center"/>
                    <w:rPr>
                      <w:rFonts w:cs="Times New Roman" w:hint="eastAsia"/>
                      <w:b w:val="0"/>
                      <w:bCs w:val="0"/>
                      <w:sz w:val="21"/>
                      <w:szCs w:val="21"/>
                      <w:vertAlign w:val="baseline"/>
                      <w:lang w:val="en-US" w:eastAsia="zh-CN"/>
                    </w:rPr>
                  </w:pPr>
                  <w:r>
                    <w:rPr>
                      <w:rFonts w:cs="Times New Roman" w:hint="eastAsia"/>
                      <w:b w:val="0"/>
                      <w:bCs w:val="0"/>
                      <w:sz w:val="21"/>
                      <w:szCs w:val="21"/>
                      <w:vertAlign w:val="baseline"/>
                      <w:lang w:val="en-US" w:eastAsia="zh-CN"/>
                    </w:rPr>
                    <w:t>产排污环节</w:t>
                  </w:r>
                </w:p>
              </w:tc>
              <w:tc>
                <w:tcPr>
                  <w:tcW w:w="5668" w:type="dxa"/>
                  <w:gridSpan w:val="6"/>
                  <w:vAlign w:val="center"/>
                </w:tcPr>
                <w:p>
                  <w:pPr>
                    <w:bidi w:val="0"/>
                    <w:spacing w:line="240" w:lineRule="auto"/>
                    <w:jc w:val="center"/>
                    <w:rPr>
                      <w:rFonts w:cs="Times New Roman" w:hint="eastAsia"/>
                      <w:b w:val="0"/>
                      <w:bCs w:val="0"/>
                      <w:sz w:val="21"/>
                      <w:szCs w:val="21"/>
                      <w:vertAlign w:val="baseline"/>
                      <w:lang w:val="en-US" w:eastAsia="zh-CN"/>
                    </w:rPr>
                  </w:pPr>
                  <w:r>
                    <w:rPr>
                      <w:rFonts w:hint="eastAsia"/>
                      <w:b w:val="0"/>
                      <w:bCs w:val="0"/>
                    </w:rPr>
                    <w:t>员工工作</w:t>
                  </w:r>
                </w:p>
              </w:tc>
            </w:tr>
            <w:tr>
              <w:tc>
                <w:tcPr>
                  <w:tcW w:w="2626"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sz w:val="21"/>
                      <w:szCs w:val="21"/>
                      <w:vertAlign w:val="baseline"/>
                      <w:lang w:val="en-US" w:eastAsia="zh-CN"/>
                    </w:rPr>
                  </w:pPr>
                  <w:r>
                    <w:rPr>
                      <w:rFonts w:cs="Times New Roman" w:hint="eastAsia"/>
                      <w:b w:val="0"/>
                      <w:bCs w:val="0"/>
                      <w:sz w:val="21"/>
                      <w:szCs w:val="21"/>
                      <w:vertAlign w:val="baseline"/>
                      <w:lang w:val="en-US" w:eastAsia="zh-CN"/>
                    </w:rPr>
                    <w:t>类别</w:t>
                  </w:r>
                </w:p>
              </w:tc>
              <w:tc>
                <w:tcPr>
                  <w:tcW w:w="5668"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b w:val="0"/>
                      <w:bCs w:val="0"/>
                      <w:sz w:val="21"/>
                      <w:szCs w:val="21"/>
                      <w:vertAlign w:val="baseline"/>
                      <w:lang w:val="en-US" w:eastAsia="zh-CN"/>
                    </w:rPr>
                  </w:pPr>
                  <w:r>
                    <w:rPr>
                      <w:rFonts w:cs="Times New Roman" w:hint="eastAsia"/>
                      <w:b w:val="0"/>
                      <w:bCs w:val="0"/>
                      <w:sz w:val="21"/>
                      <w:szCs w:val="21"/>
                      <w:vertAlign w:val="baseline"/>
                      <w:lang w:val="en-US" w:eastAsia="zh-CN"/>
                    </w:rPr>
                    <w:t>生活污水</w:t>
                  </w:r>
                </w:p>
              </w:tc>
            </w:tr>
            <w:tr>
              <w:tc>
                <w:tcPr>
                  <w:tcW w:w="2626" w:type="dxa"/>
                  <w:gridSpan w:val="2"/>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污染物种类</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COD</w:t>
                  </w:r>
                  <w:r>
                    <w:rPr>
                      <w:rFonts w:ascii="Times New Roman" w:eastAsia="宋体" w:cs="Times New Roman" w:hAnsi="Times New Roman"/>
                      <w:sz w:val="21"/>
                      <w:szCs w:val="21"/>
                      <w:vertAlign w:val="subscript"/>
                      <w:lang w:val="en-US" w:eastAsia="zh-CN"/>
                    </w:rPr>
                    <w:t>Cr</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BOD</w:t>
                  </w:r>
                  <w:r>
                    <w:rPr>
                      <w:rFonts w:ascii="Times New Roman" w:eastAsia="宋体" w:cs="Times New Roman" w:hAnsi="Times New Roman"/>
                      <w:sz w:val="21"/>
                      <w:szCs w:val="21"/>
                      <w:vertAlign w:val="subscript"/>
                      <w:lang w:val="en-US" w:eastAsia="zh-CN"/>
                    </w:rPr>
                    <w:t>5</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SS</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TN</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TP</w:t>
                  </w:r>
                </w:p>
              </w:tc>
              <w:tc>
                <w:tcPr>
                  <w:tcW w:w="94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NH</w:t>
                  </w:r>
                  <w:r>
                    <w:rPr>
                      <w:rFonts w:ascii="Times New Roman" w:eastAsia="宋体" w:cs="Times New Roman" w:hAnsi="Times New Roman"/>
                      <w:sz w:val="21"/>
                      <w:szCs w:val="21"/>
                      <w:vertAlign w:val="subscript"/>
                      <w:lang w:val="en-US" w:eastAsia="zh-CN"/>
                    </w:rPr>
                    <w:t>3</w:t>
                  </w:r>
                  <w:r>
                    <w:rPr>
                      <w:rFonts w:ascii="Times New Roman" w:eastAsia="宋体" w:cs="Times New Roman" w:hAnsi="Times New Roman"/>
                      <w:sz w:val="21"/>
                      <w:szCs w:val="21"/>
                      <w:vertAlign w:val="baseline"/>
                      <w:lang w:val="en-US" w:eastAsia="zh-CN"/>
                    </w:rPr>
                    <w:t>-N</w:t>
                  </w:r>
                </w:p>
              </w:tc>
            </w:tr>
            <w:tr>
              <w:tc>
                <w:tcPr>
                  <w:tcW w:w="685"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污染物</w:t>
                  </w:r>
                </w:p>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产生</w:t>
                  </w: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废水产生量（t/a</w:t>
                  </w:r>
                  <w:r>
                    <w:rPr>
                      <w:rFonts w:cs="Times New Roman" w:hint="eastAsia"/>
                      <w:sz w:val="21"/>
                      <w:szCs w:val="21"/>
                      <w:vertAlign w:val="baseline"/>
                      <w:lang w:val="en-US" w:eastAsia="zh-CN"/>
                    </w:rPr>
                    <w:t>）</w:t>
                  </w:r>
                </w:p>
              </w:tc>
              <w:tc>
                <w:tcPr>
                  <w:tcW w:w="5668" w:type="dxa"/>
                  <w:gridSpan w:val="6"/>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153.0</w:t>
                  </w:r>
                </w:p>
              </w:tc>
            </w:tr>
            <w:tr>
              <w:tc>
                <w:tcPr>
                  <w:tcW w:w="685" w:type="dxa"/>
                  <w:vMerge/>
                  <w:tcBorders>
                    <w:top w:val="single" w:sz="4" w:space="0" w:color="auto"/>
                    <w:left w:val="single" w:sz="4" w:space="0" w:color="auto"/>
                    <w:right w:val="single" w:sz="4" w:space="0" w:color="auto"/>
                  </w:tcBorders>
                  <w:vAlign w:val="center"/>
                </w:tcP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产生浓度（mg/L</w:t>
                  </w:r>
                  <w:r>
                    <w:rPr>
                      <w:rFonts w:cs="Times New Roman" w:hint="eastAsia"/>
                      <w:sz w:val="21"/>
                      <w:szCs w:val="21"/>
                      <w:vertAlign w:val="baseline"/>
                      <w:lang w:val="en-US" w:eastAsia="zh-CN"/>
                    </w:rPr>
                    <w:t>）</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285</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160</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150</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40</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4</w:t>
                  </w:r>
                </w:p>
              </w:tc>
              <w:tc>
                <w:tcPr>
                  <w:tcW w:w="94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28</w:t>
                  </w:r>
                </w:p>
              </w:tc>
            </w:tr>
            <w:tr>
              <w:tc>
                <w:tcPr>
                  <w:tcW w:w="685" w:type="dxa"/>
                  <w:vMerge/>
                  <w:tcBorders>
                    <w:top w:val="single" w:sz="4" w:space="0" w:color="auto"/>
                    <w:left w:val="single" w:sz="4" w:space="0" w:color="auto"/>
                    <w:right w:val="single" w:sz="4" w:space="0" w:color="auto"/>
                  </w:tcBorders>
                  <w:vAlign w:val="center"/>
                </w:tcP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产生量（t/a</w:t>
                  </w:r>
                  <w:r>
                    <w:rPr>
                      <w:rFonts w:cs="Times New Roman" w:hint="eastAsia"/>
                      <w:sz w:val="21"/>
                      <w:szCs w:val="21"/>
                      <w:vertAlign w:val="baseline"/>
                      <w:lang w:val="en-US" w:eastAsia="zh-CN"/>
                    </w:rPr>
                    <w:t>）</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0.044</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0.024</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0.023</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0.006</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0.001</w:t>
                  </w:r>
                </w:p>
              </w:tc>
              <w:tc>
                <w:tcPr>
                  <w:tcW w:w="948"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0.004</w:t>
                  </w:r>
                </w:p>
              </w:tc>
            </w:tr>
            <w:tr>
              <w:tc>
                <w:tcPr>
                  <w:tcW w:w="685"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治理措施</w:t>
                  </w: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工艺</w:t>
                  </w:r>
                </w:p>
              </w:tc>
              <w:tc>
                <w:tcPr>
                  <w:tcW w:w="5668" w:type="dxa"/>
                  <w:gridSpan w:val="6"/>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预处理池</w:t>
                  </w:r>
                </w:p>
              </w:tc>
            </w:tr>
            <w:tr>
              <w:tc>
                <w:tcPr>
                  <w:tcW w:w="685" w:type="dxa"/>
                  <w:vMerge/>
                  <w:tcBorders>
                    <w:top w:val="single" w:sz="4" w:space="0" w:color="auto"/>
                    <w:left w:val="single" w:sz="4" w:space="0" w:color="auto"/>
                    <w:right w:val="single" w:sz="4" w:space="0" w:color="auto"/>
                  </w:tcBorders>
                  <w:vAlign w:val="center"/>
                </w:tcP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是否为可行技术</w:t>
                  </w:r>
                </w:p>
              </w:tc>
              <w:tc>
                <w:tcPr>
                  <w:tcW w:w="5668" w:type="dxa"/>
                  <w:gridSpan w:val="6"/>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是</w:t>
                  </w:r>
                </w:p>
              </w:tc>
            </w:tr>
            <w:tr>
              <w:tc>
                <w:tcPr>
                  <w:tcW w:w="2626" w:type="dxa"/>
                  <w:gridSpan w:val="2"/>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排放形式</w:t>
                  </w:r>
                </w:p>
              </w:tc>
              <w:tc>
                <w:tcPr>
                  <w:tcW w:w="5668" w:type="dxa"/>
                  <w:gridSpan w:val="6"/>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间接排放</w:t>
                  </w:r>
                </w:p>
              </w:tc>
            </w:tr>
            <w:tr>
              <w:tc>
                <w:tcPr>
                  <w:tcW w:w="685" w:type="dxa"/>
                  <w:vMerge w:val="restart"/>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污染物</w:t>
                  </w:r>
                </w:p>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排放</w:t>
                  </w: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废水排放量（t/a</w:t>
                  </w:r>
                  <w:r>
                    <w:rPr>
                      <w:rFonts w:cs="Times New Roman" w:hint="eastAsia"/>
                      <w:sz w:val="21"/>
                      <w:szCs w:val="21"/>
                      <w:vertAlign w:val="baseline"/>
                      <w:lang w:val="en-US" w:eastAsia="zh-CN"/>
                    </w:rPr>
                    <w:t>）</w:t>
                  </w:r>
                </w:p>
              </w:tc>
              <w:tc>
                <w:tcPr>
                  <w:tcW w:w="5668" w:type="dxa"/>
                  <w:gridSpan w:val="6"/>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153.0</w:t>
                  </w:r>
                </w:p>
              </w:tc>
            </w:tr>
            <w:tr>
              <w:tc>
                <w:tcPr>
                  <w:tcW w:w="685" w:type="dxa"/>
                  <w:vMerge/>
                  <w:tcBorders>
                    <w:top w:val="single" w:sz="4" w:space="0" w:color="auto"/>
                    <w:left w:val="single" w:sz="4" w:space="0" w:color="auto"/>
                    <w:right w:val="single" w:sz="4" w:space="0" w:color="auto"/>
                  </w:tcBorders>
                  <w:vAlign w:val="center"/>
                </w:tcP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排放浓度（mg/L</w:t>
                  </w:r>
                  <w:r>
                    <w:rPr>
                      <w:rFonts w:cs="Times New Roman" w:hint="eastAsia"/>
                      <w:sz w:val="21"/>
                      <w:szCs w:val="21"/>
                      <w:vertAlign w:val="baseline"/>
                      <w:lang w:val="en-US" w:eastAsia="zh-CN"/>
                    </w:rPr>
                    <w:t>）</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185</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125</w:t>
                  </w:r>
                </w:p>
              </w:tc>
              <w:tc>
                <w:tcPr>
                  <w:tcW w:w="944"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65</w:t>
                  </w:r>
                </w:p>
              </w:tc>
              <w:tc>
                <w:tcPr>
                  <w:tcW w:w="944"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25</w:t>
                  </w:r>
                </w:p>
              </w:tc>
              <w:tc>
                <w:tcPr>
                  <w:tcW w:w="944"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2.5</w:t>
                  </w:r>
                </w:p>
              </w:tc>
              <w:tc>
                <w:tcPr>
                  <w:tcW w:w="94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15</w:t>
                  </w:r>
                </w:p>
              </w:tc>
            </w:tr>
            <w:tr>
              <w:tc>
                <w:tcPr>
                  <w:tcW w:w="685" w:type="dxa"/>
                  <w:vMerge/>
                  <w:tcBorders>
                    <w:top w:val="single" w:sz="4" w:space="0" w:color="auto"/>
                    <w:left w:val="single" w:sz="4" w:space="0" w:color="auto"/>
                    <w:right w:val="single" w:sz="4" w:space="0" w:color="auto"/>
                  </w:tcBorders>
                  <w:vAlign w:val="center"/>
                </w:tcPr>
                <w:p/>
              </w:tc>
              <w:tc>
                <w:tcPr>
                  <w:tcW w:w="1941"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排放量（t/a</w:t>
                  </w:r>
                  <w:r>
                    <w:rPr>
                      <w:rFonts w:cs="Times New Roman" w:hint="eastAsia"/>
                      <w:sz w:val="21"/>
                      <w:szCs w:val="21"/>
                      <w:vertAlign w:val="baseline"/>
                      <w:lang w:val="en-US" w:eastAsia="zh-CN"/>
                    </w:rPr>
                    <w:t>）</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0.028</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0.019</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0.010</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0.004</w:t>
                  </w:r>
                </w:p>
              </w:tc>
              <w:tc>
                <w:tcPr>
                  <w:tcW w:w="944"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w:t>
                  </w:r>
                  <w:r>
                    <w:rPr>
                      <w:rFonts w:cs="Times New Roman" w:hint="eastAsia"/>
                      <w:i w:val="0"/>
                      <w:iCs w:val="0"/>
                      <w:color w:val="000000"/>
                      <w:kern w:val="0"/>
                      <w:sz w:val="21"/>
                      <w:szCs w:val="21"/>
                      <w:u w:val="none"/>
                      <w:lang w:val="en-US" w:eastAsia="zh-CN"/>
                    </w:rPr>
                    <w:t>1</w:t>
                  </w:r>
                </w:p>
              </w:tc>
              <w:tc>
                <w:tcPr>
                  <w:tcW w:w="948"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0.002</w:t>
                  </w:r>
                </w:p>
              </w:tc>
            </w:tr>
          </w:tbl>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本项目生活污水经厂区预处理池处理后，通过市政污水管网进入大英县工业污水处理厂处理达《地表水环境质量标准》（GB3838-2002）中Ⅲ类水体标准后排入郪江。</w:t>
            </w:r>
          </w:p>
          <w:p>
            <w:pPr>
              <w:numPr>
                <w:ilvl w:val="0"/>
                <w:numId w:val="48"/>
              </w:num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排放口情况</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本项目主要外排废水为员工生活污水，属于间接排放，间接排放口基本情况如下表所示。</w:t>
            </w:r>
          </w:p>
          <w:p>
            <w:pPr>
              <w:bidi w:val="0"/>
              <w:spacing w:line="360" w:lineRule="auto"/>
              <w:jc w:val="center"/>
              <w:rPr>
                <w:rFonts w:cs="Times New Roman" w:hint="eastAsia"/>
                <w:b/>
                <w:bCs/>
                <w:sz w:val="21"/>
                <w:szCs w:val="21"/>
                <w:vertAlign w:val="baseline"/>
                <w:lang w:val="en-US" w:eastAsia="zh-CN"/>
              </w:rPr>
            </w:pPr>
            <w:r>
              <w:rPr>
                <w:rFonts w:cs="Times New Roman" w:hint="eastAsia"/>
                <w:b/>
                <w:bCs/>
                <w:sz w:val="21"/>
                <w:szCs w:val="21"/>
                <w:lang w:val="en-US" w:eastAsia="zh-CN"/>
              </w:rPr>
              <w:t>表4-2 废水间接排放口基本情况表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87"/>
              <w:gridCol w:w="1995"/>
              <w:gridCol w:w="930"/>
              <w:gridCol w:w="825"/>
              <w:gridCol w:w="825"/>
              <w:gridCol w:w="840"/>
              <w:gridCol w:w="953"/>
              <w:gridCol w:w="868"/>
            </w:tblGrid>
            <w:tr>
              <w:trPr>
                <w:trHeight w:val="90"/>
              </w:trPr>
              <w:tc>
                <w:tcPr>
                  <w:tcW w:w="3082" w:type="dxa"/>
                  <w:gridSpan w:val="2"/>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序号</w:t>
                  </w:r>
                </w:p>
              </w:tc>
              <w:tc>
                <w:tcPr>
                  <w:tcW w:w="5241" w:type="dxa"/>
                  <w:gridSpan w:val="6"/>
                  <w:vAlign w:val="center"/>
                </w:tcPr>
                <w:p>
                  <w:pPr>
                    <w:bidi w:val="0"/>
                    <w:spacing w:line="240" w:lineRule="auto"/>
                    <w:jc w:val="center"/>
                    <w:rPr>
                      <w:rFonts w:cs="Times New Roman"/>
                      <w:sz w:val="21"/>
                      <w:szCs w:val="21"/>
                      <w:vertAlign w:val="baseline"/>
                      <w:lang w:val="en-US" w:eastAsia="zh-CN"/>
                    </w:rPr>
                  </w:pPr>
                  <w:r>
                    <w:rPr>
                      <w:rFonts w:cs="Times New Roman" w:hint="eastAsia"/>
                      <w:sz w:val="21"/>
                      <w:szCs w:val="21"/>
                      <w:vertAlign w:val="baseline"/>
                      <w:lang w:val="en-US" w:eastAsia="zh-CN"/>
                    </w:rPr>
                    <w:t>1</w:t>
                  </w:r>
                </w:p>
              </w:tc>
            </w:tr>
            <w:tr>
              <w:tc>
                <w:tcPr>
                  <w:tcW w:w="3082"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排放口编号</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hint="eastAsia"/>
                      <w:lang w:val="en-US" w:eastAsia="zh-CN"/>
                    </w:rPr>
                    <w:t>DW</w:t>
                  </w:r>
                  <w:r>
                    <w:rPr>
                      <w:rFonts w:hint="eastAsia"/>
                    </w:rPr>
                    <w:t>-0</w:t>
                  </w:r>
                  <w:r>
                    <w:rPr>
                      <w:rFonts w:hint="eastAsia"/>
                      <w:lang w:val="en-US" w:eastAsia="zh-CN"/>
                    </w:rPr>
                    <w:t>0</w:t>
                  </w:r>
                  <w:r>
                    <w:rPr>
                      <w:rFonts w:hint="eastAsia"/>
                    </w:rPr>
                    <w:t>1</w:t>
                  </w:r>
                </w:p>
              </w:tc>
            </w:tr>
            <w:tr>
              <w:trPr>
                <w:trHeight w:val="90"/>
              </w:trPr>
              <w:tc>
                <w:tcPr>
                  <w:tcW w:w="3082"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排放口地理坐标</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sz w:val="21"/>
                      <w:szCs w:val="21"/>
                      <w:vertAlign w:val="baseline"/>
                      <w:lang w:val="en-US" w:eastAsia="zh-CN"/>
                    </w:rPr>
                  </w:pPr>
                  <w:r>
                    <w:rPr>
                      <w:rFonts w:cs="Times New Roman" w:hint="eastAsia"/>
                      <w:sz w:val="21"/>
                      <w:szCs w:val="21"/>
                      <w:vertAlign w:val="baseline"/>
                      <w:lang w:val="en-US" w:eastAsia="zh-CN"/>
                    </w:rPr>
                    <w:t>E 105.270118 ，N 30.579104</w:t>
                  </w:r>
                </w:p>
              </w:tc>
            </w:tr>
            <w:tr>
              <w:trPr>
                <w:trHeight w:val="90"/>
              </w:trPr>
              <w:tc>
                <w:tcPr>
                  <w:tcW w:w="3082"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废水排放量（t/a）</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sz w:val="21"/>
                      <w:szCs w:val="21"/>
                      <w:vertAlign w:val="baseline"/>
                      <w:lang w:val="en-US" w:eastAsia="zh-CN"/>
                    </w:rPr>
                  </w:pPr>
                  <w:r>
                    <w:rPr>
                      <w:rFonts w:cs="Times New Roman" w:hint="eastAsia"/>
                      <w:sz w:val="21"/>
                      <w:szCs w:val="21"/>
                      <w:vertAlign w:val="baseline"/>
                      <w:lang w:val="en-US" w:eastAsia="zh-CN"/>
                    </w:rPr>
                    <w:t>153.0</w:t>
                  </w:r>
                </w:p>
              </w:tc>
            </w:tr>
            <w:tr>
              <w:trPr>
                <w:trHeight w:val="90"/>
              </w:trPr>
              <w:tc>
                <w:tcPr>
                  <w:tcW w:w="3082"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排放去向</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进入城市污水处理厂</w:t>
                  </w:r>
                </w:p>
              </w:tc>
            </w:tr>
            <w:tr>
              <w:trPr>
                <w:trHeight w:val="90"/>
              </w:trPr>
              <w:tc>
                <w:tcPr>
                  <w:tcW w:w="3082"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排放规律</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间断排放，排放期间流量不稳定且无规律，但不属于冲击型排放</w:t>
                  </w:r>
                </w:p>
              </w:tc>
            </w:tr>
            <w:tr>
              <w:trPr>
                <w:trHeight w:val="90"/>
              </w:trPr>
              <w:tc>
                <w:tcPr>
                  <w:tcW w:w="3082" w:type="dxa"/>
                  <w:gridSpan w:val="2"/>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间歇排放时段</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无固定时段</w:t>
                  </w:r>
                </w:p>
              </w:tc>
            </w:tr>
            <w:tr>
              <w:tc>
                <w:tcPr>
                  <w:tcW w:w="1087" w:type="dxa"/>
                  <w:vMerge w:val="restart"/>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受纳污水处理设施信息</w:t>
                  </w:r>
                </w:p>
              </w:tc>
              <w:tc>
                <w:tcPr>
                  <w:tcW w:w="1995" w:type="dxa"/>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名称</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jc w:val="center"/>
                    <w:rPr>
                      <w:rFonts w:eastAsia="宋体" w:cs="Times New Roman" w:hint="eastAsia"/>
                      <w:color w:val="auto"/>
                      <w:sz w:val="21"/>
                      <w:szCs w:val="21"/>
                      <w:vertAlign w:val="baseline"/>
                      <w:lang w:val="en-US" w:eastAsia="zh-CN"/>
                    </w:rPr>
                  </w:pPr>
                  <w:r>
                    <w:rPr>
                      <w:rFonts w:hint="eastAsia"/>
                      <w:color w:val="auto"/>
                      <w:lang w:eastAsia="zh-CN"/>
                    </w:rPr>
                    <w:t>大英县工业污水处理厂</w:t>
                  </w:r>
                </w:p>
              </w:tc>
            </w:tr>
            <w:tr>
              <w:tc>
                <w:tcPr>
                  <w:tcW w:w="1087" w:type="dxa"/>
                  <w:vMerge/>
                  <w:tcBorders>
                    <w:top w:val="single" w:sz="4" w:space="0" w:color="auto"/>
                    <w:left w:val="single" w:sz="4" w:space="0" w:color="auto"/>
                    <w:right w:val="single" w:sz="4" w:space="0" w:color="auto"/>
                  </w:tcBorders>
                  <w:vAlign w:val="center"/>
                </w:tcPr>
                <w:p/>
              </w:tc>
              <w:tc>
                <w:tcPr>
                  <w:tcW w:w="1995" w:type="dxa"/>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污染物种类</w:t>
                  </w:r>
                </w:p>
              </w:tc>
              <w:tc>
                <w:tcPr>
                  <w:tcW w:w="93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COD</w:t>
                  </w:r>
                  <w:r>
                    <w:rPr>
                      <w:rFonts w:ascii="Times New Roman" w:eastAsia="宋体" w:cs="Times New Roman" w:hAnsi="Times New Roman"/>
                      <w:color w:val="auto"/>
                      <w:sz w:val="21"/>
                      <w:szCs w:val="21"/>
                      <w:vertAlign w:val="subscript"/>
                      <w:lang w:val="en-US" w:eastAsia="zh-CN"/>
                    </w:rPr>
                    <w:t>Cr</w:t>
                  </w:r>
                </w:p>
              </w:tc>
              <w:tc>
                <w:tcPr>
                  <w:tcW w:w="82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BOD</w:t>
                  </w:r>
                  <w:r>
                    <w:rPr>
                      <w:rFonts w:ascii="Times New Roman" w:eastAsia="宋体" w:cs="Times New Roman" w:hAnsi="Times New Roman"/>
                      <w:color w:val="auto"/>
                      <w:sz w:val="21"/>
                      <w:szCs w:val="21"/>
                      <w:vertAlign w:val="subscript"/>
                      <w:lang w:val="en-US" w:eastAsia="zh-CN"/>
                    </w:rPr>
                    <w:t>5</w:t>
                  </w:r>
                </w:p>
              </w:tc>
              <w:tc>
                <w:tcPr>
                  <w:tcW w:w="82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SS</w:t>
                  </w:r>
                </w:p>
              </w:tc>
              <w:tc>
                <w:tcPr>
                  <w:tcW w:w="84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TN</w:t>
                  </w:r>
                </w:p>
              </w:tc>
              <w:tc>
                <w:tcPr>
                  <w:tcW w:w="953"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TP</w:t>
                  </w:r>
                </w:p>
              </w:tc>
              <w:tc>
                <w:tcPr>
                  <w:tcW w:w="86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NH</w:t>
                  </w:r>
                  <w:r>
                    <w:rPr>
                      <w:rFonts w:ascii="Times New Roman" w:eastAsia="宋体" w:cs="Times New Roman" w:hAnsi="Times New Roman"/>
                      <w:color w:val="auto"/>
                      <w:sz w:val="21"/>
                      <w:szCs w:val="21"/>
                      <w:vertAlign w:val="subscript"/>
                      <w:lang w:val="en-US" w:eastAsia="zh-CN"/>
                    </w:rPr>
                    <w:t>3</w:t>
                  </w:r>
                  <w:r>
                    <w:rPr>
                      <w:rFonts w:ascii="Times New Roman" w:eastAsia="宋体" w:cs="Times New Roman" w:hAnsi="Times New Roman"/>
                      <w:color w:val="auto"/>
                      <w:sz w:val="21"/>
                      <w:szCs w:val="21"/>
                      <w:vertAlign w:val="baseline"/>
                      <w:lang w:val="en-US" w:eastAsia="zh-CN"/>
                    </w:rPr>
                    <w:t>-N</w:t>
                  </w:r>
                </w:p>
              </w:tc>
            </w:tr>
            <w:tr>
              <w:trPr>
                <w:trHeight w:val="90"/>
              </w:trPr>
              <w:tc>
                <w:tcPr>
                  <w:tcW w:w="1087" w:type="dxa"/>
                  <w:vMerge/>
                  <w:tcBorders>
                    <w:top w:val="single" w:sz="4" w:space="0" w:color="auto"/>
                    <w:left w:val="single" w:sz="4" w:space="0" w:color="auto"/>
                    <w:right w:val="single" w:sz="4" w:space="0" w:color="auto"/>
                  </w:tcBorders>
                  <w:vAlign w:val="center"/>
                </w:tcPr>
                <w:p/>
              </w:tc>
              <w:tc>
                <w:tcPr>
                  <w:tcW w:w="1995" w:type="dxa"/>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国家或地方污染物排放标准浓度限值（mg/L）</w:t>
                  </w:r>
                </w:p>
              </w:tc>
              <w:tc>
                <w:tcPr>
                  <w:tcW w:w="93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20</w:t>
                  </w:r>
                </w:p>
              </w:tc>
              <w:tc>
                <w:tcPr>
                  <w:tcW w:w="82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4.0</w:t>
                  </w:r>
                </w:p>
              </w:tc>
              <w:tc>
                <w:tcPr>
                  <w:tcW w:w="82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10</w:t>
                  </w:r>
                </w:p>
              </w:tc>
              <w:tc>
                <w:tcPr>
                  <w:tcW w:w="84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10</w:t>
                  </w:r>
                </w:p>
              </w:tc>
              <w:tc>
                <w:tcPr>
                  <w:tcW w:w="953"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0.2</w:t>
                  </w:r>
                </w:p>
              </w:tc>
              <w:tc>
                <w:tcPr>
                  <w:tcW w:w="86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1.0</w:t>
                  </w:r>
                </w:p>
              </w:tc>
            </w:tr>
            <w:tr>
              <w:trPr>
                <w:trHeight w:val="452"/>
              </w:trPr>
              <w:tc>
                <w:tcPr>
                  <w:tcW w:w="1087" w:type="dxa"/>
                  <w:vMerge w:val="restart"/>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废水</w:t>
                  </w:r>
                  <w:r>
                    <w:rPr>
                      <w:rFonts w:ascii="Times New Roman" w:eastAsia="宋体" w:cs="Times New Roman" w:hAnsi="Times New Roman"/>
                      <w:color w:val="auto"/>
                      <w:sz w:val="21"/>
                      <w:szCs w:val="21"/>
                      <w:vertAlign w:val="baseline"/>
                      <w:lang w:val="en-US" w:eastAsia="zh-CN"/>
                    </w:rPr>
                    <w:t>处理后污染物</w:t>
                  </w:r>
                </w:p>
                <w:p>
                  <w:pPr>
                    <w:bidi w:val="0"/>
                    <w:spacing w:line="240" w:lineRule="auto"/>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排放</w:t>
                  </w:r>
                </w:p>
              </w:tc>
              <w:tc>
                <w:tcPr>
                  <w:tcW w:w="199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废水排放量（t/a</w:t>
                  </w:r>
                  <w:r>
                    <w:rPr>
                      <w:rFonts w:cs="Times New Roman" w:hint="eastAsia"/>
                      <w:color w:val="auto"/>
                      <w:sz w:val="21"/>
                      <w:szCs w:val="21"/>
                      <w:vertAlign w:val="baseline"/>
                      <w:lang w:val="en-US" w:eastAsia="zh-CN"/>
                    </w:rPr>
                    <w:t>）</w:t>
                  </w:r>
                </w:p>
              </w:tc>
              <w:tc>
                <w:tcPr>
                  <w:tcW w:w="5241" w:type="dxa"/>
                  <w:gridSpan w:val="6"/>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cs="Times New Roman" w:hint="eastAsia"/>
                      <w:color w:val="auto"/>
                      <w:sz w:val="21"/>
                      <w:szCs w:val="21"/>
                      <w:vertAlign w:val="baseline"/>
                      <w:lang w:val="en-US" w:eastAsia="zh-CN"/>
                    </w:rPr>
                    <w:t>153.0</w:t>
                  </w:r>
                </w:p>
              </w:tc>
            </w:tr>
            <w:tr>
              <w:trPr>
                <w:trHeight w:val="90"/>
              </w:trPr>
              <w:tc>
                <w:tcPr>
                  <w:tcW w:w="1087" w:type="dxa"/>
                  <w:vMerge/>
                  <w:tcBorders>
                    <w:top w:val="single" w:sz="4" w:space="0" w:color="auto"/>
                    <w:left w:val="single" w:sz="4" w:space="0" w:color="auto"/>
                    <w:right w:val="single" w:sz="4" w:space="0" w:color="auto"/>
                  </w:tcBorders>
                  <w:vAlign w:val="center"/>
                </w:tcPr>
                <w:p/>
              </w:tc>
              <w:tc>
                <w:tcPr>
                  <w:tcW w:w="199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cs="Times New Roman" w:hint="eastAsia"/>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排放量（t/a</w:t>
                  </w:r>
                  <w:r>
                    <w:rPr>
                      <w:rFonts w:cs="Times New Roman" w:hint="eastAsia"/>
                      <w:color w:val="auto"/>
                      <w:sz w:val="21"/>
                      <w:szCs w:val="21"/>
                      <w:vertAlign w:val="baseline"/>
                      <w:lang w:val="en-US" w:eastAsia="zh-CN"/>
                    </w:rPr>
                    <w:t>）</w:t>
                  </w:r>
                </w:p>
              </w:tc>
              <w:tc>
                <w:tcPr>
                  <w:tcW w:w="930"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0.0031</w:t>
                  </w:r>
                </w:p>
              </w:tc>
              <w:tc>
                <w:tcPr>
                  <w:tcW w:w="825"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0.0006</w:t>
                  </w:r>
                </w:p>
              </w:tc>
              <w:tc>
                <w:tcPr>
                  <w:tcW w:w="825"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0.0015</w:t>
                  </w:r>
                </w:p>
              </w:tc>
              <w:tc>
                <w:tcPr>
                  <w:tcW w:w="840"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0.0015</w:t>
                  </w:r>
                </w:p>
              </w:tc>
              <w:tc>
                <w:tcPr>
                  <w:tcW w:w="953"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0.00003</w:t>
                  </w:r>
                </w:p>
              </w:tc>
              <w:tc>
                <w:tcPr>
                  <w:tcW w:w="868"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0.0002</w:t>
                  </w:r>
                </w:p>
              </w:tc>
            </w:tr>
          </w:tbl>
          <w:p>
            <w:pPr>
              <w:numPr>
                <w:ilvl w:val="0"/>
                <w:numId w:val="48"/>
              </w:num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废水影响分析</w:t>
            </w:r>
          </w:p>
          <w:p>
            <w:pPr>
              <w:bidi w:val="0"/>
              <w:spacing w:line="360" w:lineRule="auto"/>
              <w:ind w:left="0" w:firstLineChars="200" w:firstLine="480"/>
              <w:rPr>
                <w:rFonts w:cs="Times New Roman" w:hint="eastAsia"/>
                <w:b w:val="0"/>
                <w:bCs w:val="0"/>
                <w:sz w:val="24"/>
                <w:szCs w:val="24"/>
                <w:lang w:val="en-US" w:eastAsia="zh-CN"/>
              </w:rPr>
            </w:pPr>
            <w:r>
              <w:rPr>
                <w:rFonts w:cs="Times New Roman" w:hint="eastAsia"/>
                <w:b w:val="0"/>
                <w:bCs w:val="0"/>
                <w:sz w:val="24"/>
                <w:szCs w:val="24"/>
                <w:lang w:val="en-US" w:eastAsia="zh-CN"/>
              </w:rPr>
              <w:t>评价主要从水污染控制和水环境影响减缓措施有效性评价及依托污水处理设施的环境可行性评价。</w:t>
            </w:r>
          </w:p>
          <w:p>
            <w:pPr>
              <w:numPr>
                <w:ilvl w:val="0"/>
                <w:numId w:val="49"/>
              </w:numPr>
              <w:bidi w:val="0"/>
              <w:spacing w:line="360" w:lineRule="auto"/>
              <w:ind w:left="0" w:firstLineChars="200" w:firstLine="480"/>
              <w:rPr>
                <w:rFonts w:cs="Times New Roman" w:hint="eastAsia"/>
                <w:color w:val="auto"/>
                <w:sz w:val="24"/>
                <w:szCs w:val="24"/>
                <w:lang w:val="en-US" w:eastAsia="zh-CN"/>
              </w:rPr>
            </w:pPr>
            <w:r>
              <w:rPr>
                <w:rFonts w:cs="Times New Roman" w:hint="eastAsia"/>
                <w:b/>
                <w:bCs/>
                <w:sz w:val="24"/>
                <w:szCs w:val="24"/>
                <w:lang w:val="en-US" w:eastAsia="zh-CN"/>
              </w:rPr>
              <w:t>措施有效性分析</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sz w:val="24"/>
                <w:szCs w:val="24"/>
                <w:lang w:val="en-US" w:eastAsia="zh-CN"/>
              </w:rPr>
              <w:t>本项目生活污水来自厂区员工日常生活，属于典型的城市生活用水，主要污染物成分为COD</w:t>
            </w:r>
            <w:r>
              <w:rPr>
                <w:rFonts w:cs="Times New Roman" w:hint="eastAsia"/>
                <w:sz w:val="24"/>
                <w:szCs w:val="24"/>
                <w:vertAlign w:val="subscript"/>
                <w:lang w:val="en-US" w:eastAsia="zh-CN"/>
              </w:rPr>
              <w:t>Cr</w:t>
            </w:r>
            <w:r>
              <w:rPr>
                <w:rFonts w:cs="Times New Roman" w:hint="eastAsia"/>
                <w:sz w:val="24"/>
                <w:szCs w:val="24"/>
                <w:lang w:val="en-US" w:eastAsia="zh-CN"/>
              </w:rPr>
              <w:t>、BOD</w:t>
            </w:r>
            <w:r>
              <w:rPr>
                <w:rFonts w:cs="Times New Roman" w:hint="eastAsia"/>
                <w:sz w:val="24"/>
                <w:szCs w:val="24"/>
                <w:vertAlign w:val="subscript"/>
                <w:lang w:val="en-US" w:eastAsia="zh-CN"/>
              </w:rPr>
              <w:t>5</w:t>
            </w:r>
            <w:r>
              <w:rPr>
                <w:rFonts w:cs="Times New Roman" w:hint="eastAsia"/>
                <w:sz w:val="24"/>
                <w:szCs w:val="24"/>
                <w:lang w:val="en-US" w:eastAsia="zh-CN"/>
              </w:rPr>
              <w:t>、SS、氨氮等，经常规预处理池预处理后出水水质能满足大英县工业污水处理厂的接</w:t>
            </w:r>
            <w:r>
              <w:rPr>
                <w:rFonts w:cs="Times New Roman" w:hint="eastAsia"/>
                <w:color w:val="auto"/>
                <w:sz w:val="24"/>
                <w:szCs w:val="24"/>
                <w:lang w:val="en-US" w:eastAsia="zh-CN"/>
              </w:rPr>
              <w:t>管要求。</w:t>
            </w:r>
          </w:p>
          <w:p>
            <w:pPr>
              <w:numPr>
                <w:ilvl w:val="0"/>
                <w:numId w:val="49"/>
              </w:num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依托可行性分析</w:t>
            </w:r>
          </w:p>
          <w:p>
            <w:pPr>
              <w:bidi w:val="0"/>
              <w:spacing w:line="360" w:lineRule="auto"/>
              <w:ind w:left="0" w:firstLineChars="200" w:firstLine="480"/>
              <w:rPr>
                <w:rFonts w:cs="Times New Roman" w:hint="eastAsia"/>
                <w:b/>
                <w:bCs/>
                <w:color w:val="auto"/>
                <w:sz w:val="24"/>
                <w:szCs w:val="24"/>
                <w:lang w:val="en-US" w:eastAsia="zh-CN"/>
              </w:rPr>
            </w:pPr>
            <w:r>
              <w:rPr>
                <w:rFonts w:cs="Times New Roman" w:hint="eastAsia"/>
                <w:b/>
                <w:bCs/>
                <w:color w:val="auto"/>
                <w:sz w:val="24"/>
                <w:szCs w:val="24"/>
                <w:lang w:val="en-US" w:eastAsia="zh-CN"/>
              </w:rPr>
              <w:t>①废水治理措施依托可行性分</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根据现场调查，租赁大英县嘉泰城市建设投资开发有限责任公司厂区已建容积为100.0m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的生活污水预处理池；根据业主提供资料，租赁厂区预处理池剩余容积约45.5m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，污水停留周期按24h计，污水变化系数按1.2计；经核算，本项目生活污水预处理所需处理池容积应不小于0.612m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。因此，厂区预处理池容量可满足本项目污水的处理要求。</w:t>
            </w:r>
          </w:p>
          <w:p>
            <w:pPr>
              <w:bidi w:val="0"/>
              <w:spacing w:line="360" w:lineRule="auto"/>
              <w:ind w:left="0" w:firstLineChars="200" w:firstLine="480"/>
              <w:rPr>
                <w:rFonts w:cs="Times New Roman" w:hint="eastAsia"/>
                <w:sz w:val="24"/>
                <w:szCs w:val="24"/>
                <w:lang w:val="en-US" w:eastAsia="zh-CN"/>
              </w:rPr>
            </w:pPr>
            <w:r>
              <w:rPr>
                <w:rFonts w:cs="Times New Roman" w:hint="eastAsia"/>
                <w:color w:val="auto"/>
                <w:sz w:val="24"/>
                <w:szCs w:val="24"/>
                <w:lang w:val="en-US" w:eastAsia="zh-CN"/>
              </w:rPr>
              <w:t>本项目废水种类只包括生活废水，经预处理池处理后污水主要污染物为化学需氧量和氨氮等，不存在有毒有害物质，能够满足（GB8978-1996）《污水综合排放标准》三级标准。因此，依托厂区现有预处理池处理废水可行</w:t>
            </w:r>
            <w:r>
              <w:rPr>
                <w:rFonts w:cs="Times New Roman" w:hint="eastAsia"/>
                <w:sz w:val="24"/>
                <w:szCs w:val="24"/>
                <w:lang w:val="en-US" w:eastAsia="zh-CN"/>
              </w:rPr>
              <w:t>。</w:t>
            </w:r>
          </w:p>
          <w:p>
            <w:p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②依托大英县工业污水处理厂处理可行性分析</w:t>
            </w:r>
          </w:p>
          <w:p>
            <w:pPr>
              <w:bidi w:val="0"/>
              <w:spacing w:line="360" w:lineRule="auto"/>
              <w:ind w:left="0" w:firstLineChars="200" w:firstLine="480"/>
              <w:rPr>
                <w:rFonts w:cs="Times New Roman" w:hint="eastAsia"/>
                <w:color w:val="auto"/>
                <w:sz w:val="24"/>
                <w:szCs w:val="24"/>
                <w:lang w:val="en-US" w:eastAsia="zh-CN"/>
              </w:rPr>
            </w:pPr>
            <w:r>
              <w:rPr>
                <w:rFonts w:cs="Times New Roman" w:hint="eastAsia"/>
                <w:color w:val="auto"/>
                <w:sz w:val="24"/>
                <w:szCs w:val="24"/>
                <w:lang w:val="en-US" w:eastAsia="zh-CN"/>
              </w:rPr>
              <w:t>大英县工业污水处理厂位于大英县工业集中发展区长沟附近，其占地面积约为100亩，设计处理规模3万m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/d，分三期建设，每期处理规模1万m</w:t>
            </w:r>
            <w:r>
              <w:rPr>
                <w:rFonts w:cs="Times New Roman" w:hint="eastAsia"/>
                <w:color w:val="auto"/>
                <w:sz w:val="24"/>
                <w:szCs w:val="24"/>
                <w:vertAlign w:val="superscript"/>
                <w:lang w:val="en-US" w:eastAsia="zh-CN"/>
              </w:rPr>
              <w:t>3</w:t>
            </w:r>
            <w:r>
              <w:rPr>
                <w:rFonts w:cs="Times New Roman" w:hint="eastAsia"/>
                <w:color w:val="auto"/>
                <w:sz w:val="24"/>
                <w:szCs w:val="24"/>
                <w:lang w:val="en-US" w:eastAsia="zh-CN"/>
              </w:rPr>
              <w:t>/d，其中：一期工程已于2020年3月建成投运，污水处理工艺为“收集、预处理+水解酸化+A2/O一体化自回流改良型氧化沟+MBR+垂直流人工湿地”，出水标准执行《地表水环境质量标准》（GB3838-2002）中III类标准（TN执行《四川省岷江、沱江流域水污染物排放标准》（DB51/2311-2016）表1中工业园区集中式污水处理厂排放浓度限值），服务范围为大英县工业集中发展区；目前大英县工业污水处理厂已经建成，已正常运营。</w:t>
            </w:r>
          </w:p>
          <w:p>
            <w:pPr>
              <w:numPr>
                <w:ilvl w:val="0"/>
                <w:numId w:val="50"/>
              </w:num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纳管可行性</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根据现场调查，本项目所在的遂宁市大英县蓬莱镇南华路区域污水管网已经建成且与</w:t>
            </w:r>
            <w:r>
              <w:rPr>
                <w:rFonts w:cs="Times New Roman" w:hint="eastAsia"/>
                <w:color w:val="auto"/>
                <w:sz w:val="24"/>
                <w:szCs w:val="24"/>
                <w:lang w:val="en-US" w:eastAsia="zh-CN"/>
              </w:rPr>
              <w:t>大英县工业污水处理厂</w:t>
            </w:r>
            <w:r>
              <w:rPr>
                <w:rFonts w:cs="Times New Roman" w:hint="eastAsia"/>
                <w:sz w:val="24"/>
                <w:szCs w:val="24"/>
                <w:lang w:val="en-US" w:eastAsia="zh-CN"/>
              </w:rPr>
              <w:t>相接；因此，本项目位于大英县工业污水处理厂的纳污范围内，生活污水经预处理达标后，在</w:t>
            </w:r>
            <w:r>
              <w:rPr>
                <w:rFonts w:cs="Times New Roman" w:hint="eastAsia"/>
                <w:b w:val="0"/>
                <w:bCs w:val="0"/>
                <w:color w:val="auto"/>
                <w:sz w:val="24"/>
                <w:szCs w:val="24"/>
                <w:lang w:val="en-US" w:eastAsia="zh-CN"/>
              </w:rPr>
              <w:t>遂宁市大英县蓬莱镇南华路</w:t>
            </w:r>
            <w:r>
              <w:rPr>
                <w:rFonts w:cs="Times New Roman" w:hint="eastAsia"/>
                <w:sz w:val="24"/>
                <w:szCs w:val="24"/>
                <w:lang w:val="en-US" w:eastAsia="zh-CN"/>
              </w:rPr>
              <w:t>碰管后通过污水管网可排入大英县工业污水处理厂进行处理。</w:t>
            </w:r>
          </w:p>
          <w:p>
            <w:pPr>
              <w:numPr>
                <w:ilvl w:val="0"/>
                <w:numId w:val="50"/>
              </w:num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水质可行性</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为保证物大英县工业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50"/>
              </w:num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水量可行性</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经调查，大英县工业污水处理厂现阶段处理量为8600m</w:t>
            </w:r>
            <w:r>
              <w:rPr>
                <w:rFonts w:cs="Times New Roman" w:hint="eastAsia"/>
                <w:sz w:val="24"/>
                <w:szCs w:val="24"/>
                <w:vertAlign w:val="superscript"/>
                <w:lang w:val="en-US" w:eastAsia="zh-CN"/>
              </w:rPr>
              <w:t>3</w:t>
            </w:r>
            <w:r>
              <w:rPr>
                <w:rFonts w:cs="Times New Roman" w:hint="eastAsia"/>
                <w:sz w:val="24"/>
                <w:szCs w:val="24"/>
                <w:lang w:val="en-US" w:eastAsia="zh-CN"/>
              </w:rPr>
              <w:t>/d，剩余约1400m</w:t>
            </w:r>
            <w:r>
              <w:rPr>
                <w:rFonts w:cs="Times New Roman" w:hint="eastAsia"/>
                <w:sz w:val="24"/>
                <w:szCs w:val="24"/>
                <w:vertAlign w:val="superscript"/>
                <w:lang w:val="en-US" w:eastAsia="zh-CN"/>
              </w:rPr>
              <w:t>3</w:t>
            </w:r>
            <w:r>
              <w:rPr>
                <w:rFonts w:cs="Times New Roman" w:hint="eastAsia"/>
                <w:sz w:val="24"/>
                <w:szCs w:val="24"/>
                <w:lang w:val="en-US" w:eastAsia="zh-CN"/>
              </w:rPr>
              <w:t>/d处理量，有足够容量处理本项目外排废水（项目外排废水总量为0.51m</w:t>
            </w:r>
            <w:r>
              <w:rPr>
                <w:rFonts w:cs="Times New Roman" w:hint="eastAsia"/>
                <w:sz w:val="24"/>
                <w:szCs w:val="24"/>
                <w:vertAlign w:val="superscript"/>
                <w:lang w:val="en-US" w:eastAsia="zh-CN"/>
              </w:rPr>
              <w:t>3</w:t>
            </w:r>
            <w:r>
              <w:rPr>
                <w:rFonts w:cs="Times New Roman" w:hint="eastAsia"/>
                <w:sz w:val="24"/>
                <w:szCs w:val="24"/>
                <w:lang w:val="en-US" w:eastAsia="zh-CN"/>
              </w:rPr>
              <w:t>/d）。</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综上，从纳管范围、水质达标以及处理能力而言，本项目废水排入大英县工业污水处理厂进行处理是可行的。</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本项目营运期废水产生及排放统计情况见表4-3。</w:t>
            </w:r>
          </w:p>
          <w:p>
            <w:pPr>
              <w:bidi w:val="0"/>
              <w:spacing w:line="360" w:lineRule="auto"/>
              <w:jc w:val="center"/>
              <w:rPr>
                <w:rFonts w:cs="Times New Roman" w:hint="eastAsia"/>
                <w:b/>
                <w:bCs/>
                <w:sz w:val="21"/>
                <w:szCs w:val="21"/>
                <w:vertAlign w:val="baseline"/>
                <w:lang w:val="en-US" w:eastAsia="zh-CN"/>
              </w:rPr>
            </w:pPr>
            <w:r>
              <w:rPr>
                <w:rFonts w:cs="Times New Roman" w:hint="eastAsia"/>
                <w:b/>
                <w:bCs/>
                <w:sz w:val="21"/>
                <w:szCs w:val="21"/>
                <w:lang w:val="en-US" w:eastAsia="zh-CN"/>
              </w:rPr>
              <w:t>表4-3 项目废水产生及排放情况表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085"/>
              <w:gridCol w:w="1210"/>
              <w:gridCol w:w="3600"/>
              <w:gridCol w:w="2428"/>
            </w:tblGrid>
            <w:tr>
              <w:tc>
                <w:tcPr>
                  <w:tcW w:w="1085" w:type="dxa"/>
                  <w:vAlign w:val="center"/>
                </w:tcPr>
                <w:p>
                  <w:pPr>
                    <w:bidi w:val="0"/>
                    <w:spacing w:line="240" w:lineRule="auto"/>
                    <w:jc w:val="center"/>
                    <w:rPr>
                      <w:rFonts w:cs="Times New Roman" w:hint="eastAsia"/>
                      <w:b/>
                      <w:bCs/>
                      <w:sz w:val="21"/>
                      <w:szCs w:val="21"/>
                      <w:vertAlign w:val="baseline"/>
                      <w:lang w:val="en-US" w:eastAsia="zh-CN"/>
                    </w:rPr>
                  </w:pPr>
                  <w:r>
                    <w:rPr>
                      <w:rFonts w:cs="Times New Roman" w:hint="eastAsia"/>
                      <w:b/>
                      <w:bCs/>
                      <w:sz w:val="21"/>
                      <w:szCs w:val="21"/>
                      <w:vertAlign w:val="baseline"/>
                      <w:lang w:val="en-US" w:eastAsia="zh-CN"/>
                    </w:rPr>
                    <w:t>污染源</w:t>
                  </w:r>
                </w:p>
              </w:tc>
              <w:tc>
                <w:tcPr>
                  <w:tcW w:w="1210" w:type="dxa"/>
                  <w:vAlign w:val="center"/>
                </w:tcPr>
                <w:p>
                  <w:pPr>
                    <w:bidi w:val="0"/>
                    <w:spacing w:line="240" w:lineRule="auto"/>
                    <w:jc w:val="center"/>
                    <w:rPr>
                      <w:rFonts w:cs="Times New Roman" w:hint="eastAsia"/>
                      <w:b/>
                      <w:bCs/>
                      <w:sz w:val="21"/>
                      <w:szCs w:val="21"/>
                      <w:vertAlign w:val="baseline"/>
                      <w:lang w:val="en-US" w:eastAsia="zh-CN"/>
                    </w:rPr>
                  </w:pPr>
                  <w:r>
                    <w:rPr>
                      <w:rFonts w:cs="Times New Roman" w:hint="eastAsia"/>
                      <w:b/>
                      <w:bCs/>
                      <w:sz w:val="21"/>
                      <w:szCs w:val="21"/>
                      <w:vertAlign w:val="baseline"/>
                      <w:lang w:val="en-US" w:eastAsia="zh-CN"/>
                    </w:rPr>
                    <w:t>排放量</w:t>
                  </w:r>
                </w:p>
              </w:tc>
              <w:tc>
                <w:tcPr>
                  <w:tcW w:w="3600" w:type="dxa"/>
                  <w:vAlign w:val="center"/>
                </w:tcPr>
                <w:p>
                  <w:pPr>
                    <w:bidi w:val="0"/>
                    <w:spacing w:line="240" w:lineRule="auto"/>
                    <w:jc w:val="center"/>
                    <w:rPr>
                      <w:rFonts w:cs="Times New Roman" w:hint="eastAsia"/>
                      <w:b/>
                      <w:bCs/>
                      <w:sz w:val="21"/>
                      <w:szCs w:val="21"/>
                      <w:vertAlign w:val="baseline"/>
                      <w:lang w:val="en-US" w:eastAsia="zh-CN"/>
                    </w:rPr>
                  </w:pPr>
                  <w:r>
                    <w:rPr>
                      <w:rFonts w:cs="Times New Roman" w:hint="eastAsia"/>
                      <w:b/>
                      <w:bCs/>
                      <w:sz w:val="21"/>
                      <w:szCs w:val="21"/>
                      <w:vertAlign w:val="baseline"/>
                      <w:lang w:val="en-US" w:eastAsia="zh-CN"/>
                    </w:rPr>
                    <w:t>处理方式</w:t>
                  </w:r>
                </w:p>
              </w:tc>
              <w:tc>
                <w:tcPr>
                  <w:tcW w:w="2428" w:type="dxa"/>
                  <w:vAlign w:val="center"/>
                </w:tcPr>
                <w:p>
                  <w:pPr>
                    <w:bidi w:val="0"/>
                    <w:spacing w:line="240" w:lineRule="auto"/>
                    <w:jc w:val="center"/>
                    <w:rPr>
                      <w:rFonts w:cs="Times New Roman" w:hint="eastAsia"/>
                      <w:b/>
                      <w:bCs/>
                      <w:sz w:val="21"/>
                      <w:szCs w:val="21"/>
                      <w:vertAlign w:val="baseline"/>
                      <w:lang w:val="en-US" w:eastAsia="zh-CN"/>
                    </w:rPr>
                  </w:pPr>
                  <w:r>
                    <w:rPr>
                      <w:rFonts w:cs="Times New Roman" w:hint="eastAsia"/>
                      <w:b/>
                      <w:bCs/>
                      <w:sz w:val="21"/>
                      <w:szCs w:val="21"/>
                      <w:vertAlign w:val="baseline"/>
                      <w:lang w:val="en-US" w:eastAsia="zh-CN"/>
                    </w:rPr>
                    <w:t>排放情况</w:t>
                  </w:r>
                </w:p>
              </w:tc>
            </w:tr>
            <w:tr>
              <w:tc>
                <w:tcPr>
                  <w:tcW w:w="1085" w:type="dxa"/>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生活污水</w:t>
                  </w:r>
                </w:p>
              </w:tc>
              <w:tc>
                <w:tcPr>
                  <w:tcW w:w="1210" w:type="dxa"/>
                  <w:tcBorders>
                    <w:top w:val="single" w:sz="4" w:space="0" w:color="auto"/>
                    <w:left w:val="single" w:sz="4" w:space="0" w:color="auto"/>
                    <w:right w:val="single" w:sz="4" w:space="0" w:color="auto"/>
                  </w:tcBorders>
                  <w:vAlign w:val="center"/>
                </w:tcPr>
                <w:p>
                  <w:pPr>
                    <w:bidi w:val="0"/>
                    <w:spacing w:line="240" w:lineRule="auto"/>
                    <w:jc w:val="center"/>
                    <w:rPr>
                      <w:rFonts w:cs="Times New Roman" w:hint="eastAsia"/>
                      <w:sz w:val="21"/>
                      <w:szCs w:val="21"/>
                      <w:vertAlign w:val="baseline"/>
                      <w:lang w:val="en-US" w:eastAsia="zh-CN"/>
                    </w:rPr>
                  </w:pPr>
                  <w:r>
                    <w:rPr>
                      <w:rFonts w:cs="Times New Roman" w:hint="eastAsia"/>
                      <w:sz w:val="21"/>
                      <w:szCs w:val="21"/>
                      <w:vertAlign w:val="baseline"/>
                      <w:lang w:val="en-US" w:eastAsia="zh-CN"/>
                    </w:rPr>
                    <w:t>0.51m</w:t>
                  </w:r>
                  <w:r>
                    <w:rPr>
                      <w:rFonts w:cs="Times New Roman" w:hint="eastAsia"/>
                      <w:sz w:val="21"/>
                      <w:szCs w:val="21"/>
                      <w:vertAlign w:val="superscript"/>
                      <w:lang w:val="en-US" w:eastAsia="zh-CN"/>
                    </w:rPr>
                    <w:t>3</w:t>
                  </w:r>
                  <w:r>
                    <w:rPr>
                      <w:rFonts w:cs="Times New Roman" w:hint="eastAsia"/>
                      <w:sz w:val="21"/>
                      <w:szCs w:val="21"/>
                      <w:vertAlign w:val="baseline"/>
                      <w:lang w:val="en-US" w:eastAsia="zh-CN"/>
                    </w:rPr>
                    <w:t>/d</w:t>
                  </w:r>
                </w:p>
              </w:tc>
              <w:tc>
                <w:tcPr>
                  <w:tcW w:w="3600" w:type="dxa"/>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sz w:val="21"/>
                      <w:szCs w:val="21"/>
                      <w:vertAlign w:val="baseline"/>
                      <w:lang w:val="en-US" w:eastAsia="zh-CN"/>
                    </w:rPr>
                  </w:pPr>
                  <w:r>
                    <w:rPr>
                      <w:rFonts w:cs="Times New Roman" w:hint="eastAsia"/>
                      <w:sz w:val="21"/>
                      <w:szCs w:val="21"/>
                      <w:vertAlign w:val="baseline"/>
                      <w:lang w:val="en-US" w:eastAsia="zh-CN"/>
                    </w:rPr>
                    <w:t>污水经厂区预处理池收集处理后，进入大英县工业污水处理厂进行处理</w:t>
                  </w:r>
                </w:p>
              </w:tc>
              <w:tc>
                <w:tcPr>
                  <w:tcW w:w="2428" w:type="dxa"/>
                  <w:tcBorders>
                    <w:top w:val="single" w:sz="4" w:space="0" w:color="auto"/>
                    <w:left w:val="single" w:sz="4" w:space="0" w:color="auto"/>
                    <w:right w:val="single" w:sz="4" w:space="0" w:color="auto"/>
                  </w:tcBorders>
                  <w:vAlign w:val="center"/>
                </w:tcPr>
                <w:p>
                  <w:pPr>
                    <w:bidi w:val="0"/>
                    <w:spacing w:line="240" w:lineRule="auto"/>
                    <w:jc w:val="both"/>
                    <w:rPr>
                      <w:rFonts w:cs="Times New Roman" w:hint="eastAsia"/>
                      <w:sz w:val="21"/>
                      <w:szCs w:val="21"/>
                      <w:vertAlign w:val="baseline"/>
                      <w:lang w:val="en-US" w:eastAsia="zh-CN"/>
                    </w:rPr>
                  </w:pPr>
                  <w:r>
                    <w:rPr>
                      <w:rFonts w:cs="Times New Roman" w:hint="eastAsia"/>
                      <w:sz w:val="21"/>
                      <w:szCs w:val="21"/>
                      <w:vertAlign w:val="baseline"/>
                      <w:lang w:val="en-US" w:eastAsia="zh-CN"/>
                    </w:rPr>
                    <w:t>大英县工业污水处理厂处理后达标排入郪江</w:t>
                  </w:r>
                </w:p>
              </w:tc>
            </w:tr>
          </w:tbl>
          <w:p>
            <w:pPr>
              <w:numPr>
                <w:ilvl w:val="0"/>
                <w:numId w:val="48"/>
              </w:num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监测计划</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pPr>
              <w:numPr>
                <w:ilvl w:val="0"/>
                <w:numId w:val="47"/>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废气</w:t>
            </w:r>
          </w:p>
          <w:p>
            <w:p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val="0"/>
                <w:bCs w:val="0"/>
                <w:sz w:val="24"/>
                <w:szCs w:val="24"/>
                <w:lang w:val="en-US" w:eastAsia="zh-CN"/>
              </w:rPr>
              <w:t>根据</w:t>
            </w:r>
            <w:r>
              <w:rPr>
                <w:rFonts w:cs="Times New Roman" w:hint="eastAsia"/>
                <w:b w:val="0"/>
                <w:bCs w:val="0"/>
                <w:sz w:val="24"/>
                <w:szCs w:val="24"/>
                <w:lang w:val="en-US" w:eastAsia="zh-CN"/>
              </w:rPr>
              <w:t>工程分析，</w:t>
            </w:r>
            <w:r>
              <w:rPr>
                <w:rFonts w:ascii="Times New Roman" w:eastAsia="宋体" w:cs="Times New Roman" w:hAnsi="Times New Roman"/>
                <w:b w:val="0"/>
                <w:bCs w:val="0"/>
                <w:sz w:val="24"/>
                <w:szCs w:val="24"/>
                <w:lang w:val="en-US" w:eastAsia="zh-CN"/>
              </w:rPr>
              <w:t>本项目存在部分可利用整机和经简单维修可直接再利用</w:t>
            </w:r>
            <w:r>
              <w:rPr>
                <w:rFonts w:cs="Times New Roman" w:hint="eastAsia"/>
                <w:b w:val="0"/>
                <w:bCs w:val="0"/>
                <w:sz w:val="24"/>
                <w:szCs w:val="24"/>
                <w:lang w:val="en-US" w:eastAsia="zh-CN"/>
              </w:rPr>
              <w:t>电器及电子配件</w:t>
            </w:r>
            <w:r>
              <w:rPr>
                <w:rFonts w:ascii="Times New Roman" w:eastAsia="宋体" w:cs="Times New Roman" w:hAnsi="Times New Roman"/>
                <w:b w:val="0"/>
                <w:bCs w:val="0"/>
                <w:sz w:val="24"/>
                <w:szCs w:val="24"/>
                <w:lang w:val="en-US" w:eastAsia="zh-CN"/>
              </w:rPr>
              <w:t>，但考虑最不利情况，即废旧电器电子产品全部拆解</w:t>
            </w:r>
            <w:r>
              <w:rPr>
                <w:rFonts w:cs="Times New Roman" w:hint="eastAsia"/>
                <w:b w:val="0"/>
                <w:bCs w:val="0"/>
                <w:sz w:val="24"/>
                <w:szCs w:val="24"/>
                <w:lang w:val="en-US" w:eastAsia="zh-CN"/>
              </w:rPr>
              <w:t>；</w:t>
            </w:r>
            <w:r>
              <w:rPr>
                <w:rFonts w:ascii="Times New Roman" w:eastAsia="宋体" w:cs="Times New Roman" w:hAnsi="Times New Roman"/>
                <w:b w:val="0"/>
                <w:bCs w:val="0"/>
                <w:sz w:val="24"/>
                <w:szCs w:val="24"/>
                <w:lang w:val="en-US" w:eastAsia="zh-CN"/>
              </w:rPr>
              <w:t>因此</w:t>
            </w:r>
            <w:r>
              <w:rPr>
                <w:rFonts w:cs="Times New Roman" w:hint="eastAsia"/>
                <w:b w:val="0"/>
                <w:bCs w:val="0"/>
                <w:sz w:val="24"/>
                <w:szCs w:val="24"/>
                <w:lang w:val="en-US" w:eastAsia="zh-CN"/>
              </w:rPr>
              <w:t>，</w:t>
            </w:r>
            <w:r>
              <w:rPr>
                <w:rFonts w:ascii="Times New Roman" w:eastAsia="宋体" w:cs="Times New Roman" w:hAnsi="Times New Roman"/>
                <w:b w:val="0"/>
                <w:bCs w:val="0"/>
                <w:sz w:val="24"/>
                <w:szCs w:val="24"/>
                <w:lang w:val="en-US" w:eastAsia="zh-CN"/>
              </w:rPr>
              <w:t>后续产排污分析按照最不利情况进行分析核算。</w:t>
            </w:r>
          </w:p>
          <w:p>
            <w:pPr>
              <w:numPr>
                <w:ilvl w:val="0"/>
                <w:numId w:val="51"/>
              </w:numPr>
              <w:bidi w:val="0"/>
              <w:spacing w:line="360" w:lineRule="auto"/>
              <w:ind w:left="0" w:firstLineChars="200" w:firstLine="480"/>
              <w:rPr>
                <w:rFonts w:cs="Times New Roman" w:hint="eastAsia"/>
                <w:b/>
                <w:bCs/>
                <w:sz w:val="24"/>
                <w:szCs w:val="24"/>
                <w:lang w:val="en-US" w:eastAsia="zh-CN"/>
              </w:rPr>
            </w:pPr>
            <w:r>
              <w:rPr>
                <w:rFonts w:ascii="Times New Roman" w:eastAsia="宋体" w:cs="Times New Roman" w:hAnsi="Times New Roman" w:hint="eastAsia"/>
                <w:b/>
                <w:bCs/>
                <w:sz w:val="24"/>
                <w:szCs w:val="24"/>
                <w:lang w:val="en-US" w:eastAsia="zh-CN"/>
              </w:rPr>
              <w:t>产排污环节及污染物源强核算</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本项目废电线、电缆不进行清灰，废气主要为</w:t>
            </w:r>
            <w:r>
              <w:rPr>
                <w:rFonts w:ascii="Times New Roman" w:eastAsia="宋体" w:cs="Times New Roman" w:hAnsi="Times New Roman"/>
                <w:b w:val="0"/>
                <w:bCs w:val="0"/>
                <w:sz w:val="24"/>
                <w:szCs w:val="24"/>
                <w:lang w:val="en-US" w:eastAsia="zh-CN"/>
              </w:rPr>
              <w:t>废旧电器电子产品</w:t>
            </w:r>
            <w:r>
              <w:rPr>
                <w:rFonts w:cs="Times New Roman" w:hint="eastAsia"/>
                <w:sz w:val="24"/>
                <w:szCs w:val="24"/>
                <w:lang w:val="en-US" w:eastAsia="zh-CN"/>
              </w:rPr>
              <w:t>清灰过程产生的粉尘；根据拆解</w:t>
            </w:r>
            <w:r>
              <w:rPr>
                <w:rFonts w:ascii="Times New Roman" w:eastAsia="宋体" w:cs="Times New Roman" w:hAnsi="Times New Roman"/>
                <w:b w:val="0"/>
                <w:bCs w:val="0"/>
                <w:sz w:val="24"/>
                <w:szCs w:val="24"/>
                <w:lang w:val="en-US" w:eastAsia="zh-CN"/>
              </w:rPr>
              <w:t>废旧电器电子产品</w:t>
            </w:r>
            <w:r>
              <w:rPr>
                <w:rFonts w:cs="Times New Roman" w:hint="eastAsia"/>
                <w:b w:val="0"/>
                <w:bCs w:val="0"/>
                <w:sz w:val="24"/>
                <w:szCs w:val="24"/>
                <w:lang w:val="en-US" w:eastAsia="zh-CN"/>
              </w:rPr>
              <w:t>种类，</w:t>
            </w:r>
            <w:r>
              <w:rPr>
                <w:rFonts w:cs="Times New Roman" w:hint="eastAsia"/>
                <w:sz w:val="24"/>
                <w:szCs w:val="24"/>
                <w:lang w:val="en-US" w:eastAsia="zh-CN"/>
              </w:rPr>
              <w:t>参考《排放源统计调查产排污核算方法和系数手册》（公告2021年第24号）中42废弃资源综合利用行业系数手册中“4210金属废料及碎屑加工处理行业”的产污系数表，电脑服务器、通讯设备、基站设备、光伏板组件类比拆解废CRT电视机产污系数3.5kg/t-原料，网络设备及电子类医疗仪器等其他电子设备类比拆解废液晶显示器及平板类产品的产污系数16.8g/t-原料。</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本项目年拆解电脑服务器为0.3万台、通讯设备1.0万台、基站设备0.5万台、光伏板组件0.2万台，总重量为405.0t；拆解电子类医疗仪器1.0万台、网络设备1.0万台、其他电子设备6.0万台，总重量为220.0t；</w:t>
            </w:r>
            <w:r>
              <w:rPr>
                <w:rFonts w:ascii="Times New Roman" w:eastAsia="宋体" w:cs="Times New Roman" w:hAnsi="Times New Roman" w:hint="eastAsia"/>
                <w:sz w:val="24"/>
                <w:szCs w:val="24"/>
                <w:lang w:val="en-US" w:eastAsia="zh-CN"/>
              </w:rPr>
              <w:t>废气来源及</w:t>
            </w:r>
            <w:r>
              <w:rPr>
                <w:rFonts w:cs="Times New Roman" w:hint="eastAsia"/>
                <w:sz w:val="24"/>
                <w:szCs w:val="24"/>
                <w:lang w:val="en-US" w:eastAsia="zh-CN"/>
              </w:rPr>
              <w:t>源强</w:t>
            </w:r>
            <w:r>
              <w:rPr>
                <w:rFonts w:ascii="Times New Roman" w:eastAsia="宋体" w:cs="Times New Roman" w:hAnsi="Times New Roman" w:hint="eastAsia"/>
                <w:sz w:val="24"/>
                <w:szCs w:val="24"/>
                <w:lang w:val="en-US" w:eastAsia="zh-CN"/>
              </w:rPr>
              <w:t>详见下表</w:t>
            </w:r>
            <w:r>
              <w:rPr>
                <w:rFonts w:cs="Times New Roman" w:hint="eastAsia"/>
                <w:sz w:val="24"/>
                <w:szCs w:val="24"/>
                <w:lang w:val="en-US" w:eastAsia="zh-CN"/>
              </w:rPr>
              <w:t>4-4。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表</w:t>
            </w:r>
            <w:r>
              <w:rPr>
                <w:rFonts w:cs="Times New Roman" w:hint="eastAsia"/>
                <w:b/>
                <w:bCs/>
                <w:sz w:val="21"/>
                <w:szCs w:val="21"/>
                <w:lang w:val="en-US" w:eastAsia="zh-CN"/>
              </w:rPr>
              <w:t>4-4</w:t>
            </w:r>
            <w:r>
              <w:rPr>
                <w:rFonts w:ascii="Times New Roman" w:eastAsia="宋体" w:cs="Times New Roman" w:hAnsi="Times New Roman"/>
                <w:b/>
                <w:bCs/>
                <w:sz w:val="21"/>
                <w:szCs w:val="21"/>
                <w:lang w:val="en-US" w:eastAsia="zh-CN"/>
              </w:rPr>
              <w:t xml:space="preserve"> </w:t>
            </w:r>
            <w:r>
              <w:rPr>
                <w:rFonts w:ascii="宋体" w:cs="宋体" w:hint="eastAsia"/>
                <w:b/>
                <w:bCs/>
                <w:sz w:val="21"/>
                <w:szCs w:val="21"/>
                <w:lang w:val="en-US" w:eastAsia="zh-CN"/>
              </w:rPr>
              <w:t>清灰</w:t>
            </w:r>
            <w:r>
              <w:rPr>
                <w:rFonts w:ascii="宋体" w:eastAsia="宋体" w:cs="宋体" w:hint="eastAsia"/>
                <w:b/>
                <w:bCs/>
                <w:sz w:val="21"/>
                <w:szCs w:val="21"/>
                <w:lang w:val="en-US" w:eastAsia="zh-CN"/>
              </w:rPr>
              <w:t>废气</w:t>
            </w:r>
            <w:r>
              <w:rPr>
                <w:rFonts w:ascii="宋体" w:cs="宋体" w:hint="eastAsia"/>
                <w:b/>
                <w:bCs/>
                <w:sz w:val="21"/>
                <w:szCs w:val="21"/>
                <w:lang w:val="en-US" w:eastAsia="zh-CN"/>
              </w:rPr>
              <w:t>生产</w:t>
            </w:r>
            <w:r>
              <w:rPr>
                <w:rFonts w:ascii="宋体" w:eastAsia="宋体" w:cs="宋体" w:hint="eastAsia"/>
                <w:b/>
                <w:bCs/>
                <w:sz w:val="21"/>
                <w:szCs w:val="21"/>
                <w:lang w:val="en-US" w:eastAsia="zh-CN"/>
              </w:rPr>
              <w:t>情况表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156"/>
              <w:gridCol w:w="1112"/>
              <w:gridCol w:w="1300"/>
              <w:gridCol w:w="1063"/>
              <w:gridCol w:w="1150"/>
              <w:gridCol w:w="1542"/>
            </w:tblGrid>
            <w:tr>
              <w:tc>
                <w:tcPr>
                  <w:tcW w:w="2156" w:type="dxa"/>
                  <w:vAlign w:val="center"/>
                </w:tcPr>
                <w:p>
                  <w:pPr>
                    <w:keepNext w:val="0"/>
                    <w:keepLines w:val="0"/>
                    <w:pageBreakBefore w:val="0"/>
                    <w:widowControl w:val="0"/>
                    <w:tabs>
                      <w:tab w:val="center" w:pos="992"/>
                      <w:tab w:val="right" w:pos="1864"/>
                    </w:tabs>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产生工序</w:t>
                  </w: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污染因子</w:t>
                  </w:r>
                </w:p>
              </w:tc>
              <w:tc>
                <w:tcPr>
                  <w:tcW w:w="13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cs="Times New Roman" w:hint="eastAsia"/>
                      <w:b/>
                      <w:bCs/>
                      <w:sz w:val="21"/>
                      <w:szCs w:val="21"/>
                      <w:vertAlign w:val="baseline"/>
                      <w:lang w:val="en-US" w:eastAsia="zh-CN"/>
                    </w:rPr>
                    <w:t>产污系数</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cs="Times New Roman" w:hint="eastAsia"/>
                      <w:b/>
                      <w:bCs/>
                      <w:sz w:val="21"/>
                      <w:szCs w:val="21"/>
                      <w:vertAlign w:val="baseline"/>
                      <w:lang w:val="en-US" w:eastAsia="zh-CN"/>
                    </w:rPr>
                    <w:t>年处理年</w:t>
                  </w:r>
                </w:p>
              </w:tc>
              <w:tc>
                <w:tcPr>
                  <w:tcW w:w="115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产生量t/a</w:t>
                  </w:r>
                </w:p>
              </w:tc>
              <w:tc>
                <w:tcPr>
                  <w:tcW w:w="15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产生速率kg/h</w:t>
                  </w:r>
                </w:p>
              </w:tc>
            </w:tr>
            <w:tr>
              <w:tc>
                <w:tcPr>
                  <w:tcW w:w="2156"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清灰</w:t>
                  </w:r>
                  <w:r>
                    <w:rPr>
                      <w:rFonts w:ascii="Times New Roman" w:eastAsia="宋体" w:cs="Times New Roman" w:hAnsi="Times New Roman"/>
                      <w:sz w:val="21"/>
                      <w:szCs w:val="21"/>
                      <w:vertAlign w:val="baseline"/>
                      <w:lang w:val="en-US" w:eastAsia="zh-CN"/>
                    </w:rPr>
                    <w:t>（通讯设备、电脑服务器、基站设备）</w:t>
                  </w:r>
                </w:p>
              </w:tc>
              <w:tc>
                <w:tcPr>
                  <w:tcW w:w="111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颗粒物</w:t>
                  </w:r>
                </w:p>
              </w:tc>
              <w:tc>
                <w:tcPr>
                  <w:tcW w:w="130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3.5kg/t-原料</w:t>
                  </w:r>
                </w:p>
              </w:tc>
              <w:tc>
                <w:tcPr>
                  <w:tcW w:w="1063"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lang w:val="en-US" w:eastAsia="zh-CN"/>
                    </w:rPr>
                  </w:pPr>
                  <w:r>
                    <w:rPr>
                      <w:rFonts w:cs="Times New Roman" w:hint="eastAsia"/>
                      <w:sz w:val="21"/>
                      <w:szCs w:val="21"/>
                      <w:lang w:val="en-US" w:eastAsia="zh-CN"/>
                    </w:rPr>
                    <w:t>405</w:t>
                  </w:r>
                  <w:r>
                    <w:rPr>
                      <w:rFonts w:ascii="Times New Roman" w:eastAsia="宋体" w:cs="Times New Roman" w:hAnsi="Times New Roman"/>
                      <w:sz w:val="21"/>
                      <w:szCs w:val="21"/>
                      <w:lang w:val="en-US" w:eastAsia="zh-CN"/>
                    </w:rPr>
                    <w:t>.0t</w:t>
                  </w:r>
                </w:p>
              </w:tc>
              <w:tc>
                <w:tcPr>
                  <w:tcW w:w="1150"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lang w:val="en-US" w:eastAsia="zh-CN"/>
                    </w:rPr>
                  </w:pPr>
                  <w:r>
                    <w:rPr>
                      <w:rFonts w:cs="Times New Roman" w:hint="eastAsia"/>
                      <w:i w:val="0"/>
                      <w:iCs w:val="0"/>
                      <w:color w:val="000000"/>
                      <w:kern w:val="0"/>
                      <w:sz w:val="21"/>
                      <w:szCs w:val="21"/>
                      <w:u w:val="none"/>
                      <w:lang w:val="en-US" w:eastAsia="zh-CN"/>
                    </w:rPr>
                    <w:t>1.418</w:t>
                  </w:r>
                  <w:r>
                    <w:rPr>
                      <w:rFonts w:ascii="Times New Roman" w:eastAsia="宋体" w:cs="Times New Roman" w:hAnsi="Times New Roman"/>
                      <w:i w:val="0"/>
                      <w:iCs w:val="0"/>
                      <w:color w:val="000000"/>
                      <w:kern w:val="0"/>
                      <w:sz w:val="21"/>
                      <w:szCs w:val="21"/>
                      <w:u w:val="none"/>
                      <w:lang w:val="en-US" w:eastAsia="zh-CN"/>
                    </w:rPr>
                    <w:t xml:space="preserve"> </w:t>
                  </w:r>
                </w:p>
              </w:tc>
              <w:tc>
                <w:tcPr>
                  <w:tcW w:w="1542"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cs="Times New Roman" w:hint="eastAsia"/>
                      <w:i w:val="0"/>
                      <w:iCs w:val="0"/>
                      <w:color w:val="000000"/>
                      <w:kern w:val="0"/>
                      <w:sz w:val="21"/>
                      <w:szCs w:val="21"/>
                      <w:u w:val="none"/>
                      <w:lang w:val="en-US" w:eastAsia="zh-CN"/>
                    </w:rPr>
                    <w:t>0.591</w:t>
                  </w:r>
                </w:p>
              </w:tc>
            </w:tr>
            <w:tr>
              <w:tc>
                <w:tcPr>
                  <w:tcW w:w="2156"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清灰</w:t>
                  </w:r>
                  <w:r>
                    <w:rPr>
                      <w:rFonts w:ascii="Times New Roman" w:eastAsia="宋体" w:cs="Times New Roman" w:hAnsi="Times New Roman"/>
                      <w:sz w:val="21"/>
                      <w:szCs w:val="21"/>
                      <w:vertAlign w:val="baseline"/>
                      <w:lang w:val="en-US" w:eastAsia="zh-CN"/>
                    </w:rPr>
                    <w:t>（网络设备</w:t>
                  </w:r>
                  <w:r>
                    <w:rPr>
                      <w:rFonts w:cs="Times New Roman" w:hint="eastAsia"/>
                      <w:sz w:val="21"/>
                      <w:szCs w:val="21"/>
                      <w:vertAlign w:val="baseline"/>
                      <w:lang w:val="en-US" w:eastAsia="zh-CN"/>
                    </w:rPr>
                    <w:t>、</w:t>
                  </w:r>
                  <w:r>
                    <w:rPr>
                      <w:rFonts w:ascii="Times New Roman" w:eastAsia="宋体" w:cs="Times New Roman" w:hAnsi="Times New Roman"/>
                      <w:sz w:val="21"/>
                      <w:szCs w:val="21"/>
                      <w:vertAlign w:val="baseline"/>
                      <w:lang w:val="en-US" w:eastAsia="zh-CN"/>
                    </w:rPr>
                    <w:t>电子类医疗仪器等电子设备）</w:t>
                  </w:r>
                </w:p>
              </w:tc>
              <w:tc>
                <w:tcPr>
                  <w:tcW w:w="111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颗粒物</w:t>
                  </w:r>
                </w:p>
              </w:tc>
              <w:tc>
                <w:tcPr>
                  <w:tcW w:w="1300"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16.8g/t-原料</w:t>
                  </w:r>
                </w:p>
              </w:tc>
              <w:tc>
                <w:tcPr>
                  <w:tcW w:w="1063"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lang w:val="en-US" w:eastAsia="zh-CN"/>
                    </w:rPr>
                  </w:pPr>
                  <w:r>
                    <w:rPr>
                      <w:rFonts w:cs="Times New Roman" w:hint="eastAsia"/>
                      <w:sz w:val="21"/>
                      <w:szCs w:val="21"/>
                      <w:lang w:val="en-US" w:eastAsia="zh-CN"/>
                    </w:rPr>
                    <w:t>220</w:t>
                  </w:r>
                  <w:r>
                    <w:rPr>
                      <w:rFonts w:ascii="Times New Roman" w:eastAsia="宋体" w:cs="Times New Roman" w:hAnsi="Times New Roman"/>
                      <w:sz w:val="21"/>
                      <w:szCs w:val="21"/>
                      <w:lang w:val="en-US" w:eastAsia="zh-CN"/>
                    </w:rPr>
                    <w:t>.0t</w:t>
                  </w:r>
                </w:p>
              </w:tc>
              <w:tc>
                <w:tcPr>
                  <w:tcW w:w="1150"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lang w:val="en-US" w:eastAsia="zh-CN"/>
                    </w:rPr>
                  </w:pPr>
                  <w:r>
                    <w:rPr>
                      <w:rFonts w:cs="Times New Roman" w:hint="eastAsia"/>
                      <w:i w:val="0"/>
                      <w:iCs w:val="0"/>
                      <w:color w:val="000000"/>
                      <w:kern w:val="0"/>
                      <w:sz w:val="21"/>
                      <w:szCs w:val="21"/>
                      <w:u w:val="none"/>
                      <w:lang w:val="en-US" w:eastAsia="zh-CN"/>
                    </w:rPr>
                    <w:t>0.004</w:t>
                  </w:r>
                  <w:r>
                    <w:rPr>
                      <w:rFonts w:ascii="Times New Roman" w:eastAsia="宋体" w:cs="Times New Roman" w:hAnsi="Times New Roman"/>
                      <w:i w:val="0"/>
                      <w:iCs w:val="0"/>
                      <w:color w:val="000000"/>
                      <w:kern w:val="0"/>
                      <w:sz w:val="21"/>
                      <w:szCs w:val="21"/>
                      <w:u w:val="none"/>
                      <w:lang w:val="en-US" w:eastAsia="zh-CN"/>
                    </w:rPr>
                    <w:t xml:space="preserve"> </w:t>
                  </w:r>
                </w:p>
              </w:tc>
              <w:tc>
                <w:tcPr>
                  <w:tcW w:w="1542"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w:t>
                  </w:r>
                  <w:r>
                    <w:rPr>
                      <w:rFonts w:cs="Times New Roman" w:hint="eastAsia"/>
                      <w:i w:val="0"/>
                      <w:iCs w:val="0"/>
                      <w:color w:val="000000"/>
                      <w:kern w:val="0"/>
                      <w:sz w:val="21"/>
                      <w:szCs w:val="21"/>
                      <w:u w:val="none"/>
                      <w:lang w:val="en-US" w:eastAsia="zh-CN"/>
                    </w:rPr>
                    <w:t>2</w:t>
                  </w:r>
                  <w:r>
                    <w:rPr>
                      <w:rFonts w:ascii="Times New Roman" w:eastAsia="宋体" w:cs="Times New Roman" w:hAnsi="Times New Roman"/>
                      <w:i w:val="0"/>
                      <w:iCs w:val="0"/>
                      <w:color w:val="000000"/>
                      <w:kern w:val="0"/>
                      <w:sz w:val="21"/>
                      <w:szCs w:val="21"/>
                      <w:u w:val="none"/>
                      <w:lang w:val="en-US" w:eastAsia="zh-CN"/>
                    </w:rPr>
                    <w:t xml:space="preserve"> </w:t>
                  </w:r>
                </w:p>
              </w:tc>
            </w:tr>
            <w:tr>
              <w:tc>
                <w:tcPr>
                  <w:tcW w:w="4568" w:type="dxa"/>
                  <w:gridSpan w:val="3"/>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lang w:val="en-US" w:eastAsia="zh-CN"/>
                    </w:rPr>
                  </w:pPr>
                  <w:r>
                    <w:rPr>
                      <w:rFonts w:cs="Times New Roman" w:hint="eastAsia"/>
                      <w:sz w:val="21"/>
                      <w:szCs w:val="21"/>
                      <w:lang w:val="en-US" w:eastAsia="zh-CN"/>
                    </w:rPr>
                    <w:t>合计</w:t>
                  </w:r>
                </w:p>
              </w:tc>
              <w:tc>
                <w:tcPr>
                  <w:tcW w:w="1063"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lang w:val="en-US" w:eastAsia="zh-CN"/>
                    </w:rPr>
                  </w:pPr>
                  <w:r>
                    <w:rPr>
                      <w:rFonts w:cs="Times New Roman" w:hint="eastAsia"/>
                      <w:i w:val="0"/>
                      <w:iCs w:val="0"/>
                      <w:color w:val="000000"/>
                      <w:kern w:val="0"/>
                      <w:sz w:val="21"/>
                      <w:szCs w:val="21"/>
                      <w:u w:val="none"/>
                      <w:lang w:val="en-US" w:eastAsia="zh-CN"/>
                    </w:rPr>
                    <w:t>625.0</w:t>
                  </w:r>
                  <w:r>
                    <w:rPr>
                      <w:rFonts w:cs="Times New Roman" w:hint="eastAsia"/>
                      <w:sz w:val="21"/>
                      <w:szCs w:val="21"/>
                      <w:lang w:val="en-US" w:eastAsia="zh-CN"/>
                    </w:rPr>
                    <w:t>t</w:t>
                  </w:r>
                </w:p>
              </w:tc>
              <w:tc>
                <w:tcPr>
                  <w:tcW w:w="1150"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21"/>
                      <w:szCs w:val="21"/>
                      <w:u w:val="none"/>
                      <w:lang w:val="en-US" w:eastAsia="zh-CN"/>
                    </w:rPr>
                  </w:pPr>
                  <w:r>
                    <w:rPr>
                      <w:rFonts w:cs="Times New Roman" w:hint="eastAsia"/>
                      <w:i w:val="0"/>
                      <w:iCs w:val="0"/>
                      <w:color w:val="000000"/>
                      <w:kern w:val="0"/>
                      <w:sz w:val="21"/>
                      <w:szCs w:val="21"/>
                      <w:u w:val="none"/>
                      <w:lang w:val="en-US" w:eastAsia="zh-CN"/>
                    </w:rPr>
                    <w:t>1.422</w:t>
                  </w:r>
                </w:p>
              </w:tc>
              <w:tc>
                <w:tcPr>
                  <w:tcW w:w="1542"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21"/>
                      <w:szCs w:val="21"/>
                      <w:u w:val="none"/>
                      <w:lang w:val="en-US" w:eastAsia="zh-CN"/>
                    </w:rPr>
                  </w:pPr>
                  <w:r>
                    <w:rPr>
                      <w:rFonts w:cs="Times New Roman" w:hint="eastAsia"/>
                      <w:i w:val="0"/>
                      <w:iCs w:val="0"/>
                      <w:color w:val="000000"/>
                      <w:kern w:val="0"/>
                      <w:sz w:val="21"/>
                      <w:szCs w:val="21"/>
                      <w:u w:val="none"/>
                      <w:lang w:val="en-US" w:eastAsia="zh-CN"/>
                    </w:rPr>
                    <w:t>0.593</w:t>
                  </w:r>
                </w:p>
              </w:tc>
            </w:tr>
          </w:tbl>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废气治理措施及排放口基本情况</w:t>
            </w:r>
          </w:p>
          <w:p>
            <w:pPr>
              <w:keepNext w:val="0"/>
              <w:keepLines w:val="0"/>
              <w:pageBreakBefore w:val="0"/>
              <w:widowControl w:val="0"/>
              <w:numPr>
                <w:ilvl w:val="0"/>
                <w:numId w:val="52"/>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废气治理措施</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color w:val="auto"/>
                <w:sz w:val="24"/>
                <w:szCs w:val="24"/>
                <w:lang w:val="en-US" w:eastAsia="zh-CN"/>
              </w:rPr>
            </w:pPr>
            <w:r>
              <w:rPr>
                <w:rFonts w:cs="Times New Roman" w:hint="eastAsia"/>
                <w:sz w:val="24"/>
                <w:szCs w:val="24"/>
                <w:lang w:val="en-US" w:eastAsia="zh-CN"/>
              </w:rPr>
              <w:t>建设单位</w:t>
            </w:r>
            <w:r>
              <w:rPr>
                <w:rFonts w:ascii="Times New Roman" w:eastAsia="宋体" w:cs="Times New Roman" w:hAnsi="Times New Roman" w:hint="eastAsia"/>
                <w:sz w:val="24"/>
                <w:szCs w:val="24"/>
                <w:lang w:val="en-US" w:eastAsia="zh-CN"/>
              </w:rPr>
              <w:t>设计拆解工作均在</w:t>
            </w:r>
            <w:r>
              <w:rPr>
                <w:rFonts w:cs="Times New Roman" w:hint="eastAsia"/>
                <w:sz w:val="24"/>
                <w:szCs w:val="24"/>
                <w:lang w:val="en-US" w:eastAsia="zh-CN"/>
              </w:rPr>
              <w:t>拆解通风橱（共2台）内</w:t>
            </w:r>
            <w:r>
              <w:rPr>
                <w:rFonts w:ascii="Times New Roman" w:eastAsia="宋体" w:cs="Times New Roman" w:hAnsi="Times New Roman" w:hint="eastAsia"/>
                <w:sz w:val="24"/>
                <w:szCs w:val="24"/>
                <w:lang w:val="en-US" w:eastAsia="zh-CN"/>
              </w:rPr>
              <w:t>进行，工作台实现负压操作，粉尘收集效率≥90%；清灰过程产生粉尘经负压收集后</w:t>
            </w:r>
            <w:r>
              <w:rPr>
                <w:rFonts w:cs="Times New Roman" w:hint="eastAsia"/>
                <w:sz w:val="24"/>
                <w:szCs w:val="24"/>
                <w:lang w:val="en-US" w:eastAsia="zh-CN"/>
              </w:rPr>
              <w:t>，分别</w:t>
            </w:r>
            <w:r>
              <w:rPr>
                <w:rFonts w:ascii="Times New Roman" w:eastAsia="宋体" w:cs="Times New Roman" w:hAnsi="Times New Roman" w:hint="eastAsia"/>
                <w:sz w:val="24"/>
                <w:szCs w:val="24"/>
                <w:lang w:val="en-US" w:eastAsia="zh-CN"/>
              </w:rPr>
              <w:t>送入</w:t>
            </w:r>
            <w:r>
              <w:rPr>
                <w:rFonts w:cs="Times New Roman" w:hint="eastAsia"/>
                <w:sz w:val="24"/>
                <w:szCs w:val="24"/>
                <w:lang w:val="en-US" w:eastAsia="zh-CN"/>
              </w:rPr>
              <w:t>配套设置的2</w:t>
            </w:r>
            <w:r>
              <w:rPr>
                <w:rFonts w:ascii="Times New Roman" w:eastAsia="宋体" w:cs="Times New Roman" w:hAnsi="Times New Roman" w:hint="eastAsia"/>
                <w:sz w:val="24"/>
                <w:szCs w:val="24"/>
                <w:lang w:val="en-US" w:eastAsia="zh-CN"/>
              </w:rPr>
              <w:t>套</w:t>
            </w:r>
            <w:r>
              <w:rPr>
                <w:rFonts w:cs="Times New Roman" w:hint="eastAsia"/>
                <w:sz w:val="24"/>
                <w:szCs w:val="24"/>
                <w:lang w:val="en-US" w:eastAsia="zh-CN"/>
              </w:rPr>
              <w:t>布袋除尘</w:t>
            </w:r>
            <w:r>
              <w:rPr>
                <w:rFonts w:ascii="Times New Roman" w:eastAsia="宋体" w:cs="Times New Roman" w:hAnsi="Times New Roman" w:hint="eastAsia"/>
                <w:sz w:val="24"/>
                <w:szCs w:val="24"/>
                <w:lang w:val="en-US" w:eastAsia="zh-CN"/>
              </w:rPr>
              <w:t>器处理，处理效率≥95%，除尘处理后</w:t>
            </w:r>
            <w:r>
              <w:rPr>
                <w:rFonts w:cs="Times New Roman" w:hint="eastAsia"/>
                <w:sz w:val="24"/>
                <w:szCs w:val="24"/>
                <w:lang w:val="en-US" w:eastAsia="zh-CN"/>
              </w:rPr>
              <w:t>尾气汇入</w:t>
            </w:r>
            <w:r>
              <w:rPr>
                <w:rFonts w:ascii="Times New Roman" w:eastAsia="宋体" w:cs="Times New Roman" w:hAnsi="Times New Roman" w:hint="eastAsia"/>
                <w:sz w:val="24"/>
                <w:szCs w:val="24"/>
                <w:lang w:val="en-US" w:eastAsia="zh-CN"/>
              </w:rPr>
              <w:t>1根</w:t>
            </w:r>
            <w:r>
              <w:rPr>
                <w:rFonts w:cs="Times New Roman" w:hint="eastAsia"/>
                <w:sz w:val="24"/>
                <w:szCs w:val="24"/>
                <w:lang w:val="en-US" w:eastAsia="zh-CN"/>
              </w:rPr>
              <w:t>21</w:t>
            </w:r>
            <w:r>
              <w:rPr>
                <w:rFonts w:ascii="Times New Roman" w:eastAsia="宋体" w:cs="Times New Roman" w:hAnsi="Times New Roman" w:hint="eastAsia"/>
                <w:sz w:val="24"/>
                <w:szCs w:val="24"/>
                <w:lang w:val="en-US" w:eastAsia="zh-CN"/>
              </w:rPr>
              <w:t>m</w:t>
            </w:r>
            <w:r>
              <w:rPr>
                <w:rFonts w:cs="Times New Roman" w:hint="eastAsia"/>
                <w:sz w:val="24"/>
                <w:szCs w:val="24"/>
                <w:lang w:val="en-US" w:eastAsia="zh-CN"/>
              </w:rPr>
              <w:t>高</w:t>
            </w:r>
            <w:r>
              <w:rPr>
                <w:rFonts w:ascii="Times New Roman" w:eastAsia="宋体" w:cs="Times New Roman" w:hAnsi="Times New Roman" w:hint="eastAsia"/>
                <w:sz w:val="24"/>
                <w:szCs w:val="24"/>
                <w:lang w:val="en-US" w:eastAsia="zh-CN"/>
              </w:rPr>
              <w:t>排气筒（DA001</w:t>
            </w:r>
            <w:r>
              <w:rPr>
                <w:rFonts w:cs="Times New Roman" w:hint="eastAsia"/>
                <w:sz w:val="24"/>
                <w:szCs w:val="24"/>
                <w:lang w:val="en-US" w:eastAsia="zh-CN"/>
              </w:rPr>
              <w:t>，离地高度，租赁厂房高度为20m</w:t>
            </w:r>
            <w:r>
              <w:rPr>
                <w:rFonts w:ascii="Times New Roman" w:eastAsia="宋体" w:cs="Times New Roman" w:hAnsi="Times New Roman" w:hint="eastAsia"/>
                <w:sz w:val="24"/>
                <w:szCs w:val="24"/>
                <w:lang w:val="en-US" w:eastAsia="zh-CN"/>
              </w:rPr>
              <w:t>）有组织排放；废气处理设施配备风机风量</w:t>
            </w:r>
            <w:r>
              <w:rPr>
                <w:rFonts w:cs="Times New Roman" w:hint="eastAsia"/>
                <w:sz w:val="24"/>
                <w:szCs w:val="24"/>
                <w:lang w:val="en-US" w:eastAsia="zh-CN"/>
              </w:rPr>
              <w:t>4000</w:t>
            </w:r>
            <w:r>
              <w:rPr>
                <w:rFonts w:ascii="Times New Roman" w:eastAsia="宋体" w:cs="Times New Roman" w:hAnsi="Times New Roman" w:hint="eastAsia"/>
                <w:sz w:val="24"/>
                <w:szCs w:val="24"/>
                <w:lang w:val="en-US" w:eastAsia="zh-CN"/>
              </w:rPr>
              <w:t>m</w:t>
            </w:r>
            <w:r>
              <w:rPr>
                <w:rFonts w:ascii="Times New Roman" w:eastAsia="宋体" w:cs="Times New Roman" w:hAnsi="Times New Roman" w:hint="eastAsia"/>
                <w:sz w:val="24"/>
                <w:szCs w:val="24"/>
                <w:vertAlign w:val="superscript"/>
                <w:lang w:val="en-US" w:eastAsia="zh-CN"/>
              </w:rPr>
              <w:t>3</w:t>
            </w:r>
            <w:r>
              <w:rPr>
                <w:rFonts w:ascii="Times New Roman" w:eastAsia="宋体" w:cs="Times New Roman" w:hAnsi="Times New Roman" w:hint="eastAsia"/>
                <w:sz w:val="24"/>
                <w:szCs w:val="24"/>
                <w:lang w:val="en-US" w:eastAsia="zh-CN"/>
              </w:rPr>
              <w:t>/h</w:t>
            </w:r>
            <w:r>
              <w:rPr>
                <w:rFonts w:cs="Times New Roman" w:hint="eastAsia"/>
                <w:sz w:val="24"/>
                <w:szCs w:val="24"/>
                <w:lang w:val="en-US" w:eastAsia="zh-CN"/>
              </w:rPr>
              <w:t>（共2台，总风量8000</w:t>
            </w:r>
            <w:r>
              <w:rPr>
                <w:rFonts w:ascii="Times New Roman" w:eastAsia="宋体" w:cs="Times New Roman" w:hAnsi="Times New Roman" w:hint="eastAsia"/>
                <w:sz w:val="24"/>
                <w:szCs w:val="24"/>
                <w:lang w:val="en-US" w:eastAsia="zh-CN"/>
              </w:rPr>
              <w:t>m</w:t>
            </w:r>
            <w:r>
              <w:rPr>
                <w:rFonts w:ascii="Times New Roman" w:eastAsia="宋体" w:cs="Times New Roman" w:hAnsi="Times New Roman" w:hint="eastAsia"/>
                <w:sz w:val="24"/>
                <w:szCs w:val="24"/>
                <w:vertAlign w:val="superscript"/>
                <w:lang w:val="en-US" w:eastAsia="zh-CN"/>
              </w:rPr>
              <w:t>3</w:t>
            </w:r>
            <w:r>
              <w:rPr>
                <w:rFonts w:ascii="Times New Roman" w:eastAsia="宋体" w:cs="Times New Roman" w:hAnsi="Times New Roman" w:hint="eastAsia"/>
                <w:sz w:val="24"/>
                <w:szCs w:val="24"/>
                <w:lang w:val="en-US" w:eastAsia="zh-CN"/>
              </w:rPr>
              <w:t>/h</w:t>
            </w:r>
            <w:r>
              <w:rPr>
                <w:rFonts w:cs="Times New Roman" w:hint="eastAsia"/>
                <w:sz w:val="24"/>
                <w:szCs w:val="24"/>
                <w:lang w:val="en-US" w:eastAsia="zh-CN"/>
              </w:rPr>
              <w:t>）</w:t>
            </w:r>
            <w:r>
              <w:rPr>
                <w:rFonts w:ascii="Times New Roman" w:eastAsia="宋体" w:cs="Times New Roman" w:hAnsi="Times New Roman"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sz w:val="21"/>
                <w:szCs w:val="21"/>
                <w:lang w:val="en-US" w:eastAsia="zh-CN"/>
              </w:rPr>
              <w:t>表</w:t>
            </w:r>
            <w:r>
              <w:rPr>
                <w:rFonts w:cs="Times New Roman" w:hint="eastAsia"/>
                <w:b/>
                <w:bCs/>
                <w:sz w:val="21"/>
                <w:szCs w:val="21"/>
                <w:lang w:val="en-US" w:eastAsia="zh-CN"/>
              </w:rPr>
              <w:t>4-5 清灰</w:t>
            </w:r>
            <w:r>
              <w:rPr>
                <w:rFonts w:ascii="Times New Roman" w:eastAsia="宋体" w:cs="Times New Roman" w:hAnsi="Times New Roman" w:hint="eastAsia"/>
                <w:b/>
                <w:bCs/>
                <w:sz w:val="21"/>
                <w:szCs w:val="21"/>
                <w:lang w:val="en-US" w:eastAsia="zh-CN"/>
              </w:rPr>
              <w:t>工序污染物产生及排放情况</w:t>
            </w:r>
            <w:r>
              <w:rPr>
                <w:rFonts w:cs="Times New Roman" w:hint="eastAsia"/>
                <w:b/>
                <w:bCs/>
                <w:color w:val="auto"/>
                <w:sz w:val="21"/>
                <w:szCs w:val="21"/>
                <w:lang w:val="en-US" w:eastAsia="zh-CN"/>
              </w:rPr>
              <w:t>汇总表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97"/>
              <w:gridCol w:w="2184"/>
              <w:gridCol w:w="4742"/>
            </w:tblGrid>
            <w:tr>
              <w:tc>
                <w:tcPr>
                  <w:tcW w:w="35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lang w:val="en-US" w:eastAsia="zh-CN"/>
                    </w:rPr>
                  </w:pPr>
                  <w:r>
                    <w:rPr>
                      <w:rFonts w:ascii="Times New Roman" w:eastAsia="宋体" w:cs="Times New Roman" w:hAnsi="Times New Roman" w:hint="eastAsia"/>
                      <w:b/>
                      <w:bCs/>
                      <w:color w:val="auto"/>
                      <w:sz w:val="21"/>
                      <w:szCs w:val="21"/>
                      <w:vertAlign w:val="baseline"/>
                      <w:lang w:val="en-US" w:eastAsia="zh-CN"/>
                    </w:rPr>
                    <w:t>产生工序</w:t>
                  </w:r>
                </w:p>
              </w:tc>
              <w:tc>
                <w:tcPr>
                  <w:tcW w:w="47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auto"/>
                      <w:sz w:val="21"/>
                      <w:szCs w:val="21"/>
                      <w:lang w:val="en-US" w:eastAsia="zh-CN"/>
                    </w:rPr>
                  </w:pPr>
                  <w:r>
                    <w:rPr>
                      <w:rFonts w:cs="Times New Roman" w:hint="eastAsia"/>
                      <w:color w:val="auto"/>
                      <w:sz w:val="21"/>
                      <w:szCs w:val="21"/>
                      <w:lang w:val="en-US" w:eastAsia="zh-CN"/>
                    </w:rPr>
                    <w:t>清灰</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污染因子</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color w:val="auto"/>
                      <w:sz w:val="21"/>
                      <w:szCs w:val="21"/>
                      <w:vertAlign w:val="baseline"/>
                      <w:lang w:val="en-US" w:eastAsia="zh-CN"/>
                    </w:rPr>
                  </w:pPr>
                  <w:r>
                    <w:rPr>
                      <w:rFonts w:cs="Times New Roman" w:hint="eastAsia"/>
                      <w:sz w:val="21"/>
                      <w:szCs w:val="21"/>
                      <w:vertAlign w:val="baseline"/>
                      <w:lang w:val="en-US" w:eastAsia="zh-CN"/>
                    </w:rPr>
                    <w:t>颗粒物</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产生量t/a</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1.422</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产生速率kg/h</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0.593</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治理措施</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0000FF"/>
                      <w:sz w:val="21"/>
                      <w:szCs w:val="21"/>
                      <w:vertAlign w:val="baseline"/>
                      <w:lang w:val="en-US" w:eastAsia="zh-CN"/>
                    </w:rPr>
                  </w:pPr>
                  <w:r>
                    <w:rPr>
                      <w:rFonts w:ascii="宋体" w:eastAsia="宋体" w:cs="宋体" w:hint="eastAsia"/>
                      <w:b w:val="0"/>
                      <w:bCs w:val="0"/>
                      <w:color w:val="0000FF"/>
                      <w:sz w:val="21"/>
                      <w:szCs w:val="21"/>
                    </w:rPr>
                    <w:t>“</w:t>
                  </w:r>
                  <w:r>
                    <w:rPr>
                      <w:rFonts w:ascii="宋体" w:cs="宋体" w:hint="eastAsia"/>
                      <w:b w:val="0"/>
                      <w:bCs w:val="0"/>
                      <w:color w:val="0000FF"/>
                      <w:sz w:val="21"/>
                      <w:szCs w:val="21"/>
                      <w:lang w:eastAsia="zh-CN"/>
                    </w:rPr>
                    <w:t>布袋除尘</w:t>
                  </w:r>
                  <w:r>
                    <w:rPr>
                      <w:rFonts w:ascii="宋体" w:eastAsia="宋体" w:cs="宋体" w:hint="eastAsia"/>
                      <w:b w:val="0"/>
                      <w:bCs w:val="0"/>
                      <w:color w:val="0000FF"/>
                      <w:sz w:val="21"/>
                      <w:szCs w:val="21"/>
                    </w:rPr>
                    <w:t>器”</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风量m</w:t>
                  </w:r>
                  <w:r>
                    <w:rPr>
                      <w:rFonts w:ascii="Times New Roman" w:eastAsia="宋体" w:cs="Times New Roman" w:hAnsi="Times New Roman" w:hint="eastAsia"/>
                      <w:b/>
                      <w:bCs/>
                      <w:sz w:val="21"/>
                      <w:szCs w:val="21"/>
                      <w:vertAlign w:val="superscript"/>
                      <w:lang w:val="en-US" w:eastAsia="zh-CN"/>
                    </w:rPr>
                    <w:t>3</w:t>
                  </w:r>
                  <w:r>
                    <w:rPr>
                      <w:rFonts w:ascii="Times New Roman" w:eastAsia="宋体" w:cs="Times New Roman" w:hAnsi="Times New Roman" w:hint="eastAsia"/>
                      <w:b/>
                      <w:bCs/>
                      <w:sz w:val="21"/>
                      <w:szCs w:val="21"/>
                      <w:vertAlign w:val="baseline"/>
                      <w:lang w:val="en-US" w:eastAsia="zh-CN"/>
                    </w:rPr>
                    <w:t>/h</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0000FF"/>
                      <w:sz w:val="21"/>
                      <w:szCs w:val="21"/>
                      <w:vertAlign w:val="baseline"/>
                      <w:lang w:val="en-US" w:eastAsia="zh-CN"/>
                    </w:rPr>
                  </w:pPr>
                  <w:r>
                    <w:rPr>
                      <w:rFonts w:cs="Times New Roman" w:hint="eastAsia"/>
                      <w:color w:val="0000FF"/>
                      <w:sz w:val="21"/>
                      <w:szCs w:val="21"/>
                      <w:vertAlign w:val="baseline"/>
                      <w:lang w:val="en-US" w:eastAsia="zh-CN"/>
                    </w:rPr>
                    <w:t>8000</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治理工艺</w:t>
                  </w:r>
                  <w:r>
                    <w:rPr>
                      <w:rFonts w:cs="Times New Roman" w:hint="eastAsia"/>
                      <w:b/>
                      <w:bCs/>
                      <w:sz w:val="21"/>
                      <w:szCs w:val="21"/>
                      <w:vertAlign w:val="baseline"/>
                      <w:lang w:val="en-US" w:eastAsia="zh-CN"/>
                    </w:rPr>
                    <w:t>收集率</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nt="eastAsia"/>
                      <w:color w:val="0000FF"/>
                      <w:sz w:val="21"/>
                      <w:szCs w:val="21"/>
                      <w:vertAlign w:val="baseline"/>
                      <w:lang w:val="en-US" w:eastAsia="zh-CN"/>
                    </w:rPr>
                  </w:pPr>
                  <w:r>
                    <w:rPr>
                      <w:rFonts w:cs="Times New Roman" w:hint="eastAsia"/>
                      <w:color w:val="0000FF"/>
                      <w:sz w:val="21"/>
                      <w:szCs w:val="21"/>
                      <w:vertAlign w:val="baseline"/>
                      <w:lang w:val="en-US" w:eastAsia="zh-CN"/>
                    </w:rPr>
                    <w:t>90.0%</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治理工艺去除率</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0000FF"/>
                      <w:sz w:val="21"/>
                      <w:szCs w:val="21"/>
                      <w:vertAlign w:val="baseline"/>
                      <w:lang w:val="en-US" w:eastAsia="zh-CN"/>
                    </w:rPr>
                  </w:pPr>
                  <w:r>
                    <w:rPr>
                      <w:rFonts w:cs="Times New Roman" w:hint="eastAsia"/>
                      <w:color w:val="0000FF"/>
                      <w:sz w:val="21"/>
                      <w:szCs w:val="21"/>
                      <w:vertAlign w:val="baseline"/>
                      <w:lang w:val="en-US" w:eastAsia="zh-CN"/>
                    </w:rPr>
                    <w:t>95.0%</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是否为可行技术</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是</w:t>
                  </w:r>
                </w:p>
              </w:tc>
            </w:tr>
            <w:tr>
              <w:tc>
                <w:tcPr>
                  <w:tcW w:w="1397" w:type="dxa"/>
                  <w:vMerge w:val="restart"/>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color w:val="auto"/>
                      <w:kern w:val="2"/>
                      <w:sz w:val="21"/>
                      <w:szCs w:val="21"/>
                      <w:vertAlign w:val="baseline"/>
                      <w:lang w:val="en-US" w:eastAsia="zh-CN" w:bidi="ar-SA"/>
                    </w:rPr>
                  </w:pPr>
                  <w:r>
                    <w:rPr>
                      <w:rFonts w:ascii="Times New Roman" w:eastAsia="宋体" w:cs="Times New Roman" w:hAnsi="Times New Roman" w:hint="eastAsia"/>
                      <w:b/>
                      <w:bCs/>
                      <w:color w:val="auto"/>
                      <w:sz w:val="21"/>
                      <w:szCs w:val="21"/>
                      <w:vertAlign w:val="baseline"/>
                      <w:lang w:val="en-US" w:eastAsia="zh-CN"/>
                    </w:rPr>
                    <w:t>有组织排放</w:t>
                  </w:r>
                </w:p>
              </w:tc>
              <w:tc>
                <w:tcPr>
                  <w:tcW w:w="218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排放量t/a</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0.064</w:t>
                  </w:r>
                </w:p>
              </w:tc>
            </w:tr>
            <w:tr>
              <w:trPr>
                <w:trHeight w:val="90"/>
              </w:trPr>
              <w:tc>
                <w:tcPr>
                  <w:tcW w:w="1397" w:type="dxa"/>
                  <w:vMerge/>
                  <w:tcBorders>
                    <w:top w:val="single" w:sz="4" w:space="0" w:color="auto"/>
                    <w:left w:val="single" w:sz="4" w:space="0" w:color="auto"/>
                    <w:right w:val="single" w:sz="4" w:space="0" w:color="auto"/>
                  </w:tcBorders>
                  <w:vAlign w:val="center"/>
                </w:tcPr>
                <w:p/>
              </w:tc>
              <w:tc>
                <w:tcPr>
                  <w:tcW w:w="218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排放速率kg/h</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0.027</w:t>
                  </w:r>
                </w:p>
              </w:tc>
            </w:tr>
            <w:tr>
              <w:trPr>
                <w:trHeight w:val="90"/>
              </w:trPr>
              <w:tc>
                <w:tcPr>
                  <w:tcW w:w="1397" w:type="dxa"/>
                  <w:vMerge/>
                  <w:tcBorders>
                    <w:top w:val="single" w:sz="4" w:space="0" w:color="auto"/>
                    <w:left w:val="single" w:sz="4" w:space="0" w:color="auto"/>
                    <w:right w:val="single" w:sz="4" w:space="0" w:color="auto"/>
                  </w:tcBorders>
                  <w:vAlign w:val="center"/>
                </w:tcPr>
                <w:p/>
              </w:tc>
              <w:tc>
                <w:tcPr>
                  <w:tcW w:w="218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排放浓度mg/m</w:t>
                  </w:r>
                  <w:r>
                    <w:rPr>
                      <w:rFonts w:ascii="Times New Roman" w:eastAsia="宋体" w:cs="Times New Roman" w:hAnsi="Times New Roman" w:hint="eastAsia"/>
                      <w:b w:val="0"/>
                      <w:bCs w:val="0"/>
                      <w:color w:val="auto"/>
                      <w:sz w:val="21"/>
                      <w:szCs w:val="21"/>
                      <w:vertAlign w:val="superscript"/>
                      <w:lang w:val="en-US" w:eastAsia="zh-CN"/>
                    </w:rPr>
                    <w:t>3</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3.336</w:t>
                  </w:r>
                </w:p>
              </w:tc>
            </w:tr>
            <w:tr>
              <w:tc>
                <w:tcPr>
                  <w:tcW w:w="1397" w:type="dxa"/>
                  <w:vMerge/>
                  <w:tcBorders>
                    <w:top w:val="single" w:sz="4" w:space="0" w:color="auto"/>
                    <w:left w:val="single" w:sz="4" w:space="0" w:color="auto"/>
                    <w:right w:val="single" w:sz="4" w:space="0" w:color="auto"/>
                  </w:tcBorders>
                  <w:vAlign w:val="center"/>
                </w:tcPr>
                <w:p/>
              </w:tc>
              <w:tc>
                <w:tcPr>
                  <w:tcW w:w="218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排放口编号</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cs="Times New Roman" w:hint="eastAsia"/>
                      <w:color w:val="auto"/>
                      <w:sz w:val="21"/>
                      <w:szCs w:val="21"/>
                      <w:vertAlign w:val="baseline"/>
                      <w:lang w:val="en-US" w:eastAsia="zh-CN"/>
                    </w:rPr>
                  </w:pPr>
                  <w:r>
                    <w:rPr>
                      <w:rFonts w:cs="Times New Roman" w:hint="eastAsia"/>
                      <w:b w:val="0"/>
                      <w:bCs w:val="0"/>
                      <w:color w:val="auto"/>
                      <w:sz w:val="21"/>
                      <w:szCs w:val="21"/>
                      <w:vertAlign w:val="baseline"/>
                      <w:lang w:val="en-US" w:eastAsia="zh-CN"/>
                    </w:rPr>
                    <w:t>DA001</w:t>
                  </w:r>
                </w:p>
              </w:tc>
            </w:tr>
            <w:tr>
              <w:tc>
                <w:tcPr>
                  <w:tcW w:w="1397" w:type="dxa"/>
                  <w:vMerge w:val="restart"/>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color w:val="auto"/>
                      <w:kern w:val="2"/>
                      <w:sz w:val="21"/>
                      <w:szCs w:val="21"/>
                      <w:vertAlign w:val="baseline"/>
                      <w:lang w:val="en-US" w:eastAsia="zh-CN" w:bidi="ar-SA"/>
                    </w:rPr>
                  </w:pPr>
                  <w:r>
                    <w:rPr>
                      <w:rFonts w:ascii="Times New Roman" w:eastAsia="宋体" w:cs="Times New Roman" w:hAnsi="Times New Roman" w:hint="eastAsia"/>
                      <w:b/>
                      <w:bCs/>
                      <w:color w:val="auto"/>
                      <w:sz w:val="21"/>
                      <w:szCs w:val="21"/>
                      <w:vertAlign w:val="baseline"/>
                      <w:lang w:val="en-US" w:eastAsia="zh-CN"/>
                    </w:rPr>
                    <w:t>无组织排放</w:t>
                  </w:r>
                </w:p>
              </w:tc>
              <w:tc>
                <w:tcPr>
                  <w:tcW w:w="218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排放量t/a</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cs="Times New Roman"/>
                      <w:color w:val="auto"/>
                      <w:sz w:val="21"/>
                      <w:szCs w:val="21"/>
                      <w:vertAlign w:val="baseline"/>
                      <w:lang w:val="en-US" w:eastAsia="zh-CN"/>
                    </w:rPr>
                  </w:pPr>
                  <w:r>
                    <w:rPr>
                      <w:rFonts w:cs="Times New Roman" w:hint="eastAsia"/>
                      <w:color w:val="auto"/>
                      <w:sz w:val="21"/>
                      <w:szCs w:val="21"/>
                      <w:vertAlign w:val="baseline"/>
                      <w:lang w:val="en-US" w:eastAsia="zh-CN"/>
                    </w:rPr>
                    <w:t>0.142</w:t>
                  </w:r>
                </w:p>
              </w:tc>
            </w:tr>
            <w:tr>
              <w:tc>
                <w:tcPr>
                  <w:tcW w:w="1397" w:type="dxa"/>
                  <w:vMerge/>
                  <w:tcBorders>
                    <w:top w:val="single" w:sz="4" w:space="0" w:color="auto"/>
                    <w:left w:val="single" w:sz="4" w:space="0" w:color="auto"/>
                    <w:right w:val="single" w:sz="4" w:space="0" w:color="auto"/>
                  </w:tcBorders>
                  <w:vAlign w:val="center"/>
                </w:tcPr>
                <w:p/>
              </w:tc>
              <w:tc>
                <w:tcPr>
                  <w:tcW w:w="218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color w:val="auto"/>
                      <w:kern w:val="2"/>
                      <w:sz w:val="21"/>
                      <w:szCs w:val="21"/>
                      <w:vertAlign w:val="baseline"/>
                      <w:lang w:val="en-US" w:eastAsia="zh-CN" w:bidi="ar-SA"/>
                    </w:rPr>
                  </w:pPr>
                  <w:r>
                    <w:rPr>
                      <w:rFonts w:ascii="Times New Roman" w:eastAsia="宋体" w:cs="Times New Roman" w:hAnsi="Times New Roman" w:hint="eastAsia"/>
                      <w:b w:val="0"/>
                      <w:bCs w:val="0"/>
                      <w:color w:val="auto"/>
                      <w:sz w:val="21"/>
                      <w:szCs w:val="21"/>
                      <w:vertAlign w:val="baseline"/>
                      <w:lang w:val="en-US" w:eastAsia="zh-CN"/>
                    </w:rPr>
                    <w:t>排放速率kg/h</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color w:val="auto"/>
                      <w:sz w:val="21"/>
                      <w:szCs w:val="21"/>
                      <w:lang w:val="en-US"/>
                    </w:rPr>
                  </w:pPr>
                  <w:r>
                    <w:rPr>
                      <w:rFonts w:cs="Times New Roman" w:hint="eastAsia"/>
                      <w:color w:val="auto"/>
                      <w:sz w:val="21"/>
                      <w:szCs w:val="21"/>
                      <w:vertAlign w:val="baseline"/>
                      <w:lang w:val="en-US" w:eastAsia="zh-CN"/>
                    </w:rPr>
                    <w:t>0.059</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bCs/>
                      <w:color w:val="auto"/>
                      <w:sz w:val="21"/>
                      <w:szCs w:val="21"/>
                      <w:vertAlign w:val="baseline"/>
                      <w:lang w:val="en-US" w:eastAsia="zh-CN"/>
                    </w:rPr>
                    <w:t>执行标准</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color w:val="auto"/>
                      <w:sz w:val="21"/>
                      <w:szCs w:val="21"/>
                    </w:rPr>
                  </w:pPr>
                  <w:r>
                    <w:rPr>
                      <w:rFonts w:hint="eastAsia"/>
                    </w:rPr>
                    <w:t>《大气污染物综合排放标准》（GB16297-1996）</w:t>
                  </w:r>
                </w:p>
              </w:tc>
            </w:tr>
            <w:tr>
              <w:tc>
                <w:tcPr>
                  <w:tcW w:w="3581"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cs="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达标情况</w:t>
                  </w:r>
                </w:p>
              </w:tc>
              <w:tc>
                <w:tcPr>
                  <w:tcW w:w="474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color w:val="auto"/>
                      <w:sz w:val="21"/>
                      <w:szCs w:val="21"/>
                    </w:rPr>
                  </w:pPr>
                  <w:r>
                    <w:rPr>
                      <w:rFonts w:cs="Times New Roman" w:hint="eastAsia"/>
                      <w:b w:val="0"/>
                      <w:bCs w:val="0"/>
                      <w:color w:val="auto"/>
                      <w:sz w:val="21"/>
                      <w:szCs w:val="21"/>
                      <w:lang w:val="en-US" w:eastAsia="zh-CN"/>
                    </w:rPr>
                    <w:t>达标</w:t>
                  </w:r>
                </w:p>
              </w:tc>
            </w:tr>
          </w:tbl>
          <w:p>
            <w:pPr>
              <w:keepNext w:val="0"/>
              <w:keepLines w:val="0"/>
              <w:pageBreakBefore w:val="0"/>
              <w:widowControl w:val="0"/>
              <w:numPr>
                <w:ilvl w:val="0"/>
                <w:numId w:val="52"/>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排放口情况</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本</w:t>
            </w:r>
            <w:r>
              <w:rPr>
                <w:rFonts w:ascii="Times New Roman" w:eastAsia="宋体" w:cs="Times New Roman" w:hAnsi="Times New Roman" w:hint="eastAsia"/>
                <w:sz w:val="24"/>
                <w:szCs w:val="24"/>
                <w:lang w:val="en-US" w:eastAsia="zh-CN"/>
              </w:rPr>
              <w:t>项目废气处理系统参数见下表</w:t>
            </w:r>
            <w:r>
              <w:rPr>
                <w:rFonts w:cs="Times New Roman"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lang w:val="en-US" w:eastAsia="zh-CN"/>
              </w:rPr>
              <w:t>表</w:t>
            </w:r>
            <w:r>
              <w:rPr>
                <w:rFonts w:cs="Times New Roman" w:hint="eastAsia"/>
                <w:b/>
                <w:bCs/>
                <w:sz w:val="21"/>
                <w:szCs w:val="21"/>
                <w:lang w:val="en-US" w:eastAsia="zh-CN"/>
              </w:rPr>
              <w:t>4-6 项目</w:t>
            </w:r>
            <w:r>
              <w:rPr>
                <w:rFonts w:ascii="Times New Roman" w:eastAsia="宋体" w:cs="Times New Roman" w:hAnsi="Times New Roman" w:hint="eastAsia"/>
                <w:b/>
                <w:bCs/>
                <w:sz w:val="21"/>
                <w:szCs w:val="21"/>
                <w:lang w:val="en-US" w:eastAsia="zh-CN"/>
              </w:rPr>
              <w:t>废气污染物排放口汇总表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82"/>
              <w:gridCol w:w="2199"/>
              <w:gridCol w:w="2427"/>
              <w:gridCol w:w="2315"/>
            </w:tblGrid>
            <w:tr>
              <w:tc>
                <w:tcPr>
                  <w:tcW w:w="13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产排污环节</w:t>
                  </w:r>
                </w:p>
              </w:tc>
              <w:tc>
                <w:tcPr>
                  <w:tcW w:w="694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sz w:val="21"/>
                      <w:szCs w:val="21"/>
                      <w:vertAlign w:val="baseline"/>
                      <w:lang w:val="en-US" w:eastAsia="zh-CN"/>
                    </w:rPr>
                  </w:pPr>
                  <w:r>
                    <w:rPr>
                      <w:rFonts w:cs="Times New Roman" w:hint="eastAsia"/>
                      <w:color w:val="auto"/>
                      <w:sz w:val="21"/>
                      <w:szCs w:val="21"/>
                      <w:lang w:val="en-US" w:eastAsia="zh-CN"/>
                    </w:rPr>
                    <w:t>清灰</w:t>
                  </w:r>
                </w:p>
              </w:tc>
            </w:tr>
            <w:tr>
              <w:tc>
                <w:tcPr>
                  <w:tcW w:w="1382"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污染物</w:t>
                  </w:r>
                </w:p>
              </w:tc>
              <w:tc>
                <w:tcPr>
                  <w:tcW w:w="6941" w:type="dxa"/>
                  <w:gridSpan w:val="3"/>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sz w:val="21"/>
                      <w:szCs w:val="21"/>
                      <w:vertAlign w:val="baseline"/>
                      <w:lang w:val="en-US" w:eastAsia="zh-CN"/>
                    </w:rPr>
                  </w:pPr>
                  <w:r>
                    <w:rPr>
                      <w:rFonts w:cs="Times New Roman" w:hint="eastAsia"/>
                      <w:sz w:val="21"/>
                      <w:szCs w:val="21"/>
                      <w:vertAlign w:val="baseline"/>
                      <w:lang w:val="en-US" w:eastAsia="zh-CN"/>
                    </w:rPr>
                    <w:t>颗粒物</w:t>
                  </w:r>
                </w:p>
              </w:tc>
            </w:tr>
            <w:tr>
              <w:trPr>
                <w:trHeight w:val="90"/>
              </w:trPr>
              <w:tc>
                <w:tcPr>
                  <w:tcW w:w="1382" w:type="dxa"/>
                  <w:vMerge w:val="restart"/>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治理设施</w:t>
                  </w:r>
                </w:p>
              </w:tc>
              <w:tc>
                <w:tcPr>
                  <w:tcW w:w="6941" w:type="dxa"/>
                  <w:gridSpan w:val="3"/>
                  <w:tcBorders>
                    <w:top w:val="single" w:sz="4" w:space="0" w:color="auto"/>
                    <w:left w:val="single" w:sz="4" w:space="0" w:color="auto"/>
                    <w:right w:val="single" w:sz="4" w:space="0" w:color="auto"/>
                  </w:tcBorders>
                  <w:vAlign w:val="center"/>
                </w:tcPr>
                <w:p>
                  <w:pPr>
                    <w:widowControl/>
                    <w:snapToGrid w:val="0"/>
                    <w:spacing w:line="240" w:lineRule="auto"/>
                    <w:ind w:firstLine="0"/>
                    <w:jc w:val="center"/>
                    <w:rPr>
                      <w:rFonts w:ascii="宋体" w:eastAsia="宋体" w:cs="宋体" w:hint="eastAsia"/>
                      <w:b/>
                      <w:bCs/>
                      <w:color w:val="000000"/>
                      <w:sz w:val="21"/>
                      <w:szCs w:val="21"/>
                      <w:lang w:val="en-US" w:eastAsia="zh-CN"/>
                    </w:rPr>
                  </w:pPr>
                  <w:r>
                    <w:rPr>
                      <w:rFonts w:ascii="宋体" w:eastAsia="宋体" w:cs="宋体" w:hint="eastAsia"/>
                      <w:b/>
                      <w:bCs/>
                      <w:color w:val="000000"/>
                      <w:sz w:val="21"/>
                      <w:szCs w:val="21"/>
                      <w:lang w:val="en-US" w:eastAsia="zh-CN"/>
                    </w:rPr>
                    <w:t>治理工艺</w:t>
                  </w:r>
                </w:p>
              </w:tc>
            </w:tr>
            <w:tr>
              <w:tc>
                <w:tcPr>
                  <w:tcW w:w="1382" w:type="dxa"/>
                  <w:vMerge/>
                  <w:tcBorders>
                    <w:top w:val="single" w:sz="4" w:space="0" w:color="auto"/>
                    <w:left w:val="single" w:sz="4" w:space="0" w:color="auto"/>
                    <w:right w:val="single" w:sz="4" w:space="0" w:color="auto"/>
                  </w:tcBorders>
                  <w:vAlign w:val="center"/>
                </w:tcPr>
                <w:p/>
              </w:tc>
              <w:tc>
                <w:tcPr>
                  <w:tcW w:w="6941" w:type="dxa"/>
                  <w:gridSpan w:val="3"/>
                  <w:tcBorders>
                    <w:top w:val="single" w:sz="4" w:space="0" w:color="auto"/>
                    <w:left w:val="single" w:sz="4" w:space="0" w:color="auto"/>
                    <w:right w:val="single" w:sz="4" w:space="0" w:color="auto"/>
                  </w:tcBorders>
                  <w:vAlign w:val="center"/>
                </w:tcPr>
                <w:p>
                  <w:pPr>
                    <w:widowControl/>
                    <w:snapToGrid w:val="0"/>
                    <w:spacing w:line="240" w:lineRule="auto"/>
                    <w:ind w:firstLine="0"/>
                    <w:jc w:val="center"/>
                    <w:rPr>
                      <w:rFonts w:ascii="宋体" w:eastAsia="宋体" w:cs="宋体" w:hint="eastAsia"/>
                      <w:b w:val="0"/>
                      <w:bCs w:val="0"/>
                      <w:color w:val="000000"/>
                      <w:sz w:val="21"/>
                      <w:szCs w:val="21"/>
                    </w:rPr>
                  </w:pPr>
                  <w:r>
                    <w:rPr>
                      <w:rFonts w:ascii="宋体" w:eastAsia="宋体" w:cs="宋体" w:hint="eastAsia"/>
                      <w:b w:val="0"/>
                      <w:bCs w:val="0"/>
                      <w:color w:val="000000"/>
                      <w:sz w:val="21"/>
                      <w:szCs w:val="21"/>
                    </w:rPr>
                    <w:t>“</w:t>
                  </w:r>
                  <w:r>
                    <w:rPr>
                      <w:rFonts w:ascii="宋体" w:cs="宋体" w:hint="eastAsia"/>
                      <w:b w:val="0"/>
                      <w:bCs w:val="0"/>
                      <w:color w:val="000000"/>
                      <w:sz w:val="21"/>
                      <w:szCs w:val="21"/>
                      <w:lang w:eastAsia="zh-CN"/>
                    </w:rPr>
                    <w:t>布袋除尘</w:t>
                  </w:r>
                  <w:r>
                    <w:rPr>
                      <w:rFonts w:ascii="宋体" w:eastAsia="宋体" w:cs="宋体" w:hint="eastAsia"/>
                      <w:b w:val="0"/>
                      <w:bCs w:val="0"/>
                      <w:color w:val="000000"/>
                      <w:sz w:val="21"/>
                      <w:szCs w:val="21"/>
                    </w:rPr>
                    <w:t>器”</w:t>
                  </w:r>
                </w:p>
              </w:tc>
            </w:tr>
            <w:tr>
              <w:tc>
                <w:tcPr>
                  <w:tcW w:w="1382" w:type="dxa"/>
                  <w:vMerge/>
                  <w:tcBorders>
                    <w:top w:val="single" w:sz="4" w:space="0" w:color="auto"/>
                    <w:left w:val="single" w:sz="4" w:space="0" w:color="auto"/>
                    <w:right w:val="single" w:sz="4" w:space="0" w:color="auto"/>
                  </w:tcBorders>
                  <w:vAlign w:val="center"/>
                </w:tcPr>
                <w:p/>
              </w:tc>
              <w:tc>
                <w:tcPr>
                  <w:tcW w:w="2199" w:type="dxa"/>
                  <w:tcBorders>
                    <w:top w:val="single" w:sz="4" w:space="0" w:color="auto"/>
                    <w:left w:val="single" w:sz="4" w:space="0" w:color="auto"/>
                    <w:right w:val="single" w:sz="4" w:space="0" w:color="auto"/>
                  </w:tcBorders>
                  <w:vAlign w:val="center"/>
                </w:tcPr>
                <w:p>
                  <w:pPr>
                    <w:widowControl/>
                    <w:snapToGrid w:val="0"/>
                    <w:spacing w:line="240" w:lineRule="auto"/>
                    <w:ind w:firstLine="0"/>
                    <w:jc w:val="center"/>
                    <w:rPr>
                      <w:rFonts w:ascii="Times New Roman" w:eastAsia="宋体" w:cs="Times New Roman" w:hAnsi="Times New Roman" w:hint="eastAsia"/>
                      <w:b w:val="0"/>
                      <w:bCs w:val="0"/>
                      <w:sz w:val="21"/>
                      <w:szCs w:val="21"/>
                      <w:vertAlign w:val="baseline"/>
                      <w:lang w:val="en-US" w:eastAsia="zh-CN"/>
                    </w:rPr>
                  </w:pPr>
                  <w:r>
                    <w:rPr>
                      <w:rFonts w:ascii="Times New Roman" w:eastAsia="宋体" w:cs="Times New Roman" w:hAnsi="Times New Roman"/>
                      <w:b/>
                      <w:bCs/>
                      <w:color w:val="000000"/>
                      <w:kern w:val="0"/>
                      <w:sz w:val="21"/>
                      <w:szCs w:val="21"/>
                    </w:rPr>
                    <w:t>数量（套</w:t>
                  </w:r>
                  <w:r>
                    <w:rPr>
                      <w:rFonts w:cs="Times New Roman" w:hint="eastAsia"/>
                      <w:b/>
                      <w:bCs/>
                      <w:color w:val="000000"/>
                      <w:kern w:val="0"/>
                      <w:sz w:val="21"/>
                      <w:szCs w:val="21"/>
                      <w:lang w:eastAsia="zh-CN"/>
                    </w:rPr>
                    <w:t>）</w:t>
                  </w:r>
                </w:p>
              </w:tc>
              <w:tc>
                <w:tcPr>
                  <w:tcW w:w="2427" w:type="dxa"/>
                  <w:tcBorders>
                    <w:top w:val="single" w:sz="4" w:space="0" w:color="auto"/>
                    <w:left w:val="single" w:sz="4" w:space="0" w:color="auto"/>
                    <w:right w:val="single" w:sz="4" w:space="0" w:color="auto"/>
                  </w:tcBorders>
                  <w:vAlign w:val="center"/>
                </w:tcPr>
                <w:p>
                  <w:pPr>
                    <w:widowControl/>
                    <w:snapToGrid w:val="0"/>
                    <w:spacing w:line="240" w:lineRule="auto"/>
                    <w:ind w:firstLine="0"/>
                    <w:jc w:val="center"/>
                    <w:rPr>
                      <w:rFonts w:ascii="Times New Roman" w:eastAsia="宋体" w:cs="Times New Roman" w:hAnsi="Times New Roman"/>
                      <w:b/>
                      <w:bCs/>
                      <w:color w:val="000000"/>
                      <w:kern w:val="0"/>
                      <w:sz w:val="21"/>
                      <w:szCs w:val="21"/>
                    </w:rPr>
                  </w:pPr>
                  <w:r>
                    <w:rPr>
                      <w:rFonts w:ascii="Times New Roman" w:eastAsia="宋体" w:cs="Times New Roman" w:hAnsi="Times New Roman"/>
                      <w:b/>
                      <w:bCs/>
                      <w:color w:val="000000"/>
                      <w:sz w:val="21"/>
                      <w:szCs w:val="21"/>
                    </w:rPr>
                    <w:t>单台风量（m</w:t>
                  </w:r>
                  <w:r>
                    <w:rPr>
                      <w:rFonts w:ascii="Times New Roman" w:eastAsia="宋体" w:cs="Times New Roman" w:hAnsi="Times New Roman"/>
                      <w:b/>
                      <w:bCs/>
                      <w:color w:val="000000"/>
                      <w:sz w:val="21"/>
                      <w:szCs w:val="21"/>
                      <w:vertAlign w:val="superscript"/>
                    </w:rPr>
                    <w:t>3</w:t>
                  </w:r>
                  <w:r>
                    <w:rPr>
                      <w:rFonts w:ascii="Times New Roman" w:eastAsia="宋体" w:cs="Times New Roman" w:hAnsi="Times New Roman"/>
                      <w:b/>
                      <w:bCs/>
                      <w:color w:val="000000"/>
                      <w:sz w:val="21"/>
                      <w:szCs w:val="21"/>
                    </w:rPr>
                    <w:t>/h）</w:t>
                  </w:r>
                </w:p>
              </w:tc>
              <w:tc>
                <w:tcPr>
                  <w:tcW w:w="2315" w:type="dxa"/>
                  <w:tcBorders>
                    <w:top w:val="single" w:sz="4" w:space="0" w:color="auto"/>
                    <w:left w:val="single" w:sz="4" w:space="0" w:color="auto"/>
                    <w:right w:val="single" w:sz="4" w:space="0" w:color="auto"/>
                  </w:tcBorders>
                  <w:vAlign w:val="center"/>
                </w:tcPr>
                <w:p>
                  <w:pPr>
                    <w:widowControl/>
                    <w:snapToGrid w:val="0"/>
                    <w:spacing w:line="240" w:lineRule="auto"/>
                    <w:ind w:firstLine="0"/>
                    <w:jc w:val="center"/>
                    <w:rPr>
                      <w:rFonts w:ascii="Times New Roman" w:eastAsia="宋体" w:cs="Times New Roman" w:hAnsi="Times New Roman"/>
                      <w:b/>
                      <w:bCs/>
                      <w:color w:val="000000"/>
                      <w:kern w:val="0"/>
                      <w:sz w:val="21"/>
                      <w:szCs w:val="21"/>
                    </w:rPr>
                  </w:pPr>
                  <w:r>
                    <w:rPr>
                      <w:rFonts w:ascii="Times New Roman" w:eastAsia="宋体" w:cs="Times New Roman" w:hAnsi="Times New Roman"/>
                      <w:b/>
                      <w:bCs/>
                      <w:color w:val="000000"/>
                      <w:sz w:val="21"/>
                      <w:szCs w:val="21"/>
                    </w:rPr>
                    <w:t>系统总风量（m</w:t>
                  </w:r>
                  <w:r>
                    <w:rPr>
                      <w:rFonts w:ascii="Times New Roman" w:eastAsia="宋体" w:cs="Times New Roman" w:hAnsi="Times New Roman"/>
                      <w:b/>
                      <w:bCs/>
                      <w:color w:val="000000"/>
                      <w:sz w:val="21"/>
                      <w:szCs w:val="21"/>
                      <w:vertAlign w:val="superscript"/>
                    </w:rPr>
                    <w:t>3</w:t>
                  </w:r>
                  <w:r>
                    <w:rPr>
                      <w:rFonts w:ascii="Times New Roman" w:eastAsia="宋体" w:cs="Times New Roman" w:hAnsi="Times New Roman"/>
                      <w:b/>
                      <w:bCs/>
                      <w:color w:val="000000"/>
                      <w:sz w:val="21"/>
                      <w:szCs w:val="21"/>
                    </w:rPr>
                    <w:t>/h）</w:t>
                  </w:r>
                </w:p>
              </w:tc>
            </w:tr>
            <w:tr>
              <w:tc>
                <w:tcPr>
                  <w:tcW w:w="1382" w:type="dxa"/>
                  <w:vMerge/>
                  <w:tcBorders>
                    <w:top w:val="single" w:sz="4" w:space="0" w:color="auto"/>
                    <w:left w:val="single" w:sz="4" w:space="0" w:color="auto"/>
                    <w:right w:val="single" w:sz="4" w:space="0" w:color="auto"/>
                  </w:tcBorders>
                  <w:vAlign w:val="center"/>
                </w:tcPr>
                <w:p/>
              </w:tc>
              <w:tc>
                <w:tcPr>
                  <w:tcW w:w="2199"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2</w:t>
                  </w:r>
                </w:p>
              </w:tc>
              <w:tc>
                <w:tcPr>
                  <w:tcW w:w="2427"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4000</w:t>
                  </w:r>
                </w:p>
              </w:tc>
              <w:tc>
                <w:tcPr>
                  <w:tcW w:w="231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8000</w:t>
                  </w:r>
                </w:p>
              </w:tc>
            </w:tr>
            <w:tr>
              <w:tc>
                <w:tcPr>
                  <w:tcW w:w="1382" w:type="dxa"/>
                  <w:vMerge w:val="restart"/>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排放口基本情况</w:t>
                  </w:r>
                </w:p>
              </w:tc>
              <w:tc>
                <w:tcPr>
                  <w:tcW w:w="2199"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数量（个）</w:t>
                  </w:r>
                </w:p>
              </w:tc>
              <w:tc>
                <w:tcPr>
                  <w:tcW w:w="2427"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高度（m）</w:t>
                  </w:r>
                </w:p>
              </w:tc>
              <w:tc>
                <w:tcPr>
                  <w:tcW w:w="231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内径（m）</w:t>
                  </w:r>
                </w:p>
              </w:tc>
            </w:tr>
            <w:tr>
              <w:tc>
                <w:tcPr>
                  <w:tcW w:w="1382" w:type="dxa"/>
                  <w:vMerge/>
                  <w:tcBorders>
                    <w:top w:val="single" w:sz="4" w:space="0" w:color="auto"/>
                    <w:left w:val="single" w:sz="4" w:space="0" w:color="auto"/>
                    <w:right w:val="single" w:sz="4" w:space="0" w:color="auto"/>
                  </w:tcBorders>
                  <w:vAlign w:val="center"/>
                </w:tcPr>
                <w:p/>
              </w:tc>
              <w:tc>
                <w:tcPr>
                  <w:tcW w:w="2199"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1</w:t>
                  </w:r>
                </w:p>
              </w:tc>
              <w:tc>
                <w:tcPr>
                  <w:tcW w:w="2427"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21.0</w:t>
                  </w:r>
                </w:p>
              </w:tc>
              <w:tc>
                <w:tcPr>
                  <w:tcW w:w="231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0.4</w:t>
                  </w:r>
                </w:p>
              </w:tc>
            </w:tr>
            <w:tr>
              <w:tc>
                <w:tcPr>
                  <w:tcW w:w="1382" w:type="dxa"/>
                  <w:vMerge/>
                  <w:tcBorders>
                    <w:top w:val="single" w:sz="4" w:space="0" w:color="auto"/>
                    <w:left w:val="single" w:sz="4" w:space="0" w:color="auto"/>
                    <w:right w:val="single" w:sz="4" w:space="0" w:color="auto"/>
                  </w:tcBorders>
                  <w:vAlign w:val="center"/>
                </w:tcPr>
                <w:p/>
              </w:tc>
              <w:tc>
                <w:tcPr>
                  <w:tcW w:w="2199"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cs="Times New Roman" w:hint="eastAsia"/>
                      <w:b/>
                      <w:bCs/>
                      <w:color w:val="000000"/>
                      <w:kern w:val="0"/>
                      <w:sz w:val="21"/>
                      <w:szCs w:val="21"/>
                      <w:lang w:val="en-US" w:eastAsia="zh-CN"/>
                    </w:rPr>
                    <w:t>温度</w:t>
                  </w:r>
                </w:p>
              </w:tc>
              <w:tc>
                <w:tcPr>
                  <w:tcW w:w="2427"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b/>
                      <w:bCs/>
                      <w:color w:val="000000"/>
                      <w:kern w:val="0"/>
                      <w:sz w:val="21"/>
                      <w:szCs w:val="21"/>
                      <w:lang w:val="en-US" w:eastAsia="zh-CN"/>
                    </w:rPr>
                    <w:t>编号及名称</w:t>
                  </w:r>
                </w:p>
              </w:tc>
              <w:tc>
                <w:tcPr>
                  <w:tcW w:w="231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bCs/>
                      <w:sz w:val="21"/>
                      <w:szCs w:val="21"/>
                      <w:vertAlign w:val="baseline"/>
                      <w:lang w:val="en-US" w:eastAsia="zh-CN"/>
                    </w:rPr>
                  </w:pPr>
                  <w:r>
                    <w:rPr>
                      <w:rFonts w:cs="Times New Roman" w:hint="eastAsia"/>
                      <w:b/>
                      <w:bCs/>
                      <w:color w:val="000000"/>
                      <w:kern w:val="0"/>
                      <w:sz w:val="21"/>
                      <w:szCs w:val="21"/>
                      <w:lang w:val="en-US" w:eastAsia="zh-CN"/>
                    </w:rPr>
                    <w:t>类型</w:t>
                  </w:r>
                </w:p>
              </w:tc>
            </w:tr>
            <w:tr>
              <w:tc>
                <w:tcPr>
                  <w:tcW w:w="1382" w:type="dxa"/>
                  <w:vMerge/>
                  <w:tcBorders>
                    <w:top w:val="single" w:sz="4" w:space="0" w:color="auto"/>
                    <w:left w:val="single" w:sz="4" w:space="0" w:color="auto"/>
                    <w:right w:val="single" w:sz="4" w:space="0" w:color="auto"/>
                  </w:tcBorders>
                  <w:vAlign w:val="center"/>
                </w:tcPr>
                <w:p/>
              </w:tc>
              <w:tc>
                <w:tcPr>
                  <w:tcW w:w="2199"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常温</w:t>
                  </w:r>
                </w:p>
              </w:tc>
              <w:tc>
                <w:tcPr>
                  <w:tcW w:w="2427"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val="0"/>
                      <w:bCs w:val="0"/>
                      <w:sz w:val="21"/>
                      <w:szCs w:val="21"/>
                      <w:vertAlign w:val="baseline"/>
                      <w:lang w:val="en-US" w:eastAsia="zh-CN"/>
                    </w:rPr>
                  </w:pPr>
                  <w:r>
                    <w:rPr>
                      <w:rFonts w:ascii="Times New Roman" w:eastAsia="宋体" w:cs="Times New Roman" w:hAnsi="Times New Roman" w:hint="eastAsia"/>
                      <w:b w:val="0"/>
                      <w:bCs w:val="0"/>
                      <w:sz w:val="21"/>
                      <w:szCs w:val="21"/>
                      <w:vertAlign w:val="baseline"/>
                      <w:lang w:val="en-US" w:eastAsia="zh-CN"/>
                    </w:rPr>
                    <w:t>DA001</w:t>
                  </w:r>
                  <w:r>
                    <w:rPr>
                      <w:rFonts w:cs="Times New Roman" w:hint="eastAsia"/>
                      <w:b w:val="0"/>
                      <w:bCs w:val="0"/>
                      <w:sz w:val="21"/>
                      <w:szCs w:val="21"/>
                      <w:vertAlign w:val="baseline"/>
                      <w:lang w:val="en-US" w:eastAsia="zh-CN"/>
                    </w:rPr>
                    <w:t>清灰废气</w:t>
                  </w:r>
                  <w:r>
                    <w:rPr>
                      <w:rFonts w:ascii="Times New Roman" w:eastAsia="宋体" w:cs="Times New Roman" w:hAnsi="Times New Roman" w:hint="eastAsia"/>
                      <w:b w:val="0"/>
                      <w:bCs w:val="0"/>
                      <w:sz w:val="21"/>
                      <w:szCs w:val="21"/>
                      <w:vertAlign w:val="baseline"/>
                      <w:lang w:val="en-US" w:eastAsia="zh-CN"/>
                    </w:rPr>
                    <w:t>排放口</w:t>
                  </w:r>
                </w:p>
              </w:tc>
              <w:tc>
                <w:tcPr>
                  <w:tcW w:w="231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sz w:val="21"/>
                      <w:szCs w:val="21"/>
                      <w:vertAlign w:val="baseline"/>
                      <w:lang w:val="en-US" w:eastAsia="zh-CN"/>
                    </w:rPr>
                  </w:pPr>
                  <w:r>
                    <w:rPr>
                      <w:rFonts w:ascii="Times New Roman" w:eastAsia="宋体" w:cs="Times New Roman" w:hAnsi="Times New Roman" w:hint="eastAsia"/>
                      <w:b w:val="0"/>
                      <w:bCs w:val="0"/>
                      <w:sz w:val="21"/>
                      <w:szCs w:val="21"/>
                      <w:vertAlign w:val="baseline"/>
                      <w:lang w:val="en-US" w:eastAsia="zh-CN"/>
                    </w:rPr>
                    <w:t>一般排放口</w:t>
                  </w:r>
                </w:p>
              </w:tc>
            </w:tr>
            <w:tr>
              <w:tc>
                <w:tcPr>
                  <w:tcW w:w="1382" w:type="dxa"/>
                  <w:vMerge/>
                  <w:tcBorders>
                    <w:top w:val="single" w:sz="4" w:space="0" w:color="auto"/>
                    <w:left w:val="single" w:sz="4" w:space="0" w:color="auto"/>
                    <w:right w:val="single" w:sz="4" w:space="0" w:color="auto"/>
                  </w:tcBorders>
                  <w:vAlign w:val="center"/>
                </w:tcPr>
                <w:p/>
              </w:tc>
              <w:tc>
                <w:tcPr>
                  <w:tcW w:w="6941" w:type="dxa"/>
                  <w:gridSpan w:val="3"/>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val="0"/>
                      <w:bCs w:val="0"/>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地理坐标</w:t>
                  </w:r>
                </w:p>
              </w:tc>
            </w:tr>
            <w:tr>
              <w:tc>
                <w:tcPr>
                  <w:tcW w:w="1382" w:type="dxa"/>
                  <w:vMerge/>
                  <w:tcBorders>
                    <w:top w:val="single" w:sz="4" w:space="0" w:color="auto"/>
                    <w:left w:val="single" w:sz="4" w:space="0" w:color="auto"/>
                    <w:right w:val="single" w:sz="4" w:space="0" w:color="auto"/>
                  </w:tcBorders>
                  <w:vAlign w:val="center"/>
                </w:tcPr>
                <w:p/>
              </w:tc>
              <w:tc>
                <w:tcPr>
                  <w:tcW w:w="6941" w:type="dxa"/>
                  <w:gridSpan w:val="3"/>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hint="eastAsia"/>
                      <w:b w:val="0"/>
                      <w:bCs w:val="0"/>
                      <w:sz w:val="21"/>
                      <w:szCs w:val="21"/>
                      <w:vertAlign w:val="baseline"/>
                      <w:lang w:val="en-US" w:eastAsia="zh-CN"/>
                    </w:rPr>
                    <w:t>经度</w:t>
                  </w:r>
                  <w:r>
                    <w:rPr>
                      <w:rFonts w:cs="Times New Roman" w:hint="eastAsia"/>
                      <w:b w:val="0"/>
                      <w:bCs w:val="0"/>
                      <w:sz w:val="21"/>
                      <w:szCs w:val="21"/>
                      <w:vertAlign w:val="baseline"/>
                      <w:lang w:val="en-US" w:eastAsia="zh-CN"/>
                    </w:rPr>
                    <w:t>：105.265102 ，</w:t>
                  </w:r>
                  <w:r>
                    <w:rPr>
                      <w:rFonts w:ascii="Times New Roman" w:eastAsia="宋体" w:cs="Times New Roman" w:hAnsi="Times New Roman" w:hint="eastAsia"/>
                      <w:b w:val="0"/>
                      <w:bCs w:val="0"/>
                      <w:sz w:val="21"/>
                      <w:szCs w:val="21"/>
                      <w:vertAlign w:val="baseline"/>
                      <w:lang w:val="en-US" w:eastAsia="zh-CN"/>
                    </w:rPr>
                    <w:t>纬度</w:t>
                  </w:r>
                  <w:r>
                    <w:rPr>
                      <w:rFonts w:cs="Times New Roman" w:hint="eastAsia"/>
                      <w:b w:val="0"/>
                      <w:bCs w:val="0"/>
                      <w:sz w:val="21"/>
                      <w:szCs w:val="21"/>
                      <w:vertAlign w:val="baseline"/>
                      <w:lang w:val="en-US" w:eastAsia="zh-CN"/>
                    </w:rPr>
                    <w:t>：30.578858</w:t>
                  </w:r>
                </w:p>
              </w:tc>
            </w:tr>
          </w:tbl>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废气污染防治技术可行性分析</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收集措施可行性论证</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val="0"/>
                <w:bCs w:val="0"/>
                <w:sz w:val="24"/>
                <w:szCs w:val="24"/>
                <w:lang w:val="en-US" w:eastAsia="zh-CN"/>
              </w:rPr>
            </w:pPr>
            <w:r>
              <w:rPr>
                <w:rFonts w:ascii="Times New Roman" w:eastAsia="宋体" w:cs="Times New Roman" w:hAnsi="Times New Roman" w:hint="eastAsia"/>
                <w:sz w:val="24"/>
                <w:szCs w:val="24"/>
                <w:lang w:val="en-US" w:eastAsia="zh-CN"/>
              </w:rPr>
              <w:t>参考</w:t>
            </w:r>
            <w:r>
              <w:rPr>
                <w:rFonts w:cs="Times New Roman" w:hint="eastAsia"/>
                <w:sz w:val="24"/>
                <w:szCs w:val="24"/>
                <w:lang w:val="en-US" w:eastAsia="zh-CN"/>
              </w:rPr>
              <w:t>《排放源统计调查产排污核算方法和系数手册》</w:t>
            </w:r>
            <w:r>
              <w:rPr>
                <w:rFonts w:ascii="Times New Roman" w:eastAsia="宋体" w:cs="Times New Roman" w:hAnsi="Times New Roman" w:hint="eastAsia"/>
                <w:sz w:val="24"/>
                <w:szCs w:val="24"/>
                <w:lang w:val="en-US" w:eastAsia="zh-CN"/>
              </w:rPr>
              <w:t>42废弃资源综合利用行业系数手册中“4210金属废料及碎屑加工处理行业”产污系数表，废CRT电视机产污系数</w:t>
            </w:r>
            <w:r>
              <w:rPr>
                <w:rFonts w:cs="Times New Roman" w:hint="eastAsia"/>
                <w:sz w:val="24"/>
                <w:szCs w:val="24"/>
                <w:lang w:val="en-US" w:eastAsia="zh-CN"/>
              </w:rPr>
              <w:t>（工业废气量）22100</w:t>
            </w:r>
            <w:r>
              <w:rPr>
                <w:rFonts w:ascii="Times New Roman" w:eastAsia="宋体" w:cs="Times New Roman" w:hAnsi="Times New Roman" w:hint="eastAsia"/>
                <w:sz w:val="24"/>
                <w:szCs w:val="24"/>
                <w:lang w:val="en-US" w:eastAsia="zh-CN"/>
              </w:rPr>
              <w:t>标立方米/吨-原料</w:t>
            </w:r>
            <w:r>
              <w:rPr>
                <w:rFonts w:cs="Times New Roman" w:hint="eastAsia"/>
                <w:sz w:val="24"/>
                <w:szCs w:val="24"/>
                <w:lang w:val="en-US" w:eastAsia="zh-CN"/>
              </w:rPr>
              <w:t>；本项目年拆解电脑服务器、通讯设备、基站设备总重量</w:t>
            </w:r>
            <w:r>
              <w:rPr>
                <w:rFonts w:cs="Times New Roman" w:hint="eastAsia"/>
                <w:color w:val="auto"/>
                <w:sz w:val="24"/>
                <w:szCs w:val="24"/>
                <w:lang w:val="en-US" w:eastAsia="zh-CN"/>
              </w:rPr>
              <w:t>为625.0t，类比</w:t>
            </w:r>
            <w:r>
              <w:rPr>
                <w:rFonts w:ascii="Times New Roman" w:eastAsia="宋体" w:cs="Times New Roman" w:hAnsi="Times New Roman" w:hint="eastAsia"/>
                <w:color w:val="auto"/>
                <w:sz w:val="24"/>
                <w:szCs w:val="24"/>
                <w:lang w:val="en-US" w:eastAsia="zh-CN"/>
              </w:rPr>
              <w:t>废CRT电视机产污系数</w:t>
            </w:r>
            <w:r>
              <w:rPr>
                <w:rFonts w:cs="Times New Roman" w:hint="eastAsia"/>
                <w:color w:val="auto"/>
                <w:sz w:val="24"/>
                <w:szCs w:val="24"/>
                <w:lang w:val="en-US" w:eastAsia="zh-CN"/>
              </w:rPr>
              <w:t>（工业废气量），废气处理装置</w:t>
            </w:r>
            <w:r>
              <w:rPr>
                <w:rFonts w:ascii="Times New Roman" w:eastAsia="宋体" w:cs="Times New Roman" w:hAnsi="Times New Roman" w:hint="eastAsia"/>
                <w:b w:val="0"/>
                <w:bCs w:val="0"/>
                <w:color w:val="auto"/>
                <w:sz w:val="24"/>
                <w:szCs w:val="24"/>
                <w:lang w:val="en-US" w:eastAsia="zh-CN"/>
              </w:rPr>
              <w:t>总排风量不低于</w:t>
            </w:r>
            <w:r>
              <w:rPr>
                <w:rFonts w:cs="Times New Roman" w:hint="eastAsia"/>
                <w:b w:val="0"/>
                <w:bCs w:val="0"/>
                <w:color w:val="auto"/>
                <w:sz w:val="24"/>
                <w:szCs w:val="24"/>
                <w:lang w:val="en-US" w:eastAsia="zh-CN"/>
              </w:rPr>
              <w:t xml:space="preserve">5755.21 </w:t>
            </w:r>
            <w:r>
              <w:rPr>
                <w:rFonts w:ascii="Times New Roman" w:eastAsia="宋体" w:cs="Times New Roman" w:hAnsi="Times New Roman" w:hint="eastAsia"/>
                <w:b w:val="0"/>
                <w:bCs w:val="0"/>
                <w:color w:val="auto"/>
                <w:sz w:val="24"/>
                <w:szCs w:val="24"/>
                <w:lang w:val="en-US" w:eastAsia="zh-CN"/>
              </w:rPr>
              <w:t>m</w:t>
            </w:r>
            <w:r>
              <w:rPr>
                <w:rFonts w:ascii="Times New Roman" w:eastAsia="宋体" w:cs="Times New Roman" w:hAnsi="Times New Roman" w:hint="eastAsia"/>
                <w:b w:val="0"/>
                <w:bCs w:val="0"/>
                <w:color w:val="auto"/>
                <w:sz w:val="24"/>
                <w:szCs w:val="24"/>
                <w:vertAlign w:val="superscript"/>
                <w:lang w:val="en-US" w:eastAsia="zh-CN"/>
              </w:rPr>
              <w:t>3</w:t>
            </w:r>
            <w:r>
              <w:rPr>
                <w:rFonts w:ascii="Times New Roman" w:eastAsia="宋体" w:cs="Times New Roman" w:hAnsi="Times New Roman" w:hint="eastAsia"/>
                <w:b w:val="0"/>
                <w:bCs w:val="0"/>
                <w:color w:val="auto"/>
                <w:sz w:val="24"/>
                <w:szCs w:val="24"/>
                <w:lang w:val="en-US" w:eastAsia="zh-CN"/>
              </w:rPr>
              <w:t>/h</w:t>
            </w:r>
            <w:r>
              <w:rPr>
                <w:rFonts w:cs="Times New Roman" w:hint="eastAsia"/>
                <w:b w:val="0"/>
                <w:bCs w:val="0"/>
                <w:color w:val="auto"/>
                <w:sz w:val="24"/>
                <w:szCs w:val="24"/>
                <w:lang w:val="en-US" w:eastAsia="zh-CN"/>
              </w:rPr>
              <w:t>；</w:t>
            </w:r>
            <w:r>
              <w:rPr>
                <w:rFonts w:ascii="Times New Roman" w:eastAsia="宋体" w:cs="Times New Roman" w:hAnsi="Times New Roman" w:hint="eastAsia"/>
                <w:b w:val="0"/>
                <w:bCs w:val="0"/>
                <w:color w:val="auto"/>
                <w:sz w:val="24"/>
                <w:szCs w:val="24"/>
                <w:lang w:val="en-US" w:eastAsia="zh-CN"/>
              </w:rPr>
              <w:t>项目</w:t>
            </w:r>
            <w:r>
              <w:rPr>
                <w:rFonts w:cs="Times New Roman" w:hint="eastAsia"/>
                <w:b w:val="0"/>
                <w:bCs w:val="0"/>
                <w:color w:val="auto"/>
                <w:sz w:val="24"/>
                <w:szCs w:val="24"/>
                <w:lang w:val="en-US" w:eastAsia="zh-CN"/>
              </w:rPr>
              <w:t>布袋除尘</w:t>
            </w:r>
            <w:r>
              <w:rPr>
                <w:rFonts w:ascii="Times New Roman" w:eastAsia="宋体" w:cs="Times New Roman" w:hAnsi="Times New Roman" w:hint="eastAsia"/>
                <w:b w:val="0"/>
                <w:bCs w:val="0"/>
                <w:sz w:val="24"/>
                <w:szCs w:val="24"/>
                <w:lang w:val="en-US" w:eastAsia="zh-CN"/>
              </w:rPr>
              <w:t>器配套风机</w:t>
            </w:r>
            <w:r>
              <w:rPr>
                <w:rFonts w:cs="Times New Roman" w:hint="eastAsia"/>
                <w:b w:val="0"/>
                <w:bCs w:val="0"/>
                <w:sz w:val="24"/>
                <w:szCs w:val="24"/>
                <w:lang w:val="en-US" w:eastAsia="zh-CN"/>
              </w:rPr>
              <w:t>总</w:t>
            </w:r>
            <w:r>
              <w:rPr>
                <w:rFonts w:ascii="Times New Roman" w:eastAsia="宋体" w:cs="Times New Roman" w:hAnsi="Times New Roman" w:hint="eastAsia"/>
                <w:b w:val="0"/>
                <w:bCs w:val="0"/>
                <w:sz w:val="24"/>
                <w:szCs w:val="24"/>
                <w:lang w:val="en-US" w:eastAsia="zh-CN"/>
              </w:rPr>
              <w:t>风量为</w:t>
            </w:r>
            <w:r>
              <w:rPr>
                <w:rFonts w:cs="Times New Roman" w:hint="eastAsia"/>
                <w:b w:val="0"/>
                <w:bCs w:val="0"/>
                <w:sz w:val="24"/>
                <w:szCs w:val="24"/>
                <w:lang w:val="en-US" w:eastAsia="zh-CN"/>
              </w:rPr>
              <w:t>8000.0</w:t>
            </w:r>
            <w:r>
              <w:rPr>
                <w:rFonts w:ascii="Times New Roman" w:eastAsia="宋体" w:cs="Times New Roman" w:hAnsi="Times New Roman" w:hint="eastAsia"/>
                <w:b w:val="0"/>
                <w:bCs w:val="0"/>
                <w:sz w:val="24"/>
                <w:szCs w:val="24"/>
                <w:lang w:val="en-US" w:eastAsia="zh-CN"/>
              </w:rPr>
              <w:t>m</w:t>
            </w:r>
            <w:r>
              <w:rPr>
                <w:rFonts w:ascii="Times New Roman" w:eastAsia="宋体" w:cs="Times New Roman" w:hAnsi="Times New Roman" w:hint="eastAsia"/>
                <w:b w:val="0"/>
                <w:bCs w:val="0"/>
                <w:sz w:val="24"/>
                <w:szCs w:val="24"/>
                <w:vertAlign w:val="superscript"/>
                <w:lang w:val="en-US" w:eastAsia="zh-CN"/>
              </w:rPr>
              <w:t>3</w:t>
            </w:r>
            <w:r>
              <w:rPr>
                <w:rFonts w:ascii="Times New Roman" w:eastAsia="宋体" w:cs="Times New Roman" w:hAnsi="Times New Roman" w:hint="eastAsia"/>
                <w:b w:val="0"/>
                <w:bCs w:val="0"/>
                <w:sz w:val="24"/>
                <w:szCs w:val="24"/>
                <w:lang w:val="en-US" w:eastAsia="zh-CN"/>
              </w:rPr>
              <w:t>/h，高于风量要求，故本项目收集措施可行</w:t>
            </w:r>
            <w:r>
              <w:rPr>
                <w:rFonts w:cs="Times New Roman" w:hint="eastAsia"/>
                <w:b w:val="0"/>
                <w:bCs w:val="0"/>
                <w:sz w:val="24"/>
                <w:szCs w:val="24"/>
                <w:lang w:val="en-US" w:eastAsia="zh-CN"/>
              </w:rPr>
              <w:t>。</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防治技术可行性分析</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参考（HJ1033-2019）《排污许可证申请与核发技术规范—工业固体废物和危险废物治理》中相关废气防治可行技术参考表，清灰过程产生</w:t>
            </w:r>
            <w:r>
              <w:rPr>
                <w:rFonts w:cs="Times New Roman" w:hint="eastAsia"/>
                <w:sz w:val="24"/>
                <w:szCs w:val="24"/>
                <w:lang w:val="en-US" w:eastAsia="zh-CN"/>
              </w:rPr>
              <w:t>的</w:t>
            </w:r>
            <w:r>
              <w:rPr>
                <w:rFonts w:ascii="Times New Roman" w:eastAsia="宋体" w:cs="Times New Roman" w:hAnsi="Times New Roman" w:hint="eastAsia"/>
                <w:sz w:val="24"/>
                <w:szCs w:val="24"/>
                <w:lang w:val="en-US" w:eastAsia="zh-CN"/>
              </w:rPr>
              <w:t>粉尘</w:t>
            </w:r>
            <w:r>
              <w:rPr>
                <w:rFonts w:cs="Times New Roman" w:hint="eastAsia"/>
                <w:sz w:val="24"/>
                <w:szCs w:val="24"/>
                <w:lang w:val="en-US" w:eastAsia="zh-CN"/>
              </w:rPr>
              <w:t>采取布袋除尘</w:t>
            </w:r>
            <w:r>
              <w:rPr>
                <w:rFonts w:ascii="Times New Roman" w:eastAsia="宋体" w:cs="Times New Roman" w:hAnsi="Times New Roman" w:hint="eastAsia"/>
                <w:sz w:val="24"/>
                <w:szCs w:val="24"/>
                <w:lang w:val="en-US" w:eastAsia="zh-CN"/>
              </w:rPr>
              <w:t>器处理属于推荐的可行性技术。</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综上，本项目采取的废气污染防治技术可行。</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排气筒高度符合性分析</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hint="eastAsia"/>
                <w:sz w:val="24"/>
                <w:szCs w:val="24"/>
                <w:lang w:val="en-US" w:eastAsia="zh-CN"/>
              </w:rPr>
              <w:t>根据《大气污染物综合排放标准》（GB16297-1996）7.4新污染源的排气筒一般不应低于15米</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企业排气筒</w:t>
            </w:r>
            <w:r>
              <w:rPr>
                <w:rFonts w:cs="Times New Roman" w:hint="eastAsia"/>
                <w:sz w:val="24"/>
                <w:szCs w:val="24"/>
                <w:lang w:val="en-US" w:eastAsia="zh-CN"/>
              </w:rPr>
              <w:t>DA001</w:t>
            </w:r>
            <w:r>
              <w:rPr>
                <w:rFonts w:ascii="Times New Roman" w:eastAsia="宋体" w:cs="Times New Roman" w:hAnsi="Times New Roman" w:hint="eastAsia"/>
                <w:sz w:val="24"/>
                <w:szCs w:val="24"/>
                <w:lang w:val="en-US" w:eastAsia="zh-CN"/>
              </w:rPr>
              <w:t>为</w:t>
            </w:r>
            <w:r>
              <w:rPr>
                <w:rFonts w:cs="Times New Roman" w:hint="eastAsia"/>
                <w:sz w:val="24"/>
                <w:szCs w:val="24"/>
                <w:lang w:val="en-US" w:eastAsia="zh-CN"/>
              </w:rPr>
              <w:t>21</w:t>
            </w:r>
            <w:r>
              <w:rPr>
                <w:rFonts w:ascii="Times New Roman" w:eastAsia="宋体" w:cs="Times New Roman" w:hAnsi="Times New Roman" w:hint="eastAsia"/>
                <w:sz w:val="24"/>
                <w:szCs w:val="24"/>
                <w:lang w:val="en-US" w:eastAsia="zh-CN"/>
              </w:rPr>
              <w:t>m</w:t>
            </w:r>
            <w:r>
              <w:rPr>
                <w:rFonts w:cs="Times New Roman" w:hint="eastAsia"/>
                <w:sz w:val="24"/>
                <w:szCs w:val="24"/>
                <w:lang w:val="en-US" w:eastAsia="zh-CN"/>
              </w:rPr>
              <w:t>（离地高度），</w:t>
            </w:r>
            <w:r>
              <w:rPr>
                <w:rFonts w:ascii="Times New Roman" w:eastAsia="宋体" w:cs="Times New Roman" w:hAnsi="Times New Roman" w:hint="eastAsia"/>
                <w:sz w:val="24"/>
                <w:szCs w:val="24"/>
                <w:lang w:val="en-US" w:eastAsia="zh-CN"/>
              </w:rPr>
              <w:t>满足要求。</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非正常工况源强分析</w:t>
            </w:r>
          </w:p>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非正常工况源强分析</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本项目非正常工况分析主要选择废气净化措施</w:t>
            </w:r>
            <w:r>
              <w:rPr>
                <w:rFonts w:cs="Times New Roman" w:hint="eastAsia"/>
                <w:sz w:val="24"/>
                <w:szCs w:val="24"/>
                <w:lang w:val="en-US" w:eastAsia="zh-CN"/>
              </w:rPr>
              <w:t>故障</w:t>
            </w:r>
            <w:r>
              <w:rPr>
                <w:rFonts w:ascii="Times New Roman" w:eastAsia="宋体" w:cs="Times New Roman" w:hAnsi="Times New Roman" w:hint="eastAsia"/>
                <w:sz w:val="24"/>
                <w:szCs w:val="24"/>
                <w:lang w:val="en-US" w:eastAsia="zh-CN"/>
              </w:rPr>
              <w:t>且通过排气筒排放的废气污染源，本着最不利原则，主要考虑废气净化措施</w:t>
            </w:r>
            <w:r>
              <w:rPr>
                <w:rFonts w:cs="Times New Roman" w:hint="eastAsia"/>
                <w:sz w:val="24"/>
                <w:szCs w:val="24"/>
                <w:lang w:val="en-US" w:eastAsia="zh-CN"/>
              </w:rPr>
              <w:t>故障，处理效率0%。</w:t>
            </w:r>
            <w:r>
              <w:rPr>
                <w:rFonts w:ascii="Times New Roman" w:eastAsia="宋体" w:cs="Times New Roman" w:hAnsi="Times New Roman" w:hint="eastAsia"/>
                <w:sz w:val="24"/>
                <w:szCs w:val="24"/>
                <w:lang w:val="en-US" w:eastAsia="zh-CN"/>
              </w:rPr>
              <w:t>经计算，在非正常工况下，污染物有组织排放情况见下表。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lang w:val="en-US" w:eastAsia="zh-CN"/>
              </w:rPr>
              <w:t>表</w:t>
            </w:r>
            <w:r>
              <w:rPr>
                <w:rFonts w:cs="Times New Roman" w:hint="eastAsia"/>
                <w:b/>
                <w:bCs/>
                <w:sz w:val="21"/>
                <w:szCs w:val="21"/>
                <w:lang w:val="en-US" w:eastAsia="zh-CN"/>
              </w:rPr>
              <w:t xml:space="preserve">4-7 </w:t>
            </w:r>
            <w:r>
              <w:rPr>
                <w:rFonts w:ascii="Times New Roman" w:eastAsia="宋体" w:cs="Times New Roman" w:hAnsi="Times New Roman" w:hint="eastAsia"/>
                <w:b/>
                <w:bCs/>
                <w:sz w:val="21"/>
                <w:szCs w:val="21"/>
                <w:lang w:val="en-US" w:eastAsia="zh-CN"/>
              </w:rPr>
              <w:t>污染源非正常排放量核算表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161"/>
              <w:gridCol w:w="4162"/>
            </w:tblGrid>
            <w:tr>
              <w:tc>
                <w:tcPr>
                  <w:tcW w:w="41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b/>
                      <w:bCs/>
                      <w:sz w:val="21"/>
                      <w:szCs w:val="21"/>
                      <w:vertAlign w:val="baseline"/>
                      <w:lang w:val="en-US" w:eastAsia="zh-CN"/>
                    </w:rPr>
                  </w:pPr>
                  <w:r>
                    <w:rPr>
                      <w:rFonts w:ascii="Times New Roman" w:eastAsia="宋体" w:cs="Times New Roman" w:hAnsi="Times New Roman" w:hint="eastAsia"/>
                      <w:b/>
                      <w:bCs/>
                      <w:sz w:val="21"/>
                      <w:szCs w:val="21"/>
                      <w:vertAlign w:val="baseline"/>
                      <w:lang w:val="en-US" w:eastAsia="zh-CN"/>
                    </w:rPr>
                    <w:t>序号</w:t>
                  </w:r>
                </w:p>
              </w:tc>
              <w:tc>
                <w:tcPr>
                  <w:tcW w:w="4162"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cs="Times New Roman" w:hint="eastAsia"/>
                      <w:b/>
                      <w:bCs/>
                      <w:sz w:val="21"/>
                      <w:szCs w:val="21"/>
                      <w:vertAlign w:val="baseline"/>
                      <w:lang w:val="en-US" w:eastAsia="zh-CN"/>
                    </w:rPr>
                    <w:t>1</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污染源</w:t>
                  </w:r>
                </w:p>
              </w:tc>
              <w:tc>
                <w:tcPr>
                  <w:tcW w:w="4162"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DA001</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非正常排放原因</w:t>
                  </w:r>
                </w:p>
              </w:tc>
              <w:tc>
                <w:tcPr>
                  <w:tcW w:w="4162"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color w:val="auto"/>
                      <w:sz w:val="21"/>
                      <w:szCs w:val="21"/>
                      <w:vertAlign w:val="baseline"/>
                      <w:lang w:val="en-US" w:eastAsia="zh-CN"/>
                    </w:rPr>
                  </w:pPr>
                  <w:r>
                    <w:rPr>
                      <w:rFonts w:ascii="Times New Roman" w:eastAsia="宋体" w:cs="Times New Roman" w:hAnsi="Times New Roman" w:hint="eastAsia"/>
                      <w:color w:val="auto"/>
                      <w:sz w:val="21"/>
                      <w:szCs w:val="21"/>
                      <w:vertAlign w:val="baseline"/>
                      <w:lang w:val="en-US" w:eastAsia="zh-CN"/>
                    </w:rPr>
                    <w:t>废气净化措施故障</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污染物</w:t>
                  </w:r>
                </w:p>
              </w:tc>
              <w:tc>
                <w:tcPr>
                  <w:tcW w:w="4162"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color w:val="auto"/>
                      <w:kern w:val="2"/>
                      <w:sz w:val="21"/>
                      <w:szCs w:val="21"/>
                      <w:vertAlign w:val="baseline"/>
                      <w:lang w:val="en-US" w:eastAsia="zh-CN" w:bidi="ar-SA"/>
                    </w:rPr>
                  </w:pPr>
                  <w:r>
                    <w:rPr>
                      <w:rFonts w:ascii="Times New Roman" w:eastAsia="宋体" w:cs="Times New Roman" w:hAnsi="Times New Roman"/>
                      <w:sz w:val="21"/>
                      <w:szCs w:val="21"/>
                      <w:vertAlign w:val="baseline"/>
                      <w:lang w:val="en-US" w:eastAsia="zh-CN"/>
                    </w:rPr>
                    <w:t>颗粒物</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非正常排放速率/</w:t>
                  </w:r>
                  <w:r>
                    <w:rPr>
                      <w:rFonts w:cs="Times New Roman" w:hint="eastAsia"/>
                      <w:sz w:val="21"/>
                      <w:szCs w:val="21"/>
                      <w:vertAlign w:val="baseline"/>
                      <w:lang w:val="en-US" w:eastAsia="zh-CN"/>
                    </w:rPr>
                    <w:t>（</w:t>
                  </w:r>
                  <w:r>
                    <w:rPr>
                      <w:rFonts w:ascii="Times New Roman" w:eastAsia="宋体" w:cs="Times New Roman" w:hAnsi="Times New Roman" w:hint="eastAsia"/>
                      <w:sz w:val="21"/>
                      <w:szCs w:val="21"/>
                      <w:vertAlign w:val="baseline"/>
                      <w:lang w:val="en-US" w:eastAsia="zh-CN"/>
                    </w:rPr>
                    <w:t>kg/h</w:t>
                  </w:r>
                  <w:r>
                    <w:rPr>
                      <w:rFonts w:cs="Times New Roman" w:hint="eastAsia"/>
                      <w:sz w:val="21"/>
                      <w:szCs w:val="21"/>
                      <w:vertAlign w:val="baseline"/>
                      <w:lang w:val="en-US" w:eastAsia="zh-CN"/>
                    </w:rPr>
                    <w:t>）</w:t>
                  </w:r>
                </w:p>
              </w:tc>
              <w:tc>
                <w:tcPr>
                  <w:tcW w:w="4162"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vertAlign w:val="baseline"/>
                      <w:lang w:val="en-US" w:eastAsia="zh-CN" w:bidi="ar-SA"/>
                    </w:rPr>
                  </w:pPr>
                  <w:r>
                    <w:rPr>
                      <w:rFonts w:cs="Times New Roman" w:hint="eastAsia"/>
                      <w:i w:val="0"/>
                      <w:iCs w:val="0"/>
                      <w:color w:val="000000"/>
                      <w:kern w:val="0"/>
                      <w:sz w:val="21"/>
                      <w:szCs w:val="21"/>
                      <w:u w:val="none"/>
                      <w:lang w:val="en-US" w:eastAsia="zh-CN"/>
                    </w:rPr>
                    <w:t>0.533</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非正常排放浓度/</w:t>
                  </w:r>
                  <w:r>
                    <w:rPr>
                      <w:rFonts w:cs="Times New Roman" w:hint="eastAsia"/>
                      <w:sz w:val="21"/>
                      <w:szCs w:val="21"/>
                      <w:vertAlign w:val="baseline"/>
                      <w:lang w:val="en-US" w:eastAsia="zh-CN"/>
                    </w:rPr>
                    <w:t>（</w:t>
                  </w:r>
                  <w:r>
                    <w:rPr>
                      <w:rFonts w:ascii="Times New Roman" w:eastAsia="宋体" w:cs="Times New Roman" w:hAnsi="Times New Roman" w:hint="eastAsia"/>
                      <w:sz w:val="21"/>
                      <w:szCs w:val="21"/>
                      <w:vertAlign w:val="baseline"/>
                      <w:lang w:val="en-US" w:eastAsia="zh-CN"/>
                    </w:rPr>
                    <w:t>mg/m</w:t>
                  </w:r>
                  <w:r>
                    <w:rPr>
                      <w:rFonts w:ascii="Times New Roman" w:eastAsia="宋体" w:cs="Times New Roman" w:hAnsi="Times New Roman" w:hint="eastAsia"/>
                      <w:sz w:val="21"/>
                      <w:szCs w:val="21"/>
                      <w:vertAlign w:val="superscript"/>
                      <w:lang w:val="en-US" w:eastAsia="zh-CN"/>
                    </w:rPr>
                    <w:t>3</w:t>
                  </w:r>
                  <w:r>
                    <w:rPr>
                      <w:rFonts w:cs="Times New Roman" w:hint="eastAsia"/>
                      <w:sz w:val="21"/>
                      <w:szCs w:val="21"/>
                      <w:vertAlign w:val="baseline"/>
                      <w:lang w:val="en-US" w:eastAsia="zh-CN"/>
                    </w:rPr>
                    <w:t>）</w:t>
                  </w:r>
                </w:p>
              </w:tc>
              <w:tc>
                <w:tcPr>
                  <w:tcW w:w="4162"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vertAlign w:val="baseline"/>
                      <w:lang w:val="en-US" w:eastAsia="zh-CN" w:bidi="ar-SA"/>
                    </w:rPr>
                  </w:pPr>
                  <w:r>
                    <w:rPr>
                      <w:rFonts w:cs="Times New Roman" w:hint="eastAsia"/>
                      <w:i w:val="0"/>
                      <w:iCs w:val="0"/>
                      <w:color w:val="000000"/>
                      <w:kern w:val="0"/>
                      <w:sz w:val="21"/>
                      <w:szCs w:val="21"/>
                      <w:u w:val="none"/>
                      <w:lang w:val="en-US" w:eastAsia="zh-CN"/>
                    </w:rPr>
                    <w:t>66.656</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非正常排放量/</w:t>
                  </w:r>
                  <w:r>
                    <w:rPr>
                      <w:rFonts w:cs="Times New Roman" w:hint="eastAsia"/>
                      <w:sz w:val="21"/>
                      <w:szCs w:val="21"/>
                      <w:vertAlign w:val="baseline"/>
                      <w:lang w:val="en-US" w:eastAsia="zh-CN"/>
                    </w:rPr>
                    <w:t>（kg）</w:t>
                  </w:r>
                </w:p>
              </w:tc>
              <w:tc>
                <w:tcPr>
                  <w:tcW w:w="4162"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color w:val="auto"/>
                      <w:kern w:val="2"/>
                      <w:sz w:val="21"/>
                      <w:szCs w:val="21"/>
                      <w:vertAlign w:val="baseline"/>
                      <w:lang w:val="en-US" w:eastAsia="zh-CN" w:bidi="ar-SA"/>
                    </w:rPr>
                  </w:pPr>
                  <w:r>
                    <w:rPr>
                      <w:rFonts w:cs="Times New Roman" w:hint="eastAsia"/>
                      <w:i w:val="0"/>
                      <w:iCs w:val="0"/>
                      <w:color w:val="000000"/>
                      <w:kern w:val="0"/>
                      <w:sz w:val="21"/>
                      <w:szCs w:val="21"/>
                      <w:u w:val="none"/>
                      <w:lang w:val="en-US" w:eastAsia="zh-CN"/>
                    </w:rPr>
                    <w:t>0.267</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单次持续时间/min</w:t>
                  </w:r>
                </w:p>
              </w:tc>
              <w:tc>
                <w:tcPr>
                  <w:tcW w:w="4162"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5~30</w:t>
                  </w:r>
                </w:p>
              </w:tc>
            </w:tr>
            <w:tr>
              <w:tc>
                <w:tcPr>
                  <w:tcW w:w="4161"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ascii="Times New Roman" w:eastAsia="宋体" w:cs="Times New Roman" w:hAnsi="Times New Roman" w:hint="eastAsia"/>
                      <w:sz w:val="21"/>
                      <w:szCs w:val="21"/>
                      <w:vertAlign w:val="baseline"/>
                      <w:lang w:val="en-US" w:eastAsia="zh-CN"/>
                    </w:rPr>
                    <w:t>年发生频次</w:t>
                  </w:r>
                </w:p>
              </w:tc>
              <w:tc>
                <w:tcPr>
                  <w:tcW w:w="4162" w:type="dxa"/>
                  <w:tcBorders>
                    <w:top w:val="single" w:sz="4" w:space="0" w:color="auto"/>
                    <w:left w:val="single" w:sz="4" w:space="0" w:color="auto"/>
                    <w:right w:val="single" w:sz="4" w:space="0" w:color="auto"/>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color w:val="auto"/>
                      <w:sz w:val="21"/>
                      <w:szCs w:val="21"/>
                      <w:vertAlign w:val="baseline"/>
                      <w:lang w:val="en-US" w:eastAsia="zh-CN"/>
                    </w:rPr>
                  </w:pPr>
                  <w:r>
                    <w:rPr>
                      <w:rFonts w:ascii="Times New Roman" w:eastAsia="宋体" w:cs="Times New Roman" w:hAnsi="Times New Roman" w:hint="eastAsia"/>
                      <w:color w:val="auto"/>
                      <w:sz w:val="21"/>
                      <w:szCs w:val="21"/>
                      <w:vertAlign w:val="baseline"/>
                      <w:lang w:val="en-US" w:eastAsia="zh-CN"/>
                    </w:rPr>
                    <w:t>≤1</w:t>
                  </w:r>
                </w:p>
              </w:tc>
            </w:tr>
          </w:tbl>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非正常工况的控制措施</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b w:val="0"/>
                <w:bCs w:val="0"/>
                <w:color w:val="FF0000"/>
                <w:sz w:val="24"/>
                <w:szCs w:val="24"/>
                <w:lang w:val="en-US" w:eastAsia="zh-CN"/>
              </w:rPr>
            </w:pPr>
            <w:r>
              <w:rPr>
                <w:rFonts w:ascii="Times New Roman" w:eastAsia="宋体" w:cs="Times New Roman" w:hAnsi="Times New Roman" w:hint="eastAsia"/>
                <w:sz w:val="24"/>
                <w:szCs w:val="24"/>
                <w:lang w:val="en-US" w:eastAsia="zh-CN"/>
              </w:rPr>
              <w:t>②加强厂区环保设施及配套</w:t>
            </w:r>
            <w:r>
              <w:rPr>
                <w:rFonts w:cs="Times New Roman" w:hint="eastAsia"/>
                <w:sz w:val="24"/>
                <w:szCs w:val="24"/>
                <w:lang w:val="en-US" w:eastAsia="zh-CN"/>
              </w:rPr>
              <w:t>风机</w:t>
            </w:r>
            <w:r>
              <w:rPr>
                <w:rFonts w:ascii="Times New Roman" w:eastAsia="宋体" w:cs="Times New Roman" w:hAnsi="Times New Roman" w:hint="eastAsia"/>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cs="Times New Roman" w:hint="eastAsia"/>
                <w:b w:val="0"/>
                <w:bCs w:val="0"/>
                <w:color w:val="auto"/>
                <w:sz w:val="24"/>
                <w:szCs w:val="24"/>
                <w:lang w:val="en-US" w:eastAsia="zh-CN"/>
              </w:rPr>
              <w:t>。</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废气排放环境影响</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color w:val="auto"/>
                <w:sz w:val="24"/>
                <w:szCs w:val="24"/>
                <w:lang w:val="en-US" w:eastAsia="zh-CN"/>
              </w:rPr>
            </w:pPr>
            <w:r>
              <w:rPr>
                <w:rFonts w:cs="Times New Roman" w:hint="eastAsia"/>
                <w:sz w:val="24"/>
                <w:szCs w:val="24"/>
                <w:lang w:val="en-US" w:eastAsia="zh-CN"/>
              </w:rPr>
              <w:t>本</w:t>
            </w:r>
            <w:r>
              <w:rPr>
                <w:rFonts w:ascii="Times New Roman" w:eastAsia="宋体" w:cs="Times New Roman" w:hAnsi="Times New Roman" w:hint="eastAsia"/>
                <w:sz w:val="24"/>
                <w:szCs w:val="24"/>
                <w:lang w:val="en-US" w:eastAsia="zh-CN"/>
              </w:rPr>
              <w:t>项目所在区域大气环境质量现状均能达到所属功能区的标准要求，属于环境空气</w:t>
            </w:r>
            <w:r>
              <w:rPr>
                <w:rFonts w:ascii="Times New Roman" w:eastAsia="宋体" w:cs="Times New Roman" w:hAnsi="Times New Roman" w:hint="eastAsia"/>
                <w:color w:val="auto"/>
                <w:sz w:val="24"/>
                <w:szCs w:val="24"/>
                <w:lang w:val="en-US" w:eastAsia="zh-CN"/>
              </w:rPr>
              <w:t>达标区，所在区域大气环境质量良好。</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color w:val="auto"/>
                <w:sz w:val="24"/>
                <w:szCs w:val="24"/>
                <w:lang w:val="en-US" w:eastAsia="zh-CN"/>
              </w:rPr>
            </w:pPr>
            <w:r>
              <w:rPr>
                <w:rFonts w:cs="Times New Roman" w:hint="eastAsia"/>
                <w:color w:val="auto"/>
                <w:sz w:val="24"/>
                <w:szCs w:val="24"/>
                <w:lang w:val="en-US" w:eastAsia="zh-CN"/>
              </w:rPr>
              <w:t>本</w:t>
            </w:r>
            <w:r>
              <w:rPr>
                <w:rFonts w:ascii="Times New Roman" w:eastAsia="宋体" w:cs="Times New Roman" w:hAnsi="Times New Roman" w:hint="eastAsia"/>
                <w:color w:val="auto"/>
                <w:sz w:val="24"/>
                <w:szCs w:val="24"/>
                <w:lang w:val="en-US" w:eastAsia="zh-CN"/>
              </w:rPr>
              <w:t>项目</w:t>
            </w:r>
            <w:r>
              <w:rPr>
                <w:rFonts w:cs="Times New Roman" w:hint="eastAsia"/>
                <w:color w:val="auto"/>
                <w:sz w:val="24"/>
                <w:szCs w:val="24"/>
                <w:lang w:val="en-US" w:eastAsia="zh-CN"/>
              </w:rPr>
              <w:t>清灰过程产生的粉尘经负压收集后送入配套布袋除尘器处理，最后汇入1根21m排气筒（DA001）有组织排放；</w:t>
            </w:r>
            <w:r>
              <w:rPr>
                <w:rFonts w:ascii="Times New Roman" w:eastAsia="宋体" w:cs="Times New Roman" w:hAnsi="Times New Roman" w:hint="eastAsia"/>
                <w:color w:val="auto"/>
                <w:sz w:val="24"/>
                <w:szCs w:val="24"/>
                <w:lang w:val="en-US" w:eastAsia="zh-CN"/>
              </w:rPr>
              <w:t>经处理后</w:t>
            </w:r>
            <w:r>
              <w:rPr>
                <w:rFonts w:cs="Times New Roman" w:hint="eastAsia"/>
                <w:color w:val="auto"/>
                <w:sz w:val="24"/>
                <w:szCs w:val="24"/>
                <w:lang w:val="en-US" w:eastAsia="zh-CN"/>
              </w:rPr>
              <w:t>粉尘</w:t>
            </w:r>
            <w:r>
              <w:rPr>
                <w:rFonts w:ascii="Times New Roman" w:eastAsia="宋体" w:cs="Times New Roman" w:hAnsi="Times New Roman" w:hint="eastAsia"/>
                <w:color w:val="auto"/>
                <w:sz w:val="24"/>
                <w:szCs w:val="24"/>
                <w:lang w:val="en-US" w:eastAsia="zh-CN"/>
              </w:rPr>
              <w:t>排放量为</w:t>
            </w:r>
            <w:r>
              <w:rPr>
                <w:rFonts w:cs="Times New Roman" w:hint="eastAsia"/>
                <w:color w:val="auto"/>
                <w:sz w:val="24"/>
                <w:szCs w:val="24"/>
                <w:lang w:val="en-US" w:eastAsia="zh-CN"/>
              </w:rPr>
              <w:t>0.064</w:t>
            </w:r>
            <w:r>
              <w:rPr>
                <w:rFonts w:ascii="Times New Roman" w:eastAsia="宋体" w:cs="Times New Roman" w:hAnsi="Times New Roman" w:hint="eastAsia"/>
                <w:color w:val="auto"/>
                <w:sz w:val="24"/>
                <w:szCs w:val="24"/>
                <w:lang w:val="en-US" w:eastAsia="zh-CN"/>
              </w:rPr>
              <w:t>t/a</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排放速率</w:t>
            </w:r>
            <w:r>
              <w:rPr>
                <w:rFonts w:cs="Times New Roman" w:hint="eastAsia"/>
                <w:color w:val="auto"/>
                <w:sz w:val="24"/>
                <w:szCs w:val="24"/>
                <w:lang w:val="en-US" w:eastAsia="zh-CN"/>
              </w:rPr>
              <w:t>最大约</w:t>
            </w:r>
            <w:r>
              <w:rPr>
                <w:rFonts w:ascii="Times New Roman" w:eastAsia="宋体" w:cs="Times New Roman" w:hAnsi="Times New Roman" w:hint="eastAsia"/>
                <w:color w:val="auto"/>
                <w:sz w:val="24"/>
                <w:szCs w:val="24"/>
                <w:lang w:val="en-US" w:eastAsia="zh-CN"/>
              </w:rPr>
              <w:t>为</w:t>
            </w:r>
            <w:r>
              <w:rPr>
                <w:rFonts w:cs="Times New Roman" w:hint="eastAsia"/>
                <w:color w:val="auto"/>
                <w:sz w:val="24"/>
                <w:szCs w:val="24"/>
                <w:lang w:val="en-US" w:eastAsia="zh-CN"/>
              </w:rPr>
              <w:t>0.027</w:t>
            </w:r>
            <w:r>
              <w:rPr>
                <w:rFonts w:ascii="Times New Roman" w:eastAsia="宋体" w:cs="Times New Roman" w:hAnsi="Times New Roman" w:hint="eastAsia"/>
                <w:color w:val="auto"/>
                <w:sz w:val="24"/>
                <w:szCs w:val="24"/>
                <w:lang w:val="en-US" w:eastAsia="zh-CN"/>
              </w:rPr>
              <w:t>kg/h</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排放浓度</w:t>
            </w:r>
            <w:r>
              <w:rPr>
                <w:rFonts w:cs="Times New Roman" w:hint="eastAsia"/>
                <w:color w:val="auto"/>
                <w:sz w:val="24"/>
                <w:szCs w:val="24"/>
                <w:lang w:val="en-US" w:eastAsia="zh-CN"/>
              </w:rPr>
              <w:t>最大</w:t>
            </w:r>
            <w:r>
              <w:rPr>
                <w:rFonts w:ascii="Times New Roman" w:eastAsia="宋体" w:cs="Times New Roman" w:hAnsi="Times New Roman" w:hint="eastAsia"/>
                <w:color w:val="auto"/>
                <w:sz w:val="24"/>
                <w:szCs w:val="24"/>
                <w:lang w:val="en-US" w:eastAsia="zh-CN"/>
              </w:rPr>
              <w:t>约为</w:t>
            </w:r>
            <w:r>
              <w:rPr>
                <w:rFonts w:cs="Times New Roman" w:hint="eastAsia"/>
                <w:color w:val="auto"/>
                <w:sz w:val="24"/>
                <w:szCs w:val="24"/>
                <w:lang w:val="en-US" w:eastAsia="zh-CN"/>
              </w:rPr>
              <w:t>3.336</w:t>
            </w:r>
            <w:r>
              <w:rPr>
                <w:rFonts w:ascii="Times New Roman" w:eastAsia="宋体" w:cs="Times New Roman" w:hAnsi="Times New Roman" w:hint="eastAsia"/>
                <w:color w:val="auto"/>
                <w:sz w:val="24"/>
                <w:szCs w:val="24"/>
                <w:lang w:val="en-US" w:eastAsia="zh-CN"/>
              </w:rPr>
              <w:t>mg/m</w:t>
            </w:r>
            <w:r>
              <w:rPr>
                <w:rFonts w:ascii="Times New Roman" w:eastAsia="宋体" w:cs="Times New Roman" w:hAnsi="Times New Roman" w:hint="eastAsia"/>
                <w:color w:val="auto"/>
                <w:sz w:val="24"/>
                <w:szCs w:val="24"/>
                <w:vertAlign w:val="superscript"/>
                <w:lang w:val="en-US" w:eastAsia="zh-CN"/>
              </w:rPr>
              <w:t>3</w:t>
            </w:r>
            <w:r>
              <w:rPr>
                <w:rFonts w:cs="Times New Roman" w:hint="eastAsia"/>
                <w:color w:val="auto"/>
                <w:sz w:val="24"/>
                <w:szCs w:val="24"/>
                <w:lang w:val="en-US" w:eastAsia="zh-CN"/>
              </w:rPr>
              <w:t>，满足《大气污染物综合排放标准》（GB16297-1996）中表2二级标准；</w:t>
            </w:r>
            <w:r>
              <w:rPr>
                <w:rFonts w:ascii="Times New Roman" w:eastAsia="宋体" w:cs="Times New Roman" w:hAnsi="Times New Roman" w:hint="eastAsia"/>
                <w:color w:val="auto"/>
                <w:sz w:val="24"/>
                <w:szCs w:val="24"/>
                <w:lang w:val="en-US" w:eastAsia="zh-CN"/>
              </w:rPr>
              <w:t>未被收集的</w:t>
            </w:r>
            <w:r>
              <w:rPr>
                <w:rFonts w:cs="Times New Roman" w:hint="eastAsia"/>
                <w:color w:val="auto"/>
                <w:sz w:val="24"/>
                <w:szCs w:val="24"/>
                <w:lang w:val="en-US" w:eastAsia="zh-CN"/>
              </w:rPr>
              <w:t>粉尘</w:t>
            </w:r>
            <w:r>
              <w:rPr>
                <w:rFonts w:ascii="Times New Roman" w:eastAsia="宋体" w:cs="Times New Roman" w:hAnsi="Times New Roman" w:hint="eastAsia"/>
                <w:color w:val="auto"/>
                <w:sz w:val="24"/>
                <w:szCs w:val="24"/>
                <w:lang w:val="en-US" w:eastAsia="zh-CN"/>
              </w:rPr>
              <w:t>无组织排放量为</w:t>
            </w:r>
            <w:r>
              <w:rPr>
                <w:rFonts w:cs="Times New Roman" w:hint="eastAsia"/>
                <w:color w:val="auto"/>
                <w:sz w:val="24"/>
                <w:szCs w:val="24"/>
                <w:lang w:val="en-US" w:eastAsia="zh-CN"/>
              </w:rPr>
              <w:t>0.142</w:t>
            </w:r>
            <w:r>
              <w:rPr>
                <w:rFonts w:ascii="Times New Roman" w:eastAsia="宋体" w:cs="Times New Roman" w:hAnsi="Times New Roman" w:hint="eastAsia"/>
                <w:color w:val="auto"/>
                <w:sz w:val="24"/>
                <w:szCs w:val="24"/>
                <w:lang w:val="en-US" w:eastAsia="zh-CN"/>
              </w:rPr>
              <w:t>t/a，</w:t>
            </w:r>
            <w:r>
              <w:rPr>
                <w:rFonts w:cs="Times New Roman" w:hint="eastAsia"/>
                <w:color w:val="auto"/>
                <w:sz w:val="24"/>
                <w:szCs w:val="24"/>
                <w:lang w:val="en-US" w:eastAsia="zh-CN"/>
              </w:rPr>
              <w:t>排放量较少，</w:t>
            </w:r>
            <w:r>
              <w:rPr>
                <w:rFonts w:ascii="Times New Roman" w:eastAsia="宋体" w:cs="Times New Roman" w:hAnsi="Times New Roman" w:hint="eastAsia"/>
                <w:color w:val="auto"/>
                <w:sz w:val="24"/>
                <w:szCs w:val="24"/>
                <w:lang w:val="en-US" w:eastAsia="zh-CN"/>
              </w:rPr>
              <w:t>通过加强车间</w:t>
            </w:r>
            <w:r>
              <w:rPr>
                <w:rFonts w:cs="Times New Roman" w:hint="eastAsia"/>
                <w:color w:val="auto"/>
                <w:sz w:val="24"/>
                <w:szCs w:val="24"/>
                <w:lang w:val="en-US" w:eastAsia="zh-CN"/>
              </w:rPr>
              <w:t>密闭、及时清扫</w:t>
            </w:r>
            <w:r>
              <w:rPr>
                <w:rFonts w:ascii="Times New Roman" w:eastAsia="宋体" w:cs="Times New Roman" w:hAnsi="Times New Roman" w:hint="eastAsia"/>
                <w:color w:val="auto"/>
                <w:sz w:val="24"/>
                <w:szCs w:val="24"/>
                <w:lang w:val="en-US" w:eastAsia="zh-CN"/>
              </w:rPr>
              <w:t>，不会对周围空气环境产生明显影响。</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color w:val="0000FF"/>
                <w:sz w:val="24"/>
                <w:szCs w:val="24"/>
                <w:lang w:val="en-US" w:eastAsia="zh-CN"/>
              </w:rPr>
            </w:pPr>
            <w:r>
              <w:rPr>
                <w:rFonts w:ascii="Times New Roman" w:eastAsia="宋体" w:cs="Times New Roman" w:hAnsi="Times New Roman" w:hint="eastAsia"/>
                <w:color w:val="auto"/>
                <w:sz w:val="24"/>
                <w:szCs w:val="24"/>
                <w:lang w:val="en-US" w:eastAsia="zh-CN"/>
              </w:rPr>
              <w:t>综上，本项目大气环境影响可接受</w:t>
            </w:r>
            <w:r>
              <w:rPr>
                <w:rFonts w:cs="Times New Roman" w:hint="eastAsia"/>
                <w:color w:val="auto"/>
                <w:sz w:val="24"/>
                <w:szCs w:val="24"/>
                <w:lang w:val="en-US" w:eastAsia="zh-CN"/>
              </w:rPr>
              <w:t>。</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自行监测要求</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cs="Times New Roman" w:hint="eastAsia"/>
                <w:sz w:val="24"/>
                <w:szCs w:val="24"/>
                <w:lang w:val="en-US" w:eastAsia="zh-CN"/>
              </w:rPr>
              <w:t>参考</w:t>
            </w:r>
            <w:r>
              <w:rPr>
                <w:rFonts w:ascii="Times New Roman" w:eastAsia="宋体" w:cs="Times New Roman" w:hAnsi="Times New Roman" w:hint="eastAsia"/>
                <w:sz w:val="24"/>
                <w:szCs w:val="24"/>
                <w:lang w:val="en-US" w:eastAsia="zh-CN"/>
              </w:rPr>
              <w:t>《排污单位自行监测技术指南</w:t>
            </w:r>
            <w:r>
              <w:rPr>
                <w:rFonts w:cs="Times New Roman" w:hint="eastAsia"/>
                <w:sz w:val="24"/>
                <w:szCs w:val="24"/>
                <w:lang w:val="en-US" w:eastAsia="zh-CN"/>
              </w:rPr>
              <w:t xml:space="preserve"> </w:t>
            </w:r>
            <w:r>
              <w:rPr>
                <w:rFonts w:ascii="Times New Roman" w:eastAsia="宋体" w:cs="Times New Roman" w:hAnsi="Times New Roman" w:hint="eastAsia"/>
                <w:sz w:val="24"/>
                <w:szCs w:val="24"/>
                <w:lang w:val="en-US" w:eastAsia="zh-CN"/>
              </w:rPr>
              <w:t>总则》（HJ819-2017）</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《排污许可证申请与核发技术规范—工业固体废物和危险废物治理》（HJ1033-2019），</w:t>
            </w:r>
            <w:r>
              <w:rPr>
                <w:rFonts w:cs="Times New Roman" w:hint="eastAsia"/>
                <w:sz w:val="24"/>
                <w:szCs w:val="24"/>
                <w:lang w:val="en-US" w:eastAsia="zh-CN"/>
              </w:rPr>
              <w:t>本</w:t>
            </w:r>
            <w:r>
              <w:rPr>
                <w:rFonts w:ascii="Times New Roman" w:eastAsia="宋体" w:cs="Times New Roman" w:hAnsi="Times New Roman" w:hint="eastAsia"/>
                <w:sz w:val="24"/>
                <w:szCs w:val="24"/>
                <w:lang w:val="en-US" w:eastAsia="zh-CN"/>
              </w:rPr>
              <w:t>项目监测要求如下表所示。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表4-</w:t>
            </w:r>
            <w:r>
              <w:rPr>
                <w:rFonts w:cs="Times New Roman" w:hint="eastAsia"/>
                <w:b/>
                <w:bCs/>
                <w:sz w:val="21"/>
                <w:szCs w:val="21"/>
                <w:lang w:val="en-US" w:eastAsia="zh-CN"/>
              </w:rPr>
              <w:t>8</w:t>
            </w:r>
            <w:r>
              <w:rPr>
                <w:rFonts w:ascii="Times New Roman" w:eastAsia="宋体" w:cs="Times New Roman" w:hAnsi="Times New Roman"/>
                <w:b/>
                <w:bCs/>
                <w:sz w:val="21"/>
                <w:szCs w:val="21"/>
                <w:lang w:val="en-US" w:eastAsia="zh-CN"/>
              </w:rPr>
              <w:t xml:space="preserve"> 自行监测要求</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774"/>
              <w:gridCol w:w="2774"/>
              <w:gridCol w:w="2775"/>
            </w:tblGrid>
            <w:tr>
              <w:trPr>
                <w:trHeight w:val="90"/>
              </w:trPr>
              <w:tc>
                <w:tcPr>
                  <w:tcW w:w="27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序号</w:t>
                  </w:r>
                </w:p>
              </w:tc>
              <w:tc>
                <w:tcPr>
                  <w:tcW w:w="27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1</w:t>
                  </w:r>
                </w:p>
              </w:tc>
              <w:tc>
                <w:tcPr>
                  <w:tcW w:w="27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2</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排放口编号/监测点位</w:t>
                  </w:r>
                </w:p>
              </w:tc>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DA001</w:t>
                  </w:r>
                </w:p>
              </w:tc>
              <w:tc>
                <w:tcPr>
                  <w:tcW w:w="277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排放口名称/监测点位名称</w:t>
                  </w:r>
                </w:p>
              </w:tc>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cs="Times New Roman" w:hint="eastAsia"/>
                      <w:b w:val="0"/>
                      <w:bCs w:val="0"/>
                      <w:sz w:val="21"/>
                      <w:szCs w:val="21"/>
                      <w:vertAlign w:val="baseline"/>
                      <w:lang w:val="en-US" w:eastAsia="zh-CN"/>
                    </w:rPr>
                    <w:t>清灰废气</w:t>
                  </w:r>
                  <w:r>
                    <w:rPr>
                      <w:rFonts w:ascii="Times New Roman" w:eastAsia="宋体" w:cs="Times New Roman" w:hAnsi="Times New Roman" w:hint="eastAsia"/>
                      <w:b w:val="0"/>
                      <w:bCs w:val="0"/>
                      <w:sz w:val="21"/>
                      <w:szCs w:val="21"/>
                      <w:vertAlign w:val="baseline"/>
                      <w:lang w:val="en-US" w:eastAsia="zh-CN"/>
                    </w:rPr>
                    <w:t>排放口</w:t>
                  </w:r>
                </w:p>
              </w:tc>
              <w:tc>
                <w:tcPr>
                  <w:tcW w:w="277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无组织（厂界）</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监测内容</w:t>
                  </w:r>
                </w:p>
              </w:tc>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烟气流量、浓度</w:t>
                  </w:r>
                </w:p>
              </w:tc>
              <w:tc>
                <w:tcPr>
                  <w:tcW w:w="277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风速、浓度</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污染物名称</w:t>
                  </w:r>
                </w:p>
              </w:tc>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hint="eastAsia"/>
                      <w:sz w:val="21"/>
                      <w:szCs w:val="21"/>
                      <w:vertAlign w:val="baseline"/>
                      <w:lang w:val="en-US" w:eastAsia="zh-CN"/>
                    </w:rPr>
                  </w:pPr>
                  <w:r>
                    <w:rPr>
                      <w:rFonts w:hint="eastAsia"/>
                      <w:lang w:val="en-US" w:eastAsia="zh-CN"/>
                    </w:rPr>
                    <w:t>颗粒物</w:t>
                  </w:r>
                </w:p>
              </w:tc>
              <w:tc>
                <w:tcPr>
                  <w:tcW w:w="277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hint="eastAsia"/>
                      <w:b w:val="0"/>
                      <w:bCs w:val="0"/>
                      <w:kern w:val="2"/>
                      <w:sz w:val="21"/>
                      <w:szCs w:val="21"/>
                      <w:vertAlign w:val="baseline"/>
                      <w:lang w:val="en-US" w:eastAsia="zh-CN" w:bidi="ar-SA"/>
                    </w:rPr>
                  </w:pPr>
                  <w:r>
                    <w:rPr>
                      <w:rFonts w:hint="eastAsia"/>
                      <w:lang w:val="en-US" w:eastAsia="zh-CN"/>
                    </w:rPr>
                    <w:t>颗粒物</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手工监测采样方法及个数</w:t>
                  </w:r>
                </w:p>
              </w:tc>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lang w:val="en-US" w:eastAsia="zh-CN"/>
                    </w:rPr>
                    <w:t>连续1h采样</w:t>
                  </w:r>
                </w:p>
              </w:tc>
              <w:tc>
                <w:tcPr>
                  <w:tcW w:w="277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lang w:val="en-US" w:eastAsia="zh-CN"/>
                    </w:rPr>
                    <w:t>瞬时采样至少3个瞬时样</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手工监测频次</w:t>
                  </w:r>
                </w:p>
              </w:tc>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lang w:val="en-US" w:eastAsia="zh-CN"/>
                    </w:rPr>
                    <w:t>1次/</w:t>
                  </w:r>
                  <w:r>
                    <w:rPr>
                      <w:rFonts w:cs="Times New Roman" w:hint="eastAsia"/>
                      <w:sz w:val="21"/>
                      <w:szCs w:val="21"/>
                      <w:lang w:val="en-US" w:eastAsia="zh-CN"/>
                    </w:rPr>
                    <w:t>半年</w:t>
                  </w:r>
                </w:p>
              </w:tc>
              <w:tc>
                <w:tcPr>
                  <w:tcW w:w="2775"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lang w:val="en-US" w:eastAsia="zh-CN"/>
                    </w:rPr>
                    <w:t>1次/</w:t>
                  </w:r>
                  <w:r>
                    <w:rPr>
                      <w:rFonts w:cs="Times New Roman" w:hint="eastAsia"/>
                      <w:sz w:val="21"/>
                      <w:szCs w:val="21"/>
                      <w:lang w:val="en-US" w:eastAsia="zh-CN"/>
                    </w:rPr>
                    <w:t>半年</w:t>
                  </w:r>
                </w:p>
              </w:tc>
            </w:tr>
            <w:tr>
              <w:trPr>
                <w:trHeight w:val="220"/>
              </w:trPr>
              <w:tc>
                <w:tcPr>
                  <w:tcW w:w="2774" w:type="dxa"/>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bCs/>
                      <w:sz w:val="21"/>
                      <w:szCs w:val="21"/>
                      <w:lang w:val="en-US" w:eastAsia="zh-CN"/>
                    </w:rPr>
                  </w:pPr>
                  <w:r>
                    <w:rPr>
                      <w:rFonts w:cs="Times New Roman" w:hint="eastAsia"/>
                      <w:b/>
                      <w:bCs/>
                      <w:sz w:val="21"/>
                      <w:szCs w:val="21"/>
                      <w:vertAlign w:val="baseline"/>
                      <w:lang w:val="en-US" w:eastAsia="zh-CN"/>
                    </w:rPr>
                    <w:t>执行标准</w:t>
                  </w:r>
                </w:p>
              </w:tc>
              <w:tc>
                <w:tcPr>
                  <w:tcW w:w="5549" w:type="dxa"/>
                  <w:gridSpan w:val="2"/>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sz w:val="21"/>
                      <w:szCs w:val="21"/>
                      <w:lang w:val="en-US" w:eastAsia="zh-CN"/>
                    </w:rPr>
                  </w:pPr>
                  <w:r>
                    <w:rPr>
                      <w:rFonts w:hint="eastAsia"/>
                    </w:rPr>
                    <w:t>《大气污染物综合排放标准》（GB16297-1996）</w:t>
                  </w:r>
                </w:p>
              </w:tc>
            </w:tr>
          </w:tbl>
          <w:p>
            <w:pPr>
              <w:keepNext w:val="0"/>
              <w:keepLines w:val="0"/>
              <w:pageBreakBefore w:val="0"/>
              <w:widowControl w:val="0"/>
              <w:numPr>
                <w:ilvl w:val="0"/>
                <w:numId w:val="47"/>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b/>
                <w:bCs/>
                <w:sz w:val="24"/>
                <w:szCs w:val="24"/>
                <w:lang w:val="en-US" w:eastAsia="zh-CN"/>
              </w:rPr>
              <w:t>噪声</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ascii="Times New Roman" w:eastAsia="宋体" w:cs="Times New Roman" w:hAnsi="Times New Roman" w:hint="eastAsia"/>
                <w:sz w:val="24"/>
                <w:szCs w:val="24"/>
                <w:lang w:val="en-US" w:eastAsia="zh-CN"/>
              </w:rPr>
              <w:t>噪声源强</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cs="Times New Roman" w:hint="eastAsia"/>
                <w:sz w:val="24"/>
                <w:szCs w:val="24"/>
                <w:lang w:val="en-US" w:eastAsia="zh-CN"/>
              </w:rPr>
              <w:t>本项目主要噪声来源于拆解通风橱、风机、空压机等设备，均考虑优先选用高效、节能、低噪设备；</w:t>
            </w:r>
            <w:r>
              <w:rPr>
                <w:rFonts w:ascii="Times New Roman" w:eastAsia="宋体" w:cs="Times New Roman" w:hAnsi="Times New Roman" w:hint="eastAsia"/>
                <w:sz w:val="24"/>
                <w:szCs w:val="24"/>
                <w:lang w:val="en-US" w:eastAsia="zh-CN"/>
              </w:rPr>
              <w:t>类比同类企业数据，</w:t>
            </w:r>
            <w:r>
              <w:rPr>
                <w:rFonts w:cs="Times New Roman" w:hint="eastAsia"/>
                <w:sz w:val="24"/>
                <w:szCs w:val="24"/>
                <w:lang w:val="en-US" w:eastAsia="zh-CN"/>
              </w:rPr>
              <w:t>源强在75～85dB（A）之间，为非稳态噪声，</w:t>
            </w:r>
            <w:r>
              <w:rPr>
                <w:rFonts w:ascii="Times New Roman" w:eastAsia="宋体" w:cs="Times New Roman" w:hAnsi="Times New Roman" w:hint="eastAsia"/>
                <w:sz w:val="24"/>
                <w:szCs w:val="24"/>
                <w:lang w:val="en-US" w:eastAsia="zh-CN"/>
              </w:rPr>
              <w:t>主要噪声源特性及源强见下表。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hint="eastAsia"/>
                <w:b/>
                <w:bCs/>
                <w:sz w:val="21"/>
                <w:szCs w:val="21"/>
                <w:lang w:val="en-US" w:eastAsia="zh-CN"/>
              </w:rPr>
            </w:pPr>
            <w:r>
              <w:rPr>
                <w:rFonts w:ascii="Times New Roman" w:eastAsia="宋体" w:cs="Times New Roman" w:hAnsi="Times New Roman" w:hint="eastAsia"/>
                <w:b/>
                <w:bCs/>
                <w:sz w:val="21"/>
                <w:szCs w:val="21"/>
                <w:lang w:val="en-US" w:eastAsia="zh-CN"/>
              </w:rPr>
              <w:t>表</w:t>
            </w:r>
            <w:r>
              <w:rPr>
                <w:rFonts w:cs="Times New Roman" w:hint="eastAsia"/>
                <w:b/>
                <w:bCs/>
                <w:sz w:val="21"/>
                <w:szCs w:val="21"/>
                <w:lang w:val="en-US" w:eastAsia="zh-CN"/>
              </w:rPr>
              <w:t xml:space="preserve">4-9 </w:t>
            </w:r>
            <w:r>
              <w:rPr>
                <w:rFonts w:ascii="Times New Roman" w:eastAsia="宋体" w:cs="Times New Roman" w:hAnsi="Times New Roman" w:hint="eastAsia"/>
                <w:b/>
                <w:bCs/>
                <w:sz w:val="21"/>
                <w:szCs w:val="21"/>
                <w:lang w:val="en-US" w:eastAsia="zh-CN"/>
              </w:rPr>
              <w:t>项目主要噪声源特性及源强一览表</w:t>
            </w:r>
          </w:p>
          <w:tbl>
            <w:tblPr>
              <w:jc w:val="left"/>
              <w:tblInd w:w="0" w:type="dxa"/>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0"/>
              <w:gridCol w:w="380"/>
              <w:gridCol w:w="669"/>
              <w:gridCol w:w="671"/>
              <w:gridCol w:w="656"/>
              <w:gridCol w:w="657"/>
              <w:gridCol w:w="407"/>
              <w:gridCol w:w="591"/>
              <w:gridCol w:w="364"/>
              <w:gridCol w:w="397"/>
              <w:gridCol w:w="739"/>
              <w:gridCol w:w="515"/>
              <w:gridCol w:w="515"/>
              <w:gridCol w:w="583"/>
              <w:gridCol w:w="450"/>
            </w:tblGrid>
            <w:tr>
              <w:trPr>
                <w:trHeight w:val="114"/>
              </w:trPr>
              <w:tc>
                <w:tcPr>
                  <w:tcW w:w="422" w:type="pct"/>
                  <w:vMerge w:val="restart"/>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声源</w:t>
                  </w:r>
                </w:p>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名称</w:t>
                  </w:r>
                </w:p>
              </w:tc>
              <w:tc>
                <w:tcPr>
                  <w:tcW w:w="229" w:type="pct"/>
                  <w:vMerge w:val="restart"/>
                  <w:vAlign w:val="center"/>
                </w:tcPr>
                <w:p>
                  <w:pPr>
                    <w:spacing w:line="240" w:lineRule="auto"/>
                    <w:ind w:left="0" w:firstLine="0"/>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产生位置</w:t>
                  </w:r>
                </w:p>
              </w:tc>
              <w:tc>
                <w:tcPr>
                  <w:tcW w:w="403" w:type="pct"/>
                  <w:vMerge w:val="restart"/>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声功率级</w:t>
                  </w:r>
                </w:p>
                <w:p>
                  <w:pPr>
                    <w:spacing w:line="240" w:lineRule="auto"/>
                    <w:ind w:left="0" w:firstLine="0"/>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dB（A）</w:t>
                  </w:r>
                </w:p>
              </w:tc>
              <w:tc>
                <w:tcPr>
                  <w:tcW w:w="404" w:type="pct"/>
                  <w:vMerge w:val="restart"/>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控制</w:t>
                  </w:r>
                </w:p>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措施</w:t>
                  </w:r>
                </w:p>
              </w:tc>
              <w:tc>
                <w:tcPr>
                  <w:tcW w:w="1036" w:type="pct"/>
                  <w:gridSpan w:val="3"/>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空间相对位置</w:t>
                  </w:r>
                </w:p>
              </w:tc>
              <w:tc>
                <w:tcPr>
                  <w:tcW w:w="356" w:type="pct"/>
                  <w:vMerge w:val="restart"/>
                  <w:vAlign w:val="center"/>
                </w:tcPr>
                <w:p>
                  <w:pPr>
                    <w:spacing w:line="240" w:lineRule="auto"/>
                    <w:ind w:left="0" w:firstLine="0"/>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数量</w:t>
                  </w:r>
                </w:p>
                <w:p>
                  <w:pPr>
                    <w:spacing w:line="240" w:lineRule="auto"/>
                    <w:ind w:left="0" w:firstLine="0"/>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（台/套）</w:t>
                  </w:r>
                </w:p>
              </w:tc>
              <w:tc>
                <w:tcPr>
                  <w:tcW w:w="458" w:type="pct"/>
                  <w:gridSpan w:val="2"/>
                  <w:vMerge w:val="restart"/>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hint="eastAsia"/>
                      <w:b/>
                      <w:bCs/>
                      <w:sz w:val="16"/>
                      <w:szCs w:val="16"/>
                    </w:rPr>
                    <w:t>室内边界距离</w:t>
                  </w:r>
                </w:p>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hint="eastAsia"/>
                      <w:b/>
                      <w:bCs/>
                      <w:sz w:val="16"/>
                      <w:szCs w:val="16"/>
                    </w:rPr>
                    <w:tab/>
                  </w:r>
                </w:p>
              </w:tc>
              <w:tc>
                <w:tcPr>
                  <w:tcW w:w="445" w:type="pct"/>
                  <w:vMerge w:val="restart"/>
                  <w:vAlign w:val="center"/>
                </w:tcPr>
                <w:p>
                  <w:pPr>
                    <w:spacing w:line="240" w:lineRule="auto"/>
                    <w:ind w:left="0" w:firstLine="0"/>
                    <w:jc w:val="center"/>
                    <w:rPr>
                      <w:rFonts w:hint="eastAsia"/>
                      <w:b/>
                      <w:bCs/>
                      <w:sz w:val="16"/>
                      <w:szCs w:val="16"/>
                    </w:rPr>
                  </w:pPr>
                  <w:r>
                    <w:rPr>
                      <w:rFonts w:hint="eastAsia"/>
                      <w:b/>
                      <w:bCs/>
                      <w:sz w:val="16"/>
                      <w:szCs w:val="16"/>
                    </w:rPr>
                    <w:t>室内边界声级</w:t>
                  </w:r>
                  <w:r>
                    <w:rPr>
                      <w:rFonts w:ascii="Times New Roman" w:eastAsia="宋体" w:cs="Times New Roman" w:hAnsi="Times New Roman"/>
                      <w:b/>
                      <w:bCs/>
                      <w:i w:val="0"/>
                      <w:iCs w:val="0"/>
                      <w:color w:val="auto"/>
                      <w:sz w:val="16"/>
                      <w:szCs w:val="16"/>
                      <w:vertAlign w:val="baseline"/>
                      <w:lang w:val="en-US" w:eastAsia="zh-CN"/>
                    </w:rPr>
                    <w:t>dB（A）</w:t>
                  </w:r>
                </w:p>
              </w:tc>
              <w:tc>
                <w:tcPr>
                  <w:tcW w:w="310" w:type="pct"/>
                  <w:vMerge w:val="restart"/>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运行时间段</w:t>
                  </w:r>
                </w:p>
              </w:tc>
              <w:tc>
                <w:tcPr>
                  <w:tcW w:w="310" w:type="pct"/>
                  <w:vMerge w:val="restart"/>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建筑物插入损失</w:t>
                  </w:r>
                </w:p>
              </w:tc>
              <w:tc>
                <w:tcPr>
                  <w:tcW w:w="622" w:type="pct"/>
                  <w:gridSpan w:val="2"/>
                  <w:vAlign w:val="center"/>
                </w:tcPr>
                <w:p>
                  <w:pPr>
                    <w:spacing w:line="240" w:lineRule="auto"/>
                    <w:jc w:val="center"/>
                    <w:rPr>
                      <w:rFonts w:hint="eastAsia"/>
                      <w:b/>
                      <w:bCs/>
                      <w:sz w:val="16"/>
                      <w:szCs w:val="16"/>
                    </w:rPr>
                  </w:pPr>
                  <w:r>
                    <w:rPr>
                      <w:rFonts w:hint="eastAsia"/>
                      <w:b/>
                      <w:bCs/>
                      <w:sz w:val="16"/>
                      <w:szCs w:val="16"/>
                    </w:rPr>
                    <w:t>建筑物</w:t>
                  </w:r>
                </w:p>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hint="eastAsia"/>
                      <w:b/>
                      <w:bCs/>
                      <w:sz w:val="16"/>
                      <w:szCs w:val="16"/>
                    </w:rPr>
                    <w:t>外噪声</w:t>
                  </w:r>
                </w:p>
              </w:tc>
            </w:tr>
            <w:tr>
              <w:trPr>
                <w:trHeight w:val="90"/>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hint="eastAsia"/>
                      <w:b/>
                      <w:bCs/>
                      <w:color w:val="auto"/>
                      <w:sz w:val="16"/>
                      <w:szCs w:val="16"/>
                      <w:lang w:val="en-US" w:eastAsia="zh-CN"/>
                    </w:rPr>
                    <w:t>X</w:t>
                  </w:r>
                </w:p>
              </w:tc>
              <w:tc>
                <w:tcPr>
                  <w:tcW w:w="396"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hint="eastAsia"/>
                      <w:b/>
                      <w:bCs/>
                      <w:color w:val="auto"/>
                      <w:sz w:val="16"/>
                      <w:szCs w:val="16"/>
                      <w:lang w:val="en-US" w:eastAsia="zh-CN"/>
                    </w:rPr>
                    <w:t>Y</w:t>
                  </w:r>
                </w:p>
              </w:tc>
              <w:tc>
                <w:tcPr>
                  <w:tcW w:w="244"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hint="eastAsia"/>
                      <w:b/>
                      <w:bCs/>
                      <w:color w:val="auto"/>
                      <w:sz w:val="16"/>
                      <w:szCs w:val="16"/>
                      <w:lang w:val="en-US" w:eastAsia="zh-CN"/>
                    </w:rPr>
                    <w:t>Z</w:t>
                  </w:r>
                </w:p>
              </w:tc>
              <w:tc>
                <w:tcPr>
                  <w:tcW w:w="356" w:type="pct"/>
                  <w:vMerge/>
                  <w:tcBorders>
                    <w:top w:val="single" w:sz="4" w:space="0" w:color="auto"/>
                    <w:left w:val="single" w:sz="4" w:space="0" w:color="auto"/>
                    <w:right w:val="single" w:sz="4" w:space="0" w:color="auto"/>
                  </w:tcBorders>
                  <w:vAlign w:val="center"/>
                </w:tcPr>
                <w:p/>
              </w:tc>
              <w:tc>
                <w:tcPr>
                  <w:tcW w:w="458" w:type="pct"/>
                  <w:gridSpan w:val="2"/>
                  <w:vMerge/>
                  <w:tcBorders>
                    <w:top w:val="single" w:sz="4" w:space="0" w:color="auto"/>
                    <w:left w:val="single" w:sz="4" w:space="0" w:color="auto"/>
                    <w:right w:val="single" w:sz="4" w:space="0" w:color="auto"/>
                  </w:tcBorders>
                  <w:vAlign w:val="center"/>
                </w:tcPr>
                <w:p/>
              </w:tc>
              <w:tc>
                <w:tcPr>
                  <w:tcW w:w="445"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声压级dB（A）</w:t>
                  </w:r>
                </w:p>
              </w:tc>
              <w:tc>
                <w:tcPr>
                  <w:tcW w:w="271" w:type="pc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bCs/>
                      <w:i w:val="0"/>
                      <w:iCs w:val="0"/>
                      <w:color w:val="auto"/>
                      <w:sz w:val="16"/>
                      <w:szCs w:val="16"/>
                      <w:vertAlign w:val="baseline"/>
                      <w:lang w:val="en-US" w:eastAsia="zh-CN"/>
                    </w:rPr>
                  </w:pPr>
                  <w:r>
                    <w:rPr>
                      <w:rFonts w:ascii="Times New Roman" w:eastAsia="宋体" w:cs="Times New Roman" w:hAnsi="Times New Roman"/>
                      <w:b/>
                      <w:bCs/>
                      <w:i w:val="0"/>
                      <w:iCs w:val="0"/>
                      <w:color w:val="auto"/>
                      <w:sz w:val="16"/>
                      <w:szCs w:val="16"/>
                      <w:vertAlign w:val="baseline"/>
                      <w:lang w:val="en-US" w:eastAsia="zh-CN"/>
                    </w:rPr>
                    <w:t>距离m</w:t>
                  </w:r>
                </w:p>
              </w:tc>
            </w:tr>
            <w:tr>
              <w:trPr>
                <w:trHeight w:val="90"/>
              </w:trPr>
              <w:tc>
                <w:tcPr>
                  <w:tcW w:w="422" w:type="pct"/>
                  <w:vMerge w:val="restart"/>
                  <w:tcBorders>
                    <w:top w:val="single" w:sz="4" w:space="0" w:color="auto"/>
                    <w:left w:val="single" w:sz="4" w:space="0" w:color="auto"/>
                    <w:right w:val="single" w:sz="4" w:space="0" w:color="auto"/>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sz w:val="16"/>
                      <w:szCs w:val="16"/>
                    </w:rPr>
                    <w:t>空压机</w:t>
                  </w:r>
                </w:p>
              </w:tc>
              <w:tc>
                <w:tcPr>
                  <w:tcW w:w="229" w:type="pct"/>
                  <w:vMerge w:val="restart"/>
                  <w:tcBorders>
                    <w:top w:val="single" w:sz="4" w:space="0" w:color="auto"/>
                    <w:left w:val="single" w:sz="4" w:space="0" w:color="auto"/>
                    <w:right w:val="single" w:sz="4" w:space="0" w:color="auto"/>
                  </w:tcBorders>
                  <w:vAlign w:val="center"/>
                </w:tcPr>
                <w:p>
                  <w:pPr>
                    <w:spacing w:line="240" w:lineRule="auto"/>
                    <w:ind w:left="0" w:firstLine="0"/>
                    <w:jc w:val="center"/>
                    <w:rPr>
                      <w:rFonts w:ascii="Times New Roman" w:eastAsia="宋体" w:cs="Times New Roman" w:hAnsi="Times New Roman"/>
                      <w:color w:val="auto"/>
                      <w:kern w:val="2"/>
                      <w:sz w:val="16"/>
                      <w:szCs w:val="16"/>
                      <w:vertAlign w:val="baseline"/>
                      <w:lang w:val="en-US" w:eastAsia="zh-CN" w:bidi="ar-SA"/>
                    </w:rPr>
                  </w:pPr>
                  <w:r>
                    <w:rPr>
                      <w:rFonts w:ascii="Times New Roman" w:eastAsia="宋体" w:cs="Times New Roman" w:hAnsi="Times New Roman"/>
                      <w:sz w:val="16"/>
                      <w:szCs w:val="16"/>
                      <w:lang w:val="en-US" w:eastAsia="zh-CN"/>
                    </w:rPr>
                    <w:t>拆解</w:t>
                  </w:r>
                  <w:r>
                    <w:rPr>
                      <w:rFonts w:ascii="Times New Roman" w:eastAsia="宋体" w:cs="Times New Roman" w:hAnsi="Times New Roman"/>
                      <w:sz w:val="16"/>
                      <w:szCs w:val="16"/>
                    </w:rPr>
                    <w:t>车间</w:t>
                  </w:r>
                </w:p>
              </w:tc>
              <w:tc>
                <w:tcPr>
                  <w:tcW w:w="403" w:type="pct"/>
                  <w:vMerge w:val="restart"/>
                  <w:tcBorders>
                    <w:top w:val="single" w:sz="4" w:space="0" w:color="auto"/>
                    <w:left w:val="single" w:sz="4" w:space="0" w:color="auto"/>
                    <w:right w:val="single" w:sz="4" w:space="0" w:color="auto"/>
                  </w:tcBorders>
                  <w:vAlign w:val="center"/>
                </w:tcPr>
                <w:p>
                  <w:pPr>
                    <w:spacing w:line="240" w:lineRule="auto"/>
                    <w:ind w:left="0" w:firstLine="0"/>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85</w:t>
                  </w:r>
                </w:p>
              </w:tc>
              <w:tc>
                <w:tcPr>
                  <w:tcW w:w="404"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sz w:val="16"/>
                      <w:szCs w:val="16"/>
                    </w:rPr>
                    <w:t>基础减震、厂房隔声、合理布局、定期维护</w:t>
                  </w:r>
                </w:p>
              </w:tc>
              <w:tc>
                <w:tcPr>
                  <w:tcW w:w="395"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cs="Times New Roman" w:hint="eastAsia"/>
                      <w:b w:val="0"/>
                      <w:bCs w:val="0"/>
                      <w:color w:val="auto"/>
                      <w:sz w:val="16"/>
                      <w:szCs w:val="16"/>
                      <w:vertAlign w:val="baseline"/>
                      <w:lang w:val="en-US" w:eastAsia="zh-CN"/>
                    </w:rPr>
                    <w:t>1</w:t>
                  </w:r>
                  <w:r>
                    <w:rPr>
                      <w:rFonts w:ascii="Times New Roman" w:eastAsia="宋体" w:cs="Times New Roman" w:hAnsi="Times New Roman"/>
                      <w:b w:val="0"/>
                      <w:bCs w:val="0"/>
                      <w:color w:val="auto"/>
                      <w:sz w:val="16"/>
                      <w:szCs w:val="16"/>
                      <w:vertAlign w:val="baseline"/>
                      <w:lang w:val="en-US" w:eastAsia="zh-CN"/>
                    </w:rPr>
                    <w:t>05.26507</w:t>
                  </w:r>
                  <w:r>
                    <w:rPr>
                      <w:rFonts w:cs="Times New Roman" w:hint="eastAsia"/>
                      <w:b w:val="0"/>
                      <w:bCs w:val="0"/>
                      <w:color w:val="auto"/>
                      <w:sz w:val="16"/>
                      <w:szCs w:val="16"/>
                      <w:vertAlign w:val="baseline"/>
                      <w:lang w:val="en-US" w:eastAsia="zh-CN"/>
                    </w:rPr>
                    <w:t>3</w:t>
                  </w:r>
                </w:p>
              </w:tc>
              <w:tc>
                <w:tcPr>
                  <w:tcW w:w="396"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30.57896</w:t>
                  </w:r>
                  <w:r>
                    <w:rPr>
                      <w:rFonts w:cs="Times New Roman" w:hint="eastAsia"/>
                      <w:b w:val="0"/>
                      <w:bCs w:val="0"/>
                      <w:color w:val="auto"/>
                      <w:sz w:val="16"/>
                      <w:szCs w:val="16"/>
                      <w:vertAlign w:val="baseline"/>
                      <w:lang w:val="en-US" w:eastAsia="zh-CN"/>
                    </w:rPr>
                    <w:t>6</w:t>
                  </w:r>
                </w:p>
              </w:tc>
              <w:tc>
                <w:tcPr>
                  <w:tcW w:w="244"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9</w:t>
                  </w:r>
                </w:p>
              </w:tc>
              <w:tc>
                <w:tcPr>
                  <w:tcW w:w="356" w:type="pct"/>
                  <w:vMerge w:val="restart"/>
                  <w:tcBorders>
                    <w:top w:val="single" w:sz="4" w:space="0" w:color="auto"/>
                    <w:left w:val="single" w:sz="4" w:space="0" w:color="auto"/>
                    <w:right w:val="single" w:sz="4" w:space="0" w:color="auto"/>
                  </w:tcBorders>
                  <w:vAlign w:val="center"/>
                </w:tcPr>
                <w:p>
                  <w:pPr>
                    <w:spacing w:line="240" w:lineRule="auto"/>
                    <w:ind w:left="0" w:firstLine="0"/>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1</w:t>
                  </w: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ind w:left="0" w:firstLine="0"/>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E</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19</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55.82 </w:t>
                  </w:r>
                </w:p>
              </w:tc>
              <w:tc>
                <w:tcPr>
                  <w:tcW w:w="310"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16"/>
                      <w:szCs w:val="16"/>
                      <w:lang w:val="en-US" w:eastAsia="zh-CN"/>
                    </w:rPr>
                  </w:pPr>
                  <w:r>
                    <w:rPr>
                      <w:rFonts w:ascii="Times New Roman" w:eastAsia="宋体" w:cs="Times New Roman" w:hAnsi="Times New Roman"/>
                      <w:b w:val="0"/>
                      <w:bCs w:val="0"/>
                      <w:color w:val="auto"/>
                      <w:sz w:val="16"/>
                      <w:szCs w:val="16"/>
                      <w:vertAlign w:val="baseline"/>
                      <w:lang w:val="en-US" w:eastAsia="zh-CN"/>
                    </w:rPr>
                    <w:t>昼间</w:t>
                  </w:r>
                </w:p>
              </w:tc>
              <w:tc>
                <w:tcPr>
                  <w:tcW w:w="310"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16"/>
                      <w:szCs w:val="16"/>
                      <w:lang w:val="en-US" w:eastAsia="zh-CN"/>
                    </w:rPr>
                  </w:pPr>
                  <w:r>
                    <w:rPr>
                      <w:rFonts w:ascii="Times New Roman" w:eastAsia="宋体" w:cs="Times New Roman" w:hAnsi="Times New Roman"/>
                      <w:sz w:val="16"/>
                      <w:szCs w:val="16"/>
                      <w:lang w:val="en-US" w:eastAsia="zh-CN"/>
                    </w:rPr>
                    <w:t>15</w:t>
                  </w: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39.82 </w:t>
                  </w:r>
                </w:p>
              </w:tc>
              <w:tc>
                <w:tcPr>
                  <w:tcW w:w="271" w:type="pct"/>
                  <w:vMerge w:val="restart"/>
                  <w:tcBorders>
                    <w:top w:val="single" w:sz="4" w:space="0" w:color="auto"/>
                    <w:left w:val="single" w:sz="4" w:space="0" w:color="auto"/>
                    <w:right w:val="single" w:sz="4" w:space="0" w:color="auto"/>
                  </w:tcBorders>
                  <w:vAlign w:val="center"/>
                </w:tcPr>
                <w:p>
                  <w:pPr>
                    <w:spacing w:line="240" w:lineRule="auto"/>
                    <w:jc w:val="center"/>
                    <w:rPr>
                      <w:lang w:val="en-US" w:eastAsia="zh-CN"/>
                    </w:rPr>
                  </w:pPr>
                  <w:r>
                    <w:rPr>
                      <w:rFonts w:cs="Times New Roman" w:hint="eastAsia"/>
                      <w:b w:val="0"/>
                      <w:bCs w:val="0"/>
                      <w:color w:val="auto"/>
                      <w:sz w:val="16"/>
                      <w:szCs w:val="16"/>
                      <w:vertAlign w:val="baseline"/>
                      <w:lang w:val="en-US" w:eastAsia="zh-CN"/>
                    </w:rPr>
                    <w:t>1</w:t>
                  </w:r>
                </w:p>
              </w:tc>
            </w:tr>
            <w:tr>
              <w:trPr>
                <w:trHeight w:val="90"/>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44" w:type="pct"/>
                  <w:vMerge/>
                  <w:tcBorders>
                    <w:top w:val="single" w:sz="4" w:space="0" w:color="auto"/>
                    <w:left w:val="single" w:sz="4" w:space="0" w:color="auto"/>
                    <w:right w:val="single" w:sz="4" w:space="0" w:color="auto"/>
                  </w:tcBorders>
                  <w:vAlign w:val="center"/>
                </w:tcPr>
                <w:p/>
              </w:tc>
              <w:tc>
                <w:tcPr>
                  <w:tcW w:w="356" w:type="pct"/>
                  <w:vMerge/>
                  <w:tcBorders>
                    <w:top w:val="single" w:sz="4" w:space="0" w:color="auto"/>
                    <w:left w:val="single" w:sz="4" w:space="0" w:color="auto"/>
                    <w:right w:val="single" w:sz="4" w:space="0" w:color="auto"/>
                  </w:tcBorders>
                  <w:vAlign w:val="center"/>
                </w:tcP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S</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13</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58.29 </w:t>
                  </w: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42.29 </w:t>
                  </w:r>
                </w:p>
              </w:tc>
              <w:tc>
                <w:tcPr>
                  <w:tcW w:w="271" w:type="pct"/>
                  <w:vMerge/>
                  <w:tcBorders>
                    <w:top w:val="single" w:sz="4" w:space="0" w:color="auto"/>
                    <w:left w:val="single" w:sz="4" w:space="0" w:color="auto"/>
                    <w:right w:val="single" w:sz="4" w:space="0" w:color="auto"/>
                  </w:tcBorders>
                  <w:vAlign w:val="center"/>
                </w:tcPr>
                <w:p/>
              </w:tc>
            </w:tr>
            <w:tr>
              <w:trPr>
                <w:trHeight w:val="153"/>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44" w:type="pct"/>
                  <w:vMerge/>
                  <w:tcBorders>
                    <w:top w:val="single" w:sz="4" w:space="0" w:color="auto"/>
                    <w:left w:val="single" w:sz="4" w:space="0" w:color="auto"/>
                    <w:right w:val="single" w:sz="4" w:space="0" w:color="auto"/>
                  </w:tcBorders>
                  <w:vAlign w:val="center"/>
                </w:tcPr>
                <w:p/>
              </w:tc>
              <w:tc>
                <w:tcPr>
                  <w:tcW w:w="356" w:type="pct"/>
                  <w:vMerge/>
                  <w:tcBorders>
                    <w:top w:val="single" w:sz="4" w:space="0" w:color="auto"/>
                    <w:left w:val="single" w:sz="4" w:space="0" w:color="auto"/>
                    <w:right w:val="single" w:sz="4" w:space="0" w:color="auto"/>
                  </w:tcBorders>
                  <w:vAlign w:val="center"/>
                </w:tcP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W</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2</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70.48 </w:t>
                  </w: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54.48 </w:t>
                  </w:r>
                </w:p>
              </w:tc>
              <w:tc>
                <w:tcPr>
                  <w:tcW w:w="271" w:type="pct"/>
                  <w:vMerge/>
                  <w:tcBorders>
                    <w:top w:val="single" w:sz="4" w:space="0" w:color="auto"/>
                    <w:left w:val="single" w:sz="4" w:space="0" w:color="auto"/>
                    <w:right w:val="single" w:sz="4" w:space="0" w:color="auto"/>
                  </w:tcBorders>
                  <w:vAlign w:val="center"/>
                </w:tcPr>
                <w:p/>
              </w:tc>
            </w:tr>
            <w:tr>
              <w:trPr>
                <w:trHeight w:val="153"/>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44" w:type="pct"/>
                  <w:vMerge/>
                  <w:tcBorders>
                    <w:top w:val="single" w:sz="4" w:space="0" w:color="auto"/>
                    <w:left w:val="single" w:sz="4" w:space="0" w:color="auto"/>
                    <w:right w:val="single" w:sz="4" w:space="0" w:color="auto"/>
                  </w:tcBorders>
                  <w:vAlign w:val="center"/>
                </w:tcPr>
                <w:p/>
              </w:tc>
              <w:tc>
                <w:tcPr>
                  <w:tcW w:w="356" w:type="pct"/>
                  <w:vMerge/>
                  <w:tcBorders>
                    <w:top w:val="single" w:sz="4" w:space="0" w:color="auto"/>
                    <w:left w:val="single" w:sz="4" w:space="0" w:color="auto"/>
                    <w:right w:val="single" w:sz="4" w:space="0" w:color="auto"/>
                  </w:tcBorders>
                  <w:vAlign w:val="center"/>
                </w:tcP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ind w:left="0" w:firstLine="0"/>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N</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16"/>
                      <w:szCs w:val="16"/>
                      <w:u w:val="none"/>
                      <w:lang w:val="en-US" w:eastAsia="zh-CN"/>
                    </w:rPr>
                  </w:pPr>
                  <w:r>
                    <w:rPr>
                      <w:rFonts w:ascii="Times New Roman" w:eastAsia="宋体" w:cs="Times New Roman" w:hAnsi="Times New Roman"/>
                      <w:i w:val="0"/>
                      <w:iCs w:val="0"/>
                      <w:color w:val="000000"/>
                      <w:kern w:val="0"/>
                      <w:sz w:val="16"/>
                      <w:szCs w:val="16"/>
                      <w:u w:val="none"/>
                      <w:lang w:val="en-US" w:eastAsia="zh-CN"/>
                    </w:rPr>
                    <w:t>11</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16"/>
                      <w:szCs w:val="16"/>
                      <w:u w:val="none"/>
                      <w:lang w:val="en-US" w:eastAsia="zh-CN"/>
                    </w:rPr>
                  </w:pPr>
                  <w:r>
                    <w:rPr>
                      <w:rFonts w:ascii="Times New Roman" w:eastAsia="宋体" w:cs="Times New Roman" w:hAnsi="Times New Roman"/>
                      <w:i w:val="0"/>
                      <w:iCs w:val="0"/>
                      <w:color w:val="000000"/>
                      <w:kern w:val="0"/>
                      <w:sz w:val="16"/>
                      <w:szCs w:val="16"/>
                      <w:u w:val="none"/>
                      <w:lang w:val="en-US" w:eastAsia="zh-CN"/>
                    </w:rPr>
                    <w:t xml:space="preserve">59.38 </w:t>
                  </w: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43.38 </w:t>
                  </w:r>
                </w:p>
              </w:tc>
              <w:tc>
                <w:tcPr>
                  <w:tcW w:w="271" w:type="pct"/>
                  <w:vMerge/>
                  <w:tcBorders>
                    <w:top w:val="single" w:sz="4" w:space="0" w:color="auto"/>
                    <w:left w:val="single" w:sz="4" w:space="0" w:color="auto"/>
                    <w:right w:val="single" w:sz="4" w:space="0" w:color="auto"/>
                  </w:tcBorders>
                  <w:vAlign w:val="center"/>
                </w:tcPr>
                <w:p/>
              </w:tc>
            </w:tr>
            <w:tr>
              <w:trPr>
                <w:trHeight w:val="153"/>
              </w:trPr>
              <w:tc>
                <w:tcPr>
                  <w:tcW w:w="422" w:type="pct"/>
                  <w:vMerge w:val="restart"/>
                  <w:tcBorders>
                    <w:top w:val="single" w:sz="4" w:space="0" w:color="auto"/>
                    <w:left w:val="single" w:sz="4" w:space="0" w:color="auto"/>
                    <w:right w:val="single" w:sz="4" w:space="0" w:color="auto"/>
                  </w:tcBorders>
                  <w:vAlign w:val="center"/>
                </w:tcPr>
                <w:p>
                  <w:pPr>
                    <w:keepNext w:val="0"/>
                    <w:keepLines w:val="0"/>
                    <w:widowControl/>
                    <w:suppressLineNumbers w:val="0"/>
                    <w:spacing w:line="240" w:lineRule="auto"/>
                    <w:jc w:val="center"/>
                    <w:textAlignment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sz w:val="16"/>
                      <w:szCs w:val="16"/>
                    </w:rPr>
                    <w:t>废气处理装置风机</w:t>
                  </w:r>
                </w:p>
              </w:tc>
              <w:tc>
                <w:tcPr>
                  <w:tcW w:w="229" w:type="pct"/>
                  <w:vMerge/>
                  <w:tcBorders>
                    <w:top w:val="single" w:sz="4" w:space="0" w:color="auto"/>
                    <w:left w:val="single" w:sz="4" w:space="0" w:color="auto"/>
                    <w:right w:val="single" w:sz="4" w:space="0" w:color="auto"/>
                  </w:tcBorders>
                  <w:vAlign w:val="center"/>
                </w:tcPr>
                <w:p/>
              </w:tc>
              <w:tc>
                <w:tcPr>
                  <w:tcW w:w="403" w:type="pct"/>
                  <w:vMerge w:val="restart"/>
                  <w:tcBorders>
                    <w:top w:val="single" w:sz="4" w:space="0" w:color="auto"/>
                    <w:left w:val="single" w:sz="4" w:space="0" w:color="auto"/>
                    <w:right w:val="single" w:sz="4" w:space="0" w:color="auto"/>
                  </w:tcBorders>
                  <w:vAlign w:val="center"/>
                </w:tcPr>
                <w:p>
                  <w:pPr>
                    <w:spacing w:line="240" w:lineRule="auto"/>
                    <w:ind w:left="0" w:firstLine="0"/>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75</w:t>
                  </w:r>
                </w:p>
              </w:tc>
              <w:tc>
                <w:tcPr>
                  <w:tcW w:w="404" w:type="pct"/>
                  <w:vMerge/>
                  <w:tcBorders>
                    <w:top w:val="single" w:sz="4" w:space="0" w:color="auto"/>
                    <w:left w:val="single" w:sz="4" w:space="0" w:color="auto"/>
                    <w:right w:val="single" w:sz="4" w:space="0" w:color="auto"/>
                  </w:tcBorders>
                  <w:vAlign w:val="center"/>
                </w:tcPr>
                <w:p/>
              </w:tc>
              <w:tc>
                <w:tcPr>
                  <w:tcW w:w="395"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105.26507</w:t>
                  </w:r>
                  <w:r>
                    <w:rPr>
                      <w:rFonts w:cs="Times New Roman" w:hint="eastAsia"/>
                      <w:b w:val="0"/>
                      <w:bCs w:val="0"/>
                      <w:color w:val="auto"/>
                      <w:sz w:val="16"/>
                      <w:szCs w:val="16"/>
                      <w:vertAlign w:val="baseline"/>
                      <w:lang w:val="en-US" w:eastAsia="zh-CN"/>
                    </w:rPr>
                    <w:t>4</w:t>
                  </w:r>
                </w:p>
              </w:tc>
              <w:tc>
                <w:tcPr>
                  <w:tcW w:w="396"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30.57898</w:t>
                  </w:r>
                  <w:r>
                    <w:rPr>
                      <w:rFonts w:cs="Times New Roman" w:hint="eastAsia"/>
                      <w:b w:val="0"/>
                      <w:bCs w:val="0"/>
                      <w:color w:val="auto"/>
                      <w:sz w:val="16"/>
                      <w:szCs w:val="16"/>
                      <w:vertAlign w:val="baseline"/>
                      <w:lang w:val="en-US" w:eastAsia="zh-CN"/>
                    </w:rPr>
                    <w:t>3</w:t>
                  </w:r>
                </w:p>
              </w:tc>
              <w:tc>
                <w:tcPr>
                  <w:tcW w:w="244"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b w:val="0"/>
                      <w:bCs w:val="0"/>
                      <w:color w:val="auto"/>
                      <w:sz w:val="16"/>
                      <w:szCs w:val="16"/>
                      <w:vertAlign w:val="baseline"/>
                      <w:lang w:val="en-US" w:eastAsia="zh-CN"/>
                    </w:rPr>
                    <w:t>9</w:t>
                  </w:r>
                </w:p>
              </w:tc>
              <w:tc>
                <w:tcPr>
                  <w:tcW w:w="356" w:type="pct"/>
                  <w:vMerge w:val="restart"/>
                  <w:tcBorders>
                    <w:top w:val="single" w:sz="4" w:space="0" w:color="auto"/>
                    <w:left w:val="single" w:sz="4" w:space="0" w:color="auto"/>
                    <w:right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ascii="Times New Roman" w:eastAsia="宋体" w:cs="Times New Roman" w:hAnsi="Times New Roman"/>
                      <w:b w:val="0"/>
                      <w:bCs w:val="0"/>
                      <w:color w:val="auto"/>
                      <w:sz w:val="16"/>
                      <w:szCs w:val="16"/>
                      <w:vertAlign w:val="baseline"/>
                      <w:lang w:val="en-US" w:eastAsia="zh-CN"/>
                    </w:rPr>
                  </w:pPr>
                  <w:r>
                    <w:rPr>
                      <w:rFonts w:ascii="Times New Roman" w:eastAsia="宋体" w:cs="Times New Roman" w:hAnsi="Times New Roman"/>
                      <w:color w:val="auto"/>
                      <w:sz w:val="16"/>
                      <w:szCs w:val="16"/>
                      <w:vertAlign w:val="baseline"/>
                      <w:lang w:val="en-US" w:eastAsia="zh-CN"/>
                    </w:rPr>
                    <w:t>2</w:t>
                  </w: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ind w:left="0" w:firstLine="0"/>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E</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16</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46.94 </w:t>
                  </w:r>
                </w:p>
              </w:tc>
              <w:tc>
                <w:tcPr>
                  <w:tcW w:w="310"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16"/>
                      <w:szCs w:val="16"/>
                      <w:lang w:val="en-US" w:eastAsia="zh-CN"/>
                    </w:rPr>
                  </w:pPr>
                  <w:r>
                    <w:rPr>
                      <w:rFonts w:ascii="Times New Roman" w:eastAsia="宋体" w:cs="Times New Roman" w:hAnsi="Times New Roman"/>
                      <w:b w:val="0"/>
                      <w:bCs w:val="0"/>
                      <w:color w:val="auto"/>
                      <w:sz w:val="16"/>
                      <w:szCs w:val="16"/>
                      <w:vertAlign w:val="baseline"/>
                      <w:lang w:val="en-US" w:eastAsia="zh-CN"/>
                    </w:rPr>
                    <w:t>昼间</w:t>
                  </w:r>
                </w:p>
              </w:tc>
              <w:tc>
                <w:tcPr>
                  <w:tcW w:w="310" w:type="pct"/>
                  <w:vMerge w:val="restart"/>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sz w:val="16"/>
                      <w:szCs w:val="16"/>
                      <w:lang w:val="en-US" w:eastAsia="zh-CN"/>
                    </w:rPr>
                  </w:pPr>
                  <w:r>
                    <w:rPr>
                      <w:rFonts w:ascii="Times New Roman" w:eastAsia="宋体" w:cs="Times New Roman" w:hAnsi="Times New Roman"/>
                      <w:b w:val="0"/>
                      <w:bCs w:val="0"/>
                      <w:color w:val="auto"/>
                      <w:sz w:val="16"/>
                      <w:szCs w:val="16"/>
                      <w:vertAlign w:val="baseline"/>
                      <w:lang w:val="en-US" w:eastAsia="zh-CN"/>
                    </w:rPr>
                    <w:t>15</w:t>
                  </w: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30.94 </w:t>
                  </w:r>
                </w:p>
              </w:tc>
              <w:tc>
                <w:tcPr>
                  <w:tcW w:w="271" w:type="pct"/>
                  <w:vMerge w:val="restart"/>
                  <w:tcBorders>
                    <w:top w:val="single" w:sz="4" w:space="0" w:color="auto"/>
                    <w:left w:val="single" w:sz="4" w:space="0" w:color="auto"/>
                    <w:right w:val="single" w:sz="4" w:space="0" w:color="auto"/>
                  </w:tcBorders>
                  <w:vAlign w:val="center"/>
                </w:tcPr>
                <w:p>
                  <w:pPr>
                    <w:spacing w:line="240" w:lineRule="auto"/>
                    <w:jc w:val="center"/>
                    <w:rPr>
                      <w:lang w:val="en-US" w:eastAsia="zh-CN"/>
                    </w:rPr>
                  </w:pPr>
                  <w:r>
                    <w:rPr>
                      <w:rFonts w:cs="Times New Roman" w:hint="eastAsia"/>
                      <w:b w:val="0"/>
                      <w:bCs w:val="0"/>
                      <w:color w:val="auto"/>
                      <w:sz w:val="16"/>
                      <w:szCs w:val="16"/>
                      <w:vertAlign w:val="baseline"/>
                      <w:lang w:val="en-US" w:eastAsia="zh-CN"/>
                    </w:rPr>
                    <w:t>1</w:t>
                  </w:r>
                </w:p>
              </w:tc>
            </w:tr>
            <w:tr>
              <w:trPr>
                <w:trHeight w:val="153"/>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44" w:type="pct"/>
                  <w:vMerge/>
                  <w:tcBorders>
                    <w:top w:val="single" w:sz="4" w:space="0" w:color="auto"/>
                    <w:left w:val="single" w:sz="4" w:space="0" w:color="auto"/>
                    <w:right w:val="single" w:sz="4" w:space="0" w:color="auto"/>
                  </w:tcBorders>
                  <w:vAlign w:val="center"/>
                </w:tcPr>
                <w:p/>
              </w:tc>
              <w:tc>
                <w:tcPr>
                  <w:tcW w:w="356" w:type="pct"/>
                  <w:vMerge/>
                  <w:tcBorders>
                    <w:top w:val="single" w:sz="4" w:space="0" w:color="auto"/>
                    <w:left w:val="single" w:sz="4" w:space="0" w:color="auto"/>
                    <w:right w:val="single" w:sz="4" w:space="0" w:color="auto"/>
                  </w:tcBorders>
                  <w:vAlign w:val="center"/>
                </w:tcP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S</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15</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47.36 </w:t>
                  </w: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31.36 </w:t>
                  </w:r>
                </w:p>
              </w:tc>
              <w:tc>
                <w:tcPr>
                  <w:tcW w:w="271" w:type="pct"/>
                  <w:vMerge/>
                  <w:tcBorders>
                    <w:top w:val="single" w:sz="4" w:space="0" w:color="auto"/>
                    <w:left w:val="single" w:sz="4" w:space="0" w:color="auto"/>
                    <w:right w:val="single" w:sz="4" w:space="0" w:color="auto"/>
                  </w:tcBorders>
                  <w:vAlign w:val="center"/>
                </w:tcPr>
                <w:p/>
              </w:tc>
            </w:tr>
            <w:tr>
              <w:trPr>
                <w:trHeight w:val="153"/>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44" w:type="pct"/>
                  <w:vMerge/>
                  <w:tcBorders>
                    <w:top w:val="single" w:sz="4" w:space="0" w:color="auto"/>
                    <w:left w:val="single" w:sz="4" w:space="0" w:color="auto"/>
                    <w:right w:val="single" w:sz="4" w:space="0" w:color="auto"/>
                  </w:tcBorders>
                  <w:vAlign w:val="center"/>
                </w:tcPr>
                <w:p/>
              </w:tc>
              <w:tc>
                <w:tcPr>
                  <w:tcW w:w="356" w:type="pct"/>
                  <w:vMerge/>
                  <w:tcBorders>
                    <w:top w:val="single" w:sz="4" w:space="0" w:color="auto"/>
                    <w:left w:val="single" w:sz="4" w:space="0" w:color="auto"/>
                    <w:right w:val="single" w:sz="4" w:space="0" w:color="auto"/>
                  </w:tcBorders>
                  <w:vAlign w:val="center"/>
                </w:tcP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W</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5</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54.52 </w:t>
                  </w: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38.52 </w:t>
                  </w:r>
                </w:p>
              </w:tc>
              <w:tc>
                <w:tcPr>
                  <w:tcW w:w="271" w:type="pct"/>
                  <w:vMerge/>
                  <w:tcBorders>
                    <w:top w:val="single" w:sz="4" w:space="0" w:color="auto"/>
                    <w:left w:val="single" w:sz="4" w:space="0" w:color="auto"/>
                    <w:right w:val="single" w:sz="4" w:space="0" w:color="auto"/>
                  </w:tcBorders>
                  <w:vAlign w:val="center"/>
                </w:tcPr>
                <w:p/>
              </w:tc>
            </w:tr>
            <w:tr>
              <w:trPr>
                <w:trHeight w:val="153"/>
              </w:trPr>
              <w:tc>
                <w:tcPr>
                  <w:tcW w:w="422" w:type="pct"/>
                  <w:vMerge/>
                  <w:tcBorders>
                    <w:top w:val="single" w:sz="4" w:space="0" w:color="auto"/>
                    <w:left w:val="single" w:sz="4" w:space="0" w:color="auto"/>
                    <w:right w:val="single" w:sz="4" w:space="0" w:color="auto"/>
                  </w:tcBorders>
                  <w:vAlign w:val="center"/>
                </w:tcPr>
                <w:p/>
              </w:tc>
              <w:tc>
                <w:tcPr>
                  <w:tcW w:w="229" w:type="pct"/>
                  <w:vMerge/>
                  <w:tcBorders>
                    <w:top w:val="single" w:sz="4" w:space="0" w:color="auto"/>
                    <w:left w:val="single" w:sz="4" w:space="0" w:color="auto"/>
                    <w:right w:val="single" w:sz="4" w:space="0" w:color="auto"/>
                  </w:tcBorders>
                  <w:vAlign w:val="center"/>
                </w:tcPr>
                <w:p/>
              </w:tc>
              <w:tc>
                <w:tcPr>
                  <w:tcW w:w="403" w:type="pct"/>
                  <w:vMerge/>
                  <w:tcBorders>
                    <w:top w:val="single" w:sz="4" w:space="0" w:color="auto"/>
                    <w:left w:val="single" w:sz="4" w:space="0" w:color="auto"/>
                    <w:right w:val="single" w:sz="4" w:space="0" w:color="auto"/>
                  </w:tcBorders>
                  <w:vAlign w:val="center"/>
                </w:tcPr>
                <w:p/>
              </w:tc>
              <w:tc>
                <w:tcPr>
                  <w:tcW w:w="404" w:type="pct"/>
                  <w:vMerge/>
                  <w:tcBorders>
                    <w:top w:val="single" w:sz="4" w:space="0" w:color="auto"/>
                    <w:left w:val="single" w:sz="4" w:space="0" w:color="auto"/>
                    <w:right w:val="single" w:sz="4" w:space="0" w:color="auto"/>
                  </w:tcBorders>
                  <w:vAlign w:val="center"/>
                </w:tcPr>
                <w:p/>
              </w:tc>
              <w:tc>
                <w:tcPr>
                  <w:tcW w:w="395" w:type="pct"/>
                  <w:vMerge/>
                  <w:tcBorders>
                    <w:top w:val="single" w:sz="4" w:space="0" w:color="auto"/>
                    <w:left w:val="single" w:sz="4" w:space="0" w:color="auto"/>
                    <w:right w:val="single" w:sz="4" w:space="0" w:color="auto"/>
                  </w:tcBorders>
                  <w:vAlign w:val="center"/>
                </w:tcPr>
                <w:p/>
              </w:tc>
              <w:tc>
                <w:tcPr>
                  <w:tcW w:w="396" w:type="pct"/>
                  <w:vMerge/>
                  <w:tcBorders>
                    <w:top w:val="single" w:sz="4" w:space="0" w:color="auto"/>
                    <w:left w:val="single" w:sz="4" w:space="0" w:color="auto"/>
                    <w:right w:val="single" w:sz="4" w:space="0" w:color="auto"/>
                  </w:tcBorders>
                  <w:vAlign w:val="center"/>
                </w:tcPr>
                <w:p/>
              </w:tc>
              <w:tc>
                <w:tcPr>
                  <w:tcW w:w="244" w:type="pct"/>
                  <w:vMerge/>
                  <w:tcBorders>
                    <w:top w:val="single" w:sz="4" w:space="0" w:color="auto"/>
                    <w:left w:val="single" w:sz="4" w:space="0" w:color="auto"/>
                    <w:right w:val="single" w:sz="4" w:space="0" w:color="auto"/>
                  </w:tcBorders>
                  <w:vAlign w:val="center"/>
                </w:tcPr>
                <w:p/>
              </w:tc>
              <w:tc>
                <w:tcPr>
                  <w:tcW w:w="356" w:type="pct"/>
                  <w:vMerge/>
                  <w:tcBorders>
                    <w:top w:val="single" w:sz="4" w:space="0" w:color="auto"/>
                    <w:left w:val="single" w:sz="4" w:space="0" w:color="auto"/>
                    <w:right w:val="single" w:sz="4" w:space="0" w:color="auto"/>
                  </w:tcBorders>
                  <w:vAlign w:val="center"/>
                </w:tcPr>
                <w:p/>
              </w:tc>
              <w:tc>
                <w:tcPr>
                  <w:tcW w:w="219" w:type="pct"/>
                  <w:tcBorders>
                    <w:top w:val="single" w:sz="4" w:space="0" w:color="auto"/>
                    <w:left w:val="single" w:sz="4" w:space="0" w:color="auto"/>
                    <w:right w:val="single" w:sz="4" w:space="0" w:color="auto"/>
                  </w:tcBorders>
                  <w:shd w:val="clear" w:color="auto" w:fill="auto"/>
                  <w:vAlign w:val="center"/>
                </w:tcPr>
                <w:p>
                  <w:pPr>
                    <w:spacing w:line="240" w:lineRule="auto"/>
                    <w:ind w:left="0" w:firstLine="0"/>
                    <w:jc w:val="center"/>
                    <w:rPr>
                      <w:rFonts w:ascii="Times New Roman" w:eastAsia="宋体" w:cs="Times New Roman" w:hAnsi="Times New Roman"/>
                      <w:b w:val="0"/>
                      <w:bCs w:val="0"/>
                      <w:color w:val="auto"/>
                      <w:kern w:val="2"/>
                      <w:sz w:val="16"/>
                      <w:szCs w:val="16"/>
                      <w:vertAlign w:val="baseline"/>
                      <w:lang w:val="en-US" w:eastAsia="zh-CN" w:bidi="ar-SA"/>
                    </w:rPr>
                  </w:pPr>
                  <w:r>
                    <w:rPr>
                      <w:rFonts w:ascii="Times New Roman" w:eastAsia="宋体" w:cs="Times New Roman" w:hAnsi="Times New Roman"/>
                      <w:sz w:val="16"/>
                      <w:szCs w:val="16"/>
                    </w:rPr>
                    <w:t>N</w:t>
                  </w:r>
                </w:p>
              </w:tc>
              <w:tc>
                <w:tcPr>
                  <w:tcW w:w="239"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9</w:t>
                  </w:r>
                </w:p>
              </w:tc>
              <w:tc>
                <w:tcPr>
                  <w:tcW w:w="445"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50.69 </w:t>
                  </w:r>
                </w:p>
              </w:tc>
              <w:tc>
                <w:tcPr>
                  <w:tcW w:w="310" w:type="pct"/>
                  <w:vMerge/>
                  <w:tcBorders>
                    <w:top w:val="single" w:sz="4" w:space="0" w:color="auto"/>
                    <w:left w:val="single" w:sz="4" w:space="0" w:color="auto"/>
                    <w:right w:val="single" w:sz="4" w:space="0" w:color="auto"/>
                  </w:tcBorders>
                  <w:vAlign w:val="center"/>
                </w:tcPr>
                <w:p/>
              </w:tc>
              <w:tc>
                <w:tcPr>
                  <w:tcW w:w="310" w:type="pct"/>
                  <w:vMerge/>
                  <w:tcBorders>
                    <w:top w:val="single" w:sz="4" w:space="0" w:color="auto"/>
                    <w:left w:val="single" w:sz="4" w:space="0" w:color="auto"/>
                    <w:right w:val="single" w:sz="4" w:space="0" w:color="auto"/>
                  </w:tcBorders>
                  <w:vAlign w:val="center"/>
                </w:tcPr>
                <w:p/>
              </w:tc>
              <w:tc>
                <w:tcPr>
                  <w:tcW w:w="351" w:type="pct"/>
                  <w:tcBorders>
                    <w:top w:val="single" w:sz="4" w:space="0" w:color="auto"/>
                    <w:left w:val="single" w:sz="4" w:space="0" w:color="auto"/>
                    <w:right w:val="single" w:sz="4" w:space="0" w:color="auto"/>
                  </w:tcBorders>
                  <w:shd w:val="clear" w:color="auto" w:fill="auto"/>
                  <w:vAlign w:val="center"/>
                </w:tcPr>
                <w:p>
                  <w:pPr>
                    <w:keepNext w:val="0"/>
                    <w:keepLines w:val="0"/>
                    <w:widowControl/>
                    <w:suppressLineNumbers w:val="0"/>
                    <w:jc w:val="center"/>
                    <w:textAlignment w:val="center"/>
                    <w:rPr>
                      <w:rFonts w:ascii="Times New Roman" w:eastAsia="宋体" w:cs="Times New Roman" w:hAnsi="Times New Roman"/>
                      <w:kern w:val="2"/>
                      <w:sz w:val="16"/>
                      <w:szCs w:val="16"/>
                      <w:lang w:val="en-US" w:eastAsia="zh-CN" w:bidi="ar-SA"/>
                    </w:rPr>
                  </w:pPr>
                  <w:r>
                    <w:rPr>
                      <w:rFonts w:ascii="Times New Roman" w:eastAsia="宋体" w:cs="Times New Roman" w:hAnsi="Times New Roman"/>
                      <w:i w:val="0"/>
                      <w:iCs w:val="0"/>
                      <w:color w:val="000000"/>
                      <w:kern w:val="0"/>
                      <w:sz w:val="16"/>
                      <w:szCs w:val="16"/>
                      <w:u w:val="none"/>
                      <w:lang w:val="en-US" w:eastAsia="zh-CN"/>
                    </w:rPr>
                    <w:t xml:space="preserve">34.69 </w:t>
                  </w:r>
                </w:p>
              </w:tc>
              <w:tc>
                <w:tcPr>
                  <w:tcW w:w="271" w:type="pct"/>
                  <w:vMerge/>
                  <w:tcBorders>
                    <w:top w:val="single" w:sz="4" w:space="0" w:color="auto"/>
                    <w:left w:val="single" w:sz="4" w:space="0" w:color="auto"/>
                    <w:right w:val="single" w:sz="4" w:space="0" w:color="auto"/>
                  </w:tcBorders>
                  <w:vAlign w:val="center"/>
                </w:tcPr>
                <w:p/>
              </w:tc>
            </w:tr>
          </w:tbl>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噪声防治措施</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①对车间进行合理布局，将高噪声的生产设备放置在远离敏感点一侧，利用厂房墙壁来阻隔声波的传播。</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②在设备选型方面，在满足工艺生产的前提下，选用噪声低的设备；对于某些设备运行时由振动产生的噪声，应对设备基础进行减振。</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③对于高噪声设备必要时可加设减震底座（噪声效果降低约15dB（A））和墙壁吸声材料。</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本项目生产车间为砖混结构，其噪声削减能力在15~40dB（A）之间，本评价按照噪声削减15dB（A）进行计算；风机设隔声罩、加装减振垫、吸声棉、采用软管连接等措施，其噪声削减能力以10.0dB（A）进行计算，均建设在室内。</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b/>
                <w:bCs/>
                <w:sz w:val="24"/>
                <w:szCs w:val="24"/>
                <w:lang w:val="en-US" w:eastAsia="zh-CN"/>
              </w:rPr>
            </w:pPr>
            <w:r>
              <w:rPr>
                <w:rFonts w:ascii="Times New Roman" w:eastAsia="宋体" w:cs="Times New Roman" w:hAnsi="Times New Roman" w:hint="eastAsia"/>
                <w:b/>
                <w:bCs/>
                <w:sz w:val="24"/>
                <w:szCs w:val="24"/>
                <w:lang w:val="en-US" w:eastAsia="zh-CN"/>
              </w:rPr>
              <w:t>预测模式</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hint="eastAsia"/>
                <w:sz w:val="24"/>
                <w:szCs w:val="24"/>
                <w:lang w:val="en-US" w:eastAsia="zh-CN"/>
              </w:rPr>
            </w:pPr>
            <w:r>
              <w:rPr>
                <w:rFonts w:ascii="Times New Roman" w:eastAsia="宋体" w:cs="Times New Roman" w:hAnsi="Times New Roman" w:hint="eastAsia"/>
                <w:sz w:val="24"/>
                <w:szCs w:val="24"/>
                <w:lang w:val="en-US" w:eastAsia="zh-CN"/>
              </w:rPr>
              <w:t>固定声源的噪声向周围传播过程中，会发生反射、折射、衍射</w:t>
            </w:r>
            <w:r>
              <w:rPr>
                <w:rFonts w:cs="Times New Roman" w:hint="eastAsia"/>
                <w:sz w:val="24"/>
                <w:szCs w:val="24"/>
                <w:lang w:val="en-US" w:eastAsia="zh-CN"/>
              </w:rPr>
              <w:t>以及</w:t>
            </w:r>
            <w:r>
              <w:rPr>
                <w:rFonts w:ascii="Times New Roman" w:eastAsia="宋体" w:cs="Times New Roman" w:hAnsi="Times New Roman" w:hint="eastAsia"/>
                <w:sz w:val="24"/>
                <w:szCs w:val="24"/>
                <w:lang w:val="en-US" w:eastAsia="zh-CN"/>
              </w:rPr>
              <w:t>吸收等现象。因此，随传播距离的增加而产生的衰减量并不按简单的几何规律计算。</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ascii="Times New Roman" w:eastAsia="宋体" w:cs="Times New Roman" w:hAnsi="Times New Roman" w:hint="eastAsia"/>
                <w:sz w:val="24"/>
                <w:szCs w:val="24"/>
                <w:lang w:val="en-US" w:eastAsia="zh-CN"/>
              </w:rPr>
              <w:t>根据</w:t>
            </w:r>
            <w:r>
              <w:rPr>
                <w:rFonts w:ascii="Times New Roman" w:eastAsia="宋体" w:cs="Times New Roman" w:hAnsi="Times New Roman"/>
                <w:sz w:val="24"/>
                <w:szCs w:val="24"/>
                <w:lang w:val="en-US" w:eastAsia="zh-CN"/>
              </w:rPr>
              <w:t>《环境影响评价技术导则</w:t>
            </w:r>
            <w:r>
              <w:rPr>
                <w:rFonts w:ascii="Times New Roman" w:eastAsia="宋体" w:cs="Times New Roman" w:hAnsi="Times New Roman" w:hint="eastAsia"/>
                <w:sz w:val="24"/>
                <w:szCs w:val="24"/>
                <w:lang w:val="en-US" w:eastAsia="zh-CN"/>
              </w:rPr>
              <w:t xml:space="preserve"> </w:t>
            </w:r>
            <w:r>
              <w:rPr>
                <w:rFonts w:ascii="Times New Roman" w:eastAsia="宋体" w:cs="Times New Roman" w:hAnsi="Times New Roman"/>
                <w:sz w:val="24"/>
                <w:szCs w:val="24"/>
                <w:lang w:val="en-US" w:eastAsia="zh-CN"/>
              </w:rPr>
              <w:t>声环境》（HJ2.4-2021</w:t>
            </w:r>
            <w:r>
              <w:rPr>
                <w:rFonts w:cs="Times New Roman" w:hint="eastAsia"/>
                <w:sz w:val="24"/>
                <w:szCs w:val="24"/>
                <w:lang w:val="en-US" w:eastAsia="zh-CN"/>
              </w:rPr>
              <w:t>）</w:t>
            </w:r>
            <w:r>
              <w:rPr>
                <w:rFonts w:ascii="Times New Roman" w:eastAsia="宋体" w:cs="Times New Roman" w:hAnsi="Times New Roman" w:hint="eastAsia"/>
                <w:sz w:val="24"/>
                <w:szCs w:val="24"/>
                <w:lang w:val="en-US" w:eastAsia="zh-CN"/>
              </w:rPr>
              <w:t>对室内声源的预测方法，声源位于室内，室内声源可采用等效室外声源声功率级法进行计算</w:t>
            </w:r>
            <w:r>
              <w:rPr>
                <w:rFonts w:cs="Times New Roman" w:hint="eastAsia"/>
                <w:sz w:val="24"/>
                <w:szCs w:val="24"/>
                <w:lang w:val="en-US" w:eastAsia="zh-CN"/>
              </w:rPr>
              <w:t>；</w:t>
            </w:r>
            <w:r>
              <w:rPr>
                <w:rFonts w:ascii="Times New Roman" w:eastAsia="宋体" w:cs="Times New Roman" w:hAnsi="Times New Roman"/>
                <w:sz w:val="24"/>
                <w:szCs w:val="24"/>
                <w:lang w:val="en-US" w:eastAsia="zh-CN"/>
              </w:rPr>
              <w:t>在不考虑空气吸收、声波反射</w:t>
            </w:r>
            <w:r>
              <w:rPr>
                <w:rFonts w:cs="Times New Roman" w:hint="eastAsia"/>
                <w:sz w:val="24"/>
                <w:szCs w:val="24"/>
                <w:lang w:val="en-US" w:eastAsia="zh-CN"/>
              </w:rPr>
              <w:t>，</w:t>
            </w:r>
            <w:r>
              <w:rPr>
                <w:rFonts w:ascii="Times New Roman" w:eastAsia="宋体" w:cs="Times New Roman" w:hAnsi="Times New Roman"/>
                <w:sz w:val="24"/>
                <w:szCs w:val="24"/>
                <w:lang w:val="en-US" w:eastAsia="zh-CN"/>
              </w:rPr>
              <w:t>而只考虑声能随距离衰减的情况下</w:t>
            </w:r>
            <w:r>
              <w:rPr>
                <w:rFonts w:cs="Times New Roman" w:hint="eastAsia"/>
                <w:sz w:val="24"/>
                <w:szCs w:val="24"/>
                <w:lang w:val="en-US" w:eastAsia="zh-CN"/>
              </w:rPr>
              <w:t>，</w:t>
            </w:r>
            <w:r>
              <w:rPr>
                <w:rFonts w:ascii="Times New Roman" w:eastAsia="宋体" w:cs="Times New Roman" w:hAnsi="Times New Roman"/>
                <w:sz w:val="24"/>
                <w:szCs w:val="24"/>
                <w:lang w:val="en-US" w:eastAsia="zh-CN"/>
              </w:rPr>
              <w:t>其噪声衰减公式如下</w:t>
            </w:r>
            <w:r>
              <w:rPr>
                <w:rFonts w:cs="Times New Roman"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L</w:t>
            </w:r>
            <w:r>
              <w:rPr>
                <w:rFonts w:cs="Times New Roman" w:hint="eastAsia"/>
                <w:sz w:val="24"/>
                <w:szCs w:val="24"/>
                <w:vertAlign w:val="subscript"/>
                <w:lang w:val="en-US" w:eastAsia="zh-CN"/>
              </w:rPr>
              <w:t>W</w:t>
            </w:r>
            <w:r>
              <w:rPr>
                <w:rFonts w:cs="Times New Roman" w:hint="eastAsia"/>
                <w:sz w:val="24"/>
                <w:szCs w:val="24"/>
                <w:lang w:val="en-US" w:eastAsia="zh-CN"/>
              </w:rPr>
              <w:t>＝L</w:t>
            </w:r>
            <w:r>
              <w:rPr>
                <w:rFonts w:cs="Times New Roman" w:hint="eastAsia"/>
                <w:sz w:val="24"/>
                <w:szCs w:val="24"/>
                <w:vertAlign w:val="subscript"/>
                <w:lang w:val="en-US" w:eastAsia="zh-CN"/>
              </w:rPr>
              <w:t>P2</w:t>
            </w:r>
            <w:r>
              <w:rPr>
                <w:rFonts w:cs="Times New Roman" w:hint="eastAsia"/>
                <w:sz w:val="24"/>
                <w:szCs w:val="24"/>
                <w:lang w:val="en-US" w:eastAsia="zh-CN"/>
              </w:rPr>
              <w:t>+10lgS</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L</w:t>
            </w:r>
            <w:r>
              <w:rPr>
                <w:rFonts w:cs="Times New Roman" w:hint="eastAsia"/>
                <w:sz w:val="24"/>
                <w:szCs w:val="24"/>
                <w:vertAlign w:val="subscript"/>
                <w:lang w:val="en-US" w:eastAsia="zh-CN"/>
              </w:rPr>
              <w:t>P2</w:t>
            </w:r>
            <w:r>
              <w:rPr>
                <w:rFonts w:cs="Times New Roman" w:hint="eastAsia"/>
                <w:sz w:val="24"/>
                <w:szCs w:val="24"/>
                <w:lang w:val="en-US" w:eastAsia="zh-CN"/>
              </w:rPr>
              <w:t>＝L</w:t>
            </w:r>
            <w:r>
              <w:rPr>
                <w:rFonts w:cs="Times New Roman" w:hint="eastAsia"/>
                <w:sz w:val="24"/>
                <w:szCs w:val="24"/>
                <w:vertAlign w:val="subscript"/>
                <w:lang w:val="en-US" w:eastAsia="zh-CN"/>
              </w:rPr>
              <w:t>P1</w:t>
            </w:r>
            <w:r>
              <w:rPr>
                <w:rFonts w:cs="Times New Roman" w:hint="eastAsia"/>
                <w:sz w:val="24"/>
                <w:szCs w:val="24"/>
                <w:lang w:val="en-US" w:eastAsia="zh-CN"/>
              </w:rPr>
              <w:t>-（TL+6）</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cs="Times New Roman" w:hint="eastAsia"/>
                <w:sz w:val="24"/>
                <w:szCs w:val="24"/>
                <w:lang w:val="en-US" w:eastAsia="zh-CN"/>
              </w:rPr>
              <w:t>L</w:t>
            </w:r>
            <w:r>
              <w:rPr>
                <w:rFonts w:cs="Times New Roman" w:hint="eastAsia"/>
                <w:sz w:val="24"/>
                <w:szCs w:val="24"/>
                <w:vertAlign w:val="subscript"/>
                <w:lang w:val="en-US" w:eastAsia="zh-CN"/>
              </w:rPr>
              <w:t>P1</w:t>
            </w:r>
            <w:r>
              <w:rPr>
                <w:rFonts w:cs="Times New Roman" w:hint="eastAsia"/>
                <w:sz w:val="24"/>
                <w:szCs w:val="24"/>
                <w:lang w:val="en-US" w:eastAsia="zh-CN"/>
              </w:rPr>
              <w:t>＝L</w:t>
            </w:r>
            <w:r>
              <w:rPr>
                <w:rFonts w:cs="Times New Roman" w:hint="eastAsia"/>
                <w:sz w:val="24"/>
                <w:szCs w:val="24"/>
                <w:vertAlign w:val="subscript"/>
                <w:lang w:val="en-US" w:eastAsia="zh-CN"/>
              </w:rPr>
              <w:t>e</w:t>
            </w:r>
            <w:r>
              <w:rPr>
                <w:rFonts w:cs="Times New Roman" w:hint="eastAsia"/>
                <w:sz w:val="24"/>
                <w:szCs w:val="24"/>
                <w:lang w:val="en-US" w:eastAsia="zh-CN"/>
              </w:rPr>
              <w:t>+10lg（</w:t>
            </w:r>
            <w:r>
              <w:rPr>
                <w:rFonts w:cs="Times New Roman" w:hint="eastAsia"/>
                <w:position w:val="-24"/>
                <w:sz w:val="24"/>
                <w:szCs w:val="24"/>
                <w:lang w:val="en-US" w:eastAsia="zh-CN"/>
              </w:rPr>
              <w:object>
                <v:shape id="_x0000_i2" type="#_x0000_t75" filled="f" stroked="f" style="width:52.0pt;height:30.999998pt;" o:ole="">
                  <v:stroke color="#000000"/>
                  <v:imagedata r:id="rId22" o:title="image12"/>
                  <o:lock aspectratio="t"/>
                  <w10:anchorLock/>
                </v:shape>
                <o:OLEObject Type="Embed" ProgID="Package" ShapeID="_x0000_i2" DrawAspect="Content" ObjectID="_1393063352" r:id="rId23"/>
              </w:object>
            </w:r>
            <w:r>
              <w:rPr>
                <w:rFonts w:cs="Times New Roman"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式中：L</w:t>
            </w:r>
            <w:r>
              <w:rPr>
                <w:rFonts w:ascii="Times New Roman" w:eastAsia="宋体" w:cs="Times New Roman" w:hAnsi="Times New Roman"/>
                <w:sz w:val="24"/>
                <w:szCs w:val="24"/>
                <w:vertAlign w:val="subscript"/>
                <w:lang w:val="en-US" w:eastAsia="zh-CN"/>
              </w:rPr>
              <w:t>w</w:t>
            </w:r>
            <w:r>
              <w:rPr>
                <w:rFonts w:cs="Times New Roman" w:hint="eastAsia"/>
                <w:sz w:val="24"/>
                <w:szCs w:val="24"/>
                <w:lang w:val="en-US" w:eastAsia="zh-CN"/>
              </w:rPr>
              <w:t>—</w:t>
            </w:r>
            <w:r>
              <w:rPr>
                <w:rFonts w:ascii="Times New Roman" w:eastAsia="宋体" w:cs="Times New Roman" w:hAnsi="Times New Roman"/>
                <w:sz w:val="24"/>
                <w:szCs w:val="24"/>
                <w:lang w:val="en-US" w:eastAsia="zh-CN"/>
              </w:rPr>
              <w:t>等效室外声源的声功率级；</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w:t>
            </w:r>
            <w:r>
              <w:rPr>
                <w:rFonts w:ascii="Times New Roman" w:eastAsia="宋体" w:cs="Times New Roman" w:hAnsi="Times New Roman"/>
                <w:sz w:val="24"/>
                <w:szCs w:val="24"/>
                <w:vertAlign w:val="subscript"/>
                <w:lang w:val="en-US" w:eastAsia="zh-CN"/>
              </w:rPr>
              <w:t>e</w:t>
            </w:r>
            <w:r>
              <w:rPr>
                <w:rFonts w:cs="Times New Roman" w:hint="eastAsia"/>
                <w:sz w:val="24"/>
                <w:szCs w:val="24"/>
                <w:lang w:val="en-US" w:eastAsia="zh-CN"/>
              </w:rPr>
              <w:t>—</w:t>
            </w:r>
            <w:r>
              <w:rPr>
                <w:rFonts w:ascii="Times New Roman" w:eastAsia="宋体" w:cs="Times New Roman" w:hAnsi="Times New Roman"/>
                <w:sz w:val="24"/>
                <w:szCs w:val="24"/>
                <w:lang w:val="en-US" w:eastAsia="zh-CN"/>
              </w:rPr>
              <w:t>室内声源的声功率级；</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s</w:t>
            </w:r>
            <w:r>
              <w:rPr>
                <w:rFonts w:cs="Times New Roman" w:hint="eastAsia"/>
                <w:sz w:val="24"/>
                <w:szCs w:val="24"/>
                <w:lang w:val="en-US" w:eastAsia="zh-CN"/>
              </w:rPr>
              <w:t>—</w:t>
            </w:r>
            <w:r>
              <w:rPr>
                <w:rFonts w:ascii="Times New Roman" w:eastAsia="宋体" w:cs="Times New Roman" w:hAnsi="Times New Roman"/>
                <w:sz w:val="24"/>
                <w:szCs w:val="24"/>
                <w:lang w:val="en-US" w:eastAsia="zh-CN"/>
              </w:rPr>
              <w:t>透声面积；</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w:t>
            </w:r>
            <w:r>
              <w:rPr>
                <w:rFonts w:ascii="Times New Roman" w:eastAsia="宋体" w:cs="Times New Roman" w:hAnsi="Times New Roman"/>
                <w:sz w:val="24"/>
                <w:szCs w:val="24"/>
                <w:vertAlign w:val="subscript"/>
                <w:lang w:val="en-US" w:eastAsia="zh-CN"/>
              </w:rPr>
              <w:t>P1</w:t>
            </w:r>
            <w:r>
              <w:rPr>
                <w:rFonts w:cs="Times New Roman" w:hint="eastAsia"/>
                <w:sz w:val="24"/>
                <w:szCs w:val="24"/>
                <w:lang w:val="en-US" w:eastAsia="zh-CN"/>
              </w:rPr>
              <w:t>—</w:t>
            </w:r>
            <w:r>
              <w:rPr>
                <w:rFonts w:ascii="Times New Roman" w:eastAsia="宋体" w:cs="Times New Roman" w:hAnsi="Times New Roman"/>
                <w:sz w:val="24"/>
                <w:szCs w:val="24"/>
                <w:lang w:val="en-US" w:eastAsia="zh-CN"/>
              </w:rPr>
              <w:t>室内靠近围护结构处的声压级；</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w:t>
            </w:r>
            <w:r>
              <w:rPr>
                <w:rFonts w:ascii="Times New Roman" w:eastAsia="宋体" w:cs="Times New Roman" w:hAnsi="Times New Roman"/>
                <w:sz w:val="24"/>
                <w:szCs w:val="24"/>
                <w:vertAlign w:val="subscript"/>
                <w:lang w:val="en-US" w:eastAsia="zh-CN"/>
              </w:rPr>
              <w:t>P2</w:t>
            </w:r>
            <w:r>
              <w:rPr>
                <w:rFonts w:cs="Times New Roman" w:hint="eastAsia"/>
                <w:sz w:val="24"/>
                <w:szCs w:val="24"/>
                <w:lang w:val="en-US" w:eastAsia="zh-CN"/>
              </w:rPr>
              <w:t>—</w:t>
            </w:r>
            <w:r>
              <w:rPr>
                <w:rFonts w:ascii="Times New Roman" w:eastAsia="宋体" w:cs="Times New Roman" w:hAnsi="Times New Roman"/>
                <w:sz w:val="24"/>
                <w:szCs w:val="24"/>
                <w:lang w:val="en-US" w:eastAsia="zh-CN"/>
              </w:rPr>
              <w:t>室外靠近围护结构处的声压级；</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TL</w:t>
            </w:r>
            <w:r>
              <w:rPr>
                <w:rFonts w:cs="Times New Roman" w:hint="eastAsia"/>
                <w:sz w:val="24"/>
                <w:szCs w:val="24"/>
                <w:lang w:val="en-US" w:eastAsia="zh-CN"/>
              </w:rPr>
              <w:t>—</w:t>
            </w:r>
            <w:r>
              <w:rPr>
                <w:rFonts w:ascii="Times New Roman" w:eastAsia="宋体" w:cs="Times New Roman" w:hAnsi="Times New Roman"/>
                <w:sz w:val="24"/>
                <w:szCs w:val="24"/>
                <w:lang w:val="en-US" w:eastAsia="zh-CN"/>
              </w:rPr>
              <w:t>隔墙（或窗户）隔离声量；</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r</w:t>
            </w:r>
            <w:r>
              <w:rPr>
                <w:rFonts w:cs="Times New Roman" w:hint="eastAsia"/>
                <w:sz w:val="24"/>
                <w:szCs w:val="24"/>
                <w:lang w:val="en-US" w:eastAsia="zh-CN"/>
              </w:rPr>
              <w:t>—</w:t>
            </w:r>
            <w:r>
              <w:rPr>
                <w:rFonts w:ascii="Times New Roman" w:eastAsia="宋体" w:cs="Times New Roman" w:hAnsi="Times New Roman"/>
                <w:sz w:val="24"/>
                <w:szCs w:val="24"/>
                <w:lang w:val="en-US" w:eastAsia="zh-CN"/>
              </w:rPr>
              <w:t>声源到靠近围护结构某点处的距离；</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R</w:t>
            </w:r>
            <w:r>
              <w:rPr>
                <w:rFonts w:cs="Times New Roman" w:hint="eastAsia"/>
                <w:sz w:val="24"/>
                <w:szCs w:val="24"/>
                <w:lang w:val="en-US" w:eastAsia="zh-CN"/>
              </w:rPr>
              <w:t>—</w:t>
            </w:r>
            <w:r>
              <w:rPr>
                <w:rFonts w:ascii="Times New Roman" w:eastAsia="宋体" w:cs="Times New Roman" w:hAnsi="Times New Roman"/>
                <w:sz w:val="24"/>
                <w:szCs w:val="24"/>
                <w:lang w:val="en-US" w:eastAsia="zh-CN"/>
              </w:rPr>
              <w:t>房间常数；</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Q</w:t>
            </w:r>
            <w:r>
              <w:rPr>
                <w:rFonts w:cs="Times New Roman" w:hint="eastAsia"/>
                <w:sz w:val="24"/>
                <w:szCs w:val="24"/>
                <w:lang w:val="en-US" w:eastAsia="zh-CN"/>
              </w:rPr>
              <w:t>—</w:t>
            </w:r>
            <w:r>
              <w:rPr>
                <w:rFonts w:ascii="Times New Roman" w:eastAsia="宋体" w:cs="Times New Roman" w:hAnsi="Times New Roman"/>
                <w:sz w:val="24"/>
                <w:szCs w:val="24"/>
                <w:lang w:val="en-US" w:eastAsia="zh-CN"/>
              </w:rPr>
              <w:t>指向性因数。</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②噪声源至某一预测点的计算公式：</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LA</w:t>
            </w:r>
            <w:r>
              <w:rPr>
                <w:rFonts w:ascii="Times New Roman" w:eastAsia="宋体" w:cs="Times New Roman" w:hAnsi="Times New Roman"/>
                <w:sz w:val="24"/>
                <w:szCs w:val="24"/>
                <w:vertAlign w:val="subscript"/>
                <w:lang w:val="en-US" w:eastAsia="zh-CN"/>
              </w:rPr>
              <w:t>（r）</w:t>
            </w:r>
            <w:r>
              <w:rPr>
                <w:rFonts w:ascii="Times New Roman" w:eastAsia="宋体" w:cs="Times New Roman" w:hAnsi="Times New Roman"/>
                <w:sz w:val="24"/>
                <w:szCs w:val="24"/>
                <w:lang w:val="en-US" w:eastAsia="zh-CN"/>
              </w:rPr>
              <w:t>=LA</w:t>
            </w:r>
            <w:r>
              <w:rPr>
                <w:rFonts w:ascii="Times New Roman" w:eastAsia="宋体" w:cs="Times New Roman" w:hAnsi="Times New Roman"/>
                <w:sz w:val="24"/>
                <w:szCs w:val="24"/>
                <w:vertAlign w:val="subscript"/>
                <w:lang w:val="en-US" w:eastAsia="zh-CN"/>
              </w:rPr>
              <w:t>（r0）</w:t>
            </w:r>
            <w:r>
              <w:rPr>
                <w:rFonts w:ascii="Times New Roman" w:eastAsia="宋体" w:cs="Times New Roman" w:hAnsi="Times New Roman"/>
                <w:sz w:val="24"/>
                <w:szCs w:val="24"/>
                <w:lang w:val="en-US" w:eastAsia="zh-CN"/>
              </w:rPr>
              <w:t>-20lg（r/r0）-△L</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式中：LA</w:t>
            </w:r>
            <w:r>
              <w:rPr>
                <w:rFonts w:cs="Times New Roman" w:hint="eastAsia"/>
                <w:sz w:val="24"/>
                <w:szCs w:val="24"/>
                <w:vertAlign w:val="subscript"/>
                <w:lang w:val="en-US" w:eastAsia="zh-CN"/>
              </w:rPr>
              <w:t>（</w:t>
            </w:r>
            <w:r>
              <w:rPr>
                <w:rFonts w:ascii="Times New Roman" w:eastAsia="宋体" w:cs="Times New Roman" w:hAnsi="Times New Roman"/>
                <w:sz w:val="24"/>
                <w:szCs w:val="24"/>
                <w:vertAlign w:val="subscript"/>
                <w:lang w:val="en-US" w:eastAsia="zh-CN"/>
              </w:rPr>
              <w:t>r</w:t>
            </w:r>
            <w:r>
              <w:rPr>
                <w:rFonts w:cs="Times New Roman" w:hint="eastAsia"/>
                <w:sz w:val="24"/>
                <w:szCs w:val="24"/>
                <w:vertAlign w:val="subscript"/>
                <w:lang w:val="en-US" w:eastAsia="zh-CN"/>
              </w:rPr>
              <w:t>）</w:t>
            </w:r>
            <w:r>
              <w:rPr>
                <w:rFonts w:cs="Times New Roman" w:hint="eastAsia"/>
                <w:sz w:val="24"/>
                <w:szCs w:val="24"/>
                <w:lang w:val="en-US" w:eastAsia="zh-CN"/>
              </w:rPr>
              <w:t>—</w:t>
            </w:r>
            <w:r>
              <w:rPr>
                <w:rFonts w:ascii="Times New Roman" w:eastAsia="宋体" w:cs="Times New Roman" w:hAnsi="Times New Roman"/>
                <w:sz w:val="24"/>
                <w:szCs w:val="24"/>
                <w:lang w:val="en-US" w:eastAsia="zh-CN"/>
              </w:rPr>
              <w:t>距声源r</w:t>
            </w:r>
            <w:r>
              <w:rPr>
                <w:rFonts w:cs="Times New Roman" w:hint="eastAsia"/>
                <w:sz w:val="24"/>
                <w:szCs w:val="24"/>
                <w:lang w:val="en-US" w:eastAsia="zh-CN"/>
              </w:rPr>
              <w:t>（</w:t>
            </w:r>
            <w:r>
              <w:rPr>
                <w:rFonts w:ascii="Times New Roman" w:eastAsia="宋体" w:cs="Times New Roman" w:hAnsi="Times New Roman"/>
                <w:sz w:val="24"/>
                <w:szCs w:val="24"/>
                <w:lang w:val="en-US" w:eastAsia="zh-CN"/>
              </w:rPr>
              <w:t>m</w:t>
            </w:r>
            <w:r>
              <w:rPr>
                <w:rFonts w:cs="Times New Roman" w:hint="eastAsia"/>
                <w:sz w:val="24"/>
                <w:szCs w:val="24"/>
                <w:lang w:val="en-US" w:eastAsia="zh-CN"/>
              </w:rPr>
              <w:t>）</w:t>
            </w:r>
            <w:r>
              <w:rPr>
                <w:rFonts w:ascii="Times New Roman" w:eastAsia="宋体" w:cs="Times New Roman" w:hAnsi="Times New Roman"/>
                <w:sz w:val="24"/>
                <w:szCs w:val="24"/>
                <w:lang w:val="en-US" w:eastAsia="zh-CN"/>
              </w:rPr>
              <w:t>处声级，dB</w:t>
            </w:r>
            <w:r>
              <w:rPr>
                <w:rFonts w:cs="Times New Roman" w:hint="eastAsia"/>
                <w:sz w:val="24"/>
                <w:szCs w:val="24"/>
                <w:lang w:val="en-US" w:eastAsia="zh-CN"/>
              </w:rPr>
              <w:t>（</w:t>
            </w:r>
            <w:r>
              <w:rPr>
                <w:rFonts w:ascii="Times New Roman" w:eastAsia="宋体" w:cs="Times New Roman" w:hAnsi="Times New Roman"/>
                <w:sz w:val="24"/>
                <w:szCs w:val="24"/>
                <w:lang w:val="en-US" w:eastAsia="zh-CN"/>
              </w:rPr>
              <w:t>A</w:t>
            </w:r>
            <w:r>
              <w:rPr>
                <w:rFonts w:cs="Times New Roman" w:hint="eastAsia"/>
                <w:sz w:val="24"/>
                <w:szCs w:val="24"/>
                <w:lang w:val="en-US" w:eastAsia="zh-CN"/>
              </w:rPr>
              <w:t>）</w:t>
            </w:r>
            <w:r>
              <w:rPr>
                <w:rFonts w:ascii="Times New Roman" w:eastAsia="宋体" w:cs="Times New Roman" w:hAnsi="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LA</w:t>
            </w:r>
            <w:r>
              <w:rPr>
                <w:rFonts w:cs="Times New Roman" w:hint="eastAsia"/>
                <w:sz w:val="24"/>
                <w:szCs w:val="24"/>
                <w:vertAlign w:val="subscript"/>
                <w:lang w:val="en-US" w:eastAsia="zh-CN"/>
              </w:rPr>
              <w:t>（</w:t>
            </w:r>
            <w:r>
              <w:rPr>
                <w:rFonts w:ascii="Times New Roman" w:eastAsia="宋体" w:cs="Times New Roman" w:hAnsi="Times New Roman"/>
                <w:sz w:val="24"/>
                <w:szCs w:val="24"/>
                <w:vertAlign w:val="subscript"/>
                <w:lang w:val="en-US" w:eastAsia="zh-CN"/>
              </w:rPr>
              <w:t>r0</w:t>
            </w:r>
            <w:r>
              <w:rPr>
                <w:rFonts w:cs="Times New Roman" w:hint="eastAsia"/>
                <w:sz w:val="24"/>
                <w:szCs w:val="24"/>
                <w:vertAlign w:val="subscript"/>
                <w:lang w:val="en-US" w:eastAsia="zh-CN"/>
              </w:rPr>
              <w:t>）</w:t>
            </w:r>
            <w:r>
              <w:rPr>
                <w:rFonts w:cs="Times New Roman" w:hint="eastAsia"/>
                <w:sz w:val="24"/>
                <w:szCs w:val="24"/>
                <w:lang w:val="en-US" w:eastAsia="zh-CN"/>
              </w:rPr>
              <w:t>—</w:t>
            </w:r>
            <w:r>
              <w:rPr>
                <w:rFonts w:ascii="Times New Roman" w:eastAsia="宋体" w:cs="Times New Roman" w:hAnsi="Times New Roman"/>
                <w:sz w:val="24"/>
                <w:szCs w:val="24"/>
                <w:lang w:val="en-US" w:eastAsia="zh-CN"/>
              </w:rPr>
              <w:t>距声源r0</w:t>
            </w:r>
            <w:r>
              <w:rPr>
                <w:rFonts w:cs="Times New Roman" w:hint="eastAsia"/>
                <w:sz w:val="24"/>
                <w:szCs w:val="24"/>
                <w:lang w:val="en-US" w:eastAsia="zh-CN"/>
              </w:rPr>
              <w:t>（</w:t>
            </w:r>
            <w:r>
              <w:rPr>
                <w:rFonts w:ascii="Times New Roman" w:eastAsia="宋体" w:cs="Times New Roman" w:hAnsi="Times New Roman"/>
                <w:sz w:val="24"/>
                <w:szCs w:val="24"/>
                <w:lang w:val="en-US" w:eastAsia="zh-CN"/>
              </w:rPr>
              <w:t>m</w:t>
            </w:r>
            <w:r>
              <w:rPr>
                <w:rFonts w:cs="Times New Roman" w:hint="eastAsia"/>
                <w:sz w:val="24"/>
                <w:szCs w:val="24"/>
                <w:lang w:val="en-US" w:eastAsia="zh-CN"/>
              </w:rPr>
              <w:t>）</w:t>
            </w:r>
            <w:r>
              <w:rPr>
                <w:rFonts w:ascii="Times New Roman" w:eastAsia="宋体" w:cs="Times New Roman" w:hAnsi="Times New Roman"/>
                <w:sz w:val="24"/>
                <w:szCs w:val="24"/>
                <w:lang w:val="en-US" w:eastAsia="zh-CN"/>
              </w:rPr>
              <w:t>处声级，dB</w:t>
            </w:r>
            <w:r>
              <w:rPr>
                <w:rFonts w:cs="Times New Roman" w:hint="eastAsia"/>
                <w:sz w:val="24"/>
                <w:szCs w:val="24"/>
                <w:lang w:val="en-US" w:eastAsia="zh-CN"/>
              </w:rPr>
              <w:t>（</w:t>
            </w:r>
            <w:r>
              <w:rPr>
                <w:rFonts w:ascii="Times New Roman" w:eastAsia="宋体" w:cs="Times New Roman" w:hAnsi="Times New Roman"/>
                <w:sz w:val="24"/>
                <w:szCs w:val="24"/>
                <w:lang w:val="en-US" w:eastAsia="zh-CN"/>
              </w:rPr>
              <w:t>A</w:t>
            </w:r>
            <w:r>
              <w:rPr>
                <w:rFonts w:cs="Times New Roman" w:hint="eastAsia"/>
                <w:sz w:val="24"/>
                <w:szCs w:val="24"/>
                <w:lang w:val="en-US" w:eastAsia="zh-CN"/>
              </w:rPr>
              <w:t>）</w:t>
            </w:r>
            <w:r>
              <w:rPr>
                <w:rFonts w:ascii="Times New Roman" w:eastAsia="宋体" w:cs="Times New Roman" w:hAnsi="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r</w:t>
            </w:r>
            <w:r>
              <w:rPr>
                <w:rFonts w:cs="Times New Roman" w:hint="eastAsia"/>
                <w:sz w:val="24"/>
                <w:szCs w:val="24"/>
                <w:lang w:val="en-US" w:eastAsia="zh-CN"/>
              </w:rPr>
              <w:t>—</w:t>
            </w:r>
            <w:r>
              <w:rPr>
                <w:rFonts w:ascii="Times New Roman" w:eastAsia="宋体" w:cs="Times New Roman" w:hAnsi="Times New Roman"/>
                <w:sz w:val="24"/>
                <w:szCs w:val="24"/>
                <w:lang w:val="en-US" w:eastAsia="zh-CN"/>
              </w:rPr>
              <w:t>距声源的距离，m；</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r0</w:t>
            </w:r>
            <w:r>
              <w:rPr>
                <w:rFonts w:cs="Times New Roman" w:hint="eastAsia"/>
                <w:sz w:val="24"/>
                <w:szCs w:val="24"/>
                <w:lang w:val="en-US" w:eastAsia="zh-CN"/>
              </w:rPr>
              <w:t>—</w:t>
            </w:r>
            <w:r>
              <w:rPr>
                <w:rFonts w:ascii="Times New Roman" w:eastAsia="宋体" w:cs="Times New Roman" w:hAnsi="Times New Roman"/>
                <w:sz w:val="24"/>
                <w:szCs w:val="24"/>
                <w:lang w:val="en-US" w:eastAsia="zh-CN"/>
              </w:rPr>
              <w:t>距声源1m；</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w:t>
            </w:r>
            <w:r>
              <w:rPr>
                <w:rFonts w:cs="Times New Roman" w:hint="eastAsia"/>
                <w:sz w:val="24"/>
                <w:szCs w:val="24"/>
                <w:lang w:val="en-US" w:eastAsia="zh-CN"/>
              </w:rPr>
              <w:t>—</w:t>
            </w:r>
            <w:r>
              <w:rPr>
                <w:rFonts w:ascii="Times New Roman" w:eastAsia="宋体" w:cs="Times New Roman" w:hAnsi="Times New Roman"/>
                <w:sz w:val="24"/>
                <w:szCs w:val="24"/>
                <w:lang w:val="en-US" w:eastAsia="zh-CN"/>
              </w:rPr>
              <w:t>各种因素引起的衰减量（包括声屏障、空气吸收等），dB</w:t>
            </w:r>
            <w:r>
              <w:rPr>
                <w:rFonts w:cs="Times New Roman" w:hint="eastAsia"/>
                <w:sz w:val="24"/>
                <w:szCs w:val="24"/>
                <w:lang w:val="en-US" w:eastAsia="zh-CN"/>
              </w:rPr>
              <w:t>（</w:t>
            </w:r>
            <w:r>
              <w:rPr>
                <w:rFonts w:ascii="Times New Roman" w:eastAsia="宋体" w:cs="Times New Roman" w:hAnsi="Times New Roman"/>
                <w:sz w:val="24"/>
                <w:szCs w:val="24"/>
                <w:lang w:val="en-US" w:eastAsia="zh-CN"/>
              </w:rPr>
              <w:t>A</w:t>
            </w:r>
            <w:r>
              <w:rPr>
                <w:rFonts w:cs="Times New Roman" w:hint="eastAsia"/>
                <w:sz w:val="24"/>
                <w:szCs w:val="24"/>
                <w:lang w:val="en-US" w:eastAsia="zh-CN"/>
              </w:rPr>
              <w:t>）</w:t>
            </w:r>
            <w:r>
              <w:rPr>
                <w:rFonts w:ascii="Times New Roman" w:eastAsia="宋体" w:cs="Times New Roman" w:hAnsi="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③多个噪声源叠加的影响预测模式：</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现场有多台设备同时运转，其噪声情况应是这些设备总叠加。多个噪声源叠加后的总声压级，按下式计算：</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ascii="Times New Roman" w:eastAsia="宋体" w:cs="Times New Roman" w:hAnsi="Times New Roman"/>
                <w:sz w:val="24"/>
                <w:szCs w:val="24"/>
                <w:lang w:val="en-US" w:eastAsia="zh-CN"/>
              </w:rPr>
              <w:t>L</w:t>
            </w:r>
            <w:r>
              <w:rPr>
                <w:rFonts w:cs="Times New Roman" w:hint="eastAsia"/>
                <w:sz w:val="24"/>
                <w:szCs w:val="24"/>
                <w:vertAlign w:val="subscript"/>
                <w:lang w:val="en-US" w:eastAsia="zh-CN"/>
              </w:rPr>
              <w:t>t</w:t>
            </w:r>
            <w:r>
              <w:rPr>
                <w:rFonts w:ascii="Times New Roman" w:eastAsia="宋体" w:cs="Times New Roman" w:hAnsi="Times New Roman"/>
                <w:sz w:val="24"/>
                <w:szCs w:val="24"/>
                <w:lang w:val="en-US" w:eastAsia="zh-CN"/>
              </w:rPr>
              <w:t>=10lg（</w:t>
            </w:r>
            <w:r>
              <w:rPr>
                <w:rFonts w:ascii="Times New Roman" w:eastAsia="宋体" w:cs="Times New Roman" w:hAnsi="Times New Roman"/>
                <w:position w:val="-28"/>
                <w:sz w:val="24"/>
                <w:szCs w:val="24"/>
                <w:lang w:val="en-US" w:eastAsia="zh-CN"/>
              </w:rPr>
              <w:object>
                <v:shape id="_x0000_i3" type="#_x0000_t75" filled="f" stroked="f" style="width:49.0pt;height:34.0pt;" o:ole="">
                  <v:stroke color="#000000"/>
                  <v:imagedata r:id="rId24" o:title="image13"/>
                  <o:lock aspectratio="t"/>
                  <w10:anchorLock/>
                </v:shape>
                <o:OLEObject Type="Embed" ProgID="Package" ShapeID="_x0000_i3" DrawAspect="Content" ObjectID="_1393063353" r:id="rId25"/>
              </w:object>
            </w:r>
            <w:r>
              <w:rPr>
                <w:rFonts w:cs="Times New Roman"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式中：n</w:t>
            </w:r>
            <w:r>
              <w:rPr>
                <w:rFonts w:cs="Times New Roman" w:hint="eastAsia"/>
                <w:sz w:val="24"/>
                <w:szCs w:val="24"/>
                <w:lang w:val="en-US" w:eastAsia="zh-CN"/>
              </w:rPr>
              <w:t>—</w:t>
            </w:r>
            <w:r>
              <w:rPr>
                <w:rFonts w:ascii="Times New Roman" w:eastAsia="宋体" w:cs="Times New Roman" w:hAnsi="Times New Roman"/>
                <w:sz w:val="24"/>
                <w:szCs w:val="24"/>
                <w:lang w:val="en-US" w:eastAsia="zh-CN"/>
              </w:rPr>
              <w:t>声源总数；</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LPi</w:t>
            </w:r>
            <w:r>
              <w:rPr>
                <w:rFonts w:cs="Times New Roman" w:hint="eastAsia"/>
                <w:sz w:val="24"/>
                <w:szCs w:val="24"/>
                <w:lang w:val="en-US" w:eastAsia="zh-CN"/>
              </w:rPr>
              <w:t>—</w:t>
            </w:r>
            <w:r>
              <w:rPr>
                <w:rFonts w:ascii="Times New Roman" w:eastAsia="宋体" w:cs="Times New Roman" w:hAnsi="Times New Roman"/>
                <w:sz w:val="24"/>
                <w:szCs w:val="24"/>
                <w:lang w:val="en-US" w:eastAsia="zh-CN"/>
              </w:rPr>
              <w:t>第i个声源对某点产生的声压级dB</w:t>
            </w:r>
            <w:r>
              <w:rPr>
                <w:rFonts w:cs="Times New Roman" w:hint="eastAsia"/>
                <w:sz w:val="24"/>
                <w:szCs w:val="24"/>
                <w:lang w:val="en-US" w:eastAsia="zh-CN"/>
              </w:rPr>
              <w:t>（</w:t>
            </w:r>
            <w:r>
              <w:rPr>
                <w:rFonts w:ascii="Times New Roman" w:eastAsia="宋体" w:cs="Times New Roman" w:hAnsi="Times New Roman"/>
                <w:sz w:val="24"/>
                <w:szCs w:val="24"/>
                <w:lang w:val="en-US" w:eastAsia="zh-CN"/>
              </w:rPr>
              <w:t>A</w:t>
            </w:r>
            <w:r>
              <w:rPr>
                <w:rFonts w:cs="Times New Roman" w:hint="eastAsia"/>
                <w:sz w:val="24"/>
                <w:szCs w:val="24"/>
                <w:lang w:val="en-US" w:eastAsia="zh-CN"/>
              </w:rPr>
              <w:t>）</w:t>
            </w:r>
            <w:r>
              <w:rPr>
                <w:rFonts w:ascii="Times New Roman" w:eastAsia="宋体" w:cs="Times New Roman" w:hAnsi="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cs="Times New Roman" w:hint="eastAsia"/>
                <w:sz w:val="24"/>
                <w:szCs w:val="24"/>
                <w:lang w:val="en-US" w:eastAsia="zh-CN"/>
              </w:rPr>
            </w:pPr>
            <w:r>
              <w:rPr>
                <w:rFonts w:ascii="Times New Roman" w:eastAsia="宋体" w:cs="Times New Roman" w:hAnsi="Times New Roman"/>
                <w:sz w:val="24"/>
                <w:szCs w:val="24"/>
                <w:lang w:val="en-US" w:eastAsia="zh-CN"/>
              </w:rPr>
              <w:t>Lt</w:t>
            </w:r>
            <w:r>
              <w:rPr>
                <w:rFonts w:cs="Times New Roman" w:hint="eastAsia"/>
                <w:sz w:val="24"/>
                <w:szCs w:val="24"/>
                <w:lang w:val="en-US" w:eastAsia="zh-CN"/>
              </w:rPr>
              <w:t>—</w:t>
            </w:r>
            <w:r>
              <w:rPr>
                <w:rFonts w:ascii="Times New Roman" w:eastAsia="宋体" w:cs="Times New Roman" w:hAnsi="Times New Roman"/>
                <w:sz w:val="24"/>
                <w:szCs w:val="24"/>
                <w:lang w:val="en-US" w:eastAsia="zh-CN"/>
              </w:rPr>
              <w:t>某点总的声压级dB（A）</w:t>
            </w:r>
            <w:r>
              <w:rPr>
                <w:rFonts w:cs="Times New Roman" w:hint="eastAsia"/>
                <w:sz w:val="24"/>
                <w:szCs w:val="24"/>
                <w:lang w:val="en-US" w:eastAsia="zh-CN"/>
              </w:rPr>
              <w:t>。</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噪声预测结果及影响分析</w:t>
            </w:r>
          </w:p>
          <w:p>
            <w:pPr>
              <w:keepNext w:val="0"/>
              <w:keepLines w:val="0"/>
              <w:pageBreakBefore w:val="0"/>
              <w:widowControl w:val="0"/>
              <w:kinsoku/>
              <w:wordWrap/>
              <w:overflowPunct/>
              <w:topLinePunct w:val="0"/>
              <w:autoSpaceDE/>
              <w:autoSpaceDN/>
              <w:bidi w:val="0"/>
              <w:adjustRightInd/>
              <w:snapToGrid/>
              <w:spacing w:line="360" w:lineRule="auto"/>
              <w:ind w:left="0" w:firstLineChars="200" w:firstLine="480"/>
              <w:jc w:val="both"/>
              <w:textAlignment w:val="auto"/>
              <w:rPr>
                <w:rFonts w:ascii="Times New Roman" w:eastAsia="宋体" w:cs="Times New Roman" w:hAnsi="Times New Roman"/>
                <w:sz w:val="24"/>
                <w:szCs w:val="24"/>
                <w:lang w:val="en-US" w:eastAsia="zh-CN"/>
              </w:rPr>
            </w:pPr>
            <w:r>
              <w:rPr>
                <w:rFonts w:cs="Times New Roman" w:hint="eastAsia"/>
                <w:sz w:val="24"/>
                <w:szCs w:val="24"/>
                <w:lang w:val="en-US" w:eastAsia="zh-CN"/>
              </w:rPr>
              <w:t>经计算，</w:t>
            </w:r>
            <w:r>
              <w:rPr>
                <w:rFonts w:ascii="Times New Roman" w:eastAsia="宋体" w:cs="Times New Roman" w:hAnsi="Times New Roman"/>
                <w:sz w:val="24"/>
                <w:szCs w:val="24"/>
                <w:lang w:val="en-US" w:eastAsia="zh-CN"/>
              </w:rPr>
              <w:t>厂房降噪</w:t>
            </w:r>
            <w:r>
              <w:rPr>
                <w:rFonts w:cs="Times New Roman" w:hint="eastAsia"/>
                <w:sz w:val="24"/>
                <w:szCs w:val="24"/>
                <w:lang w:val="en-US" w:eastAsia="zh-CN"/>
              </w:rPr>
              <w:t>15</w:t>
            </w:r>
            <w:r>
              <w:rPr>
                <w:rFonts w:ascii="Times New Roman" w:eastAsia="宋体" w:cs="Times New Roman" w:hAnsi="Times New Roman"/>
                <w:sz w:val="24"/>
                <w:szCs w:val="24"/>
                <w:lang w:val="en-US" w:eastAsia="zh-CN"/>
              </w:rPr>
              <w:t>dB（A），具体预测结果如下所示：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表4-</w:t>
            </w:r>
            <w:r>
              <w:rPr>
                <w:rFonts w:cs="Times New Roman" w:hint="eastAsia"/>
                <w:b/>
                <w:bCs/>
                <w:sz w:val="21"/>
                <w:szCs w:val="21"/>
                <w:lang w:val="en-US" w:eastAsia="zh-CN"/>
              </w:rPr>
              <w:t>10</w:t>
            </w:r>
            <w:r>
              <w:rPr>
                <w:rFonts w:ascii="Times New Roman" w:eastAsia="宋体" w:cs="Times New Roman" w:hAnsi="Times New Roman" w:hint="eastAsia"/>
                <w:b/>
                <w:bCs/>
                <w:sz w:val="21"/>
                <w:szCs w:val="21"/>
                <w:lang w:val="en-US" w:eastAsia="zh-CN"/>
              </w:rPr>
              <w:t xml:space="preserve"> </w:t>
            </w:r>
            <w:r>
              <w:rPr>
                <w:rFonts w:ascii="Times New Roman" w:eastAsia="宋体" w:cs="Times New Roman" w:hAnsi="Times New Roman"/>
                <w:b/>
                <w:bCs/>
                <w:sz w:val="21"/>
                <w:szCs w:val="21"/>
                <w:lang w:val="en-US" w:eastAsia="zh-CN"/>
              </w:rPr>
              <w:t>厂界噪声预测结果</w:t>
            </w:r>
            <w:r>
              <w:rPr>
                <w:rFonts w:ascii="Times New Roman" w:eastAsia="宋体" w:cs="Times New Roman" w:hAnsi="Times New Roman" w:hint="eastAsia"/>
                <w:b/>
                <w:bCs/>
                <w:sz w:val="21"/>
                <w:szCs w:val="21"/>
                <w:lang w:val="en-US" w:eastAsia="zh-CN"/>
              </w:rPr>
              <w:t xml:space="preserve"> </w:t>
            </w:r>
            <w:r>
              <w:rPr>
                <w:rFonts w:ascii="Times New Roman" w:eastAsia="宋体" w:cs="Times New Roman" w:hAnsi="Times New Roman"/>
                <w:b/>
                <w:bCs/>
                <w:sz w:val="21"/>
                <w:szCs w:val="21"/>
                <w:lang w:val="en-US" w:eastAsia="zh-CN"/>
              </w:rPr>
              <w:t>单位</w:t>
            </w:r>
            <w:r>
              <w:rPr>
                <w:rFonts w:cs="Times New Roman" w:hint="eastAsia"/>
                <w:b/>
                <w:bCs/>
                <w:sz w:val="21"/>
                <w:szCs w:val="21"/>
                <w:lang w:val="en-US" w:eastAsia="zh-CN"/>
              </w:rPr>
              <w:t>：</w:t>
            </w:r>
            <w:r>
              <w:rPr>
                <w:rFonts w:ascii="Times New Roman" w:eastAsia="宋体" w:cs="Times New Roman" w:hAnsi="Times New Roman"/>
                <w:b/>
                <w:bCs/>
                <w:sz w:val="21"/>
                <w:szCs w:val="21"/>
                <w:lang w:val="en-US" w:eastAsia="zh-CN"/>
              </w:rPr>
              <w:t>dB（A</w:t>
            </w:r>
            <w:r>
              <w:rPr>
                <w:rFonts w:cs="Times New Roman" w:hint="eastAsia"/>
                <w:b/>
                <w:bCs/>
                <w:sz w:val="21"/>
                <w:szCs w:val="21"/>
                <w:lang w:val="en-US" w:eastAsia="zh-CN"/>
              </w:rPr>
              <w:t>）</w:t>
            </w:r>
          </w:p>
          <w:tbl>
            <w:tblPr>
              <w:jc w:val="cente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104"/>
              <w:gridCol w:w="1730"/>
              <w:gridCol w:w="1119"/>
              <w:gridCol w:w="1119"/>
              <w:gridCol w:w="1119"/>
              <w:gridCol w:w="1122"/>
            </w:tblGrid>
            <w:tr>
              <w:tc>
                <w:tcPr>
                  <w:tcW w:w="2104" w:type="dxa"/>
                  <w:vMerge w:val="restart"/>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设备名称</w:t>
                  </w:r>
                  <w:r>
                    <w:rPr>
                      <w:rFonts w:cs="Times New Roman" w:hint="eastAsia"/>
                      <w:b/>
                      <w:bCs/>
                      <w:sz w:val="21"/>
                      <w:szCs w:val="21"/>
                      <w:vertAlign w:val="baseline"/>
                      <w:lang w:val="en-US" w:eastAsia="zh-CN"/>
                    </w:rPr>
                    <w:t>以及源强</w:t>
                  </w:r>
                </w:p>
              </w:tc>
              <w:tc>
                <w:tcPr>
                  <w:tcW w:w="1730" w:type="dxa"/>
                  <w:vMerge w:val="restart"/>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隔声减振处理后</w:t>
                  </w:r>
                  <w:r>
                    <w:rPr>
                      <w:rFonts w:cs="Times New Roman" w:hint="eastAsia"/>
                      <w:b/>
                      <w:bCs/>
                      <w:sz w:val="21"/>
                      <w:szCs w:val="21"/>
                      <w:vertAlign w:val="baseline"/>
                      <w:lang w:val="en-US" w:eastAsia="zh-CN"/>
                    </w:rPr>
                    <w:t>的</w:t>
                  </w:r>
                  <w:r>
                    <w:rPr>
                      <w:rFonts w:ascii="Times New Roman" w:eastAsia="宋体" w:cs="Times New Roman" w:hAnsi="Times New Roman"/>
                      <w:b/>
                      <w:bCs/>
                      <w:sz w:val="21"/>
                      <w:szCs w:val="21"/>
                      <w:vertAlign w:val="baseline"/>
                      <w:lang w:val="en-US" w:eastAsia="zh-CN"/>
                    </w:rPr>
                    <w:t>叠加噪声源强</w:t>
                  </w:r>
                </w:p>
              </w:tc>
              <w:tc>
                <w:tcPr>
                  <w:tcW w:w="4479" w:type="dxa"/>
                  <w:gridSpan w:val="4"/>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hint="eastAsia"/>
                      <w:b/>
                      <w:bCs/>
                    </w:rPr>
                    <w:t>厂界距声源距离</w:t>
                  </w:r>
                </w:p>
              </w:tc>
            </w:tr>
            <w:tr>
              <w:tc>
                <w:tcPr>
                  <w:tcW w:w="2104" w:type="dxa"/>
                  <w:vMerge/>
                  <w:tcBorders>
                    <w:top w:val="single" w:sz="4" w:space="0" w:color="auto"/>
                    <w:left w:val="single" w:sz="4" w:space="0" w:color="auto"/>
                    <w:right w:val="single" w:sz="4" w:space="0" w:color="auto"/>
                  </w:tcBorders>
                  <w:noWrap/>
                  <w:vAlign w:val="center"/>
                </w:tcPr>
                <w:p/>
              </w:tc>
              <w:tc>
                <w:tcPr>
                  <w:tcW w:w="1730" w:type="dxa"/>
                  <w:vMerge/>
                  <w:tcBorders>
                    <w:top w:val="single" w:sz="4" w:space="0" w:color="auto"/>
                    <w:left w:val="single" w:sz="4" w:space="0" w:color="auto"/>
                    <w:right w:val="single" w:sz="4" w:space="0" w:color="auto"/>
                  </w:tcBorders>
                  <w:noWrap/>
                  <w:vAlign w:val="center"/>
                </w:tcPr>
                <w:p/>
              </w:tc>
              <w:tc>
                <w:tcPr>
                  <w:tcW w:w="1119"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东面</w:t>
                  </w:r>
                  <w:r>
                    <w:rPr>
                      <w:rFonts w:cs="Times New Roman" w:hint="eastAsia"/>
                      <w:b/>
                      <w:bCs/>
                      <w:sz w:val="21"/>
                      <w:szCs w:val="21"/>
                      <w:vertAlign w:val="baseline"/>
                      <w:lang w:val="en-US" w:eastAsia="zh-CN"/>
                    </w:rPr>
                    <w:t>1.0</w:t>
                  </w:r>
                  <w:r>
                    <w:rPr>
                      <w:rFonts w:ascii="Times New Roman" w:eastAsia="宋体" w:cs="Times New Roman" w:hAnsi="Times New Roman"/>
                      <w:b/>
                      <w:bCs/>
                      <w:sz w:val="21"/>
                      <w:szCs w:val="21"/>
                      <w:vertAlign w:val="baseline"/>
                      <w:lang w:val="en-US" w:eastAsia="zh-CN"/>
                    </w:rPr>
                    <w:t xml:space="preserve">m   </w:t>
                  </w:r>
                </w:p>
              </w:tc>
              <w:tc>
                <w:tcPr>
                  <w:tcW w:w="1119"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南面</w:t>
                  </w:r>
                  <w:r>
                    <w:rPr>
                      <w:rFonts w:cs="Times New Roman" w:hint="eastAsia"/>
                      <w:b/>
                      <w:bCs/>
                      <w:sz w:val="21"/>
                      <w:szCs w:val="21"/>
                      <w:vertAlign w:val="baseline"/>
                      <w:lang w:val="en-US" w:eastAsia="zh-CN"/>
                    </w:rPr>
                    <w:t>1.0m</w:t>
                  </w:r>
                </w:p>
              </w:tc>
              <w:tc>
                <w:tcPr>
                  <w:tcW w:w="1119"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西面</w:t>
                  </w:r>
                  <w:r>
                    <w:rPr>
                      <w:rFonts w:cs="Times New Roman" w:hint="eastAsia"/>
                      <w:b/>
                      <w:bCs/>
                      <w:sz w:val="21"/>
                      <w:szCs w:val="21"/>
                      <w:vertAlign w:val="baseline"/>
                      <w:lang w:val="en-US" w:eastAsia="zh-CN"/>
                    </w:rPr>
                    <w:t>1.0</w:t>
                  </w:r>
                  <w:r>
                    <w:rPr>
                      <w:rFonts w:ascii="Times New Roman" w:eastAsia="宋体" w:cs="Times New Roman" w:hAnsi="Times New Roman"/>
                      <w:b/>
                      <w:bCs/>
                      <w:sz w:val="21"/>
                      <w:szCs w:val="21"/>
                      <w:vertAlign w:val="baseline"/>
                      <w:lang w:val="en-US" w:eastAsia="zh-CN"/>
                    </w:rPr>
                    <w:t>m</w:t>
                  </w:r>
                </w:p>
              </w:tc>
              <w:tc>
                <w:tcPr>
                  <w:tcW w:w="1122"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北面</w:t>
                  </w:r>
                  <w:r>
                    <w:rPr>
                      <w:rFonts w:cs="Times New Roman" w:hint="eastAsia"/>
                      <w:b/>
                      <w:bCs/>
                      <w:sz w:val="21"/>
                      <w:szCs w:val="21"/>
                      <w:vertAlign w:val="baseline"/>
                      <w:lang w:val="en-US" w:eastAsia="zh-CN"/>
                    </w:rPr>
                    <w:t>1.0</w:t>
                  </w:r>
                  <w:r>
                    <w:rPr>
                      <w:rFonts w:ascii="Times New Roman" w:eastAsia="宋体" w:cs="Times New Roman" w:hAnsi="Times New Roman"/>
                      <w:b/>
                      <w:bCs/>
                      <w:sz w:val="21"/>
                      <w:szCs w:val="21"/>
                      <w:vertAlign w:val="baseline"/>
                      <w:lang w:val="en-US" w:eastAsia="zh-CN"/>
                    </w:rPr>
                    <w:t>m</w:t>
                  </w:r>
                </w:p>
              </w:tc>
            </w:tr>
            <w:tr>
              <w:tc>
                <w:tcPr>
                  <w:tcW w:w="210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设备噪声</w:t>
                  </w:r>
                  <w:r>
                    <w:rPr>
                      <w:rFonts w:cs="Times New Roman" w:hint="eastAsia"/>
                      <w:sz w:val="21"/>
                      <w:szCs w:val="21"/>
                      <w:lang w:val="en-US" w:eastAsia="zh-CN"/>
                    </w:rPr>
                    <w:t>（昼）</w:t>
                  </w:r>
                </w:p>
              </w:tc>
              <w:tc>
                <w:tcPr>
                  <w:tcW w:w="1730"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cs="Times New Roman" w:hint="eastAsia"/>
                      <w:sz w:val="21"/>
                      <w:szCs w:val="21"/>
                      <w:lang w:val="en-US" w:eastAsia="zh-CN"/>
                    </w:rPr>
                    <w:t>55.33</w:t>
                  </w:r>
                </w:p>
              </w:tc>
              <w:tc>
                <w:tcPr>
                  <w:tcW w:w="1119"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40.82</w:t>
                  </w:r>
                </w:p>
              </w:tc>
              <w:tc>
                <w:tcPr>
                  <w:tcW w:w="1119"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42.94</w:t>
                  </w:r>
                </w:p>
              </w:tc>
              <w:tc>
                <w:tcPr>
                  <w:tcW w:w="1119" w:type="dxa"/>
                  <w:tcBorders>
                    <w:top w:val="single" w:sz="4" w:space="0" w:color="auto"/>
                    <w:left w:val="single" w:sz="4" w:space="0" w:color="auto"/>
                    <w:right w:val="single" w:sz="4" w:space="0" w:color="auto"/>
                  </w:tcBorders>
                  <w:noWrap/>
                  <w:vAlign w:val="center"/>
                </w:tcPr>
                <w:p>
                  <w:pPr>
                    <w:bidi w:val="0"/>
                    <w:spacing w:line="240" w:lineRule="auto"/>
                    <w:ind w:left="0" w:firstLine="0"/>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54.69</w:t>
                  </w:r>
                </w:p>
              </w:tc>
              <w:tc>
                <w:tcPr>
                  <w:tcW w:w="1122"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44.42</w:t>
                  </w:r>
                </w:p>
              </w:tc>
            </w:tr>
          </w:tbl>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由表4-1</w:t>
            </w:r>
            <w:r>
              <w:rPr>
                <w:rFonts w:cs="Times New Roman" w:hint="eastAsia"/>
                <w:sz w:val="24"/>
                <w:szCs w:val="24"/>
                <w:lang w:val="en-US" w:eastAsia="zh-CN"/>
              </w:rPr>
              <w:t>0</w:t>
            </w:r>
            <w:r>
              <w:rPr>
                <w:rFonts w:ascii="Times New Roman" w:eastAsia="宋体" w:cs="Times New Roman" w:hAnsi="Times New Roman"/>
                <w:sz w:val="24"/>
                <w:szCs w:val="24"/>
                <w:lang w:val="en-US" w:eastAsia="zh-CN"/>
              </w:rPr>
              <w:t>预测结果可知，</w:t>
            </w: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项目投入运营后</w:t>
            </w:r>
            <w:r>
              <w:rPr>
                <w:rFonts w:cs="Times New Roman" w:hint="eastAsia"/>
                <w:sz w:val="24"/>
                <w:szCs w:val="24"/>
                <w:lang w:val="en-US" w:eastAsia="zh-CN"/>
              </w:rPr>
              <w:t>，</w:t>
            </w:r>
            <w:r>
              <w:rPr>
                <w:rFonts w:ascii="Times New Roman" w:eastAsia="宋体" w:cs="Times New Roman" w:hAnsi="Times New Roman"/>
                <w:sz w:val="24"/>
                <w:szCs w:val="24"/>
                <w:lang w:val="en-US" w:eastAsia="zh-CN"/>
              </w:rPr>
              <w:t>通过选用低噪声设备，设备均设置于室内</w:t>
            </w:r>
            <w:r>
              <w:rPr>
                <w:rFonts w:cs="Times New Roman" w:hint="eastAsia"/>
                <w:sz w:val="24"/>
                <w:szCs w:val="24"/>
                <w:lang w:val="en-US" w:eastAsia="zh-CN"/>
              </w:rPr>
              <w:t>，</w:t>
            </w:r>
            <w:r>
              <w:rPr>
                <w:rFonts w:ascii="Times New Roman" w:eastAsia="宋体" w:cs="Times New Roman" w:hAnsi="Times New Roman"/>
                <w:sz w:val="24"/>
                <w:szCs w:val="24"/>
                <w:lang w:val="en-US" w:eastAsia="zh-CN"/>
              </w:rPr>
              <w:t>加强设备</w:t>
            </w:r>
            <w:r>
              <w:rPr>
                <w:rFonts w:cs="Times New Roman" w:hint="eastAsia"/>
                <w:sz w:val="24"/>
                <w:szCs w:val="24"/>
                <w:lang w:val="en-US" w:eastAsia="zh-CN"/>
              </w:rPr>
              <w:t>保养</w:t>
            </w:r>
            <w:r>
              <w:rPr>
                <w:rFonts w:ascii="Times New Roman" w:eastAsia="宋体" w:cs="Times New Roman" w:hAnsi="Times New Roman"/>
                <w:sz w:val="24"/>
                <w:szCs w:val="24"/>
                <w:lang w:val="en-US" w:eastAsia="zh-CN"/>
              </w:rPr>
              <w:t>维修</w:t>
            </w:r>
            <w:r>
              <w:rPr>
                <w:rFonts w:cs="Times New Roman" w:hint="eastAsia"/>
                <w:sz w:val="24"/>
                <w:szCs w:val="24"/>
                <w:lang w:val="en-US" w:eastAsia="zh-CN"/>
              </w:rPr>
              <w:t>以及</w:t>
            </w:r>
            <w:r>
              <w:rPr>
                <w:rFonts w:ascii="Times New Roman" w:eastAsia="宋体" w:cs="Times New Roman" w:hAnsi="Times New Roman"/>
                <w:sz w:val="24"/>
                <w:szCs w:val="24"/>
                <w:lang w:val="en-US" w:eastAsia="zh-CN"/>
              </w:rPr>
              <w:t>对各种机械设备运行噪声采取相应的消声、隔声、减振等防护措施</w:t>
            </w:r>
            <w:r>
              <w:rPr>
                <w:rFonts w:cs="Times New Roman" w:hint="eastAsia"/>
                <w:sz w:val="24"/>
                <w:szCs w:val="24"/>
                <w:lang w:val="en-US" w:eastAsia="zh-CN"/>
              </w:rPr>
              <w:t>，</w:t>
            </w:r>
            <w:r>
              <w:rPr>
                <w:rFonts w:ascii="Times New Roman" w:eastAsia="宋体" w:cs="Times New Roman" w:hAnsi="Times New Roman"/>
                <w:sz w:val="24"/>
                <w:szCs w:val="24"/>
                <w:lang w:val="en-US" w:eastAsia="zh-CN"/>
              </w:rPr>
              <w:t>经室内墙壁屏蔽和吸声处理后，</w:t>
            </w:r>
            <w:r>
              <w:rPr>
                <w:rFonts w:cs="Times New Roman" w:hint="eastAsia"/>
                <w:sz w:val="24"/>
                <w:szCs w:val="24"/>
                <w:lang w:val="en-US" w:eastAsia="zh-CN"/>
              </w:rPr>
              <w:t>四周</w:t>
            </w:r>
            <w:r>
              <w:rPr>
                <w:rFonts w:ascii="Times New Roman" w:eastAsia="宋体" w:cs="Times New Roman" w:hAnsi="Times New Roman"/>
                <w:sz w:val="24"/>
                <w:szCs w:val="24"/>
                <w:lang w:val="en-US" w:eastAsia="zh-CN"/>
              </w:rPr>
              <w:t>厂界昼间噪声排放能满足《工业企业厂界环境噪声排放标准》（GB12348-2008）中</w:t>
            </w:r>
            <w:r>
              <w:rPr>
                <w:rFonts w:cs="Times New Roman" w:hint="eastAsia"/>
                <w:sz w:val="24"/>
                <w:szCs w:val="24"/>
                <w:lang w:val="en-US" w:eastAsia="zh-CN"/>
              </w:rPr>
              <w:t>3类</w:t>
            </w:r>
            <w:r>
              <w:rPr>
                <w:rFonts w:ascii="Times New Roman" w:eastAsia="宋体" w:cs="Times New Roman" w:hAnsi="Times New Roman"/>
                <w:sz w:val="24"/>
                <w:szCs w:val="24"/>
                <w:lang w:val="en-US" w:eastAsia="zh-CN"/>
              </w:rPr>
              <w:t>标准值类标准（昼间≤</w:t>
            </w:r>
            <w:r>
              <w:rPr>
                <w:rFonts w:cs="Times New Roman" w:hint="eastAsia"/>
                <w:sz w:val="24"/>
                <w:szCs w:val="24"/>
                <w:lang w:val="en-US" w:eastAsia="zh-CN"/>
              </w:rPr>
              <w:t>65</w:t>
            </w:r>
            <w:r>
              <w:rPr>
                <w:rFonts w:ascii="Times New Roman" w:eastAsia="宋体" w:cs="Times New Roman" w:hAnsi="Times New Roman"/>
                <w:sz w:val="24"/>
                <w:szCs w:val="24"/>
                <w:lang w:val="en-US" w:eastAsia="zh-CN"/>
              </w:rPr>
              <w:t>dB（A）），可以做到厂界达标</w:t>
            </w:r>
            <w:r>
              <w:rPr>
                <w:rFonts w:cs="Times New Roman" w:hint="eastAsia"/>
                <w:sz w:val="24"/>
                <w:szCs w:val="24"/>
                <w:lang w:val="en-US" w:eastAsia="zh-CN"/>
              </w:rPr>
              <w:t>，</w:t>
            </w:r>
            <w:r>
              <w:rPr>
                <w:rFonts w:ascii="Times New Roman" w:eastAsia="宋体" w:cs="Times New Roman" w:hAnsi="Times New Roman"/>
                <w:sz w:val="24"/>
                <w:szCs w:val="24"/>
                <w:lang w:val="en-US" w:eastAsia="zh-CN"/>
              </w:rPr>
              <w:t>且</w:t>
            </w: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项目周边50米范围内无声环境敏感点</w:t>
            </w:r>
            <w:r>
              <w:rPr>
                <w:rFonts w:cs="Times New Roman" w:hint="eastAsia"/>
                <w:sz w:val="24"/>
                <w:szCs w:val="24"/>
                <w:lang w:val="en-US" w:eastAsia="zh-CN"/>
              </w:rPr>
              <w:t>；</w:t>
            </w:r>
            <w:r>
              <w:rPr>
                <w:rFonts w:ascii="Times New Roman" w:eastAsia="宋体" w:cs="Times New Roman" w:hAnsi="Times New Roman"/>
                <w:sz w:val="24"/>
                <w:szCs w:val="24"/>
                <w:lang w:val="en-US" w:eastAsia="zh-CN"/>
              </w:rPr>
              <w:t>因此</w:t>
            </w: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项目运行后产生的噪声不会对区域声环境产生明显不利影响。</w:t>
            </w:r>
          </w:p>
          <w:p>
            <w:pPr>
              <w:numPr>
                <w:ilvl w:val="0"/>
                <w:numId w:val="55"/>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监测要求</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根据《排污单位自行监测技术指南总则》（HJ819-2017）、《排污许可证申请与核发技术规范总则》（HJ942-2018）</w:t>
            </w: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项目营运期噪声日常监测要求如下表所示。</w:t>
            </w:r>
          </w:p>
          <w:p>
            <w:pPr>
              <w:bidi w:val="0"/>
              <w:spacing w:line="360" w:lineRule="auto"/>
              <w:jc w:val="center"/>
              <w:rPr>
                <w:rFonts w:ascii="Times New Roman" w:eastAsia="宋体" w:cs="Times New Roman" w:hAnsi="Times New Roman"/>
                <w:b/>
                <w:bCs/>
                <w:sz w:val="21"/>
                <w:szCs w:val="21"/>
                <w:lang w:val="en-US" w:eastAsia="zh-CN"/>
              </w:rPr>
            </w:pPr>
          </w:p>
          <w:p>
            <w:pPr>
              <w:bidi w:val="0"/>
              <w:spacing w:line="36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表4-</w:t>
            </w:r>
            <w:r>
              <w:rPr>
                <w:rFonts w:ascii="Times New Roman" w:eastAsia="宋体" w:cs="Times New Roman" w:hAnsi="Times New Roman" w:hint="eastAsia"/>
                <w:b/>
                <w:bCs/>
                <w:sz w:val="21"/>
                <w:szCs w:val="21"/>
                <w:lang w:val="en-US" w:eastAsia="zh-CN"/>
              </w:rPr>
              <w:t>1</w:t>
            </w:r>
            <w:r>
              <w:rPr>
                <w:rFonts w:cs="Times New Roman" w:hint="eastAsia"/>
                <w:b/>
                <w:bCs/>
                <w:sz w:val="21"/>
                <w:szCs w:val="21"/>
                <w:lang w:val="en-US" w:eastAsia="zh-CN"/>
              </w:rPr>
              <w:t>1</w:t>
            </w:r>
            <w:r>
              <w:rPr>
                <w:rFonts w:ascii="Times New Roman" w:eastAsia="宋体" w:cs="Times New Roman" w:hAnsi="Times New Roman" w:hint="eastAsia"/>
                <w:b/>
                <w:bCs/>
                <w:sz w:val="21"/>
                <w:szCs w:val="21"/>
                <w:lang w:val="en-US" w:eastAsia="zh-CN"/>
              </w:rPr>
              <w:t xml:space="preserve"> </w:t>
            </w:r>
            <w:r>
              <w:rPr>
                <w:rFonts w:ascii="Times New Roman" w:eastAsia="宋体" w:cs="Times New Roman" w:hAnsi="Times New Roman"/>
                <w:b/>
                <w:bCs/>
                <w:sz w:val="21"/>
                <w:szCs w:val="21"/>
                <w:lang w:val="en-US" w:eastAsia="zh-CN"/>
              </w:rPr>
              <w:t>噪声监测计划表</w:t>
            </w:r>
          </w:p>
          <w:tbl>
            <w:tblPr>
              <w:jc w:val="center"/>
              <w:tblW w:w="8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17"/>
              <w:gridCol w:w="1283"/>
              <w:gridCol w:w="1684"/>
              <w:gridCol w:w="1308"/>
              <w:gridCol w:w="2917"/>
            </w:tblGrid>
            <w:tr>
              <w:tc>
                <w:tcPr>
                  <w:tcW w:w="1117"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类别</w:t>
                  </w:r>
                </w:p>
              </w:tc>
              <w:tc>
                <w:tcPr>
                  <w:tcW w:w="1283"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监测点位</w:t>
                  </w:r>
                </w:p>
              </w:tc>
              <w:tc>
                <w:tcPr>
                  <w:tcW w:w="1684"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监测项目</w:t>
                  </w:r>
                </w:p>
              </w:tc>
              <w:tc>
                <w:tcPr>
                  <w:tcW w:w="1308" w:type="dxa"/>
                  <w:noWrap/>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监测频次</w:t>
                  </w:r>
                </w:p>
              </w:tc>
              <w:tc>
                <w:tcPr>
                  <w:tcW w:w="2917" w:type="dxa"/>
                  <w:noWrap/>
                  <w:vAlign w:val="center"/>
                </w:tcPr>
                <w:p>
                  <w:pPr>
                    <w:bidi w:val="0"/>
                    <w:spacing w:line="240" w:lineRule="auto"/>
                    <w:jc w:val="center"/>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执行标准</w:t>
                  </w:r>
                </w:p>
              </w:tc>
            </w:tr>
            <w:tr>
              <w:tc>
                <w:tcPr>
                  <w:tcW w:w="1117"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噪声监测</w:t>
                  </w:r>
                </w:p>
              </w:tc>
              <w:tc>
                <w:tcPr>
                  <w:tcW w:w="1283"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lang w:val="en-US" w:eastAsia="zh-CN"/>
                    </w:rPr>
                  </w:pPr>
                  <w:r>
                    <w:rPr>
                      <w:rFonts w:cs="Times New Roman" w:hint="eastAsia"/>
                      <w:sz w:val="21"/>
                      <w:szCs w:val="21"/>
                      <w:lang w:val="en-US" w:eastAsia="zh-CN"/>
                    </w:rPr>
                    <w:t>项目</w:t>
                  </w:r>
                  <w:r>
                    <w:rPr>
                      <w:rFonts w:ascii="Times New Roman" w:eastAsia="宋体" w:cs="Times New Roman" w:hAnsi="Times New Roman"/>
                      <w:sz w:val="21"/>
                      <w:szCs w:val="21"/>
                      <w:lang w:val="en-US" w:eastAsia="zh-CN"/>
                    </w:rPr>
                    <w:t>厂</w:t>
                  </w:r>
                </w:p>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界外1m</w:t>
                  </w:r>
                </w:p>
              </w:tc>
              <w:tc>
                <w:tcPr>
                  <w:tcW w:w="1684"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等效连续A声级</w:t>
                  </w:r>
                </w:p>
              </w:tc>
              <w:tc>
                <w:tcPr>
                  <w:tcW w:w="1308"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lang w:val="en-US" w:eastAsia="zh-CN"/>
                    </w:rPr>
                    <w:t>1次/</w:t>
                  </w:r>
                  <w:r>
                    <w:rPr>
                      <w:rFonts w:cs="Times New Roman" w:hint="eastAsia"/>
                      <w:sz w:val="21"/>
                      <w:szCs w:val="21"/>
                      <w:lang w:val="en-US" w:eastAsia="zh-CN"/>
                    </w:rPr>
                    <w:t>季</w:t>
                  </w:r>
                </w:p>
              </w:tc>
              <w:tc>
                <w:tcPr>
                  <w:tcW w:w="2917" w:type="dxa"/>
                  <w:tcBorders>
                    <w:top w:val="single" w:sz="4" w:space="0" w:color="auto"/>
                    <w:left w:val="single" w:sz="4" w:space="0" w:color="auto"/>
                    <w:right w:val="single" w:sz="4" w:space="0" w:color="auto"/>
                  </w:tcBorders>
                  <w:noWrap/>
                  <w:vAlign w:val="center"/>
                </w:tcPr>
                <w:p>
                  <w:pPr>
                    <w:bidi w:val="0"/>
                    <w:spacing w:line="240" w:lineRule="auto"/>
                    <w:jc w:val="center"/>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（GB12348-2008）</w:t>
                  </w:r>
                  <w:r>
                    <w:rPr>
                      <w:rFonts w:cs="Times New Roman" w:hint="eastAsia"/>
                      <w:sz w:val="21"/>
                      <w:szCs w:val="21"/>
                      <w:lang w:val="en-US" w:eastAsia="zh-CN"/>
                    </w:rPr>
                    <w:t>3类</w:t>
                  </w:r>
                  <w:r>
                    <w:rPr>
                      <w:rFonts w:ascii="Times New Roman" w:eastAsia="宋体" w:cs="Times New Roman" w:hAnsi="Times New Roman"/>
                      <w:sz w:val="21"/>
                      <w:szCs w:val="21"/>
                      <w:lang w:val="en-US" w:eastAsia="zh-CN"/>
                    </w:rPr>
                    <w:t>标准</w:t>
                  </w:r>
                </w:p>
              </w:tc>
            </w:tr>
          </w:tbl>
          <w:p>
            <w:pPr>
              <w:numPr>
                <w:ilvl w:val="0"/>
                <w:numId w:val="47"/>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固废</w:t>
            </w:r>
          </w:p>
          <w:p>
            <w:pPr>
              <w:numPr>
                <w:ilvl w:val="0"/>
                <w:numId w:val="56"/>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废物类别和处置情况</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本项目运营期产生固体废物主要为一般工业固体废物、危险废物</w:t>
            </w:r>
            <w:r>
              <w:rPr>
                <w:rFonts w:cs="Times New Roman" w:hint="eastAsia"/>
                <w:sz w:val="24"/>
                <w:szCs w:val="24"/>
                <w:lang w:val="en-US" w:eastAsia="zh-CN"/>
              </w:rPr>
              <w:t>以及</w:t>
            </w:r>
            <w:r>
              <w:rPr>
                <w:rFonts w:ascii="Times New Roman" w:eastAsia="宋体" w:cs="Times New Roman" w:hAnsi="Times New Roman"/>
                <w:sz w:val="24"/>
                <w:szCs w:val="24"/>
                <w:lang w:val="en-US" w:eastAsia="zh-CN"/>
              </w:rPr>
              <w:t>生活垃圾</w:t>
            </w:r>
            <w:r>
              <w:rPr>
                <w:rFonts w:cs="Times New Roman" w:hint="eastAsia"/>
                <w:sz w:val="24"/>
                <w:szCs w:val="24"/>
                <w:lang w:val="en-US" w:eastAsia="zh-CN"/>
              </w:rPr>
              <w:t>；</w:t>
            </w:r>
            <w:r>
              <w:rPr>
                <w:rFonts w:ascii="Times New Roman" w:eastAsia="宋体" w:cs="Times New Roman" w:hAnsi="Times New Roman"/>
                <w:sz w:val="24"/>
                <w:szCs w:val="24"/>
                <w:lang w:val="en-US" w:eastAsia="zh-CN"/>
              </w:rPr>
              <w:t>其中一般工业固废有拆解产生不可利用物</w:t>
            </w:r>
            <w:r>
              <w:rPr>
                <w:rFonts w:cs="Times New Roman" w:hint="eastAsia"/>
                <w:sz w:val="24"/>
                <w:szCs w:val="24"/>
                <w:lang w:val="en-US" w:eastAsia="zh-CN"/>
              </w:rPr>
              <w:t>、</w:t>
            </w:r>
            <w:r>
              <w:rPr>
                <w:rFonts w:ascii="Times New Roman" w:eastAsia="宋体" w:cs="Times New Roman" w:hAnsi="Times New Roman"/>
                <w:sz w:val="24"/>
                <w:szCs w:val="24"/>
                <w:lang w:val="en-US" w:eastAsia="zh-CN"/>
              </w:rPr>
              <w:t>拆解产生不可利用零部件</w:t>
            </w:r>
            <w:r>
              <w:rPr>
                <w:rFonts w:cs="Times New Roman" w:hint="eastAsia"/>
                <w:sz w:val="24"/>
                <w:szCs w:val="24"/>
                <w:lang w:val="en-US" w:eastAsia="zh-CN"/>
              </w:rPr>
              <w:t>、</w:t>
            </w:r>
            <w:r>
              <w:rPr>
                <w:rFonts w:ascii="Times New Roman" w:eastAsia="宋体" w:cs="Times New Roman" w:hAnsi="Times New Roman"/>
                <w:sz w:val="24"/>
                <w:szCs w:val="24"/>
                <w:lang w:val="en-US" w:eastAsia="zh-CN"/>
              </w:rPr>
              <w:t>废包装材料</w:t>
            </w:r>
            <w:r>
              <w:rPr>
                <w:rFonts w:cs="Times New Roman" w:hint="eastAsia"/>
                <w:sz w:val="24"/>
                <w:szCs w:val="24"/>
                <w:lang w:val="en-US" w:eastAsia="zh-CN"/>
              </w:rPr>
              <w:t>、</w:t>
            </w:r>
            <w:r>
              <w:rPr>
                <w:rFonts w:ascii="Times New Roman" w:eastAsia="宋体" w:cs="Times New Roman" w:hAnsi="Times New Roman"/>
                <w:sz w:val="24"/>
                <w:szCs w:val="24"/>
                <w:lang w:val="en-US" w:eastAsia="zh-CN"/>
              </w:rPr>
              <w:t>除尘器收尘</w:t>
            </w:r>
            <w:r>
              <w:rPr>
                <w:rFonts w:cs="Times New Roman" w:hint="eastAsia"/>
                <w:sz w:val="24"/>
                <w:szCs w:val="24"/>
                <w:lang w:val="en-US" w:eastAsia="zh-CN"/>
              </w:rPr>
              <w:t>，</w:t>
            </w:r>
            <w:r>
              <w:rPr>
                <w:rFonts w:ascii="Times New Roman" w:eastAsia="宋体" w:cs="Times New Roman" w:hAnsi="Times New Roman"/>
                <w:sz w:val="24"/>
                <w:szCs w:val="24"/>
                <w:lang w:val="en-US" w:eastAsia="zh-CN"/>
              </w:rPr>
              <w:t>危险废物有废电路板</w:t>
            </w:r>
            <w:r>
              <w:rPr>
                <w:rFonts w:cs="Times New Roman" w:hint="eastAsia"/>
                <w:sz w:val="24"/>
                <w:szCs w:val="24"/>
                <w:lang w:val="en-US" w:eastAsia="zh-CN"/>
              </w:rPr>
              <w:t>、</w:t>
            </w:r>
            <w:r>
              <w:rPr>
                <w:rFonts w:ascii="Times New Roman" w:eastAsia="宋体" w:cs="Times New Roman" w:hAnsi="Times New Roman"/>
                <w:sz w:val="24"/>
                <w:szCs w:val="24"/>
                <w:lang w:val="en-US" w:eastAsia="zh-CN"/>
              </w:rPr>
              <w:t>废含汞元（器）件</w:t>
            </w:r>
            <w:r>
              <w:rPr>
                <w:rFonts w:cs="Times New Roman" w:hint="eastAsia"/>
                <w:sz w:val="24"/>
                <w:szCs w:val="24"/>
                <w:lang w:val="en-US" w:eastAsia="zh-CN"/>
              </w:rPr>
              <w:t>、废矿物油、废润滑油、</w:t>
            </w:r>
            <w:r>
              <w:rPr>
                <w:rFonts w:ascii="Times New Roman" w:eastAsia="宋体" w:cs="Times New Roman" w:hAnsi="Times New Roman"/>
                <w:sz w:val="24"/>
                <w:szCs w:val="24"/>
                <w:lang w:val="en-US" w:eastAsia="zh-CN"/>
              </w:rPr>
              <w:t>含油废劳保用品等</w:t>
            </w:r>
            <w:r>
              <w:rPr>
                <w:rFonts w:cs="Times New Roman" w:hint="eastAsia"/>
                <w:sz w:val="24"/>
                <w:szCs w:val="24"/>
                <w:lang w:val="en-US" w:eastAsia="zh-CN"/>
              </w:rPr>
              <w:t>。</w:t>
            </w:r>
          </w:p>
          <w:p>
            <w:pPr>
              <w:numPr>
                <w:ilvl w:val="0"/>
                <w:numId w:val="57"/>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一般工业固废</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color w:val="auto"/>
                <w:sz w:val="24"/>
                <w:szCs w:val="24"/>
                <w:lang w:val="en-US" w:eastAsia="zh-CN"/>
              </w:rPr>
              <w:t>①拆解产生不可利用物</w:t>
            </w:r>
          </w:p>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本</w:t>
            </w:r>
            <w:r>
              <w:rPr>
                <w:rFonts w:ascii="Times New Roman" w:eastAsia="宋体" w:cs="Times New Roman" w:hAnsi="Times New Roman"/>
                <w:color w:val="auto"/>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cs="Times New Roman" w:hint="eastAsia"/>
                <w:color w:val="auto"/>
                <w:sz w:val="24"/>
                <w:szCs w:val="24"/>
                <w:lang w:val="en-US" w:eastAsia="zh-CN"/>
              </w:rPr>
              <w:t>22.50</w:t>
            </w:r>
            <w:r>
              <w:rPr>
                <w:rFonts w:ascii="Times New Roman" w:eastAsia="宋体" w:cs="Times New Roman" w:hAnsi="Times New Roman"/>
                <w:color w:val="auto"/>
                <w:sz w:val="24"/>
                <w:szCs w:val="24"/>
                <w:lang w:val="en-US" w:eastAsia="zh-CN"/>
              </w:rPr>
              <w:t>t/a。收集后暂存于</w:t>
            </w:r>
            <w:r>
              <w:rPr>
                <w:rFonts w:cs="Times New Roman" w:hint="eastAsia"/>
                <w:color w:val="auto"/>
                <w:sz w:val="24"/>
                <w:szCs w:val="24"/>
                <w:lang w:val="en-US" w:eastAsia="zh-CN"/>
              </w:rPr>
              <w:t>一般固废暂存区</w:t>
            </w:r>
            <w:r>
              <w:rPr>
                <w:rFonts w:ascii="Times New Roman" w:eastAsia="宋体" w:cs="Times New Roman" w:hAnsi="Times New Roman"/>
                <w:color w:val="auto"/>
                <w:sz w:val="24"/>
                <w:szCs w:val="24"/>
                <w:lang w:val="en-US" w:eastAsia="zh-CN"/>
              </w:rPr>
              <w:t>，定期交由有处理能力单位处理。</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②</w:t>
            </w:r>
            <w:r>
              <w:rPr>
                <w:rFonts w:ascii="Times New Roman" w:eastAsia="宋体" w:cs="Times New Roman" w:hAnsi="Times New Roman"/>
                <w:sz w:val="24"/>
                <w:szCs w:val="24"/>
                <w:lang w:val="en-US" w:eastAsia="zh-CN"/>
              </w:rPr>
              <w:t>拆解产生不可利用零部件</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项目拆解产生不可利用零部件（包含破损设备）主要为废旧</w:t>
            </w:r>
            <w:r>
              <w:rPr>
                <w:rFonts w:cs="Times New Roman" w:hint="eastAsia"/>
                <w:sz w:val="24"/>
                <w:szCs w:val="24"/>
                <w:lang w:val="en-US" w:eastAsia="zh-CN"/>
              </w:rPr>
              <w:t>电器</w:t>
            </w:r>
            <w:r>
              <w:rPr>
                <w:rFonts w:ascii="Times New Roman" w:eastAsia="宋体" w:cs="Times New Roman" w:hAnsi="Times New Roman"/>
                <w:sz w:val="24"/>
                <w:szCs w:val="24"/>
                <w:lang w:val="en-US" w:eastAsia="zh-CN"/>
              </w:rPr>
              <w:t>电子设备附带电源、电动机、显示屏等组件，经检测后已完全损坏不可再利用的，产生量约</w:t>
            </w:r>
            <w:r>
              <w:rPr>
                <w:rFonts w:cs="Times New Roman" w:hint="eastAsia"/>
                <w:sz w:val="24"/>
                <w:szCs w:val="24"/>
                <w:lang w:val="en-US" w:eastAsia="zh-CN"/>
              </w:rPr>
              <w:t>26.50</w:t>
            </w:r>
            <w:r>
              <w:rPr>
                <w:rFonts w:ascii="Times New Roman" w:eastAsia="宋体" w:cs="Times New Roman" w:hAnsi="Times New Roman"/>
                <w:sz w:val="24"/>
                <w:szCs w:val="24"/>
                <w:lang w:val="en-US" w:eastAsia="zh-CN"/>
              </w:rPr>
              <w:t>t/a。委托有拆解资质的企业进一步处置，不在项目内进行拆解加工。</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③</w:t>
            </w:r>
            <w:r>
              <w:rPr>
                <w:rFonts w:ascii="Times New Roman" w:eastAsia="宋体" w:cs="Times New Roman" w:hAnsi="Times New Roman"/>
                <w:sz w:val="24"/>
                <w:szCs w:val="24"/>
                <w:lang w:val="en-US" w:eastAsia="zh-CN"/>
              </w:rPr>
              <w:t>除尘器收集粉尘</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根据工程分析，</w:t>
            </w:r>
            <w:r>
              <w:rPr>
                <w:rFonts w:ascii="Times New Roman" w:eastAsia="宋体" w:cs="Times New Roman" w:hAnsi="Times New Roman"/>
                <w:sz w:val="24"/>
                <w:szCs w:val="24"/>
                <w:lang w:val="en-US" w:eastAsia="zh-CN"/>
              </w:rPr>
              <w:t>除尘器收集粉尘</w:t>
            </w:r>
            <w:r>
              <w:rPr>
                <w:rFonts w:cs="Times New Roman" w:hint="eastAsia"/>
                <w:sz w:val="24"/>
                <w:szCs w:val="24"/>
                <w:lang w:val="en-US" w:eastAsia="zh-CN"/>
              </w:rPr>
              <w:t>量约为1.216</w:t>
            </w:r>
            <w:r>
              <w:rPr>
                <w:rFonts w:ascii="Times New Roman" w:eastAsia="宋体" w:cs="Times New Roman" w:hAnsi="Times New Roman"/>
                <w:sz w:val="24"/>
                <w:szCs w:val="24"/>
                <w:lang w:val="en-US" w:eastAsia="zh-CN"/>
              </w:rPr>
              <w:t>t/a</w:t>
            </w:r>
            <w:r>
              <w:rPr>
                <w:rFonts w:cs="Times New Roman" w:hint="eastAsia"/>
                <w:sz w:val="24"/>
                <w:szCs w:val="24"/>
                <w:lang w:val="en-US" w:eastAsia="zh-CN"/>
              </w:rPr>
              <w:t>，定期</w:t>
            </w:r>
            <w:r>
              <w:rPr>
                <w:rFonts w:ascii="Times New Roman" w:eastAsia="宋体" w:cs="Times New Roman" w:hAnsi="Times New Roman"/>
                <w:sz w:val="24"/>
                <w:szCs w:val="24"/>
                <w:lang w:val="en-US" w:eastAsia="zh-CN"/>
              </w:rPr>
              <w:t>清理</w:t>
            </w:r>
            <w:r>
              <w:rPr>
                <w:rFonts w:cs="Times New Roman" w:hint="eastAsia"/>
                <w:sz w:val="24"/>
                <w:szCs w:val="24"/>
                <w:lang w:val="en-US" w:eastAsia="zh-CN"/>
              </w:rPr>
              <w:t>收集后</w:t>
            </w:r>
            <w:r>
              <w:rPr>
                <w:rFonts w:ascii="Times New Roman" w:eastAsia="宋体" w:cs="Times New Roman" w:hAnsi="Times New Roman"/>
                <w:sz w:val="24"/>
                <w:szCs w:val="24"/>
                <w:lang w:val="en-US" w:eastAsia="zh-CN"/>
              </w:rPr>
              <w:t>交由环卫部门处置。</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④</w:t>
            </w:r>
            <w:r>
              <w:rPr>
                <w:rFonts w:ascii="Times New Roman" w:eastAsia="宋体" w:cs="Times New Roman" w:hAnsi="Times New Roman"/>
                <w:sz w:val="24"/>
                <w:szCs w:val="24"/>
                <w:lang w:val="en-US" w:eastAsia="zh-CN"/>
              </w:rPr>
              <w:t>废包装材料</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外购原辅料或产品包装会产生一定量废包装材料，产生量约为</w:t>
            </w:r>
            <w:r>
              <w:rPr>
                <w:rFonts w:cs="Times New Roman" w:hint="eastAsia"/>
                <w:sz w:val="24"/>
                <w:szCs w:val="24"/>
                <w:lang w:val="en-US" w:eastAsia="zh-CN"/>
              </w:rPr>
              <w:t>0.85</w:t>
            </w:r>
            <w:r>
              <w:rPr>
                <w:rFonts w:ascii="Times New Roman" w:eastAsia="宋体" w:cs="Times New Roman" w:hAnsi="Times New Roman"/>
                <w:sz w:val="24"/>
                <w:szCs w:val="24"/>
                <w:lang w:val="en-US" w:eastAsia="zh-CN"/>
              </w:rPr>
              <w:t>t/a，集中收集后外售至废品回收站。</w:t>
            </w:r>
          </w:p>
          <w:p>
            <w:pPr>
              <w:numPr>
                <w:ilvl w:val="0"/>
                <w:numId w:val="57"/>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危险废物</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①废电路板（含元器件、芯片等）</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项目在废电子电器拆解过程中产生的不可再生利用的废电路板取下可用金属（铜、铁、铝等）</w:t>
            </w:r>
            <w:r>
              <w:rPr>
                <w:rFonts w:cs="Times New Roman" w:hint="eastAsia"/>
                <w:sz w:val="24"/>
                <w:szCs w:val="24"/>
                <w:lang w:val="en-US" w:eastAsia="zh-CN"/>
              </w:rPr>
              <w:t>件</w:t>
            </w:r>
            <w:r>
              <w:rPr>
                <w:rFonts w:ascii="Times New Roman" w:eastAsia="宋体" w:cs="Times New Roman" w:hAnsi="Times New Roman"/>
                <w:sz w:val="24"/>
                <w:szCs w:val="24"/>
                <w:lang w:val="en-US" w:eastAsia="zh-CN"/>
              </w:rPr>
              <w:t>后，元器件、芯片及剩余废电路板量为</w:t>
            </w:r>
            <w:r>
              <w:rPr>
                <w:rFonts w:cs="Times New Roman" w:hint="eastAsia"/>
                <w:sz w:val="24"/>
                <w:szCs w:val="24"/>
                <w:lang w:val="en-US" w:eastAsia="zh-CN"/>
              </w:rPr>
              <w:t>15.4</w:t>
            </w:r>
            <w:r>
              <w:rPr>
                <w:rFonts w:ascii="Times New Roman" w:eastAsia="宋体" w:cs="Times New Roman" w:hAnsi="Times New Roman"/>
                <w:sz w:val="24"/>
                <w:szCs w:val="24"/>
                <w:lang w:val="en-US" w:eastAsia="zh-CN"/>
              </w:rPr>
              <w:t>t/a</w:t>
            </w:r>
            <w:r>
              <w:rPr>
                <w:rFonts w:cs="Times New Roman" w:hint="eastAsia"/>
                <w:sz w:val="24"/>
                <w:szCs w:val="24"/>
                <w:lang w:val="en-US" w:eastAsia="zh-CN"/>
              </w:rPr>
              <w:t>；</w:t>
            </w:r>
            <w:r>
              <w:rPr>
                <w:rFonts w:ascii="Times New Roman" w:eastAsia="宋体" w:cs="Times New Roman" w:hAnsi="Times New Roman"/>
                <w:sz w:val="24"/>
                <w:szCs w:val="24"/>
                <w:lang w:val="en-US" w:eastAsia="zh-CN"/>
              </w:rPr>
              <w:t>属于《国家危险废物名录（2021年版）》</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HW49其他</w:t>
            </w:r>
            <w:r>
              <w:rPr>
                <w:rFonts w:ascii="宋体" w:eastAsia="宋体" w:cs="宋体" w:hint="eastAsia"/>
                <w:sz w:val="24"/>
                <w:szCs w:val="24"/>
                <w:lang w:val="en-US" w:eastAsia="zh-CN"/>
              </w:rPr>
              <w:t>废物”“</w:t>
            </w:r>
            <w:r>
              <w:rPr>
                <w:rFonts w:ascii="Times New Roman" w:eastAsia="宋体" w:cs="Times New Roman" w:hAnsi="Times New Roman"/>
                <w:sz w:val="24"/>
                <w:szCs w:val="24"/>
                <w:lang w:val="en-US" w:eastAsia="zh-CN"/>
              </w:rPr>
              <w:t>900-045-49</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废电路板</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包括已拆除或未拆除元器件的废弃电路板</w:t>
            </w:r>
            <w:r>
              <w:rPr>
                <w:rFonts w:ascii="Times New Roman" w:eastAsia="宋体" w:cs="Times New Roman" w:hAnsi="Times New Roman" w:hint="eastAsia"/>
                <w:sz w:val="24"/>
                <w:szCs w:val="24"/>
                <w:lang w:val="en-US" w:eastAsia="zh-CN"/>
              </w:rPr>
              <w:t>）</w:t>
            </w:r>
            <w:r>
              <w:rPr>
                <w:rFonts w:ascii="Times New Roman" w:eastAsia="宋体" w:cs="Times New Roman" w:hAnsi="Times New Roman"/>
                <w:sz w:val="24"/>
                <w:szCs w:val="24"/>
                <w:lang w:val="en-US" w:eastAsia="zh-CN"/>
              </w:rPr>
              <w:t>及废电路板拆解过程产生的废弃CPU、显卡、声卡、内存、含电解液的电容器、含金等贵金属的连接件</w:t>
            </w:r>
            <w:r>
              <w:rPr>
                <w:rFonts w:ascii="宋体" w:eastAsia="宋体" w:cs="宋体" w:hint="eastAsia"/>
                <w:sz w:val="24"/>
                <w:szCs w:val="24"/>
                <w:lang w:val="en-US" w:eastAsia="zh-CN"/>
              </w:rPr>
              <w:t>”集中收集，</w:t>
            </w:r>
            <w:r>
              <w:rPr>
                <w:rFonts w:ascii="Times New Roman" w:eastAsia="宋体" w:cs="Times New Roman" w:hAnsi="Times New Roman"/>
                <w:sz w:val="24"/>
                <w:szCs w:val="24"/>
                <w:lang w:val="en-US" w:eastAsia="zh-CN"/>
              </w:rPr>
              <w:t>暂存于危废暂存间，定期交由有资质的单位处置。</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②</w:t>
            </w:r>
            <w:r>
              <w:rPr>
                <w:rFonts w:ascii="Times New Roman" w:eastAsia="宋体" w:cs="Times New Roman" w:hAnsi="Times New Roman"/>
                <w:sz w:val="24"/>
                <w:szCs w:val="24"/>
                <w:lang w:val="en-US" w:eastAsia="zh-CN"/>
              </w:rPr>
              <w:t>废含汞元（器）件</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本项目在</w:t>
            </w:r>
            <w:r>
              <w:rPr>
                <w:rFonts w:cs="Times New Roman" w:hint="eastAsia"/>
                <w:sz w:val="24"/>
                <w:szCs w:val="24"/>
                <w:lang w:val="en-US" w:eastAsia="zh-CN"/>
              </w:rPr>
              <w:t>部分</w:t>
            </w:r>
            <w:r>
              <w:rPr>
                <w:rFonts w:ascii="Times New Roman" w:eastAsia="宋体" w:cs="Times New Roman" w:hAnsi="Times New Roman"/>
                <w:sz w:val="24"/>
                <w:szCs w:val="24"/>
                <w:lang w:val="en-US" w:eastAsia="zh-CN"/>
              </w:rPr>
              <w:t>废电子电器</w:t>
            </w:r>
            <w:r>
              <w:rPr>
                <w:rFonts w:cs="Times New Roman" w:hint="eastAsia"/>
                <w:sz w:val="24"/>
                <w:szCs w:val="24"/>
                <w:lang w:val="en-US" w:eastAsia="zh-CN"/>
              </w:rPr>
              <w:t>（如老款电子类医疗仪器）</w:t>
            </w:r>
            <w:r>
              <w:rPr>
                <w:rFonts w:ascii="Times New Roman" w:eastAsia="宋体" w:cs="Times New Roman" w:hAnsi="Times New Roman"/>
                <w:sz w:val="24"/>
                <w:szCs w:val="24"/>
                <w:lang w:val="en-US" w:eastAsia="zh-CN"/>
              </w:rPr>
              <w:t>拆解过程</w:t>
            </w:r>
            <w:r>
              <w:rPr>
                <w:rFonts w:cs="Times New Roman" w:hint="eastAsia"/>
                <w:sz w:val="24"/>
                <w:szCs w:val="24"/>
                <w:lang w:val="en-US" w:eastAsia="zh-CN"/>
              </w:rPr>
              <w:t>中将</w:t>
            </w:r>
            <w:r>
              <w:rPr>
                <w:rFonts w:ascii="Times New Roman" w:eastAsia="宋体" w:cs="Times New Roman" w:hAnsi="Times New Roman"/>
                <w:sz w:val="24"/>
                <w:szCs w:val="24"/>
                <w:lang w:val="en-US" w:eastAsia="zh-CN"/>
              </w:rPr>
              <w:t>产生</w:t>
            </w:r>
            <w:r>
              <w:rPr>
                <w:rFonts w:cs="Times New Roman" w:hint="eastAsia"/>
                <w:sz w:val="24"/>
                <w:szCs w:val="24"/>
                <w:lang w:val="en-US" w:eastAsia="zh-CN"/>
              </w:rPr>
              <w:t>少量</w:t>
            </w:r>
            <w:r>
              <w:rPr>
                <w:rFonts w:ascii="Times New Roman" w:eastAsia="宋体" w:cs="Times New Roman" w:hAnsi="Times New Roman"/>
                <w:sz w:val="24"/>
                <w:szCs w:val="24"/>
                <w:lang w:val="en-US" w:eastAsia="zh-CN"/>
              </w:rPr>
              <w:t>废含汞元（器）件</w:t>
            </w:r>
            <w:r>
              <w:rPr>
                <w:rFonts w:cs="Times New Roman" w:hint="eastAsia"/>
                <w:sz w:val="24"/>
                <w:szCs w:val="24"/>
                <w:lang w:val="en-US" w:eastAsia="zh-CN"/>
              </w:rPr>
              <w:t>，主要为</w:t>
            </w:r>
            <w:r>
              <w:rPr>
                <w:rFonts w:ascii="Times New Roman" w:eastAsia="宋体" w:cs="Times New Roman" w:hAnsi="Times New Roman"/>
                <w:sz w:val="24"/>
                <w:szCs w:val="24"/>
                <w:lang w:val="en-US" w:eastAsia="zh-CN"/>
              </w:rPr>
              <w:t>废</w:t>
            </w:r>
            <w:r>
              <w:rPr>
                <w:rFonts w:cs="Times New Roman" w:hint="eastAsia"/>
                <w:sz w:val="24"/>
                <w:szCs w:val="24"/>
                <w:lang w:val="en-US" w:eastAsia="zh-CN"/>
              </w:rPr>
              <w:t>含氧化汞电池及废汞开关，约为0.45</w:t>
            </w:r>
            <w:r>
              <w:rPr>
                <w:rFonts w:ascii="Times New Roman" w:eastAsia="宋体" w:cs="Times New Roman" w:hAnsi="Times New Roman"/>
                <w:sz w:val="24"/>
                <w:szCs w:val="24"/>
                <w:lang w:val="en-US" w:eastAsia="zh-CN"/>
              </w:rPr>
              <w:t>t/a；属于《国家危险废物名录（2021年版）》</w:t>
            </w:r>
            <w:r>
              <w:rPr>
                <w:rFonts w:cs="Times New Roman" w:hint="eastAsia"/>
                <w:sz w:val="24"/>
                <w:szCs w:val="24"/>
                <w:lang w:val="en-US" w:eastAsia="zh-CN"/>
              </w:rPr>
              <w:t>中</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HW29含汞废物</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900-024-29</w:t>
            </w:r>
            <w:r>
              <w:rPr>
                <w:rFonts w:ascii="宋体" w:eastAsia="宋体" w:cs="宋体" w:hint="eastAsia"/>
                <w:sz w:val="24"/>
                <w:szCs w:val="24"/>
                <w:lang w:val="en-US" w:eastAsia="zh-CN"/>
              </w:rPr>
              <w:t>”</w:t>
            </w:r>
            <w:r>
              <w:rPr>
                <w:rFonts w:cs="Times New Roman" w:hint="eastAsia"/>
                <w:sz w:val="24"/>
                <w:szCs w:val="24"/>
                <w:lang w:val="en-US" w:eastAsia="zh-CN"/>
              </w:rPr>
              <w:t>中</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废氧化汞电池和废汞开关</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集中收集</w:t>
            </w:r>
            <w:r>
              <w:rPr>
                <w:rFonts w:cs="Times New Roman" w:hint="eastAsia"/>
                <w:sz w:val="24"/>
                <w:szCs w:val="24"/>
                <w:lang w:val="en-US" w:eastAsia="zh-CN"/>
              </w:rPr>
              <w:t>后</w:t>
            </w:r>
            <w:r>
              <w:rPr>
                <w:rFonts w:ascii="Times New Roman" w:eastAsia="宋体" w:cs="Times New Roman" w:hAnsi="Times New Roman"/>
                <w:sz w:val="24"/>
                <w:szCs w:val="24"/>
                <w:lang w:val="en-US" w:eastAsia="zh-CN"/>
              </w:rPr>
              <w:t>暂存于危废暂存间，定期交由有资质的单位处置。</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③</w:t>
            </w:r>
            <w:r>
              <w:rPr>
                <w:rFonts w:ascii="Times New Roman" w:eastAsia="宋体" w:cs="Times New Roman" w:hAnsi="Times New Roman"/>
                <w:sz w:val="24"/>
                <w:szCs w:val="24"/>
                <w:lang w:val="en-US" w:eastAsia="zh-CN"/>
              </w:rPr>
              <w:t>废</w:t>
            </w:r>
            <w:r>
              <w:rPr>
                <w:rFonts w:cs="Times New Roman" w:hint="eastAsia"/>
                <w:sz w:val="24"/>
                <w:szCs w:val="24"/>
                <w:lang w:val="en-US" w:eastAsia="zh-CN"/>
              </w:rPr>
              <w:t>矿物油</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项目回收</w:t>
            </w:r>
            <w:r>
              <w:rPr>
                <w:rFonts w:cs="Times New Roman" w:hint="eastAsia"/>
                <w:sz w:val="24"/>
                <w:szCs w:val="24"/>
                <w:lang w:val="en-US" w:eastAsia="zh-CN"/>
              </w:rPr>
              <w:t>的部分</w:t>
            </w:r>
            <w:r>
              <w:rPr>
                <w:rFonts w:ascii="Times New Roman" w:eastAsia="宋体" w:cs="Times New Roman" w:hAnsi="Times New Roman"/>
                <w:sz w:val="24"/>
                <w:szCs w:val="24"/>
                <w:lang w:val="en-US" w:eastAsia="zh-CN"/>
              </w:rPr>
              <w:t>电子</w:t>
            </w:r>
            <w:r>
              <w:rPr>
                <w:rFonts w:cs="Times New Roman" w:hint="eastAsia"/>
                <w:sz w:val="24"/>
                <w:szCs w:val="24"/>
                <w:lang w:val="en-US" w:eastAsia="zh-CN"/>
              </w:rPr>
              <w:t>电器</w:t>
            </w:r>
            <w:r>
              <w:rPr>
                <w:rFonts w:ascii="Times New Roman" w:eastAsia="宋体" w:cs="Times New Roman" w:hAnsi="Times New Roman"/>
                <w:sz w:val="24"/>
                <w:szCs w:val="24"/>
                <w:lang w:val="en-US" w:eastAsia="zh-CN"/>
              </w:rPr>
              <w:t>中</w:t>
            </w:r>
            <w:r>
              <w:rPr>
                <w:rFonts w:cs="Times New Roman" w:hint="eastAsia"/>
                <w:sz w:val="24"/>
                <w:szCs w:val="24"/>
                <w:lang w:val="en-US" w:eastAsia="zh-CN"/>
              </w:rPr>
              <w:t>涉及液压传动机构，拆解过程将产生少量废液压油及废机油；拆解过程中将液压传动机构</w:t>
            </w:r>
            <w:r>
              <w:rPr>
                <w:rFonts w:ascii="Times New Roman" w:eastAsia="宋体" w:cs="Times New Roman" w:hAnsi="Times New Roman"/>
                <w:sz w:val="24"/>
                <w:szCs w:val="24"/>
                <w:lang w:val="en-US" w:eastAsia="zh-CN"/>
              </w:rPr>
              <w:t>整体取出后</w:t>
            </w:r>
            <w:r>
              <w:rPr>
                <w:rFonts w:cs="Times New Roman" w:hint="eastAsia"/>
                <w:sz w:val="24"/>
                <w:szCs w:val="24"/>
                <w:lang w:val="en-US" w:eastAsia="zh-CN"/>
              </w:rPr>
              <w:t>，将废液压油及废机油单独用塑料桶收集，同时在拆解平台下方设置收集槽，预防拆解过程废液压油及废机油泄露；废液压油及废机油</w:t>
            </w:r>
            <w:r>
              <w:rPr>
                <w:rFonts w:ascii="Times New Roman" w:eastAsia="宋体" w:cs="Times New Roman" w:hAnsi="Times New Roman"/>
                <w:sz w:val="24"/>
                <w:szCs w:val="24"/>
                <w:lang w:val="en-US" w:eastAsia="zh-CN"/>
              </w:rPr>
              <w:t>产生量约为</w:t>
            </w:r>
            <w:r>
              <w:rPr>
                <w:rFonts w:cs="Times New Roman" w:hint="eastAsia"/>
                <w:sz w:val="24"/>
                <w:szCs w:val="24"/>
                <w:lang w:val="en-US" w:eastAsia="zh-CN"/>
              </w:rPr>
              <w:t>0.15</w:t>
            </w:r>
            <w:r>
              <w:rPr>
                <w:rFonts w:ascii="Times New Roman" w:eastAsia="宋体" w:cs="Times New Roman" w:hAnsi="Times New Roman"/>
                <w:sz w:val="24"/>
                <w:szCs w:val="24"/>
                <w:lang w:val="en-US" w:eastAsia="zh-CN"/>
              </w:rPr>
              <w:t>t/a</w:t>
            </w:r>
            <w:r>
              <w:rPr>
                <w:rFonts w:cs="Times New Roman" w:hint="eastAsia"/>
                <w:sz w:val="24"/>
                <w:szCs w:val="24"/>
                <w:lang w:val="en-US" w:eastAsia="zh-CN"/>
              </w:rPr>
              <w:t>；</w:t>
            </w:r>
            <w:r>
              <w:rPr>
                <w:rFonts w:ascii="宋体" w:eastAsia="宋体" w:cs="宋体" w:hint="eastAsia"/>
                <w:sz w:val="24"/>
                <w:szCs w:val="24"/>
                <w:lang w:val="en-US" w:eastAsia="zh-CN"/>
              </w:rPr>
              <w:t>集中收集</w:t>
            </w:r>
            <w:r>
              <w:rPr>
                <w:rFonts w:ascii="宋体" w:cs="宋体" w:hint="eastAsia"/>
                <w:sz w:val="24"/>
                <w:szCs w:val="24"/>
                <w:lang w:val="en-US" w:eastAsia="zh-CN"/>
              </w:rPr>
              <w:t>后，</w:t>
            </w:r>
            <w:r>
              <w:rPr>
                <w:rFonts w:ascii="Times New Roman" w:eastAsia="宋体" w:cs="Times New Roman" w:hAnsi="Times New Roman"/>
                <w:sz w:val="24"/>
                <w:szCs w:val="24"/>
                <w:lang w:val="en-US" w:eastAsia="zh-CN"/>
              </w:rPr>
              <w:t>暂存于危废暂存间</w:t>
            </w:r>
            <w:r>
              <w:rPr>
                <w:rFonts w:cs="Times New Roman" w:hint="eastAsia"/>
                <w:sz w:val="24"/>
                <w:szCs w:val="24"/>
                <w:lang w:val="en-US" w:eastAsia="zh-CN"/>
              </w:rPr>
              <w:t>内</w:t>
            </w:r>
            <w:r>
              <w:rPr>
                <w:rFonts w:ascii="Times New Roman" w:eastAsia="宋体" w:cs="Times New Roman" w:hAnsi="Times New Roman"/>
                <w:sz w:val="24"/>
                <w:szCs w:val="24"/>
                <w:lang w:val="en-US" w:eastAsia="zh-CN"/>
              </w:rPr>
              <w:t>，定期交由有资质的单位</w:t>
            </w:r>
            <w:r>
              <w:rPr>
                <w:rFonts w:cs="Times New Roman" w:hint="eastAsia"/>
                <w:sz w:val="24"/>
                <w:szCs w:val="24"/>
                <w:lang w:val="en-US" w:eastAsia="zh-CN"/>
              </w:rPr>
              <w:t>进行</w:t>
            </w:r>
            <w:r>
              <w:rPr>
                <w:rFonts w:ascii="Times New Roman" w:eastAsia="宋体" w:cs="Times New Roman" w:hAnsi="Times New Roman"/>
                <w:sz w:val="24"/>
                <w:szCs w:val="24"/>
                <w:lang w:val="en-US" w:eastAsia="zh-CN"/>
              </w:rPr>
              <w:t>处置</w:t>
            </w:r>
            <w:r>
              <w:rPr>
                <w:rFonts w:cs="Times New Roman" w:hint="eastAsia"/>
                <w:sz w:val="24"/>
                <w:szCs w:val="24"/>
                <w:lang w:val="en-US" w:eastAsia="zh-CN"/>
              </w:rPr>
              <w:t>；</w:t>
            </w:r>
            <w:r>
              <w:rPr>
                <w:rFonts w:ascii="Times New Roman" w:eastAsia="宋体" w:cs="Times New Roman" w:hAnsi="Times New Roman"/>
                <w:sz w:val="24"/>
                <w:szCs w:val="24"/>
                <w:lang w:val="en-US" w:eastAsia="zh-CN"/>
              </w:rPr>
              <w:t>其属于《国家危险废物名录（2021年版）》中</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HW08废矿物油与含矿物油废物</w:t>
            </w:r>
            <w:r>
              <w:rPr>
                <w:rFonts w:ascii="宋体" w:eastAsia="宋体" w:cs="宋体" w:hint="eastAsia"/>
                <w:sz w:val="24"/>
                <w:szCs w:val="24"/>
                <w:lang w:val="en-US" w:eastAsia="zh-CN"/>
              </w:rPr>
              <w:t>”中“</w:t>
            </w:r>
            <w:r>
              <w:rPr>
                <w:rFonts w:ascii="Times New Roman" w:eastAsia="宋体" w:cs="Times New Roman" w:hAnsi="Times New Roman"/>
                <w:sz w:val="24"/>
                <w:szCs w:val="24"/>
                <w:lang w:val="en-US" w:eastAsia="zh-CN"/>
              </w:rPr>
              <w:t>900-218-08</w:t>
            </w:r>
            <w:r>
              <w:rPr>
                <w:rFonts w:ascii="宋体" w:eastAsia="宋体" w:cs="宋体" w:hint="eastAsia"/>
                <w:sz w:val="24"/>
                <w:szCs w:val="24"/>
                <w:lang w:val="en-US" w:eastAsia="zh-CN"/>
              </w:rPr>
              <w:t>”“液压设备维护更换和拆解过程中产生的废液压油”</w:t>
            </w:r>
            <w:r>
              <w:rPr>
                <w:rFonts w:cs="Times New Roman" w:hint="eastAsia"/>
                <w:sz w:val="24"/>
                <w:szCs w:val="24"/>
                <w:lang w:val="en-US" w:eastAsia="zh-CN"/>
              </w:rPr>
              <w:t>。</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④废润滑油</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项目空压机等机械设备</w:t>
            </w:r>
            <w:r>
              <w:rPr>
                <w:rFonts w:cs="Times New Roman" w:hint="eastAsia"/>
                <w:sz w:val="24"/>
                <w:szCs w:val="24"/>
                <w:lang w:val="en-US" w:eastAsia="zh-CN"/>
              </w:rPr>
              <w:t>需</w:t>
            </w:r>
            <w:r>
              <w:rPr>
                <w:rFonts w:ascii="Times New Roman" w:eastAsia="宋体" w:cs="Times New Roman" w:hAnsi="Times New Roman"/>
                <w:sz w:val="24"/>
                <w:szCs w:val="24"/>
                <w:lang w:val="en-US" w:eastAsia="zh-CN"/>
              </w:rPr>
              <w:t>定期更换机油保证设备正常运转，</w:t>
            </w:r>
            <w:r>
              <w:rPr>
                <w:rFonts w:cs="Times New Roman" w:hint="eastAsia"/>
                <w:sz w:val="24"/>
                <w:szCs w:val="24"/>
                <w:lang w:val="en-US" w:eastAsia="zh-CN"/>
              </w:rPr>
              <w:t>废润滑油</w:t>
            </w:r>
            <w:r>
              <w:rPr>
                <w:rFonts w:ascii="Times New Roman" w:eastAsia="宋体" w:cs="Times New Roman" w:hAnsi="Times New Roman"/>
                <w:sz w:val="24"/>
                <w:szCs w:val="24"/>
                <w:lang w:val="en-US" w:eastAsia="zh-CN"/>
              </w:rPr>
              <w:t>产生量约0.01t/a。其属于《国家危险废物名录（2021年版）》中</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HW08废矿物油与含矿物油废物</w:t>
            </w:r>
            <w:r>
              <w:rPr>
                <w:rFonts w:ascii="宋体" w:eastAsia="宋体" w:cs="宋体" w:hint="eastAsia"/>
                <w:sz w:val="24"/>
                <w:szCs w:val="24"/>
                <w:lang w:val="en-US" w:eastAsia="zh-CN"/>
              </w:rPr>
              <w:t>”“</w:t>
            </w:r>
            <w:r>
              <w:rPr>
                <w:rFonts w:cs="Times New Roman" w:hint="eastAsia"/>
                <w:sz w:val="24"/>
                <w:szCs w:val="24"/>
                <w:lang w:val="en-US" w:eastAsia="zh-CN"/>
              </w:rPr>
              <w:t>900-217-08</w:t>
            </w:r>
            <w:r>
              <w:rPr>
                <w:rFonts w:ascii="宋体" w:eastAsia="宋体" w:cs="宋体" w:hint="eastAsia"/>
                <w:sz w:val="24"/>
                <w:szCs w:val="24"/>
                <w:lang w:val="en-US" w:eastAsia="zh-CN"/>
              </w:rPr>
              <w:t>”“</w:t>
            </w:r>
            <w:r>
              <w:rPr>
                <w:rFonts w:ascii="Times New Roman" w:eastAsia="宋体" w:cs="Times New Roman" w:hAnsi="Times New Roman"/>
                <w:sz w:val="24"/>
                <w:szCs w:val="24"/>
                <w:lang w:val="en-US" w:eastAsia="zh-CN"/>
              </w:rPr>
              <w:t>冷冻压缩设备维护、更换和拆解过程中产生的废冷冻机油</w:t>
            </w:r>
            <w:r>
              <w:rPr>
                <w:rFonts w:ascii="宋体" w:eastAsia="宋体" w:cs="宋体" w:hint="eastAsia"/>
                <w:sz w:val="24"/>
                <w:szCs w:val="24"/>
                <w:lang w:val="en-US" w:eastAsia="zh-CN"/>
              </w:rPr>
              <w:t>”</w:t>
            </w:r>
            <w:r>
              <w:rPr>
                <w:rFonts w:cs="Times New Roman" w:hint="eastAsia"/>
                <w:sz w:val="24"/>
                <w:szCs w:val="24"/>
                <w:lang w:val="en-US" w:eastAsia="zh-CN"/>
              </w:rPr>
              <w:t>；</w:t>
            </w:r>
            <w:r>
              <w:rPr>
                <w:rFonts w:ascii="Times New Roman" w:eastAsia="宋体" w:cs="Times New Roman" w:hAnsi="Times New Roman"/>
                <w:sz w:val="24"/>
                <w:szCs w:val="24"/>
                <w:lang w:val="en-US" w:eastAsia="zh-CN"/>
              </w:rPr>
              <w:t>集中收集</w:t>
            </w:r>
            <w:r>
              <w:rPr>
                <w:rFonts w:cs="Times New Roman" w:hint="eastAsia"/>
                <w:sz w:val="24"/>
                <w:szCs w:val="24"/>
                <w:lang w:val="en-US" w:eastAsia="zh-CN"/>
              </w:rPr>
              <w:t>后</w:t>
            </w:r>
            <w:r>
              <w:rPr>
                <w:rFonts w:ascii="Times New Roman" w:eastAsia="宋体" w:cs="Times New Roman" w:hAnsi="Times New Roman"/>
                <w:sz w:val="24"/>
                <w:szCs w:val="24"/>
                <w:lang w:val="en-US" w:eastAsia="zh-CN"/>
              </w:rPr>
              <w:t>暂存于危废暂存间，定期交由有资质单位进行处置。</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⑤</w:t>
            </w:r>
            <w:r>
              <w:rPr>
                <w:rFonts w:ascii="Times New Roman" w:eastAsia="宋体" w:cs="Times New Roman" w:hAnsi="Times New Roman"/>
                <w:sz w:val="24"/>
                <w:szCs w:val="24"/>
                <w:lang w:val="en-US" w:eastAsia="zh-CN"/>
              </w:rPr>
              <w:t>含油废劳保用品</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项目设备维护保养过程揩擦油污会产生</w:t>
            </w:r>
            <w:r>
              <w:rPr>
                <w:rFonts w:cs="Times New Roman" w:hint="eastAsia"/>
                <w:sz w:val="24"/>
                <w:szCs w:val="24"/>
                <w:lang w:val="en-US" w:eastAsia="zh-CN"/>
              </w:rPr>
              <w:t>少量</w:t>
            </w:r>
            <w:r>
              <w:rPr>
                <w:rFonts w:ascii="Times New Roman" w:eastAsia="宋体" w:cs="Times New Roman" w:hAnsi="Times New Roman"/>
                <w:sz w:val="24"/>
                <w:szCs w:val="24"/>
                <w:lang w:val="en-US" w:eastAsia="zh-CN"/>
              </w:rPr>
              <w:t>含油抹布、废棉纱手套等废劳保用品，产生量约0.005t/a</w:t>
            </w:r>
            <w:r>
              <w:rPr>
                <w:rFonts w:cs="Times New Roman" w:hint="eastAsia"/>
                <w:sz w:val="24"/>
                <w:szCs w:val="24"/>
                <w:lang w:val="en-US" w:eastAsia="zh-CN"/>
              </w:rPr>
              <w:t>；</w:t>
            </w:r>
            <w:r>
              <w:rPr>
                <w:rFonts w:ascii="Times New Roman" w:eastAsia="宋体" w:cs="Times New Roman" w:hAnsi="Times New Roman"/>
                <w:sz w:val="24"/>
                <w:szCs w:val="24"/>
                <w:lang w:val="en-US" w:eastAsia="zh-CN"/>
              </w:rPr>
              <w:t>属于《国家危险废物名录（2021年版）》</w:t>
            </w:r>
            <w:r>
              <w:rPr>
                <w:rFonts w:cs="Times New Roman" w:hint="eastAsia"/>
                <w:sz w:val="24"/>
                <w:szCs w:val="24"/>
                <w:lang w:val="en-US" w:eastAsia="zh-CN"/>
              </w:rPr>
              <w:t>“</w:t>
            </w:r>
            <w:r>
              <w:rPr>
                <w:rFonts w:ascii="Times New Roman" w:eastAsia="宋体" w:cs="Times New Roman" w:hAnsi="Times New Roman"/>
                <w:sz w:val="24"/>
                <w:szCs w:val="24"/>
                <w:lang w:val="en-US" w:eastAsia="zh-CN"/>
              </w:rPr>
              <w:t>HW49其他废物</w:t>
            </w:r>
            <w:r>
              <w:rPr>
                <w:rFonts w:cs="Times New Roman" w:hint="eastAsia"/>
                <w:sz w:val="24"/>
                <w:szCs w:val="24"/>
                <w:lang w:val="en-US" w:eastAsia="zh-CN"/>
              </w:rPr>
              <w:t>”</w:t>
            </w:r>
            <w:r>
              <w:rPr>
                <w:rFonts w:ascii="Times New Roman" w:eastAsia="宋体" w:cs="Times New Roman" w:hAnsi="Times New Roman"/>
                <w:sz w:val="24"/>
                <w:szCs w:val="24"/>
                <w:lang w:val="en-US" w:eastAsia="zh-CN"/>
              </w:rPr>
              <w:t>中</w:t>
            </w:r>
            <w:r>
              <w:rPr>
                <w:rFonts w:cs="Times New Roman" w:hint="eastAsia"/>
                <w:sz w:val="24"/>
                <w:szCs w:val="24"/>
                <w:lang w:val="en-US" w:eastAsia="zh-CN"/>
              </w:rPr>
              <w:t>“</w:t>
            </w:r>
            <w:r>
              <w:rPr>
                <w:rFonts w:ascii="Times New Roman" w:eastAsia="宋体" w:cs="Times New Roman" w:hAnsi="Times New Roman"/>
                <w:sz w:val="24"/>
                <w:szCs w:val="24"/>
                <w:lang w:val="en-US" w:eastAsia="zh-CN"/>
              </w:rPr>
              <w:t>900-041-49</w:t>
            </w:r>
            <w:r>
              <w:rPr>
                <w:rFonts w:cs="Times New Roman" w:hint="eastAsia"/>
                <w:sz w:val="24"/>
                <w:szCs w:val="24"/>
                <w:lang w:val="en-US" w:eastAsia="zh-CN"/>
              </w:rPr>
              <w:t>”“</w:t>
            </w:r>
            <w:r>
              <w:rPr>
                <w:rFonts w:ascii="Times New Roman" w:eastAsia="宋体" w:cs="Times New Roman" w:hAnsi="Times New Roman"/>
                <w:sz w:val="24"/>
                <w:szCs w:val="24"/>
                <w:lang w:val="en-US" w:eastAsia="zh-CN"/>
              </w:rPr>
              <w:t>含有或沾染毒性、感染性危险废物的废弃包装物、容器、过滤吸附介质</w:t>
            </w:r>
            <w:r>
              <w:rPr>
                <w:rFonts w:cs="Times New Roman" w:hint="eastAsia"/>
                <w:sz w:val="24"/>
                <w:szCs w:val="24"/>
                <w:lang w:val="en-US" w:eastAsia="zh-CN"/>
              </w:rPr>
              <w:t>”，</w:t>
            </w:r>
            <w:r>
              <w:rPr>
                <w:rFonts w:ascii="Times New Roman" w:eastAsia="宋体" w:cs="Times New Roman" w:hAnsi="Times New Roman"/>
                <w:sz w:val="24"/>
                <w:szCs w:val="24"/>
                <w:lang w:val="en-US" w:eastAsia="zh-CN"/>
              </w:rPr>
              <w:t>集中收集</w:t>
            </w:r>
            <w:r>
              <w:rPr>
                <w:rFonts w:cs="Times New Roman" w:hint="eastAsia"/>
                <w:sz w:val="24"/>
                <w:szCs w:val="24"/>
                <w:lang w:val="en-US" w:eastAsia="zh-CN"/>
              </w:rPr>
              <w:t>后</w:t>
            </w:r>
            <w:r>
              <w:rPr>
                <w:rFonts w:ascii="Times New Roman" w:eastAsia="宋体" w:cs="Times New Roman" w:hAnsi="Times New Roman"/>
                <w:sz w:val="24"/>
                <w:szCs w:val="24"/>
                <w:lang w:val="en-US" w:eastAsia="zh-CN"/>
              </w:rPr>
              <w:t>暂存于危废暂存间，定期交由有资质单位进行处置。</w:t>
            </w:r>
          </w:p>
          <w:p>
            <w:pPr>
              <w:numPr>
                <w:ilvl w:val="0"/>
                <w:numId w:val="57"/>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生活垃圾</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项目员工人数</w:t>
            </w:r>
            <w:r>
              <w:rPr>
                <w:rFonts w:cs="Times New Roman" w:hint="eastAsia"/>
                <w:sz w:val="24"/>
                <w:szCs w:val="24"/>
                <w:lang w:val="en-US" w:eastAsia="zh-CN"/>
              </w:rPr>
              <w:t>12</w:t>
            </w:r>
            <w:r>
              <w:rPr>
                <w:rFonts w:ascii="Times New Roman" w:eastAsia="宋体" w:cs="Times New Roman" w:hAnsi="Times New Roman"/>
                <w:sz w:val="24"/>
                <w:szCs w:val="24"/>
                <w:lang w:val="en-US" w:eastAsia="zh-CN"/>
              </w:rPr>
              <w:t>人，不</w:t>
            </w:r>
            <w:r>
              <w:rPr>
                <w:rFonts w:cs="Times New Roman" w:hint="eastAsia"/>
                <w:sz w:val="24"/>
                <w:szCs w:val="24"/>
                <w:lang w:val="en-US" w:eastAsia="zh-CN"/>
              </w:rPr>
              <w:t>设</w:t>
            </w:r>
            <w:r>
              <w:rPr>
                <w:rFonts w:ascii="Times New Roman" w:eastAsia="宋体" w:cs="Times New Roman" w:hAnsi="Times New Roman"/>
                <w:sz w:val="24"/>
                <w:szCs w:val="24"/>
                <w:lang w:val="en-US" w:eastAsia="zh-CN"/>
              </w:rPr>
              <w:t>食宿，生活垃圾按0.5kg/d每人计算</w:t>
            </w:r>
            <w:r>
              <w:rPr>
                <w:rFonts w:cs="Times New Roman" w:hint="eastAsia"/>
                <w:sz w:val="24"/>
                <w:szCs w:val="24"/>
                <w:lang w:val="en-US" w:eastAsia="zh-CN"/>
              </w:rPr>
              <w:t>；</w:t>
            </w:r>
            <w:r>
              <w:rPr>
                <w:rFonts w:ascii="Times New Roman" w:eastAsia="宋体" w:cs="Times New Roman" w:hAnsi="Times New Roman"/>
                <w:sz w:val="24"/>
                <w:szCs w:val="24"/>
                <w:lang w:val="en-US" w:eastAsia="zh-CN"/>
              </w:rPr>
              <w:t>则产生生活垃圾约为</w:t>
            </w:r>
            <w:r>
              <w:rPr>
                <w:rFonts w:cs="Times New Roman" w:hint="eastAsia"/>
                <w:sz w:val="24"/>
                <w:szCs w:val="24"/>
                <w:lang w:val="en-US" w:eastAsia="zh-CN"/>
              </w:rPr>
              <w:t>1.80</w:t>
            </w:r>
            <w:r>
              <w:rPr>
                <w:rFonts w:ascii="Times New Roman" w:eastAsia="宋体" w:cs="Times New Roman" w:hAnsi="Times New Roman"/>
                <w:sz w:val="24"/>
                <w:szCs w:val="24"/>
                <w:lang w:val="en-US" w:eastAsia="zh-CN"/>
              </w:rPr>
              <w:t>t/a</w:t>
            </w:r>
            <w:r>
              <w:rPr>
                <w:rFonts w:cs="Times New Roman" w:hint="eastAsia"/>
                <w:sz w:val="24"/>
                <w:szCs w:val="24"/>
                <w:lang w:val="en-US" w:eastAsia="zh-CN"/>
              </w:rPr>
              <w:t>，</w:t>
            </w:r>
            <w:r>
              <w:rPr>
                <w:rFonts w:ascii="Times New Roman" w:eastAsia="宋体" w:cs="Times New Roman" w:hAnsi="Times New Roman"/>
                <w:sz w:val="24"/>
                <w:szCs w:val="24"/>
                <w:lang w:val="en-US" w:eastAsia="zh-CN"/>
              </w:rPr>
              <w:t>分类收集后交由环卫部门统一清运。</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本项目固体废物具体产生及处置情况如下：</w:t>
            </w:r>
          </w:p>
          <w:p>
            <w:pPr>
              <w:bidi w:val="0"/>
              <w:spacing w:line="360" w:lineRule="auto"/>
              <w:jc w:val="center"/>
              <w:rPr>
                <w:rFonts w:cs="Times New Roman" w:hint="eastAsia"/>
                <w:b/>
                <w:bCs/>
                <w:sz w:val="21"/>
                <w:szCs w:val="21"/>
                <w:lang w:val="en-US" w:eastAsia="zh-CN"/>
              </w:rPr>
            </w:pPr>
            <w:r>
              <w:rPr>
                <w:rFonts w:ascii="Times New Roman" w:eastAsia="宋体" w:cs="Times New Roman" w:hAnsi="Times New Roman"/>
                <w:b/>
                <w:bCs/>
                <w:sz w:val="21"/>
                <w:szCs w:val="21"/>
                <w:lang w:val="en-US" w:eastAsia="zh-CN"/>
              </w:rPr>
              <w:t>表</w:t>
            </w:r>
            <w:r>
              <w:rPr>
                <w:rFonts w:cs="Times New Roman" w:hint="eastAsia"/>
                <w:b/>
                <w:bCs/>
                <w:sz w:val="21"/>
                <w:szCs w:val="21"/>
                <w:lang w:val="en-US" w:eastAsia="zh-CN"/>
              </w:rPr>
              <w:t>4-12</w:t>
            </w:r>
            <w:r>
              <w:rPr>
                <w:rFonts w:ascii="Times New Roman" w:eastAsia="宋体" w:cs="Times New Roman" w:hAnsi="Times New Roman"/>
                <w:b/>
                <w:bCs/>
                <w:sz w:val="21"/>
                <w:szCs w:val="21"/>
                <w:lang w:val="en-US" w:eastAsia="zh-CN"/>
              </w:rPr>
              <w:t xml:space="preserve"> 固废产生量及处置方案一览表</w:t>
            </w:r>
          </w:p>
          <w:tbl>
            <w:tblPr>
              <w:jc w:val="left"/>
              <w:tblInd w:w="0" w:type="dxa"/>
              <w:tblW w:w="8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56"/>
              <w:gridCol w:w="1887"/>
              <w:gridCol w:w="1338"/>
              <w:gridCol w:w="2137"/>
              <w:gridCol w:w="2286"/>
            </w:tblGrid>
            <w:tr>
              <w:trPr>
                <w:trHeight w:val="203"/>
                <w:tblHeader/>
              </w:trPr>
              <w:tc>
                <w:tcPr>
                  <w:tcW w:w="656" w:type="dxa"/>
                  <w:tcBorders>
                    <w:tl2br w:val="nil"/>
                    <w:tr2bl w:val="nil"/>
                  </w:tcBorders>
                  <w:shd w:val="clear" w:color="000000" w:fill="FFFFFF"/>
                  <w:noWrap/>
                  <w:vAlign w:val="center"/>
                </w:tcPr>
                <w:p>
                  <w:pPr>
                    <w:widowControl/>
                    <w:jc w:val="center"/>
                    <w:rPr>
                      <w:rFonts w:ascii="Times New Roman" w:cs="Times New Roman" w:hAnsi="Times New Roman"/>
                      <w:b/>
                      <w:bCs/>
                      <w:color w:val="000000"/>
                      <w:kern w:val="0"/>
                      <w:sz w:val="21"/>
                      <w:szCs w:val="21"/>
                    </w:rPr>
                  </w:pPr>
                  <w:r>
                    <w:rPr>
                      <w:rFonts w:ascii="Times New Roman" w:eastAsia="宋体" w:cs="Times New Roman" w:hAnsi="Times New Roman"/>
                      <w:b/>
                      <w:bCs/>
                      <w:color w:val="000000"/>
                      <w:kern w:val="0"/>
                      <w:szCs w:val="21"/>
                      <w:lang w:eastAsia="zh-CN"/>
                    </w:rPr>
                    <w:t>序号</w:t>
                  </w:r>
                </w:p>
              </w:tc>
              <w:tc>
                <w:tcPr>
                  <w:tcW w:w="1887" w:type="dxa"/>
                  <w:tcBorders>
                    <w:tl2br w:val="nil"/>
                    <w:tr2bl w:val="nil"/>
                  </w:tcBorders>
                  <w:shd w:val="clear" w:color="000000" w:fill="FFFFFF"/>
                  <w:noWrap/>
                  <w:vAlign w:val="center"/>
                </w:tcPr>
                <w:p>
                  <w:pPr>
                    <w:widowControl/>
                    <w:jc w:val="center"/>
                    <w:rPr>
                      <w:rFonts w:ascii="Times New Roman" w:cs="Times New Roman" w:hAnsi="Times New Roman"/>
                      <w:b/>
                      <w:bCs/>
                      <w:color w:val="000000"/>
                      <w:kern w:val="0"/>
                      <w:sz w:val="21"/>
                      <w:szCs w:val="21"/>
                    </w:rPr>
                  </w:pPr>
                  <w:r>
                    <w:rPr>
                      <w:rFonts w:ascii="Times New Roman" w:eastAsia="宋体" w:cs="Times New Roman" w:hAnsi="Times New Roman"/>
                      <w:b/>
                      <w:bCs/>
                      <w:color w:val="000000"/>
                      <w:kern w:val="0"/>
                      <w:szCs w:val="21"/>
                      <w:lang w:eastAsia="zh-CN"/>
                    </w:rPr>
                    <w:t>污染物名称</w:t>
                  </w:r>
                </w:p>
              </w:tc>
              <w:tc>
                <w:tcPr>
                  <w:tcW w:w="1338" w:type="dxa"/>
                  <w:tcBorders>
                    <w:tl2br w:val="nil"/>
                    <w:tr2bl w:val="nil"/>
                  </w:tcBorders>
                  <w:shd w:val="clear" w:color="000000" w:fill="FFFFFF"/>
                  <w:noWrap/>
                  <w:vAlign w:val="center"/>
                </w:tcPr>
                <w:p>
                  <w:pPr>
                    <w:widowControl/>
                    <w:jc w:val="center"/>
                    <w:rPr>
                      <w:rFonts w:ascii="Times New Roman" w:cs="Times New Roman" w:hAnsi="Times New Roman"/>
                      <w:b/>
                      <w:bCs/>
                      <w:color w:val="000000"/>
                      <w:kern w:val="0"/>
                      <w:sz w:val="21"/>
                      <w:szCs w:val="21"/>
                    </w:rPr>
                  </w:pPr>
                  <w:r>
                    <w:rPr>
                      <w:rFonts w:ascii="Times New Roman" w:eastAsia="宋体" w:cs="Times New Roman" w:hAnsi="Times New Roman"/>
                      <w:b/>
                      <w:bCs/>
                      <w:color w:val="000000"/>
                      <w:kern w:val="0"/>
                      <w:szCs w:val="21"/>
                      <w:lang w:eastAsia="zh-CN"/>
                    </w:rPr>
                    <w:t>产生量（t/a）</w:t>
                  </w:r>
                </w:p>
              </w:tc>
              <w:tc>
                <w:tcPr>
                  <w:tcW w:w="2137" w:type="dxa"/>
                  <w:tcBorders>
                    <w:tl2br w:val="nil"/>
                    <w:tr2bl w:val="nil"/>
                  </w:tcBorders>
                  <w:shd w:val="clear" w:color="000000" w:fill="FFFFFF"/>
                  <w:noWrap/>
                  <w:vAlign w:val="center"/>
                </w:tcPr>
                <w:p>
                  <w:pPr>
                    <w:widowControl/>
                    <w:jc w:val="center"/>
                    <w:rPr>
                      <w:rFonts w:ascii="Times New Roman" w:cs="Times New Roman" w:hAnsi="Times New Roman"/>
                      <w:b/>
                      <w:bCs/>
                      <w:color w:val="000000"/>
                      <w:kern w:val="0"/>
                      <w:sz w:val="21"/>
                      <w:szCs w:val="21"/>
                    </w:rPr>
                  </w:pPr>
                  <w:r>
                    <w:rPr>
                      <w:rFonts w:ascii="Times New Roman" w:eastAsia="宋体" w:cs="Times New Roman" w:hAnsi="Times New Roman"/>
                      <w:b/>
                      <w:bCs/>
                      <w:color w:val="000000"/>
                      <w:kern w:val="0"/>
                      <w:szCs w:val="21"/>
                      <w:lang w:eastAsia="zh-CN"/>
                    </w:rPr>
                    <w:t>废物类别</w:t>
                  </w:r>
                </w:p>
              </w:tc>
              <w:tc>
                <w:tcPr>
                  <w:tcW w:w="2286" w:type="dxa"/>
                  <w:tcBorders>
                    <w:tl2br w:val="nil"/>
                    <w:tr2bl w:val="nil"/>
                  </w:tcBorders>
                  <w:shd w:val="clear" w:color="000000" w:fill="FFFFFF"/>
                  <w:noWrap/>
                  <w:vAlign w:val="center"/>
                </w:tcPr>
                <w:p>
                  <w:pPr>
                    <w:widowControl/>
                    <w:jc w:val="center"/>
                    <w:rPr>
                      <w:rFonts w:ascii="Times New Roman" w:cs="Times New Roman" w:hAnsi="Times New Roman"/>
                      <w:b/>
                      <w:bCs/>
                      <w:color w:val="000000"/>
                      <w:kern w:val="0"/>
                      <w:sz w:val="21"/>
                      <w:szCs w:val="21"/>
                    </w:rPr>
                  </w:pPr>
                  <w:r>
                    <w:rPr>
                      <w:rFonts w:ascii="Times New Roman" w:eastAsia="宋体" w:cs="Times New Roman" w:hAnsi="Times New Roman"/>
                      <w:b/>
                      <w:bCs/>
                      <w:color w:val="000000"/>
                      <w:kern w:val="0"/>
                      <w:szCs w:val="21"/>
                      <w:lang w:eastAsia="zh-CN"/>
                    </w:rPr>
                    <w:t>治理方案</w:t>
                  </w:r>
                </w:p>
              </w:tc>
            </w:tr>
            <w:tr>
              <w:trPr>
                <w:trHeight w:val="203"/>
                <w:tblHeader/>
              </w:trPr>
              <w:tc>
                <w:tcPr>
                  <w:tcW w:w="656"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1</w:t>
                  </w:r>
                </w:p>
              </w:tc>
              <w:tc>
                <w:tcPr>
                  <w:tcW w:w="1887"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22.50</w:t>
                  </w:r>
                </w:p>
              </w:tc>
              <w:tc>
                <w:tcPr>
                  <w:tcW w:w="2137"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w:t>
                  </w:r>
                </w:p>
              </w:tc>
              <w:tc>
                <w:tcPr>
                  <w:tcW w:w="2286" w:type="dxa"/>
                  <w:tcBorders>
                    <w:tl2br w:val="nil"/>
                    <w:tr2bl w:val="nil"/>
                  </w:tcBorders>
                  <w:shd w:val="clear" w:color="000000" w:fill="FFFFFF"/>
                  <w:noWrap/>
                  <w:vAlign w:val="center"/>
                </w:tcPr>
                <w:p>
                  <w:pPr>
                    <w:widowControl/>
                    <w:jc w:val="both"/>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收集后暂存于</w:t>
                  </w:r>
                  <w:r>
                    <w:rPr>
                      <w:rFonts w:cs="Times New Roman" w:hint="eastAsia"/>
                      <w:b w:val="0"/>
                      <w:bCs w:val="0"/>
                      <w:color w:val="000000"/>
                      <w:kern w:val="0"/>
                      <w:szCs w:val="21"/>
                      <w:lang w:eastAsia="zh-CN"/>
                    </w:rPr>
                    <w:t>一般固废暂存区</w:t>
                  </w:r>
                  <w:r>
                    <w:rPr>
                      <w:rFonts w:ascii="Times New Roman" w:eastAsia="宋体" w:cs="Times New Roman" w:hAnsi="Times New Roman"/>
                      <w:b w:val="0"/>
                      <w:bCs w:val="0"/>
                      <w:color w:val="000000"/>
                      <w:kern w:val="0"/>
                      <w:szCs w:val="21"/>
                      <w:lang w:eastAsia="zh-CN"/>
                    </w:rPr>
                    <w:t>，定期交由有处理能力单位处理</w:t>
                  </w:r>
                  <w:r>
                    <w:rPr>
                      <w:rFonts w:cs="Times New Roman" w:hint="eastAsia"/>
                      <w:b w:val="0"/>
                      <w:bCs w:val="0"/>
                      <w:color w:val="000000"/>
                      <w:kern w:val="0"/>
                      <w:szCs w:val="21"/>
                      <w:lang w:eastAsia="zh-CN"/>
                    </w:rPr>
                    <w:t>；</w:t>
                  </w:r>
                </w:p>
              </w:tc>
            </w:tr>
            <w:tr>
              <w:trPr>
                <w:trHeight w:val="203"/>
                <w:tblHeader/>
              </w:trPr>
              <w:tc>
                <w:tcPr>
                  <w:tcW w:w="656"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2</w:t>
                  </w:r>
                </w:p>
              </w:tc>
              <w:tc>
                <w:tcPr>
                  <w:tcW w:w="1887"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26.50</w:t>
                  </w:r>
                </w:p>
              </w:tc>
              <w:tc>
                <w:tcPr>
                  <w:tcW w:w="2137"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w:t>
                  </w:r>
                </w:p>
              </w:tc>
              <w:tc>
                <w:tcPr>
                  <w:tcW w:w="2286" w:type="dxa"/>
                  <w:tcBorders>
                    <w:tl2br w:val="nil"/>
                    <w:tr2bl w:val="nil"/>
                  </w:tcBorders>
                  <w:shd w:val="clear" w:color="000000" w:fill="FFFFFF"/>
                  <w:noWrap/>
                  <w:vAlign w:val="center"/>
                </w:tcPr>
                <w:p>
                  <w:pPr>
                    <w:widowControl/>
                    <w:jc w:val="both"/>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委托有拆解资质的企业进一步处置</w:t>
                  </w:r>
                  <w:r>
                    <w:rPr>
                      <w:rFonts w:cs="Times New Roman" w:hint="eastAsia"/>
                      <w:b w:val="0"/>
                      <w:bCs w:val="0"/>
                      <w:color w:val="000000"/>
                      <w:kern w:val="0"/>
                      <w:szCs w:val="21"/>
                      <w:lang w:eastAsia="zh-CN"/>
                    </w:rPr>
                    <w:t>；</w:t>
                  </w:r>
                </w:p>
              </w:tc>
            </w:tr>
            <w:tr>
              <w:trPr>
                <w:trHeight w:val="203"/>
                <w:tblHeader/>
              </w:trPr>
              <w:tc>
                <w:tcPr>
                  <w:tcW w:w="656"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3</w:t>
                  </w:r>
                </w:p>
              </w:tc>
              <w:tc>
                <w:tcPr>
                  <w:tcW w:w="1887"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除尘器收集粉尘</w:t>
                  </w:r>
                </w:p>
              </w:tc>
              <w:tc>
                <w:tcPr>
                  <w:tcW w:w="1338"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1.216</w:t>
                  </w:r>
                </w:p>
              </w:tc>
              <w:tc>
                <w:tcPr>
                  <w:tcW w:w="2137" w:type="dxa"/>
                  <w:tcBorders>
                    <w:tl2br w:val="nil"/>
                    <w:tr2bl w:val="nil"/>
                  </w:tcBorders>
                  <w:shd w:val="clear" w:color="000000" w:fill="FFFFFF"/>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w:t>
                  </w:r>
                </w:p>
              </w:tc>
              <w:tc>
                <w:tcPr>
                  <w:tcW w:w="2286" w:type="dxa"/>
                  <w:tcBorders>
                    <w:tl2br w:val="nil"/>
                    <w:tr2bl w:val="nil"/>
                  </w:tcBorders>
                  <w:shd w:val="clear" w:color="000000" w:fill="FFFFFF"/>
                  <w:noWrap/>
                  <w:vAlign w:val="center"/>
                </w:tcPr>
                <w:p>
                  <w:pPr>
                    <w:widowControl/>
                    <w:jc w:val="both"/>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定期清理收集后交由环卫部门处置</w:t>
                  </w:r>
                  <w:r>
                    <w:rPr>
                      <w:rFonts w:cs="Times New Roman" w:hint="eastAsia"/>
                      <w:b w:val="0"/>
                      <w:bCs w:val="0"/>
                      <w:color w:val="000000"/>
                      <w:kern w:val="0"/>
                      <w:szCs w:val="21"/>
                      <w:lang w:eastAsia="zh-CN"/>
                    </w:rPr>
                    <w:t>；</w:t>
                  </w:r>
                </w:p>
              </w:tc>
            </w:tr>
            <w:tr>
              <w:trPr>
                <w:trHeight w:val="203"/>
              </w:trPr>
              <w:tc>
                <w:tcPr>
                  <w:tcW w:w="656" w:type="dxa"/>
                  <w:tcBorders>
                    <w:tl2br w:val="nil"/>
                    <w:tr2bl w:val="nil"/>
                  </w:tcBorders>
                  <w:noWrap/>
                  <w:vAlign w:val="center"/>
                </w:tcPr>
                <w:p>
                  <w:pPr>
                    <w:widowControl/>
                    <w:jc w:val="center"/>
                    <w:rPr>
                      <w:rFonts w:ascii="Times New Roman" w:eastAsia="宋体" w:cs="Times New Roman" w:hAnsi="Times New Roman" w:hint="eastAsia"/>
                      <w:b w:val="0"/>
                      <w:bCs w:val="0"/>
                      <w:color w:val="000000"/>
                      <w:kern w:val="0"/>
                      <w:szCs w:val="21"/>
                      <w:lang w:val="en-US" w:eastAsia="zh-CN"/>
                    </w:rPr>
                  </w:pPr>
                  <w:r>
                    <w:rPr>
                      <w:rFonts w:cs="Times New Roman" w:hint="eastAsia"/>
                      <w:b w:val="0"/>
                      <w:bCs w:val="0"/>
                      <w:color w:val="000000"/>
                      <w:kern w:val="0"/>
                      <w:szCs w:val="21"/>
                      <w:lang w:val="en-US" w:eastAsia="zh-CN"/>
                    </w:rPr>
                    <w:t>4</w:t>
                  </w:r>
                </w:p>
              </w:tc>
              <w:tc>
                <w:tcPr>
                  <w:tcW w:w="1887" w:type="dxa"/>
                  <w:tcBorders>
                    <w:tl2br w:val="nil"/>
                    <w:tr2bl w:val="nil"/>
                  </w:tcBorders>
                  <w:noWrap/>
                  <w:vAlign w:val="center"/>
                </w:tcPr>
                <w:p>
                  <w:pPr>
                    <w:spacing w:line="240" w:lineRule="auto"/>
                    <w:ind w:left="0" w:firstLine="0"/>
                    <w:jc w:val="center"/>
                    <w:rPr>
                      <w:rFonts w:ascii="Times New Roman" w:eastAsia="宋体"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废包装材料</w:t>
                  </w:r>
                </w:p>
              </w:tc>
              <w:tc>
                <w:tcPr>
                  <w:tcW w:w="1338"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0.85</w:t>
                  </w:r>
                </w:p>
              </w:tc>
              <w:tc>
                <w:tcPr>
                  <w:tcW w:w="2137" w:type="dxa"/>
                  <w:tcBorders>
                    <w:tl2br w:val="nil"/>
                    <w:tr2bl w:val="nil"/>
                  </w:tcBorders>
                  <w:noWrap/>
                  <w:vAlign w:val="center"/>
                </w:tcPr>
                <w:p>
                  <w:pPr>
                    <w:spacing w:line="240" w:lineRule="auto"/>
                    <w:jc w:val="center"/>
                    <w:rPr>
                      <w:rFonts w:ascii="Times New Roman" w:eastAsia="宋体" w:cs="Times New Roman" w:hAnsi="Times New Roman"/>
                      <w:b w:val="0"/>
                      <w:bCs w:val="0"/>
                      <w:color w:val="000000"/>
                      <w:szCs w:val="21"/>
                      <w:lang w:val="en-US" w:eastAsia="zh-CN"/>
                    </w:rPr>
                  </w:pPr>
                  <w:r>
                    <w:rPr>
                      <w:rFonts w:ascii="Times New Roman" w:eastAsia="宋体" w:cs="Times New Roman" w:hAnsi="Times New Roman"/>
                      <w:b w:val="0"/>
                      <w:bCs w:val="0"/>
                      <w:color w:val="000000"/>
                      <w:kern w:val="0"/>
                      <w:szCs w:val="21"/>
                      <w:lang w:eastAsia="zh-CN"/>
                    </w:rPr>
                    <w:t>292-001-07</w:t>
                  </w:r>
                </w:p>
              </w:tc>
              <w:tc>
                <w:tcPr>
                  <w:tcW w:w="2286" w:type="dxa"/>
                  <w:tcBorders>
                    <w:tl2br w:val="nil"/>
                    <w:tr2bl w:val="nil"/>
                  </w:tcBorders>
                  <w:noWrap/>
                  <w:vAlign w:val="center"/>
                </w:tcPr>
                <w:p>
                  <w:pPr>
                    <w:spacing w:line="240" w:lineRule="auto"/>
                    <w:ind w:left="0" w:firstLine="0"/>
                    <w:jc w:val="both"/>
                    <w:rPr>
                      <w:rFonts w:ascii="Times New Roman" w:cs="Times New Roman" w:hAnsi="Times New Roman"/>
                      <w:b w:val="0"/>
                      <w:bCs w:val="0"/>
                      <w:color w:val="000000"/>
                      <w:kern w:val="0"/>
                      <w:szCs w:val="21"/>
                      <w:lang w:eastAsia="zh-CN"/>
                    </w:rPr>
                  </w:pPr>
                  <w:r>
                    <w:rPr>
                      <w:rFonts w:ascii="Times New Roman" w:eastAsia="宋体" w:cs="Times New Roman" w:hAnsi="Times New Roman"/>
                      <w:b w:val="0"/>
                      <w:bCs w:val="0"/>
                      <w:color w:val="000000"/>
                      <w:kern w:val="0"/>
                      <w:szCs w:val="21"/>
                      <w:lang w:eastAsia="zh-CN"/>
                    </w:rPr>
                    <w:t>集中收集后外售至废品回收站</w:t>
                  </w:r>
                  <w:r>
                    <w:rPr>
                      <w:rFonts w:cs="Times New Roman" w:hint="eastAsia"/>
                      <w:b w:val="0"/>
                      <w:bCs w:val="0"/>
                      <w:color w:val="000000"/>
                      <w:kern w:val="0"/>
                      <w:szCs w:val="21"/>
                      <w:lang w:eastAsia="zh-CN"/>
                    </w:rPr>
                    <w:t>；</w:t>
                  </w:r>
                </w:p>
              </w:tc>
            </w:tr>
            <w:tr>
              <w:trPr>
                <w:trHeight w:val="90"/>
              </w:trPr>
              <w:tc>
                <w:tcPr>
                  <w:tcW w:w="656" w:type="dxa"/>
                  <w:tcBorders>
                    <w:tl2br w:val="nil"/>
                    <w:tr2bl w:val="nil"/>
                  </w:tcBorders>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5</w:t>
                  </w:r>
                </w:p>
              </w:tc>
              <w:tc>
                <w:tcPr>
                  <w:tcW w:w="1887"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ign w:val="center"/>
                </w:tcPr>
                <w:p>
                  <w:pPr>
                    <w:widowControl/>
                    <w:spacing w:line="240" w:lineRule="auto"/>
                    <w:jc w:val="center"/>
                    <w:rPr>
                      <w:rFonts w:ascii="Times New Roman" w:eastAsia="宋体" w:cs="Times New Roman" w:hAnsi="Times New Roman" w:hint="eastAsia"/>
                      <w:b w:val="0"/>
                      <w:bCs w:val="0"/>
                      <w:color w:val="000000"/>
                      <w:kern w:val="0"/>
                      <w:szCs w:val="21"/>
                      <w:lang w:val="en-US" w:eastAsia="zh-CN"/>
                    </w:rPr>
                  </w:pPr>
                  <w:r>
                    <w:rPr>
                      <w:rFonts w:cs="Times New Roman" w:hint="eastAsia"/>
                      <w:b w:val="0"/>
                      <w:bCs w:val="0"/>
                      <w:color w:val="000000"/>
                      <w:kern w:val="0"/>
                      <w:szCs w:val="21"/>
                      <w:lang w:eastAsia="zh-CN"/>
                    </w:rPr>
                    <w:t>15.4</w:t>
                  </w:r>
                </w:p>
              </w:tc>
              <w:tc>
                <w:tcPr>
                  <w:tcW w:w="2137" w:type="dxa"/>
                  <w:tcBorders>
                    <w:tl2br w:val="nil"/>
                    <w:tr2bl w:val="nil"/>
                  </w:tcBorders>
                  <w:noWrap/>
                  <w:vAlign w:val="center"/>
                </w:tcPr>
                <w:p>
                  <w:pPr>
                    <w:spacing w:line="240" w:lineRule="auto"/>
                    <w:jc w:val="center"/>
                    <w:rPr>
                      <w:rFonts w:ascii="Times New Roman" w:cs="Times New Roman" w:hAnsi="Times New Roman"/>
                      <w:b w:val="0"/>
                      <w:bCs w:val="0"/>
                      <w:color w:val="000000"/>
                      <w:szCs w:val="21"/>
                      <w:lang w:val="en-US" w:eastAsia="zh-CN"/>
                    </w:rPr>
                  </w:pPr>
                  <w:r>
                    <w:rPr>
                      <w:rFonts w:ascii="Times New Roman" w:eastAsia="宋体" w:cs="Times New Roman" w:hAnsi="Times New Roman"/>
                      <w:b w:val="0"/>
                      <w:bCs w:val="0"/>
                      <w:color w:val="000000"/>
                      <w:kern w:val="0"/>
                      <w:szCs w:val="21"/>
                      <w:lang w:eastAsia="zh-CN"/>
                    </w:rPr>
                    <w:t>HW49（900-045-49）</w:t>
                  </w:r>
                </w:p>
              </w:tc>
              <w:tc>
                <w:tcPr>
                  <w:tcW w:w="2286" w:type="dxa"/>
                  <w:vMerge w:val="restart"/>
                  <w:tcBorders>
                    <w:tl2br w:val="nil"/>
                    <w:tr2bl w:val="nil"/>
                  </w:tcBorders>
                  <w:noWrap/>
                  <w:vAlign w:val="center"/>
                </w:tcPr>
                <w:p>
                  <w:pPr>
                    <w:widowControl/>
                    <w:jc w:val="both"/>
                    <w:rPr>
                      <w:rFonts w:ascii="Times New Roman" w:cs="Times New Roman" w:hAnsi="Times New Roman"/>
                      <w:b w:val="0"/>
                      <w:bCs w:val="0"/>
                      <w:color w:val="000000"/>
                      <w:kern w:val="0"/>
                      <w:szCs w:val="21"/>
                      <w:lang w:eastAsia="zh-CN"/>
                    </w:rPr>
                  </w:pPr>
                  <w:r>
                    <w:rPr>
                      <w:rFonts w:cs="Times New Roman" w:hint="eastAsia"/>
                      <w:b w:val="0"/>
                      <w:bCs w:val="0"/>
                      <w:color w:val="000000"/>
                      <w:kern w:val="0"/>
                      <w:szCs w:val="21"/>
                      <w:lang w:val="en-US" w:eastAsia="zh-CN"/>
                    </w:rPr>
                    <w:t>分类</w:t>
                  </w:r>
                  <w:r>
                    <w:rPr>
                      <w:rFonts w:ascii="Times New Roman" w:eastAsia="宋体" w:cs="Times New Roman" w:hAnsi="Times New Roman"/>
                      <w:b w:val="0"/>
                      <w:bCs w:val="0"/>
                      <w:color w:val="000000"/>
                      <w:kern w:val="0"/>
                      <w:szCs w:val="21"/>
                      <w:lang w:eastAsia="zh-CN"/>
                    </w:rPr>
                    <w:t>收集后</w:t>
                  </w:r>
                  <w:r>
                    <w:rPr>
                      <w:rFonts w:cs="Times New Roman" w:hint="eastAsia"/>
                      <w:b w:val="0"/>
                      <w:bCs w:val="0"/>
                      <w:color w:val="000000"/>
                      <w:kern w:val="0"/>
                      <w:szCs w:val="21"/>
                      <w:lang w:eastAsia="zh-CN"/>
                    </w:rPr>
                    <w:t>，</w:t>
                  </w:r>
                  <w:r>
                    <w:rPr>
                      <w:rFonts w:ascii="Times New Roman" w:eastAsia="宋体" w:cs="Times New Roman" w:hAnsi="Times New Roman"/>
                      <w:b w:val="0"/>
                      <w:bCs w:val="0"/>
                      <w:color w:val="000000"/>
                      <w:kern w:val="0"/>
                      <w:szCs w:val="21"/>
                      <w:lang w:eastAsia="zh-CN"/>
                    </w:rPr>
                    <w:t>暂存于危废暂存间，定期交由有资质的单位处置</w:t>
                  </w:r>
                  <w:r>
                    <w:rPr>
                      <w:rFonts w:cs="Times New Roman" w:hint="eastAsia"/>
                      <w:b w:val="0"/>
                      <w:bCs w:val="0"/>
                      <w:color w:val="000000"/>
                      <w:kern w:val="0"/>
                      <w:szCs w:val="21"/>
                      <w:lang w:eastAsia="zh-CN"/>
                    </w:rPr>
                    <w:t>；</w:t>
                  </w:r>
                </w:p>
              </w:tc>
            </w:tr>
            <w:tr>
              <w:trPr>
                <w:trHeight w:val="203"/>
              </w:trPr>
              <w:tc>
                <w:tcPr>
                  <w:tcW w:w="656" w:type="dxa"/>
                  <w:tcBorders>
                    <w:tl2br w:val="nil"/>
                    <w:tr2bl w:val="nil"/>
                  </w:tcBorders>
                  <w:noWrap/>
                  <w:vAlign w:val="center"/>
                </w:tcPr>
                <w:p>
                  <w:pPr>
                    <w:widowControl/>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6</w:t>
                  </w:r>
                </w:p>
              </w:tc>
              <w:tc>
                <w:tcPr>
                  <w:tcW w:w="1887" w:type="dxa"/>
                  <w:tcBorders>
                    <w:tl2br w:val="nil"/>
                    <w:tr2bl w:val="nil"/>
                  </w:tcBorders>
                  <w:noWrap/>
                  <w:vAlign w:val="center"/>
                </w:tcPr>
                <w:p>
                  <w:pPr>
                    <w:widowControl/>
                    <w:spacing w:line="240" w:lineRule="auto"/>
                    <w:jc w:val="center"/>
                    <w:rPr>
                      <w:rFonts w:ascii="Times New Roman" w:eastAsia="宋体" w:cs="Times New Roman" w:hAnsi="Times New Roman" w:hint="eastAsia"/>
                      <w:b w:val="0"/>
                      <w:bCs w:val="0"/>
                      <w:color w:val="000000"/>
                      <w:kern w:val="0"/>
                      <w:szCs w:val="21"/>
                      <w:lang w:eastAsia="zh-CN"/>
                    </w:rPr>
                  </w:pPr>
                  <w:r>
                    <w:rPr>
                      <w:rFonts w:hint="eastAsia"/>
                      <w:b w:val="0"/>
                      <w:bCs w:val="0"/>
                    </w:rPr>
                    <w:t>废含汞元（器）件</w:t>
                  </w:r>
                </w:p>
              </w:tc>
              <w:tc>
                <w:tcPr>
                  <w:tcW w:w="1338"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Cs w:val="21"/>
                      <w:lang w:val="en-US" w:eastAsia="zh-CN"/>
                    </w:rPr>
                  </w:pPr>
                  <w:r>
                    <w:rPr>
                      <w:rFonts w:cs="Times New Roman" w:hint="eastAsia"/>
                      <w:b w:val="0"/>
                      <w:bCs w:val="0"/>
                      <w:color w:val="000000"/>
                      <w:kern w:val="0"/>
                      <w:szCs w:val="21"/>
                      <w:lang w:val="en-US" w:eastAsia="zh-CN"/>
                    </w:rPr>
                    <w:t>0.45</w:t>
                  </w:r>
                </w:p>
              </w:tc>
              <w:tc>
                <w:tcPr>
                  <w:tcW w:w="2137" w:type="dxa"/>
                  <w:tcBorders>
                    <w:tl2br w:val="nil"/>
                    <w:tr2bl w:val="nil"/>
                  </w:tcBorders>
                  <w:noWrap/>
                  <w:vAlign w:val="center"/>
                </w:tcPr>
                <w:p>
                  <w:pPr>
                    <w:spacing w:line="240" w:lineRule="auto"/>
                    <w:jc w:val="center"/>
                    <w:rPr>
                      <w:rFonts w:ascii="Times New Roman" w:cs="Times New Roman" w:hAnsi="Times New Roman"/>
                      <w:b w:val="0"/>
                      <w:bCs w:val="0"/>
                      <w:color w:val="000000"/>
                      <w:szCs w:val="21"/>
                      <w:lang w:val="en-US" w:eastAsia="zh-CN"/>
                    </w:rPr>
                  </w:pPr>
                  <w:r>
                    <w:rPr>
                      <w:rFonts w:ascii="Times New Roman" w:eastAsia="宋体" w:cs="Times New Roman" w:hAnsi="Times New Roman" w:hint="eastAsia"/>
                      <w:b w:val="0"/>
                      <w:bCs w:val="0"/>
                      <w:color w:val="000000"/>
                      <w:kern w:val="0"/>
                      <w:szCs w:val="21"/>
                      <w:lang w:eastAsia="zh-CN"/>
                    </w:rPr>
                    <w:t>HW</w:t>
                  </w:r>
                  <w:r>
                    <w:rPr>
                      <w:rFonts w:cs="Times New Roman" w:hint="eastAsia"/>
                      <w:b w:val="0"/>
                      <w:bCs w:val="0"/>
                      <w:color w:val="000000"/>
                      <w:kern w:val="0"/>
                      <w:szCs w:val="21"/>
                      <w:lang w:val="en-US" w:eastAsia="zh-CN"/>
                    </w:rPr>
                    <w:t>2</w:t>
                  </w:r>
                  <w:r>
                    <w:rPr>
                      <w:rFonts w:ascii="Times New Roman" w:eastAsia="宋体" w:cs="Times New Roman" w:hAnsi="Times New Roman" w:hint="eastAsia"/>
                      <w:b w:val="0"/>
                      <w:bCs w:val="0"/>
                      <w:color w:val="000000"/>
                      <w:kern w:val="0"/>
                      <w:szCs w:val="21"/>
                      <w:lang w:eastAsia="zh-CN"/>
                    </w:rPr>
                    <w:t>9（900-024-29）</w:t>
                  </w:r>
                </w:p>
              </w:tc>
              <w:tc>
                <w:tcPr>
                  <w:tcW w:w="2286" w:type="dxa"/>
                  <w:vMerge/>
                  <w:tcBorders>
                    <w:tl2br w:val="nil"/>
                    <w:tr2bl w:val="nil"/>
                  </w:tcBorders>
                  <w:noWrap/>
                  <w:vAlign w:val="center"/>
                </w:tcPr>
                <w:p/>
              </w:tc>
            </w:tr>
            <w:tr>
              <w:trPr>
                <w:trHeight w:val="203"/>
              </w:trPr>
              <w:tc>
                <w:tcPr>
                  <w:tcW w:w="656"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7</w:t>
                  </w:r>
                </w:p>
              </w:tc>
              <w:tc>
                <w:tcPr>
                  <w:tcW w:w="1887" w:type="dxa"/>
                  <w:tcBorders>
                    <w:tl2br w:val="nil"/>
                    <w:tr2bl w:val="nil"/>
                  </w:tcBorders>
                  <w:noWrap/>
                  <w:vAlign w:val="center"/>
                </w:tcPr>
                <w:p>
                  <w:pPr>
                    <w:widowControl/>
                    <w:spacing w:line="240" w:lineRule="auto"/>
                    <w:jc w:val="center"/>
                    <w:rPr>
                      <w:rFonts w:ascii="Times New Roman" w:eastAsia="宋体" w:cs="Times New Roman" w:hAnsi="Times New Roman"/>
                      <w:b w:val="0"/>
                      <w:bCs w:val="0"/>
                      <w:sz w:val="21"/>
                      <w:szCs w:val="21"/>
                      <w:vertAlign w:val="baseline"/>
                      <w:lang w:val="en-US" w:eastAsia="zh-CN"/>
                    </w:rPr>
                  </w:pPr>
                  <w:r>
                    <w:rPr>
                      <w:rFonts w:hint="eastAsia"/>
                    </w:rPr>
                    <w:t>废矿物油</w:t>
                  </w:r>
                </w:p>
              </w:tc>
              <w:tc>
                <w:tcPr>
                  <w:tcW w:w="1338"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sz w:val="21"/>
                      <w:szCs w:val="21"/>
                      <w:lang w:val="en-US" w:eastAsia="zh-CN"/>
                    </w:rPr>
                  </w:pPr>
                  <w:r>
                    <w:rPr>
                      <w:rFonts w:cs="Times New Roman" w:hint="eastAsia"/>
                      <w:b w:val="0"/>
                      <w:bCs w:val="0"/>
                      <w:color w:val="000000"/>
                      <w:sz w:val="21"/>
                      <w:szCs w:val="21"/>
                      <w:lang w:val="en-US" w:eastAsia="zh-CN"/>
                    </w:rPr>
                    <w:t>0.15</w:t>
                  </w:r>
                </w:p>
              </w:tc>
              <w:tc>
                <w:tcPr>
                  <w:tcW w:w="2137"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auto"/>
                      <w:sz w:val="21"/>
                      <w:szCs w:val="21"/>
                      <w:lang w:val="en-US" w:eastAsia="zh-CN"/>
                    </w:rPr>
                  </w:pPr>
                  <w:r>
                    <w:rPr>
                      <w:rFonts w:ascii="Times New Roman" w:eastAsia="宋体" w:cs="Times New Roman" w:hAnsi="Times New Roman"/>
                      <w:b w:val="0"/>
                      <w:bCs w:val="0"/>
                      <w:color w:val="000000"/>
                      <w:kern w:val="0"/>
                      <w:sz w:val="21"/>
                      <w:szCs w:val="21"/>
                    </w:rPr>
                    <w:t>HW</w:t>
                  </w:r>
                  <w:r>
                    <w:rPr>
                      <w:rFonts w:cs="Times New Roman" w:hint="eastAsia"/>
                      <w:b w:val="0"/>
                      <w:bCs w:val="0"/>
                      <w:color w:val="000000"/>
                      <w:kern w:val="0"/>
                      <w:sz w:val="21"/>
                      <w:szCs w:val="21"/>
                      <w:lang w:val="en-US" w:eastAsia="zh-CN"/>
                    </w:rPr>
                    <w:t>08</w:t>
                  </w:r>
                  <w:r>
                    <w:rPr>
                      <w:rFonts w:ascii="Times New Roman" w:eastAsia="宋体" w:cs="Times New Roman" w:hAnsi="Times New Roman"/>
                      <w:b w:val="0"/>
                      <w:bCs w:val="0"/>
                      <w:sz w:val="21"/>
                      <w:szCs w:val="21"/>
                      <w:vertAlign w:val="baseline"/>
                      <w:lang w:val="en-US" w:eastAsia="zh-CN"/>
                    </w:rPr>
                    <w:t>（</w:t>
                  </w:r>
                  <w:r>
                    <w:rPr>
                      <w:rFonts w:cs="Times New Roman" w:hint="eastAsia"/>
                      <w:b w:val="0"/>
                      <w:bCs w:val="0"/>
                      <w:sz w:val="21"/>
                      <w:szCs w:val="21"/>
                      <w:vertAlign w:val="baseline"/>
                      <w:lang w:val="en-US" w:eastAsia="zh-CN"/>
                    </w:rPr>
                    <w:t>900-218-08</w:t>
                  </w:r>
                  <w:r>
                    <w:rPr>
                      <w:rFonts w:ascii="Times New Roman" w:eastAsia="宋体" w:cs="Times New Roman" w:hAnsi="Times New Roman"/>
                      <w:b w:val="0"/>
                      <w:bCs w:val="0"/>
                      <w:sz w:val="21"/>
                      <w:szCs w:val="21"/>
                      <w:vertAlign w:val="baseline"/>
                      <w:lang w:val="en-US" w:eastAsia="zh-CN"/>
                    </w:rPr>
                    <w:t>）</w:t>
                  </w:r>
                </w:p>
              </w:tc>
              <w:tc>
                <w:tcPr>
                  <w:tcW w:w="2286" w:type="dxa"/>
                  <w:vMerge/>
                  <w:tcBorders>
                    <w:tl2br w:val="nil"/>
                    <w:tr2bl w:val="nil"/>
                  </w:tcBorders>
                  <w:noWrap/>
                  <w:vAlign w:val="center"/>
                </w:tcPr>
                <w:p/>
              </w:tc>
            </w:tr>
            <w:tr>
              <w:trPr>
                <w:trHeight w:val="203"/>
              </w:trPr>
              <w:tc>
                <w:tcPr>
                  <w:tcW w:w="656"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8</w:t>
                  </w:r>
                </w:p>
              </w:tc>
              <w:tc>
                <w:tcPr>
                  <w:tcW w:w="1887" w:type="dxa"/>
                  <w:tcBorders>
                    <w:tl2br w:val="nil"/>
                    <w:tr2bl w:val="nil"/>
                  </w:tcBorders>
                  <w:noWrap/>
                  <w:vAlign w:val="center"/>
                </w:tcPr>
                <w:p>
                  <w:pPr>
                    <w:widowControl/>
                    <w:spacing w:line="240" w:lineRule="auto"/>
                    <w:jc w:val="center"/>
                    <w:rPr>
                      <w:rFonts w:ascii="Times New Roman" w:eastAsia="宋体" w:cs="Times New Roman" w:hAnsi="Times New Roman" w:hint="eastAsia"/>
                      <w:b w:val="0"/>
                      <w:bCs w:val="0"/>
                      <w:color w:val="000000"/>
                      <w:kern w:val="0"/>
                      <w:sz w:val="21"/>
                      <w:szCs w:val="21"/>
                      <w:lang w:eastAsia="zh-CN"/>
                    </w:rPr>
                  </w:pPr>
                  <w:r>
                    <w:rPr>
                      <w:rFonts w:cs="Times New Roman" w:hint="eastAsia"/>
                      <w:b w:val="0"/>
                      <w:bCs w:val="0"/>
                      <w:color w:val="000000"/>
                      <w:kern w:val="0"/>
                      <w:sz w:val="21"/>
                      <w:szCs w:val="21"/>
                      <w:lang w:eastAsia="zh-CN"/>
                    </w:rPr>
                    <w:t>废润滑油</w:t>
                  </w:r>
                </w:p>
              </w:tc>
              <w:tc>
                <w:tcPr>
                  <w:tcW w:w="1338"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0.01</w:t>
                  </w:r>
                </w:p>
              </w:tc>
              <w:tc>
                <w:tcPr>
                  <w:tcW w:w="2137"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rPr>
                  </w:pPr>
                  <w:r>
                    <w:rPr>
                      <w:rFonts w:ascii="Times New Roman" w:eastAsia="宋体" w:cs="Times New Roman" w:hAnsi="Times New Roman"/>
                      <w:b w:val="0"/>
                      <w:bCs w:val="0"/>
                      <w:color w:val="000000"/>
                      <w:kern w:val="0"/>
                      <w:sz w:val="21"/>
                      <w:szCs w:val="21"/>
                    </w:rPr>
                    <w:t>HW</w:t>
                  </w:r>
                  <w:r>
                    <w:rPr>
                      <w:rFonts w:cs="Times New Roman" w:hint="eastAsia"/>
                      <w:b w:val="0"/>
                      <w:bCs w:val="0"/>
                      <w:color w:val="000000"/>
                      <w:kern w:val="0"/>
                      <w:sz w:val="21"/>
                      <w:szCs w:val="21"/>
                      <w:lang w:val="en-US" w:eastAsia="zh-CN"/>
                    </w:rPr>
                    <w:t>08</w:t>
                  </w:r>
                  <w:r>
                    <w:rPr>
                      <w:rFonts w:ascii="Times New Roman" w:eastAsia="宋体" w:cs="Times New Roman" w:hAnsi="Times New Roman"/>
                      <w:b w:val="0"/>
                      <w:bCs w:val="0"/>
                      <w:color w:val="000000"/>
                      <w:kern w:val="0"/>
                      <w:sz w:val="21"/>
                      <w:szCs w:val="21"/>
                    </w:rPr>
                    <w:t>（</w:t>
                  </w:r>
                  <w:r>
                    <w:rPr>
                      <w:rFonts w:cs="Times New Roman" w:hint="eastAsia"/>
                      <w:b w:val="0"/>
                      <w:bCs w:val="0"/>
                      <w:color w:val="000000"/>
                      <w:kern w:val="0"/>
                      <w:sz w:val="21"/>
                      <w:szCs w:val="21"/>
                      <w:lang w:eastAsia="zh-CN"/>
                    </w:rPr>
                    <w:t>900-217-08</w:t>
                  </w:r>
                  <w:r>
                    <w:rPr>
                      <w:rFonts w:ascii="Times New Roman" w:eastAsia="宋体" w:cs="Times New Roman" w:hAnsi="Times New Roman"/>
                      <w:b w:val="0"/>
                      <w:bCs w:val="0"/>
                      <w:color w:val="000000"/>
                      <w:kern w:val="0"/>
                      <w:sz w:val="21"/>
                      <w:szCs w:val="21"/>
                    </w:rPr>
                    <w:t>）</w:t>
                  </w:r>
                </w:p>
              </w:tc>
              <w:tc>
                <w:tcPr>
                  <w:tcW w:w="2286" w:type="dxa"/>
                  <w:vMerge/>
                  <w:tcBorders>
                    <w:tl2br w:val="nil"/>
                    <w:tr2bl w:val="nil"/>
                  </w:tcBorders>
                  <w:noWrap/>
                  <w:vAlign w:val="center"/>
                </w:tcPr>
                <w:p/>
              </w:tc>
            </w:tr>
            <w:tr>
              <w:trPr>
                <w:trHeight w:val="203"/>
              </w:trPr>
              <w:tc>
                <w:tcPr>
                  <w:tcW w:w="656" w:type="dxa"/>
                  <w:tcBorders>
                    <w:tl2br w:val="nil"/>
                    <w:tr2bl w:val="nil"/>
                  </w:tcBorders>
                  <w:noWrap/>
                  <w:vAlign w:val="center"/>
                </w:tcPr>
                <w:p>
                  <w:pPr>
                    <w:widowControl/>
                    <w:spacing w:line="240" w:lineRule="auto"/>
                    <w:jc w:val="center"/>
                    <w:rPr>
                      <w:rFonts w:cs="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9</w:t>
                  </w:r>
                </w:p>
              </w:tc>
              <w:tc>
                <w:tcPr>
                  <w:tcW w:w="1887"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rPr>
                  </w:pPr>
                  <w:r>
                    <w:rPr>
                      <w:rFonts w:ascii="Times New Roman" w:eastAsia="宋体" w:cs="Times New Roman" w:hAnsi="Times New Roman"/>
                      <w:b w:val="0"/>
                      <w:bCs w:val="0"/>
                      <w:color w:val="000000"/>
                      <w:kern w:val="0"/>
                      <w:sz w:val="21"/>
                      <w:szCs w:val="21"/>
                    </w:rPr>
                    <w:t>含油废劳保用品</w:t>
                  </w:r>
                </w:p>
              </w:tc>
              <w:tc>
                <w:tcPr>
                  <w:tcW w:w="1338" w:type="dxa"/>
                  <w:tcBorders>
                    <w:tl2br w:val="nil"/>
                    <w:tr2bl w:val="nil"/>
                  </w:tcBorders>
                  <w:noWrap/>
                  <w:vAlign w:val="center"/>
                </w:tcPr>
                <w:p>
                  <w:pPr>
                    <w:widowControl/>
                    <w:spacing w:line="240" w:lineRule="auto"/>
                    <w:jc w:val="center"/>
                    <w:rPr>
                      <w:rFonts w:cs="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0.005</w:t>
                  </w:r>
                </w:p>
              </w:tc>
              <w:tc>
                <w:tcPr>
                  <w:tcW w:w="2137" w:type="dxa"/>
                  <w:tcBorders>
                    <w:tl2br w:val="nil"/>
                    <w:tr2bl w:val="nil"/>
                  </w:tcBorders>
                  <w:noWrap/>
                  <w:vAlign w:val="center"/>
                </w:tcPr>
                <w:p>
                  <w:pPr>
                    <w:spacing w:line="240" w:lineRule="auto"/>
                    <w:jc w:val="center"/>
                    <w:rPr>
                      <w:rFonts w:ascii="Times New Roman" w:eastAsia="宋体" w:cs="Times New Roman" w:hAnsi="Times New Roman"/>
                      <w:b w:val="0"/>
                      <w:bCs w:val="0"/>
                      <w:color w:val="000000"/>
                      <w:kern w:val="2"/>
                      <w:sz w:val="21"/>
                      <w:szCs w:val="21"/>
                      <w:lang w:val="en-US" w:eastAsia="zh-CN" w:bidi="ar-SA"/>
                    </w:rPr>
                  </w:pPr>
                  <w:r>
                    <w:rPr>
                      <w:rFonts w:ascii="Times New Roman" w:eastAsia="宋体" w:cs="Times New Roman" w:hAnsi="Times New Roman"/>
                      <w:b w:val="0"/>
                      <w:bCs w:val="0"/>
                      <w:color w:val="000000"/>
                      <w:kern w:val="0"/>
                      <w:szCs w:val="21"/>
                      <w:lang w:eastAsia="zh-CN"/>
                    </w:rPr>
                    <w:t>HW49（900-041-49）</w:t>
                  </w:r>
                </w:p>
              </w:tc>
              <w:tc>
                <w:tcPr>
                  <w:tcW w:w="2286" w:type="dxa"/>
                  <w:vMerge/>
                  <w:tcBorders>
                    <w:tl2br w:val="nil"/>
                    <w:tr2bl w:val="nil"/>
                  </w:tcBorders>
                  <w:noWrap/>
                  <w:vAlign w:val="center"/>
                </w:tcPr>
                <w:p/>
              </w:tc>
            </w:tr>
            <w:tr>
              <w:trPr>
                <w:trHeight w:val="203"/>
              </w:trPr>
              <w:tc>
                <w:tcPr>
                  <w:tcW w:w="656"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10</w:t>
                  </w:r>
                </w:p>
              </w:tc>
              <w:tc>
                <w:tcPr>
                  <w:tcW w:w="1887"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rPr>
                  </w:pPr>
                  <w:r>
                    <w:rPr>
                      <w:rFonts w:ascii="Times New Roman" w:eastAsia="宋体" w:cs="Times New Roman" w:hAnsi="Times New Roman"/>
                      <w:b w:val="0"/>
                      <w:bCs w:val="0"/>
                      <w:color w:val="000000"/>
                      <w:kern w:val="0"/>
                      <w:sz w:val="21"/>
                      <w:szCs w:val="21"/>
                    </w:rPr>
                    <w:t>生活垃圾</w:t>
                  </w:r>
                </w:p>
              </w:tc>
              <w:tc>
                <w:tcPr>
                  <w:tcW w:w="1338" w:type="dxa"/>
                  <w:tcBorders>
                    <w:tl2br w:val="nil"/>
                    <w:tr2bl w:val="nil"/>
                  </w:tcBorders>
                  <w:noWrap/>
                  <w:vAlign w:val="center"/>
                </w:tcPr>
                <w:p>
                  <w:pPr>
                    <w:widowControl/>
                    <w:spacing w:line="240" w:lineRule="auto"/>
                    <w:jc w:val="center"/>
                    <w:rPr>
                      <w:rFonts w:ascii="Times New Roman" w:eastAsia="宋体" w:cs="Times New Roman" w:hAnsi="Times New Roman"/>
                      <w:b w:val="0"/>
                      <w:bCs w:val="0"/>
                      <w:color w:val="000000"/>
                      <w:kern w:val="0"/>
                      <w:sz w:val="21"/>
                      <w:szCs w:val="21"/>
                      <w:lang w:val="en-US" w:eastAsia="zh-CN"/>
                    </w:rPr>
                  </w:pPr>
                  <w:r>
                    <w:rPr>
                      <w:rFonts w:cs="Times New Roman" w:hint="eastAsia"/>
                      <w:b w:val="0"/>
                      <w:bCs w:val="0"/>
                      <w:color w:val="000000"/>
                      <w:kern w:val="0"/>
                      <w:sz w:val="21"/>
                      <w:szCs w:val="21"/>
                      <w:lang w:val="en-US" w:eastAsia="zh-CN"/>
                    </w:rPr>
                    <w:t>1.80</w:t>
                  </w:r>
                </w:p>
              </w:tc>
              <w:tc>
                <w:tcPr>
                  <w:tcW w:w="2137" w:type="dxa"/>
                  <w:tcBorders>
                    <w:tl2br w:val="nil"/>
                    <w:tr2bl w:val="nil"/>
                  </w:tcBorders>
                  <w:noWrap/>
                  <w:vAlign w:val="center"/>
                </w:tcPr>
                <w:p>
                  <w:pPr>
                    <w:widowControl/>
                    <w:spacing w:line="240" w:lineRule="auto"/>
                    <w:jc w:val="center"/>
                    <w:rPr>
                      <w:rFonts w:ascii="Times New Roman" w:eastAsia="宋体" w:cs="Times New Roman" w:hAnsi="Times New Roman" w:hint="eastAsia"/>
                      <w:b w:val="0"/>
                      <w:bCs w:val="0"/>
                      <w:color w:val="000000"/>
                      <w:kern w:val="0"/>
                      <w:sz w:val="21"/>
                      <w:szCs w:val="21"/>
                      <w:lang w:val="en-US" w:eastAsia="zh-CN"/>
                    </w:rPr>
                  </w:pPr>
                  <w:r>
                    <w:rPr>
                      <w:rFonts w:cs="Times New Roman" w:hint="eastAsia"/>
                      <w:b w:val="0"/>
                      <w:bCs w:val="0"/>
                      <w:color w:val="000000"/>
                      <w:kern w:val="0"/>
                      <w:sz w:val="21"/>
                      <w:szCs w:val="21"/>
                      <w:lang w:val="en-US" w:eastAsia="zh-CN"/>
                    </w:rPr>
                    <w:t>/</w:t>
                  </w:r>
                </w:p>
              </w:tc>
              <w:tc>
                <w:tcPr>
                  <w:tcW w:w="2286" w:type="dxa"/>
                  <w:tcBorders>
                    <w:tl2br w:val="nil"/>
                    <w:tr2bl w:val="nil"/>
                  </w:tcBorders>
                  <w:noWrap/>
                  <w:vAlign w:val="center"/>
                </w:tcPr>
                <w:p>
                  <w:pPr>
                    <w:widowControl/>
                    <w:spacing w:line="240" w:lineRule="auto"/>
                    <w:jc w:val="both"/>
                    <w:rPr>
                      <w:rFonts w:ascii="Times New Roman" w:eastAsia="宋体" w:cs="Times New Roman" w:hAnsi="Times New Roman" w:hint="eastAsia"/>
                      <w:b w:val="0"/>
                      <w:bCs w:val="0"/>
                      <w:color w:val="000000"/>
                      <w:kern w:val="0"/>
                      <w:sz w:val="21"/>
                      <w:szCs w:val="21"/>
                      <w:lang w:eastAsia="zh-CN"/>
                    </w:rPr>
                  </w:pPr>
                  <w:r>
                    <w:rPr>
                      <w:rFonts w:ascii="Times New Roman" w:eastAsia="宋体" w:cs="Times New Roman" w:hAnsi="Times New Roman"/>
                      <w:b w:val="0"/>
                      <w:bCs w:val="0"/>
                      <w:color w:val="000000"/>
                      <w:kern w:val="0"/>
                      <w:sz w:val="21"/>
                      <w:szCs w:val="21"/>
                    </w:rPr>
                    <w:t>存放垃圾桶，交由环卫部门统一清运</w:t>
                  </w:r>
                  <w:r>
                    <w:rPr>
                      <w:rFonts w:cs="Times New Roman" w:hint="eastAsia"/>
                      <w:b w:val="0"/>
                      <w:bCs w:val="0"/>
                      <w:color w:val="000000"/>
                      <w:kern w:val="0"/>
                      <w:sz w:val="21"/>
                      <w:szCs w:val="21"/>
                      <w:lang w:eastAsia="zh-CN"/>
                    </w:rPr>
                    <w:t>；</w:t>
                  </w:r>
                </w:p>
              </w:tc>
            </w:tr>
          </w:tbl>
          <w:p>
            <w:pPr>
              <w:numPr>
                <w:ilvl w:val="0"/>
                <w:numId w:val="56"/>
              </w:num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bCs/>
                <w:sz w:val="24"/>
                <w:szCs w:val="24"/>
                <w:lang w:val="en-US" w:eastAsia="zh-CN"/>
              </w:rPr>
              <w:t>固体废物处置及可行性分析</w:t>
            </w:r>
          </w:p>
          <w:p>
            <w:pPr>
              <w:numPr>
                <w:ilvl w:val="0"/>
                <w:numId w:val="58"/>
              </w:num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val="0"/>
                <w:bCs w:val="0"/>
                <w:sz w:val="24"/>
                <w:szCs w:val="24"/>
                <w:lang w:val="en-US" w:eastAsia="zh-CN"/>
              </w:rPr>
              <w:t>一般工业固体废物</w:t>
            </w:r>
          </w:p>
          <w:p>
            <w:p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val="0"/>
                <w:bCs w:val="0"/>
                <w:sz w:val="24"/>
                <w:szCs w:val="24"/>
                <w:lang w:val="en-US" w:eastAsia="zh-CN"/>
              </w:rPr>
              <w:t>本项目不自行处置固废，设置一</w:t>
            </w:r>
            <w:r>
              <w:rPr>
                <w:rFonts w:cs="Times New Roman" w:hint="eastAsia"/>
                <w:b w:val="0"/>
                <w:bCs w:val="0"/>
                <w:sz w:val="24"/>
                <w:szCs w:val="24"/>
                <w:lang w:val="en-US" w:eastAsia="zh-CN"/>
              </w:rPr>
              <w:t>处一般固体废物暂存区</w:t>
            </w:r>
            <w:r>
              <w:rPr>
                <w:rFonts w:ascii="Times New Roman" w:eastAsia="宋体" w:cs="Times New Roman" w:hAnsi="Times New Roman"/>
                <w:b w:val="0"/>
                <w:bCs w:val="0"/>
                <w:sz w:val="24"/>
                <w:szCs w:val="24"/>
                <w:lang w:val="en-US" w:eastAsia="zh-CN"/>
              </w:rPr>
              <w:t>（</w:t>
            </w:r>
            <w:r>
              <w:rPr>
                <w:rFonts w:cs="Times New Roman" w:hint="eastAsia"/>
                <w:b w:val="0"/>
                <w:bCs w:val="0"/>
                <w:sz w:val="24"/>
                <w:szCs w:val="24"/>
                <w:lang w:val="en-US" w:eastAsia="zh-CN"/>
              </w:rPr>
              <w:t>35.0</w:t>
            </w:r>
            <w:r>
              <w:rPr>
                <w:rFonts w:ascii="Times New Roman" w:eastAsia="宋体" w:cs="Times New Roman" w:hAnsi="Times New Roman"/>
                <w:b w:val="0"/>
                <w:bCs w:val="0"/>
                <w:sz w:val="24"/>
                <w:szCs w:val="24"/>
                <w:lang w:val="en-US" w:eastAsia="zh-CN"/>
              </w:rPr>
              <w:t>m</w:t>
            </w:r>
            <w:r>
              <w:rPr>
                <w:rFonts w:cs="Times New Roman" w:hint="eastAsia"/>
                <w:b w:val="0"/>
                <w:bCs w:val="0"/>
                <w:sz w:val="24"/>
                <w:szCs w:val="24"/>
                <w:vertAlign w:val="superscript"/>
                <w:lang w:val="en-US" w:eastAsia="zh-CN"/>
              </w:rPr>
              <w:t>2</w:t>
            </w:r>
            <w:r>
              <w:rPr>
                <w:rFonts w:ascii="Times New Roman" w:eastAsia="宋体" w:cs="Times New Roman" w:hAnsi="Times New Roman"/>
                <w:b w:val="0"/>
                <w:bCs w:val="0"/>
                <w:sz w:val="24"/>
                <w:szCs w:val="24"/>
                <w:lang w:val="en-US" w:eastAsia="zh-CN"/>
              </w:rPr>
              <w:t>，</w:t>
            </w:r>
            <w:r>
              <w:rPr>
                <w:rFonts w:cs="Times New Roman" w:hint="eastAsia"/>
                <w:b w:val="0"/>
                <w:bCs w:val="0"/>
                <w:sz w:val="24"/>
                <w:szCs w:val="24"/>
                <w:lang w:val="en-US" w:eastAsia="zh-CN"/>
              </w:rPr>
              <w:t>设计堆存高度为1.2m，堆存物密度取1.2t/m</w:t>
            </w:r>
            <w:r>
              <w:rPr>
                <w:rFonts w:cs="Times New Roman" w:hint="eastAsia"/>
                <w:b w:val="0"/>
                <w:bCs w:val="0"/>
                <w:sz w:val="24"/>
                <w:szCs w:val="24"/>
                <w:vertAlign w:val="superscript"/>
                <w:lang w:val="en-US" w:eastAsia="zh-CN"/>
              </w:rPr>
              <w:t>3</w:t>
            </w:r>
            <w:r>
              <w:rPr>
                <w:rFonts w:cs="Times New Roman" w:hint="eastAsia"/>
                <w:b w:val="0"/>
                <w:bCs w:val="0"/>
                <w:sz w:val="24"/>
                <w:szCs w:val="24"/>
                <w:lang w:val="en-US" w:eastAsia="zh-CN"/>
              </w:rPr>
              <w:t>，则最大暂存能力为50.40t</w:t>
            </w:r>
            <w:r>
              <w:rPr>
                <w:rFonts w:ascii="Times New Roman" w:eastAsia="宋体" w:cs="Times New Roman" w:hAnsi="Times New Roman"/>
                <w:b w:val="0"/>
                <w:bCs w:val="0"/>
                <w:sz w:val="24"/>
                <w:szCs w:val="24"/>
                <w:lang w:val="en-US" w:eastAsia="zh-CN"/>
              </w:rPr>
              <w:t>），对于需要在厂内暂存的一般工业固体废物，均由公司统一布置，在车间内的一般工业固体废物暂存区暂存并及时外运</w:t>
            </w:r>
            <w:r>
              <w:rPr>
                <w:rFonts w:cs="Times New Roman" w:hint="eastAsia"/>
                <w:b w:val="0"/>
                <w:bCs w:val="0"/>
                <w:sz w:val="24"/>
                <w:szCs w:val="24"/>
                <w:lang w:val="en-US" w:eastAsia="zh-CN"/>
              </w:rPr>
              <w:t>（评价要求最大存储量不超过暂存能力的85%，最低转运频次不低于2次/月）；一般固废堆放区需采取“四防”：防风、防雨、防晒及防渗漏措施，各类固废分类收集并按《环境保护图形标志—固体废物贮存（处置）场》（GB15562.2-1995）修改单（2023-07-01）设置警示标识</w:t>
            </w:r>
            <w:r>
              <w:rPr>
                <w:rFonts w:ascii="Times New Roman" w:eastAsia="宋体" w:cs="Times New Roman" w:hAnsi="Times New Roman"/>
                <w:b w:val="0"/>
                <w:bCs w:val="0"/>
                <w:sz w:val="24"/>
                <w:szCs w:val="24"/>
                <w:lang w:val="en-US" w:eastAsia="zh-CN"/>
              </w:rPr>
              <w:t>。</w:t>
            </w:r>
          </w:p>
          <w:p>
            <w:pPr>
              <w:numPr>
                <w:ilvl w:val="0"/>
                <w:numId w:val="58"/>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危险废物</w:t>
            </w:r>
          </w:p>
          <w:p>
            <w:p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val="0"/>
                <w:bCs w:val="0"/>
                <w:sz w:val="24"/>
                <w:szCs w:val="24"/>
                <w:lang w:val="en-US" w:eastAsia="zh-CN"/>
              </w:rPr>
              <w:t>①危险废物基本情况</w:t>
            </w:r>
          </w:p>
          <w:p>
            <w:p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bidi w:val="0"/>
              <w:spacing w:line="36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lang w:val="en-US" w:eastAsia="zh-CN"/>
              </w:rPr>
              <w:t>表4</w:t>
            </w:r>
            <w:r>
              <w:rPr>
                <w:rFonts w:cs="Times New Roman" w:hint="eastAsia"/>
                <w:b/>
                <w:bCs/>
                <w:sz w:val="21"/>
                <w:szCs w:val="21"/>
                <w:lang w:val="en-US" w:eastAsia="zh-CN"/>
              </w:rPr>
              <w:t xml:space="preserve">-13 </w:t>
            </w:r>
            <w:r>
              <w:rPr>
                <w:rFonts w:ascii="Times New Roman" w:eastAsia="宋体" w:cs="Times New Roman" w:hAnsi="Times New Roman"/>
                <w:b/>
                <w:bCs/>
                <w:sz w:val="21"/>
                <w:szCs w:val="21"/>
                <w:lang w:val="en-US" w:eastAsia="zh-CN"/>
              </w:rPr>
              <w:t>危险废物基本情况汇总表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787"/>
              <w:gridCol w:w="2178"/>
              <w:gridCol w:w="2178"/>
              <w:gridCol w:w="2180"/>
            </w:tblGrid>
            <w:tr>
              <w:tc>
                <w:tcPr>
                  <w:tcW w:w="1787"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危险废物名称</w:t>
                  </w:r>
                </w:p>
              </w:tc>
              <w:tc>
                <w:tcPr>
                  <w:tcW w:w="2178"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废电路板</w:t>
                  </w:r>
                </w:p>
              </w:tc>
              <w:tc>
                <w:tcPr>
                  <w:tcW w:w="2178"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废含汞元（器）件</w:t>
                  </w:r>
                </w:p>
              </w:tc>
              <w:tc>
                <w:tcPr>
                  <w:tcW w:w="2180"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cs="Times New Roman" w:hint="eastAsia"/>
                      <w:b/>
                      <w:bCs/>
                      <w:sz w:val="21"/>
                      <w:szCs w:val="21"/>
                      <w:vertAlign w:val="baseline"/>
                      <w:lang w:val="en-US" w:eastAsia="zh-CN"/>
                    </w:rPr>
                    <w:t>废矿物油</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危险废物类别</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HW49</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HW29</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HW08</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危险废物代码</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900-045-49</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900-024-29</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900-218-08</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产生量（t/a）</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15.4</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0.45</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0.15</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产生工序装置</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拆解过程</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拆解过程</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拆解过程</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形态</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固</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固</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液</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主要成分</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多氯联苯</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汞</w:t>
                  </w:r>
                </w:p>
              </w:tc>
              <w:tc>
                <w:tcPr>
                  <w:tcW w:w="218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矿物油</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有害成分</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多氯联苯</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汞</w:t>
                  </w:r>
                </w:p>
              </w:tc>
              <w:tc>
                <w:tcPr>
                  <w:tcW w:w="218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矿物油</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产废周期</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天</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天</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天</w:t>
                  </w:r>
                </w:p>
              </w:tc>
            </w:tr>
            <w:tr>
              <w:tc>
                <w:tcPr>
                  <w:tcW w:w="1787"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危险特性</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T</w:t>
                  </w:r>
                </w:p>
              </w:tc>
              <w:tc>
                <w:tcPr>
                  <w:tcW w:w="2178"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T</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T</w:t>
                  </w:r>
                </w:p>
              </w:tc>
            </w:tr>
            <w:tr>
              <w:trPr>
                <w:trHeight w:val="30"/>
              </w:trPr>
              <w:tc>
                <w:tcPr>
                  <w:tcW w:w="8323" w:type="dxa"/>
                  <w:gridSpan w:val="4"/>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危险废物名称</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bCs/>
                      <w:kern w:val="2"/>
                      <w:sz w:val="21"/>
                      <w:szCs w:val="21"/>
                      <w:vertAlign w:val="baseline"/>
                      <w:lang w:val="en-US" w:eastAsia="zh-CN" w:bidi="ar-SA"/>
                    </w:rPr>
                  </w:pPr>
                  <w:r>
                    <w:rPr>
                      <w:rFonts w:hint="eastAsia"/>
                      <w:b/>
                      <w:bCs/>
                      <w:lang w:eastAsia="zh-CN"/>
                    </w:rPr>
                    <w:t>废润滑油</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hint="eastAsia"/>
                      <w:b/>
                      <w:bCs/>
                      <w:kern w:val="2"/>
                      <w:sz w:val="21"/>
                      <w:szCs w:val="21"/>
                      <w:vertAlign w:val="baseline"/>
                      <w:lang w:val="en-US" w:eastAsia="zh-CN" w:bidi="ar-SA"/>
                    </w:rPr>
                  </w:pPr>
                  <w:r>
                    <w:rPr>
                      <w:rFonts w:hint="eastAsia"/>
                      <w:b/>
                      <w:bCs/>
                    </w:rPr>
                    <w:t>含油废劳保用品</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危险废物类别</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HW08</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HW49</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危险废物代码</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900-217-08</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900-041-49</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产生量（t/a）</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kern w:val="2"/>
                      <w:sz w:val="21"/>
                      <w:szCs w:val="21"/>
                      <w:vertAlign w:val="baseline"/>
                      <w:lang w:val="en-US" w:eastAsia="zh-CN" w:bidi="ar-SA"/>
                    </w:rPr>
                    <w:t>0.01</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kern w:val="2"/>
                      <w:sz w:val="21"/>
                      <w:szCs w:val="21"/>
                      <w:vertAlign w:val="baseline"/>
                      <w:lang w:val="en-US" w:eastAsia="zh-CN" w:bidi="ar-SA"/>
                    </w:rPr>
                    <w:t>0.005</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产生工序装置</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设备维修</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设备维修</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形态</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液</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固</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主要成分</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矿物油</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矿物油</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有害成分</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矿物油</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矿物油</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产废周期</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不定期</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不定期</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0"/>
              </w:trPr>
              <w:tc>
                <w:tcPr>
                  <w:tcW w:w="1787"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危险特性</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T/I</w:t>
                  </w:r>
                </w:p>
              </w:tc>
              <w:tc>
                <w:tcPr>
                  <w:tcW w:w="2178"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T/I</w:t>
                  </w:r>
                </w:p>
              </w:tc>
              <w:tc>
                <w:tcPr>
                  <w:tcW w:w="218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c>
                <w:tcPr>
                  <w:tcW w:w="8323" w:type="dxa"/>
                  <w:gridSpan w:val="4"/>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bCs/>
                      <w:sz w:val="21"/>
                      <w:szCs w:val="21"/>
                      <w:vertAlign w:val="baseline"/>
                      <w:lang w:val="en-US" w:eastAsia="zh-CN"/>
                    </w:rPr>
                    <w:t>污染防治措施</w:t>
                  </w:r>
                  <w:r>
                    <w:rPr>
                      <w:rFonts w:cs="Times New Roman" w:hint="eastAsia"/>
                      <w:b/>
                      <w:bCs/>
                      <w:sz w:val="21"/>
                      <w:szCs w:val="21"/>
                      <w:vertAlign w:val="baseline"/>
                      <w:lang w:val="en-US" w:eastAsia="zh-CN"/>
                    </w:rPr>
                    <w:t>：</w:t>
                  </w:r>
                  <w:r>
                    <w:rPr>
                      <w:rFonts w:ascii="Times New Roman" w:eastAsia="宋体" w:cs="Times New Roman" w:hAnsi="Times New Roman"/>
                      <w:b w:val="0"/>
                      <w:bCs w:val="0"/>
                      <w:sz w:val="21"/>
                      <w:szCs w:val="21"/>
                      <w:vertAlign w:val="baseline"/>
                      <w:lang w:val="en-US" w:eastAsia="zh-CN"/>
                    </w:rPr>
                    <w:t>贮存于危废暂存间，并定期委托有资质的单位进行处理。</w:t>
                  </w:r>
                </w:p>
              </w:tc>
            </w:tr>
          </w:tbl>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②危险废物暂存要求</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本项目设置一处危险废物暂存间（20m</w:t>
            </w:r>
            <w:r>
              <w:rPr>
                <w:rFonts w:cs="Times New Roman" w:hint="eastAsia"/>
                <w:sz w:val="24"/>
                <w:szCs w:val="24"/>
                <w:vertAlign w:val="superscript"/>
                <w:lang w:val="en-US" w:eastAsia="zh-CN"/>
              </w:rPr>
              <w:t>2</w:t>
            </w:r>
            <w:r>
              <w:rPr>
                <w:rFonts w:cs="Times New Roman" w:hint="eastAsia"/>
                <w:sz w:val="24"/>
                <w:szCs w:val="24"/>
                <w:lang w:val="en-US" w:eastAsia="zh-CN"/>
              </w:rPr>
              <w:t>）用于危险废物暂存；为保证暂存的危险废物不对环境产生污染，依据《废弃电器电子产品规范拆解处理作业及生产管理指南》（2015年版）关于拆解过程废物的处置要求及《危险废物贮存污染控制标准》（GB18597-2023）、《危险废物转移管理办法》（2022年1月1日实施）及《危险废物收集贮存运输技术规范》（HJ2025-2012）等相关法律法规对危险废物暂存场地提出如下安全措施：</w:t>
            </w:r>
          </w:p>
          <w:p>
            <w:pPr>
              <w:numPr>
                <w:ilvl w:val="0"/>
                <w:numId w:val="59"/>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应设置单独的危险废物暂存地点，该暂存地点地面及裙角应做、耐腐蚀硬化、防渗漏处理，且表面无裂痕，所使用的材料要与危险废物不相容。</w:t>
            </w:r>
          </w:p>
          <w:p>
            <w:pPr>
              <w:numPr>
                <w:ilvl w:val="0"/>
                <w:numId w:val="59"/>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危险废物应存储于容器中，并在容器外表设置环境保护图形标志和警示标志。</w:t>
            </w:r>
          </w:p>
          <w:p>
            <w:pPr>
              <w:numPr>
                <w:ilvl w:val="0"/>
                <w:numId w:val="59"/>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pPr>
              <w:numPr>
                <w:ilvl w:val="0"/>
                <w:numId w:val="59"/>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建立档案制度，对暂存的废物种类、数量、特性、包装容器类别、存放库位、存入日期、运出日期等详细记录在案并长期保存。</w:t>
            </w:r>
          </w:p>
          <w:p>
            <w:pPr>
              <w:numPr>
                <w:ilvl w:val="0"/>
                <w:numId w:val="59"/>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w:t>
            </w:r>
            <w:r>
              <w:rPr>
                <w:rFonts w:cs="Times New Roman"/>
                <w:sz w:val="24"/>
                <w:szCs w:val="24"/>
                <w:lang w:val="en-US" w:eastAsia="zh-CN"/>
              </w:rPr>
              <w:t>泄漏</w:t>
            </w:r>
            <w:r>
              <w:rPr>
                <w:rFonts w:cs="Times New Roman" w:hint="eastAsia"/>
                <w:sz w:val="24"/>
                <w:szCs w:val="24"/>
                <w:lang w:val="en-US" w:eastAsia="zh-CN"/>
              </w:rPr>
              <w:t>事故及时向有关部门通报。</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本项目危险废物贮存场所（设施）基本情况详见下表。</w:t>
            </w:r>
          </w:p>
          <w:p>
            <w:pPr>
              <w:bidi w:val="0"/>
              <w:spacing w:line="360" w:lineRule="auto"/>
              <w:jc w:val="center"/>
              <w:rPr>
                <w:rFonts w:cs="Times New Roman" w:hint="eastAsia"/>
                <w:b/>
                <w:bCs/>
                <w:sz w:val="21"/>
                <w:szCs w:val="21"/>
                <w:lang w:val="en-US" w:eastAsia="zh-CN"/>
              </w:rPr>
            </w:pPr>
            <w:r>
              <w:rPr>
                <w:rFonts w:cs="Times New Roman" w:hint="eastAsia"/>
                <w:b/>
                <w:bCs/>
                <w:sz w:val="21"/>
                <w:szCs w:val="21"/>
                <w:lang w:val="en-US" w:eastAsia="zh-CN"/>
              </w:rPr>
              <w:t>表4-14 建设项目危险废物产生及暂存场所基本情况</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45"/>
              <w:gridCol w:w="2159"/>
              <w:gridCol w:w="2159"/>
              <w:gridCol w:w="2160"/>
            </w:tblGrid>
            <w:tr>
              <w:tc>
                <w:tcPr>
                  <w:tcW w:w="1845"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贮存场所名称</w:t>
                  </w:r>
                </w:p>
              </w:tc>
              <w:tc>
                <w:tcPr>
                  <w:tcW w:w="6478" w:type="dxa"/>
                  <w:gridSpan w:val="3"/>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危废暂存间</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危险废物名称</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bCs/>
                      <w:sz w:val="21"/>
                      <w:szCs w:val="21"/>
                      <w:vertAlign w:val="baseline"/>
                      <w:lang w:val="en-US" w:eastAsia="zh-CN"/>
                    </w:rPr>
                    <w:t>废电路板</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bCs/>
                      <w:sz w:val="21"/>
                      <w:szCs w:val="21"/>
                      <w:vertAlign w:val="baseline"/>
                      <w:lang w:val="en-US" w:eastAsia="zh-CN"/>
                    </w:rPr>
                    <w:t>废含汞元（器）件</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废矿物油</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危险废物类别</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HW49</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HW29</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HW08</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危险废物代码</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900-045-49</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900-024-29</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900-218-08</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位置</w:t>
                  </w:r>
                </w:p>
              </w:tc>
              <w:tc>
                <w:tcPr>
                  <w:tcW w:w="6478" w:type="dxa"/>
                  <w:gridSpan w:val="3"/>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hint="eastAsia"/>
                      <w:sz w:val="21"/>
                      <w:szCs w:val="21"/>
                    </w:rPr>
                    <w:t>面积</w:t>
                  </w:r>
                </w:p>
              </w:tc>
              <w:tc>
                <w:tcPr>
                  <w:tcW w:w="6478" w:type="dxa"/>
                  <w:gridSpan w:val="3"/>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hint="eastAsia"/>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lang w:val="en-US" w:eastAsia="zh-CN"/>
                    </w:rPr>
                    <w:t>2</w:t>
                  </w:r>
                </w:p>
              </w:tc>
            </w:tr>
            <w:tr>
              <w:trPr>
                <w:trHeight w:val="90"/>
              </w:trP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贮存方式</w:t>
                  </w:r>
                </w:p>
              </w:tc>
              <w:tc>
                <w:tcPr>
                  <w:tcW w:w="215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200L</w:t>
                  </w:r>
                  <w:r>
                    <w:rPr>
                      <w:rFonts w:cs="Times New Roman" w:hint="eastAsia"/>
                      <w:b w:val="0"/>
                      <w:bCs w:val="0"/>
                      <w:sz w:val="21"/>
                      <w:szCs w:val="21"/>
                      <w:vertAlign w:val="baseline"/>
                      <w:lang w:val="en-US" w:eastAsia="zh-CN"/>
                    </w:rPr>
                    <w:t>塑料</w:t>
                  </w:r>
                  <w:r>
                    <w:rPr>
                      <w:rFonts w:ascii="Times New Roman" w:eastAsia="宋体" w:cs="Times New Roman" w:hAnsi="Times New Roman"/>
                      <w:b w:val="0"/>
                      <w:bCs w:val="0"/>
                      <w:sz w:val="21"/>
                      <w:szCs w:val="21"/>
                      <w:vertAlign w:val="baseline"/>
                      <w:lang w:val="en-US" w:eastAsia="zh-CN"/>
                    </w:rPr>
                    <w:t>桶</w:t>
                  </w:r>
                </w:p>
              </w:tc>
              <w:tc>
                <w:tcPr>
                  <w:tcW w:w="215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200L</w:t>
                  </w:r>
                  <w:r>
                    <w:rPr>
                      <w:rFonts w:cs="Times New Roman" w:hint="eastAsia"/>
                      <w:b w:val="0"/>
                      <w:bCs w:val="0"/>
                      <w:sz w:val="21"/>
                      <w:szCs w:val="21"/>
                      <w:vertAlign w:val="baseline"/>
                      <w:lang w:val="en-US" w:eastAsia="zh-CN"/>
                    </w:rPr>
                    <w:t>塑料</w:t>
                  </w:r>
                  <w:r>
                    <w:rPr>
                      <w:rFonts w:ascii="Times New Roman" w:eastAsia="宋体" w:cs="Times New Roman" w:hAnsi="Times New Roman"/>
                      <w:b w:val="0"/>
                      <w:bCs w:val="0"/>
                      <w:sz w:val="21"/>
                      <w:szCs w:val="21"/>
                      <w:vertAlign w:val="baseline"/>
                      <w:lang w:val="en-US" w:eastAsia="zh-CN"/>
                    </w:rPr>
                    <w:t>桶</w:t>
                  </w:r>
                </w:p>
              </w:tc>
              <w:tc>
                <w:tcPr>
                  <w:tcW w:w="216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20L铁桶</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贮存能力</w:t>
                  </w:r>
                </w:p>
              </w:tc>
              <w:tc>
                <w:tcPr>
                  <w:tcW w:w="215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10.0t</w:t>
                  </w:r>
                </w:p>
              </w:tc>
              <w:tc>
                <w:tcPr>
                  <w:tcW w:w="215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1.5t</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1.0t</w:t>
                  </w:r>
                </w:p>
              </w:tc>
            </w:tr>
            <w:tr>
              <w:tc>
                <w:tcPr>
                  <w:tcW w:w="184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val="0"/>
                      <w:bCs w:val="0"/>
                      <w:sz w:val="21"/>
                      <w:szCs w:val="21"/>
                      <w:vertAlign w:val="baseline"/>
                      <w:lang w:val="en-US" w:eastAsia="zh-CN"/>
                    </w:rPr>
                    <w:t>贮存周期</w:t>
                  </w:r>
                </w:p>
              </w:tc>
              <w:tc>
                <w:tcPr>
                  <w:tcW w:w="215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季</w:t>
                  </w:r>
                </w:p>
              </w:tc>
              <w:tc>
                <w:tcPr>
                  <w:tcW w:w="215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年</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cs="Times New Roman" w:hint="eastAsia"/>
                      <w:b w:val="0"/>
                      <w:bCs w:val="0"/>
                      <w:sz w:val="21"/>
                      <w:szCs w:val="21"/>
                      <w:vertAlign w:val="baseline"/>
                      <w:lang w:val="en-US" w:eastAsia="zh-CN"/>
                    </w:rPr>
                    <w:t>年</w:t>
                  </w:r>
                </w:p>
              </w:tc>
            </w:tr>
            <w:tr>
              <w:trPr>
                <w:trHeight w:val="75"/>
              </w:trPr>
              <w:tc>
                <w:tcPr>
                  <w:tcW w:w="8323" w:type="dxa"/>
                  <w:gridSpan w:val="4"/>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p>
              </w:tc>
            </w:tr>
            <w:tr>
              <w:trPr>
                <w:trHeight w:val="75"/>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bCs/>
                      <w:kern w:val="2"/>
                      <w:sz w:val="21"/>
                      <w:szCs w:val="21"/>
                      <w:vertAlign w:val="baseline"/>
                      <w:lang w:val="en-US" w:eastAsia="zh-CN" w:bidi="ar-SA"/>
                    </w:rPr>
                  </w:pPr>
                  <w:r>
                    <w:rPr>
                      <w:rFonts w:ascii="Times New Roman" w:eastAsia="宋体" w:cs="Times New Roman" w:hAnsi="Times New Roman"/>
                      <w:b/>
                      <w:bCs/>
                      <w:sz w:val="21"/>
                      <w:szCs w:val="21"/>
                      <w:vertAlign w:val="baseline"/>
                      <w:lang w:val="en-US" w:eastAsia="zh-CN"/>
                    </w:rPr>
                    <w:t>贮存场所名称</w:t>
                  </w:r>
                </w:p>
              </w:tc>
              <w:tc>
                <w:tcPr>
                  <w:tcW w:w="6478" w:type="dxa"/>
                  <w:gridSpan w:val="3"/>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b w:val="0"/>
                      <w:bCs w:val="0"/>
                      <w:sz w:val="21"/>
                      <w:szCs w:val="21"/>
                      <w:vertAlign w:val="baseline"/>
                      <w:lang w:val="en-US" w:eastAsia="zh-CN"/>
                    </w:rPr>
                  </w:pPr>
                  <w:r>
                    <w:rPr>
                      <w:rFonts w:ascii="Times New Roman" w:eastAsia="宋体" w:cs="Times New Roman" w:hAnsi="Times New Roman"/>
                      <w:b/>
                      <w:bCs/>
                      <w:sz w:val="21"/>
                      <w:szCs w:val="21"/>
                      <w:vertAlign w:val="baseline"/>
                      <w:lang w:val="en-US" w:eastAsia="zh-CN"/>
                    </w:rPr>
                    <w:t>危废暂存间</w:t>
                  </w:r>
                </w:p>
              </w:tc>
            </w:tr>
            <w:tr>
              <w:trPr>
                <w:trHeight w:val="75"/>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bCs/>
                      <w:kern w:val="2"/>
                      <w:sz w:val="21"/>
                      <w:szCs w:val="21"/>
                      <w:vertAlign w:val="baseline"/>
                      <w:lang w:val="en-US" w:eastAsia="zh-CN" w:bidi="ar-SA"/>
                    </w:rPr>
                  </w:pPr>
                  <w:r>
                    <w:rPr>
                      <w:rFonts w:ascii="Times New Roman" w:eastAsia="宋体" w:cs="Times New Roman" w:hAnsi="Times New Roman"/>
                      <w:b/>
                      <w:bCs/>
                      <w:sz w:val="21"/>
                      <w:szCs w:val="21"/>
                      <w:vertAlign w:val="baseline"/>
                      <w:lang w:val="en-US" w:eastAsia="zh-CN"/>
                    </w:rPr>
                    <w:t>危险废物名称</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hint="eastAsia"/>
                      <w:b/>
                      <w:bCs/>
                      <w:lang w:eastAsia="zh-CN"/>
                    </w:rPr>
                    <w:t>废润滑油</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hint="eastAsia"/>
                      <w:b w:val="0"/>
                      <w:bCs w:val="0"/>
                      <w:kern w:val="2"/>
                      <w:sz w:val="21"/>
                      <w:szCs w:val="21"/>
                      <w:vertAlign w:val="baseline"/>
                      <w:lang w:val="en-US" w:eastAsia="zh-CN" w:bidi="ar-SA"/>
                    </w:rPr>
                  </w:pPr>
                  <w:r>
                    <w:rPr>
                      <w:rFonts w:hint="eastAsia"/>
                      <w:b/>
                      <w:bCs/>
                    </w:rPr>
                    <w:t>含油废劳保用品</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bCs/>
                      <w:sz w:val="21"/>
                      <w:szCs w:val="21"/>
                      <w:vertAlign w:val="baseline"/>
                      <w:lang w:val="en-US" w:eastAsia="zh-CN"/>
                    </w:rPr>
                    <w:t>/</w:t>
                  </w:r>
                </w:p>
              </w:tc>
            </w:tr>
            <w:tr>
              <w:trPr>
                <w:trHeight w:val="75"/>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危险废物类别</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HW08</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HW49</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bCs/>
                      <w:sz w:val="21"/>
                      <w:szCs w:val="21"/>
                      <w:vertAlign w:val="baseline"/>
                      <w:lang w:val="en-US" w:eastAsia="zh-CN"/>
                    </w:rPr>
                    <w:t>/</w:t>
                  </w:r>
                </w:p>
              </w:tc>
            </w:tr>
            <w:tr>
              <w:trPr>
                <w:trHeight w:val="39"/>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危险废物代码</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900-217-08</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900-041-49</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bCs/>
                      <w:sz w:val="21"/>
                      <w:szCs w:val="21"/>
                      <w:vertAlign w:val="baseline"/>
                      <w:lang w:val="en-US" w:eastAsia="zh-CN"/>
                    </w:rPr>
                    <w:t>/</w:t>
                  </w:r>
                </w:p>
              </w:tc>
            </w:tr>
            <w:tr>
              <w:trPr>
                <w:trHeight w:val="39"/>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位置</w:t>
                  </w:r>
                </w:p>
              </w:tc>
              <w:tc>
                <w:tcPr>
                  <w:tcW w:w="6478" w:type="dxa"/>
                  <w:gridSpan w:val="3"/>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rPr>
                <w:trHeight w:val="39"/>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hint="eastAsia"/>
                      <w:sz w:val="21"/>
                      <w:szCs w:val="21"/>
                    </w:rPr>
                    <w:t>面积</w:t>
                  </w:r>
                </w:p>
              </w:tc>
              <w:tc>
                <w:tcPr>
                  <w:tcW w:w="6478" w:type="dxa"/>
                  <w:gridSpan w:val="3"/>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hint="eastAsia"/>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lang w:val="en-US" w:eastAsia="zh-CN"/>
                    </w:rPr>
                    <w:t>2</w:t>
                  </w:r>
                </w:p>
              </w:tc>
            </w:tr>
            <w:tr>
              <w:trPr>
                <w:trHeight w:val="39"/>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贮存方式</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20L铁桶</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20L铁桶</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sz w:val="21"/>
                      <w:szCs w:val="21"/>
                      <w:vertAlign w:val="baseline"/>
                      <w:lang w:val="en-US" w:eastAsia="zh-CN"/>
                    </w:rPr>
                  </w:pPr>
                  <w:r>
                    <w:rPr>
                      <w:rFonts w:cs="Times New Roman" w:hint="eastAsia"/>
                      <w:b/>
                      <w:bCs/>
                      <w:sz w:val="21"/>
                      <w:szCs w:val="21"/>
                      <w:vertAlign w:val="baseline"/>
                      <w:lang w:val="en-US" w:eastAsia="zh-CN"/>
                    </w:rPr>
                    <w:t>/</w:t>
                  </w:r>
                </w:p>
              </w:tc>
            </w:tr>
            <w:tr>
              <w:trPr>
                <w:trHeight w:val="39"/>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贮存能力</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1.0t</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sz w:val="21"/>
                      <w:szCs w:val="21"/>
                      <w:vertAlign w:val="baseline"/>
                      <w:lang w:val="en-US" w:eastAsia="zh-CN"/>
                    </w:rPr>
                    <w:t>0.5t</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kern w:val="2"/>
                      <w:sz w:val="21"/>
                      <w:szCs w:val="21"/>
                      <w:vertAlign w:val="baseline"/>
                      <w:lang w:val="en-US" w:eastAsia="zh-CN" w:bidi="ar-SA"/>
                    </w:rPr>
                    <w:t>/</w:t>
                  </w:r>
                </w:p>
              </w:tc>
            </w:tr>
            <w:tr>
              <w:trPr>
                <w:trHeight w:val="39"/>
              </w:trPr>
              <w:tc>
                <w:tcPr>
                  <w:tcW w:w="184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贮存周期</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年</w:t>
                  </w:r>
                </w:p>
              </w:tc>
              <w:tc>
                <w:tcPr>
                  <w:tcW w:w="2159"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ascii="Times New Roman" w:eastAsia="宋体" w:cs="Times New Roman" w:hAnsi="Times New Roman"/>
                      <w:b w:val="0"/>
                      <w:bCs w:val="0"/>
                      <w:sz w:val="21"/>
                      <w:szCs w:val="21"/>
                      <w:vertAlign w:val="baseline"/>
                      <w:lang w:val="en-US" w:eastAsia="zh-CN"/>
                    </w:rPr>
                    <w:t>年</w:t>
                  </w:r>
                </w:p>
              </w:tc>
              <w:tc>
                <w:tcPr>
                  <w:tcW w:w="216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b w:val="0"/>
                      <w:bCs w:val="0"/>
                      <w:kern w:val="2"/>
                      <w:sz w:val="21"/>
                      <w:szCs w:val="21"/>
                      <w:vertAlign w:val="baseline"/>
                      <w:lang w:val="en-US" w:eastAsia="zh-CN" w:bidi="ar-SA"/>
                    </w:rPr>
                  </w:pPr>
                  <w:r>
                    <w:rPr>
                      <w:rFonts w:cs="Times New Roman" w:hint="eastAsia"/>
                      <w:b w:val="0"/>
                      <w:bCs w:val="0"/>
                      <w:kern w:val="2"/>
                      <w:sz w:val="21"/>
                      <w:szCs w:val="21"/>
                      <w:vertAlign w:val="baseline"/>
                      <w:lang w:val="en-US" w:eastAsia="zh-CN" w:bidi="ar-SA"/>
                    </w:rPr>
                    <w:t>/</w:t>
                  </w:r>
                </w:p>
              </w:tc>
            </w:tr>
          </w:tbl>
          <w:p>
            <w:pPr>
              <w:bidi w:val="0"/>
              <w:spacing w:line="360" w:lineRule="auto"/>
              <w:ind w:left="0" w:firstLineChars="200" w:firstLine="480"/>
              <w:rPr>
                <w:rFonts w:cs="Times New Roman" w:hint="eastAsia"/>
                <w:b/>
                <w:bCs/>
                <w:sz w:val="24"/>
                <w:szCs w:val="24"/>
                <w:lang w:val="en-US" w:eastAsia="zh-CN"/>
              </w:rPr>
            </w:pPr>
            <w:r>
              <w:rPr>
                <w:rFonts w:cs="Times New Roman" w:hint="eastAsia"/>
                <w:b/>
                <w:bCs/>
                <w:sz w:val="24"/>
                <w:szCs w:val="24"/>
                <w:lang w:val="en-US" w:eastAsia="zh-CN"/>
              </w:rPr>
              <w:t>③危险废物环境影响分析</w:t>
            </w:r>
          </w:p>
          <w:p>
            <w:pPr>
              <w:numPr>
                <w:ilvl w:val="0"/>
                <w:numId w:val="60"/>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贮存场所环境影响分析</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危险废物暂存场所（危废暂存间）设置于车间西侧，面积20m</w:t>
            </w:r>
            <w:r>
              <w:rPr>
                <w:rFonts w:cs="Times New Roman" w:hint="eastAsia"/>
                <w:sz w:val="24"/>
                <w:szCs w:val="24"/>
                <w:vertAlign w:val="superscript"/>
                <w:lang w:val="en-US" w:eastAsia="zh-CN"/>
              </w:rPr>
              <w:t>2</w:t>
            </w:r>
            <w:r>
              <w:rPr>
                <w:rFonts w:cs="Times New Roman" w:hint="eastAsia"/>
                <w:sz w:val="24"/>
                <w:szCs w:val="24"/>
                <w:lang w:val="en-US" w:eastAsia="zh-CN"/>
              </w:rPr>
              <w:t>，应满足“四防”（防风、防雨、防晒、防渗漏）要求，采取防渗漏措施和渗漏收集措施，并设置警示标志，在采取严格防治措施的前提下，危险废物贮存场所不会造成不利环境影响。</w:t>
            </w:r>
          </w:p>
          <w:p>
            <w:pPr>
              <w:numPr>
                <w:ilvl w:val="0"/>
                <w:numId w:val="60"/>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运输过程的环境影响分析</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危险废物贮存在危废暂存间内，生产车间地面及通道采取硬化和防腐防渗措施，因此危险废物从产生工艺环节运输到暂存场所的过程中产生散落和泄露均会将影响控制在厂房内，不会对周围环境敏感点及地下水环境产生不利影响；</w:t>
            </w:r>
          </w:p>
          <w:p>
            <w:pPr>
              <w:numPr>
                <w:ilvl w:val="0"/>
                <w:numId w:val="60"/>
              </w:num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委托利用或者处置的环境影响分析</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本项目各类危险废物均委托有相关资质的单位进行处置，不会产生显著的环境影响。</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综上所述，</w:t>
            </w: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项目针对营运期产生的</w:t>
            </w:r>
            <w:r>
              <w:rPr>
                <w:rFonts w:cs="Times New Roman" w:hint="eastAsia"/>
                <w:sz w:val="24"/>
                <w:szCs w:val="24"/>
                <w:lang w:val="en-US" w:eastAsia="zh-CN"/>
              </w:rPr>
              <w:t>各类</w:t>
            </w:r>
            <w:r>
              <w:rPr>
                <w:rFonts w:ascii="Times New Roman" w:eastAsia="宋体" w:cs="Times New Roman" w:hAnsi="Times New Roman"/>
                <w:sz w:val="24"/>
                <w:szCs w:val="24"/>
                <w:lang w:val="en-US" w:eastAsia="zh-CN"/>
              </w:rPr>
              <w:t>固废进行分类收集，根据其类型采取相应的处置措施后，固废均可得到合理处置，去向明确，不会对环境造成二次污染。</w:t>
            </w:r>
          </w:p>
          <w:p>
            <w:pPr>
              <w:numPr>
                <w:ilvl w:val="0"/>
                <w:numId w:val="47"/>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b/>
                <w:bCs/>
                <w:sz w:val="24"/>
                <w:szCs w:val="24"/>
                <w:lang w:val="en-US" w:eastAsia="zh-CN"/>
              </w:rPr>
              <w:t>地下水、土壤影响分析</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本项目</w:t>
            </w:r>
            <w:r>
              <w:rPr>
                <w:rFonts w:cs="Times New Roman" w:hint="eastAsia"/>
                <w:sz w:val="24"/>
                <w:szCs w:val="24"/>
                <w:lang w:val="en-US" w:eastAsia="zh-CN"/>
              </w:rPr>
              <w:t>位于所在建筑物第三层，</w:t>
            </w:r>
            <w:r>
              <w:rPr>
                <w:rFonts w:ascii="Times New Roman" w:eastAsia="宋体" w:cs="Times New Roman" w:hAnsi="Times New Roman"/>
                <w:sz w:val="24"/>
                <w:szCs w:val="24"/>
                <w:lang w:val="en-US" w:eastAsia="zh-CN"/>
              </w:rPr>
              <w:t>施工期和营运期均不涉及地下水开采，均不会对地下水水位造成影响。一般情况下对地下水的污染主要是由于污染物迁移穿过包气带进入含水层造成，本项目无生产废水排放，对地下水可能造成的影响来自非正常情况下，</w:t>
            </w:r>
            <w:r>
              <w:rPr>
                <w:rFonts w:cs="Times New Roman" w:hint="eastAsia"/>
                <w:sz w:val="24"/>
                <w:szCs w:val="24"/>
                <w:lang w:val="en-US" w:eastAsia="zh-CN"/>
              </w:rPr>
              <w:t>包装物</w:t>
            </w:r>
            <w:r>
              <w:rPr>
                <w:rFonts w:ascii="Times New Roman" w:eastAsia="宋体" w:cs="Times New Roman" w:hAnsi="Times New Roman"/>
                <w:sz w:val="24"/>
                <w:szCs w:val="24"/>
                <w:lang w:val="en-US" w:eastAsia="zh-CN"/>
              </w:rPr>
              <w:t>破损导致泄漏，在未及时处理的情况下，废液</w:t>
            </w:r>
            <w:r>
              <w:rPr>
                <w:rFonts w:cs="Times New Roman" w:hint="eastAsia"/>
                <w:sz w:val="24"/>
                <w:szCs w:val="24"/>
                <w:lang w:val="en-US" w:eastAsia="zh-CN"/>
              </w:rPr>
              <w:t>等</w:t>
            </w:r>
            <w:r>
              <w:rPr>
                <w:rFonts w:ascii="Times New Roman" w:eastAsia="宋体" w:cs="Times New Roman" w:hAnsi="Times New Roman"/>
                <w:sz w:val="24"/>
                <w:szCs w:val="24"/>
                <w:lang w:val="en-US" w:eastAsia="zh-CN"/>
              </w:rPr>
              <w:t>渗漏到</w:t>
            </w:r>
            <w:r>
              <w:rPr>
                <w:rFonts w:cs="Times New Roman" w:hint="eastAsia"/>
                <w:sz w:val="24"/>
                <w:szCs w:val="24"/>
                <w:lang w:val="en-US" w:eastAsia="zh-CN"/>
              </w:rPr>
              <w:t>场外</w:t>
            </w:r>
            <w:r>
              <w:rPr>
                <w:rFonts w:ascii="Times New Roman" w:eastAsia="宋体" w:cs="Times New Roman" w:hAnsi="Times New Roman"/>
                <w:sz w:val="24"/>
                <w:szCs w:val="24"/>
                <w:lang w:val="en-US" w:eastAsia="zh-CN"/>
              </w:rPr>
              <w:t>地下。</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61"/>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源头控制</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61"/>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分区防渗措施</w:t>
            </w:r>
          </w:p>
          <w:p>
            <w:pPr>
              <w:numPr>
                <w:ilvl w:val="0"/>
                <w:numId w:val="62"/>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ascii="Times New Roman" w:eastAsia="宋体" w:cs="Times New Roman" w:hAnsi="Times New Roman"/>
                <w:sz w:val="24"/>
                <w:szCs w:val="24"/>
                <w:vertAlign w:val="superscript"/>
                <w:lang w:val="en-US" w:eastAsia="zh-CN"/>
              </w:rPr>
              <w:t>-10</w:t>
            </w:r>
            <w:r>
              <w:rPr>
                <w:rFonts w:ascii="Times New Roman" w:eastAsia="宋体" w:cs="Times New Roman" w:hAnsi="Times New Roman"/>
                <w:sz w:val="24"/>
                <w:szCs w:val="24"/>
                <w:lang w:val="en-US" w:eastAsia="zh-CN"/>
              </w:rPr>
              <w:t>cm/s，并采取防腐措施。</w:t>
            </w:r>
          </w:p>
          <w:p>
            <w:pPr>
              <w:numPr>
                <w:ilvl w:val="0"/>
                <w:numId w:val="62"/>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一般防渗区：不直接涉及危险废物贮存的区域，包括</w:t>
            </w:r>
            <w:r>
              <w:rPr>
                <w:rFonts w:cs="Times New Roman" w:hint="eastAsia"/>
                <w:sz w:val="24"/>
                <w:szCs w:val="24"/>
                <w:lang w:val="en-US" w:eastAsia="zh-CN"/>
              </w:rPr>
              <w:t>拆解</w:t>
            </w:r>
            <w:r>
              <w:rPr>
                <w:rFonts w:ascii="Times New Roman" w:eastAsia="宋体" w:cs="Times New Roman" w:hAnsi="Times New Roman"/>
                <w:sz w:val="24"/>
                <w:szCs w:val="24"/>
                <w:lang w:val="en-US" w:eastAsia="zh-CN"/>
              </w:rPr>
              <w:t>车间</w:t>
            </w:r>
            <w:r>
              <w:rPr>
                <w:rFonts w:cs="Times New Roman" w:hint="eastAsia"/>
                <w:sz w:val="24"/>
                <w:szCs w:val="24"/>
                <w:lang w:val="en-US" w:eastAsia="zh-CN"/>
              </w:rPr>
              <w:t>及一般固废暂存区</w:t>
            </w:r>
            <w:r>
              <w:rPr>
                <w:rFonts w:ascii="Times New Roman" w:eastAsia="宋体" w:cs="Times New Roman" w:hAnsi="Times New Roman"/>
                <w:sz w:val="24"/>
                <w:szCs w:val="24"/>
                <w:lang w:val="en-US" w:eastAsia="zh-CN"/>
              </w:rPr>
              <w:t>等，进行地面基础防渗，防渗结构层渗透系数不应大于1.0×10</w:t>
            </w:r>
            <w:r>
              <w:rPr>
                <w:rFonts w:ascii="Times New Roman" w:eastAsia="宋体" w:cs="Times New Roman" w:hAnsi="Times New Roman"/>
                <w:sz w:val="24"/>
                <w:szCs w:val="24"/>
                <w:vertAlign w:val="superscript"/>
                <w:lang w:val="en-US" w:eastAsia="zh-CN"/>
              </w:rPr>
              <w:t>-7</w:t>
            </w:r>
            <w:r>
              <w:rPr>
                <w:rFonts w:ascii="Times New Roman" w:eastAsia="宋体" w:cs="Times New Roman" w:hAnsi="Times New Roman"/>
                <w:sz w:val="24"/>
                <w:szCs w:val="24"/>
                <w:lang w:val="en-US" w:eastAsia="zh-CN"/>
              </w:rPr>
              <w:t>cm/s。</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本项目采取分区防渗措施，具体防渗措施见下表。</w:t>
            </w:r>
          </w:p>
          <w:p>
            <w:pPr>
              <w:bidi w:val="0"/>
              <w:spacing w:line="360" w:lineRule="auto"/>
              <w:jc w:val="center"/>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表4-1</w:t>
            </w:r>
            <w:r>
              <w:rPr>
                <w:rFonts w:cs="Times New Roman" w:hint="eastAsia"/>
                <w:b/>
                <w:bCs/>
                <w:sz w:val="21"/>
                <w:szCs w:val="21"/>
                <w:lang w:val="en-US" w:eastAsia="zh-CN"/>
              </w:rPr>
              <w:t>5</w:t>
            </w:r>
            <w:r>
              <w:rPr>
                <w:rFonts w:ascii="Times New Roman" w:eastAsia="宋体" w:cs="Times New Roman" w:hAnsi="Times New Roman"/>
                <w:b/>
                <w:bCs/>
                <w:sz w:val="21"/>
                <w:szCs w:val="21"/>
                <w:lang w:val="en-US" w:eastAsia="zh-CN"/>
              </w:rPr>
              <w:t xml:space="preserve"> 地下水污染防治措施</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29"/>
              <w:gridCol w:w="2716"/>
              <w:gridCol w:w="4278"/>
            </w:tblGrid>
            <w:tr>
              <w:tc>
                <w:tcPr>
                  <w:tcW w:w="4045" w:type="dxa"/>
                  <w:gridSpan w:val="2"/>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防渗分区</w:t>
                  </w:r>
                </w:p>
              </w:tc>
              <w:tc>
                <w:tcPr>
                  <w:tcW w:w="4278" w:type="dxa"/>
                  <w:vAlign w:val="center"/>
                </w:tcPr>
                <w:p>
                  <w:pPr>
                    <w:bidi w:val="0"/>
                    <w:spacing w:line="24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vertAlign w:val="baseline"/>
                      <w:lang w:val="en-US" w:eastAsia="zh-CN"/>
                    </w:rPr>
                    <w:t>防渗技术要求</w:t>
                  </w:r>
                </w:p>
              </w:tc>
            </w:tr>
            <w:tr>
              <w:tc>
                <w:tcPr>
                  <w:tcW w:w="132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hint="eastAsia"/>
                      <w:color w:val="auto"/>
                    </w:rPr>
                    <w:t>重点防渗区</w:t>
                  </w:r>
                </w:p>
              </w:tc>
              <w:tc>
                <w:tcPr>
                  <w:tcW w:w="2716"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hint="eastAsia"/>
                      <w:color w:val="auto"/>
                    </w:rPr>
                    <w:t>危险废物贮存区域</w:t>
                  </w:r>
                </w:p>
              </w:tc>
              <w:tc>
                <w:tcPr>
                  <w:tcW w:w="4278"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车间</w:t>
                  </w:r>
                  <w:r>
                    <w:rPr>
                      <w:rFonts w:ascii="Times New Roman" w:eastAsia="宋体" w:cs="Times New Roman" w:hAnsi="Times New Roman"/>
                      <w:color w:val="auto"/>
                      <w:sz w:val="21"/>
                      <w:szCs w:val="21"/>
                      <w:vertAlign w:val="baseline"/>
                      <w:lang w:val="en-US" w:eastAsia="zh-CN"/>
                    </w:rPr>
                    <w:t>库房地面基础防渗层上，铺设厚度不小于2mm的HDPE防渗层或其他防渗材料，防渗结构层渗透系数不应大于1.0×10</w:t>
                  </w:r>
                  <w:r>
                    <w:rPr>
                      <w:rFonts w:ascii="Times New Roman" w:eastAsia="宋体" w:cs="Times New Roman" w:hAnsi="Times New Roman"/>
                      <w:color w:val="auto"/>
                      <w:sz w:val="21"/>
                      <w:szCs w:val="21"/>
                      <w:vertAlign w:val="superscript"/>
                      <w:lang w:val="en-US" w:eastAsia="zh-CN"/>
                    </w:rPr>
                    <w:t>-10</w:t>
                  </w:r>
                  <w:r>
                    <w:rPr>
                      <w:rFonts w:ascii="Times New Roman" w:eastAsia="宋体" w:cs="Times New Roman" w:hAnsi="Times New Roman"/>
                      <w:color w:val="auto"/>
                      <w:sz w:val="21"/>
                      <w:szCs w:val="21"/>
                      <w:vertAlign w:val="baseline"/>
                      <w:lang w:val="en-US" w:eastAsia="zh-CN"/>
                    </w:rPr>
                    <w:t>cm/s</w:t>
                  </w:r>
                </w:p>
              </w:tc>
            </w:tr>
            <w:tr>
              <w:tc>
                <w:tcPr>
                  <w:tcW w:w="132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ascii="Times New Roman" w:eastAsia="宋体" w:cs="Times New Roman" w:hAnsi="Times New Roman"/>
                      <w:color w:val="auto"/>
                      <w:sz w:val="21"/>
                      <w:szCs w:val="21"/>
                      <w:vertAlign w:val="baseline"/>
                      <w:lang w:val="en-US" w:eastAsia="zh-CN"/>
                    </w:rPr>
                    <w:t>一般防渗区</w:t>
                  </w:r>
                </w:p>
              </w:tc>
              <w:tc>
                <w:tcPr>
                  <w:tcW w:w="2716"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hint="eastAsia"/>
                      <w:color w:val="auto"/>
                      <w:sz w:val="21"/>
                      <w:szCs w:val="21"/>
                      <w:vertAlign w:val="baseline"/>
                      <w:lang w:val="en-US" w:eastAsia="zh-CN"/>
                    </w:rPr>
                  </w:pPr>
                  <w:r>
                    <w:rPr>
                      <w:rFonts w:hint="eastAsia"/>
                      <w:color w:val="auto"/>
                    </w:rPr>
                    <w:t>拆解车间及一般固废暂存区</w:t>
                  </w:r>
                  <w:r>
                    <w:rPr>
                      <w:rFonts w:hint="eastAsia"/>
                      <w:color w:val="auto"/>
                      <w:lang w:val="en-US" w:eastAsia="zh-CN"/>
                    </w:rPr>
                    <w:t>等</w:t>
                  </w:r>
                </w:p>
              </w:tc>
              <w:tc>
                <w:tcPr>
                  <w:tcW w:w="4278"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c>
                <w:tcPr>
                  <w:tcW w:w="1329"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color w:val="auto"/>
                      <w:sz w:val="21"/>
                      <w:szCs w:val="21"/>
                      <w:vertAlign w:val="baseline"/>
                      <w:lang w:val="en-US" w:eastAsia="zh-CN"/>
                    </w:rPr>
                  </w:pPr>
                  <w:r>
                    <w:rPr>
                      <w:rFonts w:cs="Times New Roman" w:hint="eastAsia"/>
                      <w:color w:val="auto"/>
                      <w:sz w:val="21"/>
                      <w:szCs w:val="21"/>
                      <w:vertAlign w:val="baseline"/>
                      <w:lang w:val="en-US" w:eastAsia="zh-CN"/>
                    </w:rPr>
                    <w:t>简单防渗区</w:t>
                  </w:r>
                </w:p>
              </w:tc>
              <w:tc>
                <w:tcPr>
                  <w:tcW w:w="2716" w:type="dxa"/>
                  <w:tcBorders>
                    <w:top w:val="single" w:sz="4" w:space="0" w:color="auto"/>
                    <w:left w:val="single" w:sz="4" w:space="0" w:color="auto"/>
                    <w:right w:val="single" w:sz="4" w:space="0" w:color="auto"/>
                  </w:tcBorders>
                  <w:vAlign w:val="center"/>
                </w:tcPr>
                <w:p>
                  <w:pPr>
                    <w:bidi w:val="0"/>
                    <w:spacing w:line="240" w:lineRule="auto"/>
                    <w:jc w:val="both"/>
                    <w:rPr>
                      <w:rFonts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tcBorders>
                    <w:top w:val="single" w:sz="4" w:space="0" w:color="auto"/>
                    <w:left w:val="single" w:sz="4" w:space="0" w:color="auto"/>
                    <w:right w:val="single" w:sz="4" w:space="0" w:color="auto"/>
                  </w:tcBorders>
                  <w:vAlign w:val="center"/>
                </w:tcPr>
                <w:p>
                  <w:pPr>
                    <w:bidi w:val="0"/>
                    <w:spacing w:line="240" w:lineRule="auto"/>
                    <w:jc w:val="both"/>
                    <w:rPr>
                      <w:rFonts w:eastAsia="宋体" w:hint="eastAsia"/>
                      <w:color w:val="auto"/>
                      <w:lang w:val="en-US" w:eastAsia="zh-CN"/>
                    </w:rPr>
                  </w:pPr>
                  <w:r>
                    <w:rPr>
                      <w:rFonts w:hint="eastAsia"/>
                      <w:color w:val="auto"/>
                      <w:lang w:val="en-US" w:eastAsia="zh-CN"/>
                    </w:rPr>
                    <w:t>地面硬化</w:t>
                  </w:r>
                </w:p>
              </w:tc>
            </w:tr>
          </w:tbl>
          <w:p>
            <w:pPr>
              <w:numPr>
                <w:ilvl w:val="0"/>
                <w:numId w:val="46"/>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环境风险</w:t>
            </w:r>
          </w:p>
          <w:p>
            <w:pPr>
              <w:bidi w:val="0"/>
              <w:spacing w:line="360" w:lineRule="auto"/>
              <w:ind w:left="0" w:firstLineChars="200" w:firstLine="480"/>
              <w:rPr>
                <w:rFonts w:ascii="Times New Roman" w:eastAsia="宋体" w:cs="Times New Roman" w:hAnsi="Times New Roman"/>
                <w:b w:val="0"/>
                <w:bCs w:val="0"/>
                <w:sz w:val="24"/>
                <w:szCs w:val="24"/>
                <w:lang w:val="en-US" w:eastAsia="zh-CN"/>
              </w:rPr>
            </w:pPr>
            <w:r>
              <w:rPr>
                <w:rFonts w:ascii="Times New Roman" w:eastAsia="宋体" w:cs="Times New Roman" w:hAnsi="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cs="Times New Roman" w:hint="eastAsia"/>
                <w:b w:val="0"/>
                <w:bCs w:val="0"/>
                <w:sz w:val="24"/>
                <w:szCs w:val="24"/>
                <w:lang w:val="en-US" w:eastAsia="zh-CN"/>
              </w:rPr>
              <w:t>。</w:t>
            </w:r>
          </w:p>
          <w:p>
            <w:pPr>
              <w:numPr>
                <w:ilvl w:val="0"/>
                <w:numId w:val="6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环境风险调查</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cs="Times New Roman" w:hint="eastAsia"/>
                <w:sz w:val="24"/>
                <w:szCs w:val="24"/>
                <w:lang w:val="en-US" w:eastAsia="zh-CN"/>
              </w:rPr>
              <w:t>为</w:t>
            </w:r>
            <w:r>
              <w:rPr>
                <w:rFonts w:ascii="Times New Roman" w:eastAsia="宋体" w:cs="Times New Roman" w:hAnsi="Times New Roman"/>
                <w:sz w:val="24"/>
                <w:szCs w:val="24"/>
                <w:lang w:val="en-US" w:eastAsia="zh-CN"/>
              </w:rPr>
              <w:t>：</w:t>
            </w:r>
            <w:r>
              <w:rPr>
                <w:rFonts w:cs="Times New Roman" w:hint="eastAsia"/>
                <w:sz w:val="24"/>
                <w:szCs w:val="24"/>
                <w:lang w:val="en-US" w:eastAsia="zh-CN"/>
              </w:rPr>
              <w:t>拆解过程产生的废矿物油及设备维修</w:t>
            </w:r>
            <w:r>
              <w:rPr>
                <w:rFonts w:ascii="Times New Roman" w:eastAsia="宋体" w:cs="Times New Roman" w:hAnsi="Times New Roman"/>
                <w:sz w:val="24"/>
                <w:szCs w:val="24"/>
                <w:lang w:val="en-US" w:eastAsia="zh-CN"/>
              </w:rPr>
              <w:t>产生的</w:t>
            </w:r>
            <w:r>
              <w:rPr>
                <w:rFonts w:cs="Times New Roman" w:hint="eastAsia"/>
                <w:sz w:val="24"/>
                <w:szCs w:val="24"/>
                <w:lang w:val="en-US" w:eastAsia="zh-CN"/>
              </w:rPr>
              <w:t>废润滑油</w:t>
            </w:r>
            <w:r>
              <w:rPr>
                <w:rFonts w:ascii="Times New Roman" w:eastAsia="宋体" w:cs="Times New Roman" w:hAnsi="Times New Roman"/>
                <w:sz w:val="24"/>
                <w:szCs w:val="24"/>
                <w:lang w:val="en-US" w:eastAsia="zh-CN"/>
              </w:rPr>
              <w:t>。</w:t>
            </w:r>
          </w:p>
          <w:p>
            <w:pPr>
              <w:numPr>
                <w:ilvl w:val="0"/>
                <w:numId w:val="6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风险潜势初判</w:t>
            </w:r>
          </w:p>
          <w:p>
            <w:pPr>
              <w:bidi w:val="0"/>
              <w:spacing w:line="360" w:lineRule="auto"/>
              <w:ind w:left="0" w:firstLineChars="200" w:firstLine="480"/>
              <w:rPr>
                <w:rFonts w:cs="Times New Roman" w:hint="eastAsia"/>
                <w:sz w:val="24"/>
                <w:szCs w:val="24"/>
                <w:lang w:val="en-US" w:eastAsia="zh-CN"/>
              </w:rPr>
            </w:pPr>
            <w:r>
              <w:rPr>
                <w:rFonts w:ascii="Times New Roman" w:eastAsia="宋体" w:cs="Times New Roman" w:hAnsi="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cs="Times New Roman" w:hint="eastAsia"/>
                <w:sz w:val="24"/>
                <w:szCs w:val="24"/>
                <w:lang w:val="en-US" w:eastAsia="zh-CN"/>
              </w:rPr>
              <w:t>。</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Q=q1/Q1+q2/Q2+…+qn/Qn</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式中：q1，q2，…，qn—每种危险物质的最大存在总量，单位为吨（t）；</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Q1，Q2，…，Qn—每种危险物质相对应的临界量，单位为吨（t）。</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当Q＜1时，该项目风险潜势为Ⅰ。</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当Q≥1时，将Q值划分为（1）1≤Q＜10；（2）10≤Q＜100；（3）Q≥100。根据《建设项目环境风险评价技术导则》（HJ169-2018）相关规定以及附录B，项目涉及的风险物质临界量及其Q值计算结果见表4-16。</w:t>
            </w:r>
          </w:p>
          <w:p>
            <w:pPr>
              <w:bidi w:val="0"/>
              <w:spacing w:line="360" w:lineRule="auto"/>
              <w:jc w:val="center"/>
              <w:rPr>
                <w:rFonts w:ascii="Times New Roman" w:eastAsia="宋体" w:cs="Times New Roman" w:hAnsi="Times New Roman"/>
                <w:b/>
                <w:bCs/>
                <w:sz w:val="21"/>
                <w:szCs w:val="21"/>
                <w:vertAlign w:val="baseline"/>
                <w:lang w:val="en-US" w:eastAsia="zh-CN"/>
              </w:rPr>
            </w:pPr>
            <w:r>
              <w:rPr>
                <w:rFonts w:cs="Times New Roman" w:hint="eastAsia"/>
                <w:b/>
                <w:bCs/>
                <w:sz w:val="21"/>
                <w:szCs w:val="21"/>
                <w:lang w:val="en-US" w:eastAsia="zh-CN"/>
              </w:rPr>
              <w:t>表4-16 建设项目Q值确定表</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93"/>
              <w:gridCol w:w="1100"/>
              <w:gridCol w:w="2200"/>
              <w:gridCol w:w="1575"/>
              <w:gridCol w:w="1755"/>
            </w:tblGrid>
            <w:tr>
              <w:tc>
                <w:tcPr>
                  <w:tcW w:w="1693"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危险物质名称</w:t>
                  </w:r>
                </w:p>
              </w:tc>
              <w:tc>
                <w:tcPr>
                  <w:tcW w:w="1100"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CAS号</w:t>
                  </w:r>
                </w:p>
              </w:tc>
              <w:tc>
                <w:tcPr>
                  <w:tcW w:w="2200"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最大存在总量qn/t</w:t>
                  </w:r>
                </w:p>
              </w:tc>
              <w:tc>
                <w:tcPr>
                  <w:tcW w:w="1575"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临界量Qn/t</w:t>
                  </w:r>
                </w:p>
              </w:tc>
              <w:tc>
                <w:tcPr>
                  <w:tcW w:w="1755"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危险物质Q值</w:t>
                  </w:r>
                </w:p>
              </w:tc>
            </w:tr>
            <w:tr>
              <w:trPr>
                <w:trHeight w:val="90"/>
              </w:trPr>
              <w:tc>
                <w:tcPr>
                  <w:tcW w:w="1693"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废矿物油</w:t>
                  </w:r>
                </w:p>
              </w:tc>
              <w:tc>
                <w:tcPr>
                  <w:tcW w:w="11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w:t>
                  </w:r>
                </w:p>
              </w:tc>
              <w:tc>
                <w:tcPr>
                  <w:tcW w:w="22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0.15</w:t>
                  </w:r>
                </w:p>
              </w:tc>
              <w:tc>
                <w:tcPr>
                  <w:tcW w:w="157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2500</w:t>
                  </w:r>
                </w:p>
              </w:tc>
              <w:tc>
                <w:tcPr>
                  <w:tcW w:w="1755"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i w:val="0"/>
                      <w:iCs w:val="0"/>
                      <w:color w:val="000000"/>
                      <w:kern w:val="0"/>
                      <w:sz w:val="21"/>
                      <w:szCs w:val="21"/>
                      <w:u w:val="none"/>
                      <w:lang w:val="en-US" w:eastAsia="zh-CN"/>
                    </w:rPr>
                    <w:t>0.0000</w:t>
                  </w:r>
                  <w:r>
                    <w:rPr>
                      <w:rFonts w:cs="Times New Roman" w:hint="eastAsia"/>
                      <w:i w:val="0"/>
                      <w:iCs w:val="0"/>
                      <w:color w:val="000000"/>
                      <w:kern w:val="0"/>
                      <w:sz w:val="21"/>
                      <w:szCs w:val="21"/>
                      <w:u w:val="none"/>
                      <w:lang w:val="en-US" w:eastAsia="zh-CN"/>
                    </w:rPr>
                    <w:t>6</w:t>
                  </w:r>
                </w:p>
              </w:tc>
            </w:tr>
            <w:tr>
              <w:trPr>
                <w:trHeight w:val="90"/>
              </w:trPr>
              <w:tc>
                <w:tcPr>
                  <w:tcW w:w="1693" w:type="dxa"/>
                  <w:tcBorders>
                    <w:top w:val="single" w:sz="4" w:space="0" w:color="auto"/>
                    <w:left w:val="single" w:sz="4" w:space="0" w:color="auto"/>
                    <w:right w:val="single" w:sz="4" w:space="0" w:color="auto"/>
                  </w:tcBorders>
                  <w:vAlign w:val="center"/>
                </w:tcPr>
                <w:p>
                  <w:pPr>
                    <w:bidi w:val="0"/>
                    <w:spacing w:line="240" w:lineRule="auto"/>
                    <w:ind w:left="0" w:firstLine="0"/>
                    <w:jc w:val="both"/>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vertAlign w:val="baseline"/>
                      <w:lang w:val="en-US" w:eastAsia="zh-CN"/>
                    </w:rPr>
                    <w:t>油类物质（设备维修废润滑油）</w:t>
                  </w:r>
                </w:p>
              </w:tc>
              <w:tc>
                <w:tcPr>
                  <w:tcW w:w="110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vertAlign w:val="baseline"/>
                      <w:lang w:val="en-US" w:eastAsia="zh-CN"/>
                    </w:rPr>
                    <w:t>/</w:t>
                  </w:r>
                </w:p>
              </w:tc>
              <w:tc>
                <w:tcPr>
                  <w:tcW w:w="2200"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vertAlign w:val="baseline"/>
                      <w:lang w:val="en-US" w:eastAsia="zh-CN"/>
                    </w:rPr>
                    <w:t>0.01</w:t>
                  </w:r>
                </w:p>
              </w:tc>
              <w:tc>
                <w:tcPr>
                  <w:tcW w:w="1575" w:type="dxa"/>
                  <w:tcBorders>
                    <w:top w:val="single" w:sz="4" w:space="0" w:color="auto"/>
                    <w:left w:val="single" w:sz="4" w:space="0" w:color="auto"/>
                    <w:right w:val="single" w:sz="4" w:space="0" w:color="auto"/>
                  </w:tcBorders>
                  <w:vAlign w:val="center"/>
                </w:tcPr>
                <w:p>
                  <w:pPr>
                    <w:bidi w:val="0"/>
                    <w:spacing w:line="240" w:lineRule="auto"/>
                    <w:ind w:left="0" w:firstLine="0"/>
                    <w:jc w:val="center"/>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sz w:val="21"/>
                      <w:szCs w:val="21"/>
                      <w:vertAlign w:val="baseline"/>
                      <w:lang w:val="en-US" w:eastAsia="zh-CN"/>
                    </w:rPr>
                    <w:t>2500</w:t>
                  </w:r>
                </w:p>
              </w:tc>
              <w:tc>
                <w:tcPr>
                  <w:tcW w:w="1755"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kern w:val="2"/>
                      <w:sz w:val="21"/>
                      <w:szCs w:val="21"/>
                      <w:vertAlign w:val="baseline"/>
                      <w:lang w:val="en-US" w:eastAsia="zh-CN" w:bidi="ar-SA"/>
                    </w:rPr>
                  </w:pPr>
                  <w:r>
                    <w:rPr>
                      <w:rFonts w:ascii="Times New Roman" w:eastAsia="宋体" w:cs="Times New Roman" w:hAnsi="Times New Roman"/>
                      <w:i w:val="0"/>
                      <w:iCs w:val="0"/>
                      <w:color w:val="000000"/>
                      <w:kern w:val="0"/>
                      <w:sz w:val="21"/>
                      <w:szCs w:val="21"/>
                      <w:u w:val="none"/>
                      <w:lang w:val="en-US" w:eastAsia="zh-CN"/>
                    </w:rPr>
                    <w:t>0.000004</w:t>
                  </w:r>
                </w:p>
              </w:tc>
            </w:tr>
            <w:tr>
              <w:tc>
                <w:tcPr>
                  <w:tcW w:w="6568" w:type="dxa"/>
                  <w:gridSpan w:val="4"/>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合计</w:t>
                  </w:r>
                </w:p>
              </w:tc>
              <w:tc>
                <w:tcPr>
                  <w:tcW w:w="1755" w:type="dxa"/>
                  <w:tcBorders>
                    <w:top w:val="single" w:sz="4" w:space="0" w:color="auto"/>
                    <w:left w:val="single" w:sz="4" w:space="0" w:color="auto"/>
                    <w:right w:val="single" w:sz="4" w:space="0" w:color="auto"/>
                  </w:tcBorders>
                  <w:vAlign w:val="center"/>
                </w:tcPr>
                <w:p>
                  <w:pPr>
                    <w:keepNext w:val="0"/>
                    <w:keepLines w:val="0"/>
                    <w:widowControl/>
                    <w:suppressLineNumbers w:val="0"/>
                    <w:jc w:val="center"/>
                    <w:textAlignment w:val="center"/>
                    <w:rPr>
                      <w:rFonts w:ascii="Times New Roman" w:eastAsia="宋体" w:cs="Times New Roman" w:hAnsi="Times New Roman"/>
                      <w:i w:val="0"/>
                      <w:iCs w:val="0"/>
                      <w:color w:val="000000"/>
                      <w:kern w:val="0"/>
                      <w:sz w:val="21"/>
                      <w:szCs w:val="21"/>
                      <w:u w:val="none"/>
                      <w:lang w:val="en-US" w:eastAsia="zh-CN"/>
                    </w:rPr>
                  </w:pPr>
                  <w:r>
                    <w:rPr>
                      <w:rFonts w:ascii="Times New Roman" w:eastAsia="宋体" w:cs="Times New Roman" w:hAnsi="Times New Roman"/>
                      <w:i w:val="0"/>
                      <w:iCs w:val="0"/>
                      <w:color w:val="000000"/>
                      <w:kern w:val="0"/>
                      <w:sz w:val="22"/>
                      <w:szCs w:val="22"/>
                      <w:u w:val="none"/>
                      <w:lang w:val="en-US" w:eastAsia="zh-CN"/>
                    </w:rPr>
                    <w:t>0.0000</w:t>
                  </w:r>
                  <w:r>
                    <w:rPr>
                      <w:rFonts w:cs="Times New Roman" w:hint="eastAsia"/>
                      <w:i w:val="0"/>
                      <w:iCs w:val="0"/>
                      <w:color w:val="000000"/>
                      <w:kern w:val="0"/>
                      <w:sz w:val="22"/>
                      <w:szCs w:val="22"/>
                      <w:u w:val="none"/>
                      <w:lang w:val="en-US" w:eastAsia="zh-CN"/>
                    </w:rPr>
                    <w:t>6</w:t>
                  </w:r>
                  <w:r>
                    <w:rPr>
                      <w:rFonts w:ascii="Times New Roman" w:eastAsia="宋体" w:cs="Times New Roman" w:hAnsi="Times New Roman"/>
                      <w:i w:val="0"/>
                      <w:iCs w:val="0"/>
                      <w:color w:val="000000"/>
                      <w:kern w:val="0"/>
                      <w:sz w:val="22"/>
                      <w:szCs w:val="22"/>
                      <w:u w:val="none"/>
                      <w:lang w:val="en-US" w:eastAsia="zh-CN"/>
                    </w:rPr>
                    <w:t>4</w:t>
                  </w:r>
                </w:p>
              </w:tc>
            </w:tr>
          </w:tbl>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综上，</w:t>
            </w:r>
            <w:r>
              <w:rPr>
                <w:rFonts w:ascii="Times New Roman" w:eastAsia="宋体" w:cs="Times New Roman" w:hAnsi="Times New Roman"/>
                <w:sz w:val="24"/>
                <w:szCs w:val="24"/>
                <w:lang w:val="en-US" w:eastAsia="zh-CN"/>
              </w:rPr>
              <w:t>本项目Q＜1，环境风险潜势判定为Ⅰ，根据《建设项目环境风险评价技术导则》（HJ169-2018），本次评价进行简单分析。</w:t>
            </w:r>
          </w:p>
          <w:p>
            <w:pPr>
              <w:numPr>
                <w:ilvl w:val="0"/>
                <w:numId w:val="6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环境敏感目标调查</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本项目环境风险主要是</w:t>
            </w:r>
            <w:r>
              <w:rPr>
                <w:rFonts w:cs="Times New Roman" w:hint="eastAsia"/>
                <w:sz w:val="24"/>
                <w:szCs w:val="24"/>
                <w:lang w:val="en-US" w:eastAsia="zh-CN"/>
              </w:rPr>
              <w:t>废矿物油包装容器破损，</w:t>
            </w:r>
            <w:r>
              <w:rPr>
                <w:rFonts w:ascii="Times New Roman" w:eastAsia="宋体" w:cs="Times New Roman" w:hAnsi="Times New Roman"/>
                <w:sz w:val="24"/>
                <w:szCs w:val="24"/>
                <w:lang w:val="en-US" w:eastAsia="zh-CN"/>
              </w:rPr>
              <w:t>在运营期发生事故泄漏时对周边水体</w:t>
            </w:r>
            <w:r>
              <w:rPr>
                <w:rFonts w:cs="Times New Roman" w:hint="eastAsia"/>
                <w:sz w:val="24"/>
                <w:szCs w:val="24"/>
                <w:lang w:val="en-US" w:eastAsia="zh-CN"/>
              </w:rPr>
              <w:t>及土壤</w:t>
            </w:r>
            <w:r>
              <w:rPr>
                <w:rFonts w:ascii="Times New Roman" w:eastAsia="宋体" w:cs="Times New Roman" w:hAnsi="Times New Roman"/>
                <w:sz w:val="24"/>
                <w:szCs w:val="24"/>
                <w:lang w:val="en-US" w:eastAsia="zh-CN"/>
              </w:rPr>
              <w:t>的影响。</w:t>
            </w:r>
          </w:p>
          <w:p>
            <w:pPr>
              <w:numPr>
                <w:ilvl w:val="0"/>
                <w:numId w:val="6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环境风险识别</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项目环境风险主要是</w:t>
            </w:r>
            <w:r>
              <w:rPr>
                <w:rFonts w:cs="Times New Roman" w:hint="eastAsia"/>
                <w:sz w:val="24"/>
                <w:szCs w:val="24"/>
                <w:lang w:val="en-US" w:eastAsia="zh-CN"/>
              </w:rPr>
              <w:t>废矿物油包装容器破损泄露油类物质</w:t>
            </w:r>
            <w:r>
              <w:rPr>
                <w:rFonts w:ascii="Times New Roman" w:eastAsia="宋体" w:cs="Times New Roman" w:hAnsi="Times New Roman"/>
                <w:sz w:val="24"/>
                <w:szCs w:val="24"/>
                <w:lang w:val="en-US" w:eastAsia="zh-CN"/>
              </w:rPr>
              <w:t>等污染周边水体</w:t>
            </w:r>
            <w:r>
              <w:rPr>
                <w:rFonts w:cs="Times New Roman" w:hint="eastAsia"/>
                <w:sz w:val="24"/>
                <w:szCs w:val="24"/>
                <w:lang w:val="en-US" w:eastAsia="zh-CN"/>
              </w:rPr>
              <w:t>及土壤</w:t>
            </w:r>
            <w:r>
              <w:rPr>
                <w:rFonts w:ascii="Times New Roman" w:eastAsia="宋体" w:cs="Times New Roman" w:hAnsi="Times New Roman"/>
                <w:sz w:val="24"/>
                <w:szCs w:val="24"/>
                <w:lang w:val="en-US" w:eastAsia="zh-CN"/>
              </w:rPr>
              <w:t>。</w:t>
            </w:r>
          </w:p>
          <w:p>
            <w:pPr>
              <w:numPr>
                <w:ilvl w:val="0"/>
                <w:numId w:val="6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环境风险分析及防范措施</w:t>
            </w:r>
          </w:p>
          <w:p>
            <w:pPr>
              <w:numPr>
                <w:ilvl w:val="0"/>
                <w:numId w:val="64"/>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环境风险分析</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本项目</w:t>
            </w:r>
            <w:r>
              <w:rPr>
                <w:rFonts w:ascii="Times New Roman" w:eastAsia="宋体" w:cs="Times New Roman" w:hAnsi="Times New Roman"/>
                <w:sz w:val="24"/>
                <w:szCs w:val="24"/>
                <w:lang w:val="en-US" w:eastAsia="zh-CN"/>
              </w:rPr>
              <w:t>运行期</w:t>
            </w:r>
            <w:r>
              <w:rPr>
                <w:rFonts w:cs="Times New Roman" w:hint="eastAsia"/>
                <w:sz w:val="24"/>
                <w:szCs w:val="24"/>
                <w:lang w:val="en-US" w:eastAsia="zh-CN"/>
              </w:rPr>
              <w:t>废矿物油</w:t>
            </w:r>
            <w:r>
              <w:rPr>
                <w:rFonts w:ascii="Times New Roman" w:eastAsia="宋体" w:cs="Times New Roman" w:hAnsi="Times New Roman"/>
                <w:sz w:val="24"/>
                <w:szCs w:val="24"/>
                <w:lang w:val="en-US" w:eastAsia="zh-CN"/>
              </w:rPr>
              <w:t>产生量较少，统一储存于危废暂存间内，本评价要求危废暂存间严格落实分区防渗要求并在四周设置截排水沟，截排水沟按重点防渗区落实防渗要求。因此，正常情况下</w:t>
            </w:r>
            <w:r>
              <w:rPr>
                <w:rFonts w:cs="Times New Roman" w:hint="eastAsia"/>
                <w:sz w:val="24"/>
                <w:szCs w:val="24"/>
                <w:lang w:val="en-US" w:eastAsia="zh-CN"/>
              </w:rPr>
              <w:t>废矿物油</w:t>
            </w:r>
            <w:r>
              <w:rPr>
                <w:rFonts w:ascii="Times New Roman" w:eastAsia="宋体" w:cs="Times New Roman" w:hAnsi="Times New Roman"/>
                <w:sz w:val="24"/>
                <w:szCs w:val="24"/>
                <w:lang w:val="en-US" w:eastAsia="zh-CN"/>
              </w:rPr>
              <w:t>若发生泄漏不会渗入地下，亦不会污染周边水体。</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评价要求</w:t>
            </w:r>
            <w:r>
              <w:rPr>
                <w:rFonts w:cs="Times New Roman" w:hint="eastAsia"/>
                <w:sz w:val="24"/>
                <w:szCs w:val="24"/>
                <w:lang w:val="en-US" w:eastAsia="zh-CN"/>
              </w:rPr>
              <w:t>：本项目</w:t>
            </w:r>
            <w:r>
              <w:rPr>
                <w:rFonts w:ascii="Times New Roman" w:eastAsia="宋体" w:cs="Times New Roman" w:hAnsi="Times New Roman"/>
                <w:sz w:val="24"/>
                <w:szCs w:val="24"/>
                <w:lang w:val="en-US" w:eastAsia="zh-CN"/>
              </w:rPr>
              <w:t>产生</w:t>
            </w:r>
            <w:r>
              <w:rPr>
                <w:rFonts w:cs="Times New Roman" w:hint="eastAsia"/>
                <w:sz w:val="24"/>
                <w:szCs w:val="24"/>
                <w:lang w:val="en-US" w:eastAsia="zh-CN"/>
              </w:rPr>
              <w:t>废矿物油</w:t>
            </w:r>
            <w:r>
              <w:rPr>
                <w:rFonts w:ascii="Times New Roman" w:eastAsia="宋体" w:cs="Times New Roman" w:hAnsi="Times New Roman"/>
                <w:sz w:val="24"/>
                <w:szCs w:val="24"/>
                <w:lang w:val="en-US" w:eastAsia="zh-CN"/>
              </w:rPr>
              <w:t>由专用桶装容器收集，均统一存储于危废暂存间中</w:t>
            </w:r>
            <w:r>
              <w:rPr>
                <w:rFonts w:cs="Times New Roman" w:hint="eastAsia"/>
                <w:sz w:val="24"/>
                <w:szCs w:val="24"/>
                <w:lang w:val="en-US" w:eastAsia="zh-CN"/>
              </w:rPr>
              <w:t>并</w:t>
            </w:r>
            <w:r>
              <w:rPr>
                <w:rFonts w:ascii="Times New Roman" w:eastAsia="宋体" w:cs="Times New Roman" w:hAnsi="Times New Roman"/>
                <w:sz w:val="24"/>
                <w:szCs w:val="24"/>
                <w:lang w:val="en-US" w:eastAsia="zh-CN"/>
              </w:rPr>
              <w:t>及时交由有危险废物处置资质的单位进行处置。</w:t>
            </w:r>
          </w:p>
          <w:p>
            <w:pPr>
              <w:numPr>
                <w:ilvl w:val="0"/>
                <w:numId w:val="64"/>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防范措施</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①产生</w:t>
            </w:r>
            <w:r>
              <w:rPr>
                <w:rFonts w:cs="Times New Roman" w:hint="eastAsia"/>
                <w:sz w:val="24"/>
                <w:szCs w:val="24"/>
                <w:lang w:val="en-US" w:eastAsia="zh-CN"/>
              </w:rPr>
              <w:t>废矿物油</w:t>
            </w:r>
            <w:r>
              <w:rPr>
                <w:rFonts w:ascii="Times New Roman" w:eastAsia="宋体" w:cs="Times New Roman" w:hAnsi="Times New Roman"/>
                <w:sz w:val="24"/>
                <w:szCs w:val="24"/>
                <w:lang w:val="en-US" w:eastAsia="zh-CN"/>
              </w:rPr>
              <w:t>由专用桶装容器收集后，存储于厂内危废暂存间中，及时交由有危险废物处置资质的单位进行处置，在厂区内的贮存时间不得超过</w:t>
            </w:r>
            <w:r>
              <w:rPr>
                <w:rFonts w:cs="Times New Roman" w:hint="eastAsia"/>
                <w:sz w:val="24"/>
                <w:szCs w:val="24"/>
                <w:lang w:val="en-US" w:eastAsia="zh-CN"/>
              </w:rPr>
              <w:t>1年</w:t>
            </w:r>
            <w:r>
              <w:rPr>
                <w:rFonts w:ascii="Times New Roman" w:eastAsia="宋体" w:cs="Times New Roman" w:hAnsi="Times New Roman"/>
                <w:sz w:val="24"/>
                <w:szCs w:val="24"/>
                <w:lang w:val="en-US" w:eastAsia="zh-CN"/>
              </w:rPr>
              <w:t>。</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②</w:t>
            </w:r>
            <w:r>
              <w:rPr>
                <w:rFonts w:ascii="Times New Roman" w:eastAsia="宋体" w:cs="Times New Roman" w:hAnsi="Times New Roman"/>
                <w:sz w:val="24"/>
                <w:szCs w:val="24"/>
                <w:lang w:val="en-US" w:eastAsia="zh-CN"/>
              </w:rPr>
              <w:t>危废暂存间严格落实分区防渗要求，并在四周设置截排水沟，截排水沟按重点防渗区落实防渗要求。</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③</w:t>
            </w:r>
            <w:r>
              <w:rPr>
                <w:rFonts w:ascii="Times New Roman" w:eastAsia="宋体" w:cs="Times New Roman" w:hAnsi="Times New Roman"/>
                <w:sz w:val="24"/>
                <w:szCs w:val="24"/>
                <w:lang w:val="en-US" w:eastAsia="zh-CN"/>
              </w:rPr>
              <w:t>危险废物及其贮存设施严格落实本评价提出的各项管控要求。</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④</w:t>
            </w:r>
            <w:r>
              <w:rPr>
                <w:rFonts w:ascii="Times New Roman" w:eastAsia="宋体" w:cs="Times New Roman" w:hAnsi="Times New Roman"/>
                <w:sz w:val="24"/>
                <w:szCs w:val="24"/>
                <w:lang w:val="en-US" w:eastAsia="zh-CN"/>
              </w:rPr>
              <w:t>值班维护人员对设备进行定期检查防止发生跑、冒、滴、漏现象。</w:t>
            </w:r>
          </w:p>
          <w:p>
            <w:pPr>
              <w:bidi w:val="0"/>
              <w:spacing w:line="360" w:lineRule="auto"/>
              <w:ind w:left="0" w:firstLineChars="200" w:firstLine="480"/>
              <w:rPr>
                <w:rFonts w:cs="Times New Roman" w:hint="eastAsia"/>
                <w:sz w:val="24"/>
                <w:szCs w:val="24"/>
                <w:lang w:val="en-US" w:eastAsia="zh-CN"/>
              </w:rPr>
            </w:pPr>
            <w:r>
              <w:rPr>
                <w:rFonts w:cs="Times New Roman" w:hint="eastAsia"/>
                <w:sz w:val="24"/>
                <w:szCs w:val="24"/>
                <w:lang w:val="en-US" w:eastAsia="zh-CN"/>
              </w:rPr>
              <w:t>⑤设置危废间实时监控设施，有利于及时发现泄露情况。</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⑥</w:t>
            </w:r>
            <w:r>
              <w:rPr>
                <w:rFonts w:ascii="Times New Roman" w:eastAsia="宋体" w:cs="Times New Roman" w:hAnsi="Times New Roman"/>
                <w:sz w:val="24"/>
                <w:szCs w:val="24"/>
                <w:lang w:val="en-US" w:eastAsia="zh-CN"/>
              </w:rPr>
              <w:t>制定环境风险应急预案，配备应急处理设备和保障物资。</w:t>
            </w:r>
          </w:p>
          <w:p>
            <w:pPr>
              <w:numPr>
                <w:ilvl w:val="0"/>
                <w:numId w:val="63"/>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环境风险分析结论</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cs="Times New Roman" w:hint="eastAsia"/>
                <w:sz w:val="24"/>
                <w:szCs w:val="24"/>
                <w:lang w:val="en-US" w:eastAsia="zh-CN"/>
              </w:rPr>
              <w:t>17</w:t>
            </w:r>
            <w:r>
              <w:rPr>
                <w:rFonts w:ascii="Times New Roman" w:eastAsia="宋体" w:cs="Times New Roman" w:hAnsi="Times New Roman"/>
                <w:sz w:val="24"/>
                <w:szCs w:val="24"/>
                <w:lang w:val="en-US" w:eastAsia="zh-CN"/>
              </w:rPr>
              <w:t>。</w:t>
            </w:r>
          </w:p>
          <w:p>
            <w:pPr>
              <w:bidi w:val="0"/>
              <w:spacing w:line="360" w:lineRule="auto"/>
              <w:jc w:val="center"/>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表4-</w:t>
            </w:r>
            <w:r>
              <w:rPr>
                <w:rFonts w:cs="Times New Roman" w:hint="eastAsia"/>
                <w:b/>
                <w:bCs/>
                <w:sz w:val="21"/>
                <w:szCs w:val="21"/>
                <w:lang w:val="en-US" w:eastAsia="zh-CN"/>
              </w:rPr>
              <w:t xml:space="preserve">17 </w:t>
            </w:r>
            <w:r>
              <w:rPr>
                <w:rFonts w:ascii="Times New Roman" w:eastAsia="宋体" w:cs="Times New Roman" w:hAnsi="Times New Roman"/>
                <w:b/>
                <w:bCs/>
                <w:sz w:val="21"/>
                <w:szCs w:val="21"/>
                <w:lang w:val="en-US" w:eastAsia="zh-CN"/>
              </w:rPr>
              <w:t>建设项目环境风险简单分析内容表</w:t>
            </w:r>
          </w:p>
          <w:tbl>
            <w:tblPr>
              <w:jc w:val="center"/>
              <w:tblW w:w="8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98"/>
              <w:gridCol w:w="1025"/>
              <w:gridCol w:w="2388"/>
              <w:gridCol w:w="987"/>
              <w:gridCol w:w="2401"/>
            </w:tblGrid>
            <w:tr>
              <w:tc>
                <w:tcPr>
                  <w:tcW w:w="1498" w:type="dxa"/>
                  <w:vAlign w:val="center"/>
                </w:tcPr>
                <w:p>
                  <w:pPr>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ascii="Times New Roman" w:eastAsia="宋体" w:cs="Times New Roman" w:hAnsi="Times New Roman" w:hint="eastAsia"/>
                      <w:b/>
                      <w:bCs/>
                      <w:color w:val="auto"/>
                      <w:sz w:val="21"/>
                      <w:szCs w:val="21"/>
                      <w:vertAlign w:val="baseline"/>
                      <w:lang w:val="en-US" w:eastAsia="zh-CN"/>
                    </w:rPr>
                    <w:t>建设项目名称</w:t>
                  </w:r>
                </w:p>
              </w:tc>
              <w:tc>
                <w:tcPr>
                  <w:tcW w:w="6801" w:type="dxa"/>
                  <w:gridSpan w:val="4"/>
                  <w:vAlign w:val="center"/>
                </w:tcPr>
                <w:p>
                  <w:pPr>
                    <w:spacing w:line="240" w:lineRule="auto"/>
                    <w:jc w:val="center"/>
                    <w:rPr>
                      <w:rFonts w:ascii="Times New Roman" w:eastAsia="宋体" w:cs="Times New Roman" w:hAnsi="Times New Roman" w:hint="eastAsia"/>
                      <w:b/>
                      <w:bCs/>
                      <w:color w:val="auto"/>
                      <w:sz w:val="21"/>
                      <w:szCs w:val="21"/>
                      <w:vertAlign w:val="baseline"/>
                      <w:lang w:val="en-US" w:eastAsia="zh-CN"/>
                    </w:rPr>
                  </w:pPr>
                  <w:r>
                    <w:rPr>
                      <w:rFonts w:cs="Times New Roman" w:hint="eastAsia"/>
                      <w:b/>
                      <w:bCs/>
                      <w:color w:val="auto"/>
                      <w:sz w:val="21"/>
                      <w:szCs w:val="21"/>
                      <w:vertAlign w:val="baseline"/>
                      <w:lang w:val="en-US" w:eastAsia="zh-CN"/>
                    </w:rPr>
                    <w:t>废弃电器电子产品拆解综合利用生产线建设项目</w:t>
                  </w:r>
                </w:p>
              </w:tc>
            </w:tr>
            <w:tr>
              <w:tc>
                <w:tcPr>
                  <w:tcW w:w="1498"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建设地点</w:t>
                  </w:r>
                </w:p>
              </w:tc>
              <w:tc>
                <w:tcPr>
                  <w:tcW w:w="6801" w:type="dxa"/>
                  <w:gridSpan w:val="4"/>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hint="eastAsia"/>
                      <w:lang w:eastAsia="zh-CN"/>
                    </w:rPr>
                    <w:t>遂宁市大英县蓬莱镇南华路大英县嘉泰城市建设投资开发有限责任公司20幢厂房第3层</w:t>
                  </w:r>
                </w:p>
              </w:tc>
            </w:tr>
            <w:tr>
              <w:tc>
                <w:tcPr>
                  <w:tcW w:w="1498"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地理坐标</w:t>
                  </w:r>
                </w:p>
              </w:tc>
              <w:tc>
                <w:tcPr>
                  <w:tcW w:w="1025"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经度</w:t>
                  </w:r>
                </w:p>
              </w:tc>
              <w:tc>
                <w:tcPr>
                  <w:tcW w:w="2388"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105度15分54.208秒</w:t>
                  </w:r>
                </w:p>
              </w:tc>
              <w:tc>
                <w:tcPr>
                  <w:tcW w:w="987"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纬度</w:t>
                  </w:r>
                </w:p>
              </w:tc>
              <w:tc>
                <w:tcPr>
                  <w:tcW w:w="2401"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30度34分44.024秒</w:t>
                  </w:r>
                </w:p>
              </w:tc>
            </w:tr>
            <w:tr>
              <w:tc>
                <w:tcPr>
                  <w:tcW w:w="1498"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主要危险物质及分布</w:t>
                  </w:r>
                </w:p>
              </w:tc>
              <w:tc>
                <w:tcPr>
                  <w:tcW w:w="6801" w:type="dxa"/>
                  <w:gridSpan w:val="4"/>
                  <w:tcBorders>
                    <w:top w:val="single" w:sz="4" w:space="0" w:color="auto"/>
                    <w:left w:val="single" w:sz="4" w:space="0" w:color="auto"/>
                    <w:right w:val="single" w:sz="4" w:space="0" w:color="auto"/>
                  </w:tcBorders>
                  <w:vAlign w:val="center"/>
                </w:tcPr>
                <w:p>
                  <w:pPr>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废矿物油</w:t>
                  </w:r>
                  <w:r>
                    <w:rPr>
                      <w:rFonts w:ascii="Times New Roman" w:eastAsia="宋体" w:cs="Times New Roman" w:hAnsi="Times New Roman" w:hint="eastAsia"/>
                      <w:b w:val="0"/>
                      <w:bCs w:val="0"/>
                      <w:color w:val="auto"/>
                      <w:sz w:val="21"/>
                      <w:szCs w:val="21"/>
                      <w:vertAlign w:val="baseline"/>
                      <w:lang w:val="en-US" w:eastAsia="zh-CN"/>
                    </w:rPr>
                    <w:t>；危废暂存间等发生泄漏事故</w:t>
                  </w:r>
                  <w:r>
                    <w:rPr>
                      <w:rFonts w:cs="Times New Roman" w:hint="eastAsia"/>
                      <w:b w:val="0"/>
                      <w:bCs w:val="0"/>
                      <w:color w:val="auto"/>
                      <w:sz w:val="21"/>
                      <w:szCs w:val="21"/>
                      <w:vertAlign w:val="baseline"/>
                      <w:lang w:val="en-US" w:eastAsia="zh-CN"/>
                    </w:rPr>
                    <w:t>；</w:t>
                  </w:r>
                </w:p>
              </w:tc>
            </w:tr>
            <w:tr>
              <w:tc>
                <w:tcPr>
                  <w:tcW w:w="1498"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环境影响途径及危害后果（大气、地表水、地下水等）</w:t>
                  </w:r>
                </w:p>
              </w:tc>
              <w:tc>
                <w:tcPr>
                  <w:tcW w:w="6801" w:type="dxa"/>
                  <w:gridSpan w:val="4"/>
                  <w:tcBorders>
                    <w:top w:val="single" w:sz="4" w:space="0" w:color="auto"/>
                    <w:left w:val="single" w:sz="4" w:space="0" w:color="auto"/>
                    <w:right w:val="single" w:sz="4" w:space="0" w:color="auto"/>
                  </w:tcBorders>
                  <w:vAlign w:val="center"/>
                </w:tcPr>
                <w:p>
                  <w:pPr>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cs="Times New Roman" w:hint="eastAsia"/>
                      <w:b w:val="0"/>
                      <w:bCs w:val="0"/>
                      <w:color w:val="auto"/>
                      <w:sz w:val="21"/>
                      <w:szCs w:val="21"/>
                      <w:vertAlign w:val="baseline"/>
                      <w:lang w:val="en-US" w:eastAsia="zh-CN"/>
                    </w:rPr>
                    <w:t>废矿物油包装容器</w:t>
                  </w:r>
                  <w:r>
                    <w:rPr>
                      <w:rFonts w:hint="eastAsia"/>
                    </w:rPr>
                    <w:t>破损泄露的</w:t>
                  </w:r>
                  <w:r>
                    <w:rPr>
                      <w:rFonts w:hint="eastAsia"/>
                      <w:lang w:val="en-US" w:eastAsia="zh-CN"/>
                    </w:rPr>
                    <w:t>油类</w:t>
                  </w:r>
                  <w:r>
                    <w:rPr>
                      <w:rFonts w:hint="eastAsia"/>
                    </w:rPr>
                    <w:t>物质污染周边水体及土壤</w:t>
                  </w:r>
                  <w:r>
                    <w:rPr>
                      <w:rFonts w:hint="eastAsia"/>
                      <w:lang w:eastAsia="zh-CN"/>
                    </w:rPr>
                    <w:t>；</w:t>
                  </w:r>
                </w:p>
              </w:tc>
            </w:tr>
            <w:tr>
              <w:tc>
                <w:tcPr>
                  <w:tcW w:w="1498" w:type="dxa"/>
                  <w:tcBorders>
                    <w:top w:val="single" w:sz="4" w:space="0" w:color="auto"/>
                    <w:left w:val="single" w:sz="4" w:space="0" w:color="auto"/>
                    <w:right w:val="single" w:sz="4" w:space="0" w:color="auto"/>
                  </w:tcBorders>
                  <w:vAlign w:val="center"/>
                </w:tcPr>
                <w:p>
                  <w:pPr>
                    <w:spacing w:line="240" w:lineRule="auto"/>
                    <w:jc w:val="center"/>
                    <w:rPr>
                      <w:rFonts w:ascii="Times New Roman" w:eastAsia="宋体" w:cs="Times New Roman" w:hAnsi="Times New Roman" w:hint="eastAsia"/>
                      <w:b w:val="0"/>
                      <w:bCs w:val="0"/>
                      <w:color w:val="auto"/>
                      <w:sz w:val="21"/>
                      <w:szCs w:val="21"/>
                      <w:vertAlign w:val="baseline"/>
                      <w:lang w:val="en-US" w:eastAsia="zh-CN"/>
                    </w:rPr>
                  </w:pPr>
                  <w:r>
                    <w:rPr>
                      <w:rFonts w:ascii="Times New Roman" w:eastAsia="宋体" w:cs="Times New Roman" w:hAnsi="Times New Roman" w:hint="eastAsia"/>
                      <w:b w:val="0"/>
                      <w:bCs w:val="0"/>
                      <w:color w:val="auto"/>
                      <w:sz w:val="21"/>
                      <w:szCs w:val="21"/>
                      <w:vertAlign w:val="baseline"/>
                      <w:lang w:val="en-US" w:eastAsia="zh-CN"/>
                    </w:rPr>
                    <w:t>风险防范措施要求</w:t>
                  </w:r>
                </w:p>
              </w:tc>
              <w:tc>
                <w:tcPr>
                  <w:tcW w:w="6801" w:type="dxa"/>
                  <w:gridSpan w:val="4"/>
                  <w:tcBorders>
                    <w:top w:val="single" w:sz="4" w:space="0" w:color="auto"/>
                    <w:left w:val="single" w:sz="4" w:space="0" w:color="auto"/>
                    <w:right w:val="single" w:sz="4" w:space="0" w:color="auto"/>
                  </w:tcBorders>
                  <w:vAlign w:val="center"/>
                </w:tcPr>
                <w:p>
                  <w:pPr>
                    <w:spacing w:line="240" w:lineRule="auto"/>
                    <w:jc w:val="both"/>
                    <w:rPr>
                      <w:rFonts w:hint="eastAsia"/>
                    </w:rPr>
                  </w:pPr>
                  <w:r>
                    <w:rPr>
                      <w:rFonts w:hint="eastAsia"/>
                    </w:rPr>
                    <w:t>①产生</w:t>
                  </w:r>
                  <w:r>
                    <w:rPr>
                      <w:rFonts w:cs="Times New Roman" w:hint="eastAsia"/>
                      <w:b w:val="0"/>
                      <w:bCs w:val="0"/>
                      <w:color w:val="auto"/>
                      <w:sz w:val="21"/>
                      <w:szCs w:val="21"/>
                      <w:vertAlign w:val="baseline"/>
                      <w:lang w:val="en-US" w:eastAsia="zh-CN"/>
                    </w:rPr>
                    <w:t>废矿物油</w:t>
                  </w:r>
                  <w:r>
                    <w:rPr>
                      <w:rFonts w:hint="eastAsia"/>
                    </w:rPr>
                    <w:t>由专用桶装容器收集后，存储于厂内危废暂存间中，及时交由有危险废物处置资质的单位进行处置，在厂区内的贮存时间不得超过1年。</w:t>
                  </w:r>
                </w:p>
                <w:p>
                  <w:pPr>
                    <w:spacing w:line="240" w:lineRule="auto"/>
                    <w:jc w:val="both"/>
                    <w:rPr>
                      <w:rFonts w:hint="eastAsia"/>
                    </w:rPr>
                  </w:pPr>
                  <w:r>
                    <w:rPr>
                      <w:rFonts w:hint="eastAsia"/>
                    </w:rPr>
                    <w:t>②危废暂存间严格落实分区防渗要求，并在四周设置截排水沟，截排水沟按重点防渗区落实防渗要求。</w:t>
                  </w:r>
                </w:p>
                <w:p>
                  <w:pPr>
                    <w:spacing w:line="240" w:lineRule="auto"/>
                    <w:jc w:val="both"/>
                    <w:rPr>
                      <w:rFonts w:hint="eastAsia"/>
                    </w:rPr>
                  </w:pPr>
                  <w:r>
                    <w:rPr>
                      <w:rFonts w:hint="eastAsia"/>
                    </w:rPr>
                    <w:t>③危险废物及其贮存设施严格落实本评价提出的各项管控要求。</w:t>
                  </w:r>
                </w:p>
                <w:p>
                  <w:pPr>
                    <w:spacing w:line="240" w:lineRule="auto"/>
                    <w:jc w:val="both"/>
                    <w:rPr>
                      <w:rFonts w:hint="eastAsia"/>
                    </w:rPr>
                  </w:pPr>
                  <w:r>
                    <w:rPr>
                      <w:rFonts w:hint="eastAsia"/>
                    </w:rPr>
                    <w:t>④值班维护人员对设备进行定期检查防止发生跑、冒、滴、漏现象。</w:t>
                  </w:r>
                </w:p>
                <w:p>
                  <w:pPr>
                    <w:spacing w:line="240" w:lineRule="auto"/>
                    <w:jc w:val="both"/>
                    <w:rPr>
                      <w:rFonts w:ascii="Times New Roman" w:eastAsia="宋体" w:cs="Times New Roman" w:hAnsi="Times New Roman" w:hint="eastAsia"/>
                      <w:b w:val="0"/>
                      <w:bCs w:val="0"/>
                      <w:color w:val="auto"/>
                      <w:sz w:val="21"/>
                      <w:szCs w:val="21"/>
                      <w:vertAlign w:val="baseline"/>
                      <w:lang w:val="en-US" w:eastAsia="zh-CN"/>
                    </w:rPr>
                  </w:pPr>
                  <w:r>
                    <w:rPr>
                      <w:rFonts w:hint="eastAsia"/>
                    </w:rPr>
                    <w:t>⑤制定环境风险应急预案，配备应急处理设备和保障物资。</w:t>
                  </w:r>
                </w:p>
              </w:tc>
            </w:tr>
          </w:tbl>
          <w:p>
            <w:pPr>
              <w:bidi w:val="0"/>
              <w:spacing w:line="360" w:lineRule="auto"/>
              <w:ind w:left="0" w:firstLineChars="200" w:firstLine="480"/>
              <w:rPr>
                <w:rFonts w:ascii="Times New Roman" w:eastAsia="宋体" w:cs="Times New Roman" w:hAnsi="Times New Roman"/>
                <w:b/>
                <w:bCs/>
                <w:color w:val="FF0000"/>
                <w:sz w:val="24"/>
                <w:szCs w:val="24"/>
                <w:lang w:val="en-US" w:eastAsia="zh-CN"/>
              </w:rPr>
            </w:pPr>
            <w:r>
              <w:rPr>
                <w:rFonts w:ascii="Times New Roman" w:eastAsia="宋体" w:cs="Times New Roman" w:hAnsi="Times New Roman"/>
                <w:sz w:val="24"/>
                <w:szCs w:val="24"/>
                <w:lang w:val="en-US" w:eastAsia="zh-CN"/>
              </w:rPr>
              <w:t>经过风险分析和评价得出结论：本项目事故风险水平较低，在进一步采取安全防范措施后，满足国家相关规定</w:t>
            </w:r>
            <w:r>
              <w:rPr>
                <w:rFonts w:cs="Times New Roman" w:hint="eastAsia"/>
                <w:sz w:val="24"/>
                <w:szCs w:val="24"/>
                <w:lang w:val="en-US" w:eastAsia="zh-CN"/>
              </w:rPr>
              <w:t>，</w:t>
            </w:r>
            <w:r>
              <w:rPr>
                <w:rFonts w:ascii="Times New Roman" w:eastAsia="宋体" w:cs="Times New Roman" w:hAnsi="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ascii="Times New Roman" w:eastAsia="宋体" w:cs="Times New Roman" w:hAnsi="Times New Roman"/>
                <w:color w:val="auto"/>
                <w:sz w:val="24"/>
                <w:szCs w:val="24"/>
                <w:lang w:val="en-US" w:eastAsia="zh-CN"/>
              </w:rPr>
              <w:t>的环境风险应急预案和应急组织结构，保证事故防范措施等的前提下，本项目环境风险可防控</w:t>
            </w:r>
            <w:r>
              <w:rPr>
                <w:rFonts w:ascii="Times New Roman" w:eastAsia="宋体" w:cs="Times New Roman" w:hAnsi="Times New Roman" w:hint="eastAsia"/>
                <w:color w:val="auto"/>
                <w:sz w:val="24"/>
                <w:szCs w:val="24"/>
                <w:lang w:val="en-US" w:eastAsia="zh-CN"/>
              </w:rPr>
              <w:t>。</w:t>
            </w:r>
          </w:p>
          <w:p>
            <w:pPr>
              <w:numPr>
                <w:ilvl w:val="0"/>
                <w:numId w:val="46"/>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生态环境</w:t>
            </w:r>
          </w:p>
          <w:p>
            <w:pPr>
              <w:bidi w:val="0"/>
              <w:spacing w:line="360" w:lineRule="auto"/>
              <w:ind w:left="0" w:firstLineChars="200" w:firstLine="480"/>
              <w:rPr>
                <w:rFonts w:ascii="Times New Roman" w:eastAsia="宋体" w:cs="Times New Roman" w:hAnsi="Times New Roman"/>
                <w:sz w:val="24"/>
                <w:szCs w:val="24"/>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项目所在地主要为城市生态环境</w:t>
            </w:r>
            <w:r>
              <w:rPr>
                <w:rFonts w:cs="Times New Roman" w:hint="eastAsia"/>
                <w:sz w:val="24"/>
                <w:szCs w:val="24"/>
                <w:lang w:val="en-US" w:eastAsia="zh-CN"/>
              </w:rPr>
              <w:t>，</w:t>
            </w:r>
            <w:r>
              <w:rPr>
                <w:rFonts w:ascii="Times New Roman" w:eastAsia="宋体" w:cs="Times New Roman" w:hAnsi="Times New Roman"/>
                <w:sz w:val="24"/>
                <w:szCs w:val="24"/>
                <w:lang w:val="en-US" w:eastAsia="zh-CN"/>
              </w:rPr>
              <w:t>区域内人员、工业企业活动频繁</w:t>
            </w:r>
            <w:r>
              <w:rPr>
                <w:rFonts w:cs="Times New Roman" w:hint="eastAsia"/>
                <w:sz w:val="24"/>
                <w:szCs w:val="24"/>
                <w:lang w:val="en-US" w:eastAsia="zh-CN"/>
              </w:rPr>
              <w:t>，</w:t>
            </w:r>
            <w:r>
              <w:rPr>
                <w:rFonts w:ascii="Times New Roman" w:eastAsia="宋体" w:cs="Times New Roman" w:hAnsi="Times New Roman"/>
                <w:sz w:val="24"/>
                <w:szCs w:val="24"/>
                <w:lang w:val="en-US" w:eastAsia="zh-CN"/>
              </w:rPr>
              <w:t>不存在原生植被</w:t>
            </w:r>
            <w:r>
              <w:rPr>
                <w:rFonts w:cs="Times New Roman" w:hint="eastAsia"/>
                <w:sz w:val="24"/>
                <w:szCs w:val="24"/>
                <w:lang w:val="en-US" w:eastAsia="zh-CN"/>
              </w:rPr>
              <w:t>，</w:t>
            </w:r>
            <w:r>
              <w:rPr>
                <w:rFonts w:ascii="Times New Roman" w:eastAsia="宋体" w:cs="Times New Roman" w:hAnsi="Times New Roman"/>
                <w:sz w:val="24"/>
                <w:szCs w:val="24"/>
                <w:lang w:val="en-US" w:eastAsia="zh-CN"/>
              </w:rPr>
              <w:t>所在区域内无野生动物及珍稀植物</w:t>
            </w:r>
            <w:r>
              <w:rPr>
                <w:rFonts w:cs="Times New Roman" w:hint="eastAsia"/>
                <w:sz w:val="24"/>
                <w:szCs w:val="24"/>
                <w:lang w:val="en-US" w:eastAsia="zh-CN"/>
              </w:rPr>
              <w:t>，</w:t>
            </w:r>
            <w:r>
              <w:rPr>
                <w:rFonts w:ascii="Times New Roman" w:eastAsia="宋体" w:cs="Times New Roman" w:hAnsi="Times New Roman"/>
                <w:sz w:val="24"/>
                <w:szCs w:val="24"/>
                <w:lang w:val="en-US" w:eastAsia="zh-CN"/>
              </w:rPr>
              <w:t>无生态环境保护目标存在。</w:t>
            </w:r>
          </w:p>
          <w:p>
            <w:pPr>
              <w:numPr>
                <w:ilvl w:val="0"/>
                <w:numId w:val="46"/>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环境管理和环保标识牌要求</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环境管理是组成落实、检查和监督</w:t>
            </w:r>
            <w:r>
              <w:rPr>
                <w:rFonts w:cs="Times New Roman" w:hint="eastAsia"/>
                <w:sz w:val="24"/>
                <w:szCs w:val="24"/>
                <w:lang w:val="en-US" w:eastAsia="zh-CN"/>
              </w:rPr>
              <w:t>本</w:t>
            </w:r>
            <w:r>
              <w:rPr>
                <w:rFonts w:ascii="Times New Roman" w:eastAsia="宋体" w:cs="Times New Roman" w:hAnsi="Times New Roman"/>
                <w:sz w:val="24"/>
                <w:szCs w:val="24"/>
                <w:lang w:val="en-US" w:eastAsia="zh-CN"/>
              </w:rPr>
              <w:t>项目的一项生产监督活动，必须纳入日常性的生产管理轨道和重要的议事日程。建设项目在投产营运期间</w:t>
            </w:r>
            <w:r>
              <w:rPr>
                <w:rFonts w:cs="Times New Roman" w:hint="eastAsia"/>
                <w:sz w:val="24"/>
                <w:szCs w:val="24"/>
                <w:lang w:val="en-US" w:eastAsia="zh-CN"/>
              </w:rPr>
              <w:t>会</w:t>
            </w:r>
            <w:r>
              <w:rPr>
                <w:rFonts w:ascii="Times New Roman" w:eastAsia="宋体" w:cs="Times New Roman" w:hAnsi="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65"/>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环境管理</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66"/>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环境管理的原则</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项目建设中，是以保护环境和资源、同时实施环境保护建设与改善、实现区域经济可持续发展为目标。在项目实施的各阶段，将遵循下述基本原则。</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①符合区域建设总体规划及区域与企业长远利益；②国家有关污染控制的法律、法规标准；③国家和当地保护矿产资源、水资源、改善生态环境的要求；④国家和当地环境管理的政策要求；⑤国家和当地环境可持续发展要求。</w:t>
            </w:r>
          </w:p>
          <w:p>
            <w:pPr>
              <w:numPr>
                <w:ilvl w:val="0"/>
                <w:numId w:val="66"/>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环境管理体系</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为加强环境保护管理工作，</w:t>
            </w:r>
            <w:r>
              <w:rPr>
                <w:rFonts w:cs="Times New Roman" w:hint="eastAsia"/>
                <w:sz w:val="24"/>
                <w:szCs w:val="24"/>
                <w:lang w:val="en-US" w:eastAsia="zh-CN"/>
              </w:rPr>
              <w:t>企业</w:t>
            </w:r>
            <w:r>
              <w:rPr>
                <w:rFonts w:ascii="Times New Roman" w:eastAsia="宋体" w:cs="Times New Roman" w:hAnsi="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65"/>
              </w:numPr>
              <w:bidi w:val="0"/>
              <w:spacing w:line="360" w:lineRule="auto"/>
              <w:ind w:left="0" w:firstLineChars="200" w:firstLine="480"/>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排污口规范化设置</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根据国家标准《环境保护图形标志</w:t>
            </w:r>
            <w:r>
              <w:rPr>
                <w:rFonts w:cs="Times New Roman" w:hint="eastAsia"/>
                <w:sz w:val="24"/>
                <w:szCs w:val="24"/>
                <w:lang w:val="en-US" w:eastAsia="zh-CN"/>
              </w:rPr>
              <w:t>—</w:t>
            </w:r>
            <w:r>
              <w:rPr>
                <w:rFonts w:ascii="Times New Roman" w:eastAsia="宋体" w:cs="Times New Roman" w:hAnsi="Times New Roman"/>
                <w:sz w:val="24"/>
                <w:szCs w:val="24"/>
                <w:lang w:val="en-US" w:eastAsia="zh-CN"/>
              </w:rPr>
              <w:t>排放口</w:t>
            </w:r>
            <w:r>
              <w:rPr>
                <w:rFonts w:cs="Times New Roman" w:hint="eastAsia"/>
                <w:sz w:val="24"/>
                <w:szCs w:val="24"/>
                <w:lang w:val="en-US" w:eastAsia="zh-CN"/>
              </w:rPr>
              <w:t>（</w:t>
            </w:r>
            <w:r>
              <w:rPr>
                <w:rFonts w:ascii="Times New Roman" w:eastAsia="宋体" w:cs="Times New Roman" w:hAnsi="Times New Roman"/>
                <w:sz w:val="24"/>
                <w:szCs w:val="24"/>
                <w:lang w:val="en-US" w:eastAsia="zh-CN"/>
              </w:rPr>
              <w:t>源</w:t>
            </w:r>
            <w:r>
              <w:rPr>
                <w:rFonts w:cs="Times New Roman" w:hint="eastAsia"/>
                <w:sz w:val="24"/>
                <w:szCs w:val="24"/>
                <w:lang w:val="en-US" w:eastAsia="zh-CN"/>
              </w:rPr>
              <w:t>）</w:t>
            </w:r>
            <w:r>
              <w:rPr>
                <w:rFonts w:ascii="Times New Roman" w:eastAsia="宋体" w:cs="Times New Roman" w:hAnsi="Times New Roman"/>
                <w:sz w:val="24"/>
                <w:szCs w:val="24"/>
                <w:lang w:val="en-US" w:eastAsia="zh-CN"/>
              </w:rPr>
              <w:t>》和国家环保总局《排污口规范化整治要求》</w:t>
            </w:r>
            <w:r>
              <w:rPr>
                <w:rFonts w:cs="Times New Roman" w:hint="eastAsia"/>
                <w:sz w:val="24"/>
                <w:szCs w:val="24"/>
                <w:lang w:val="en-US" w:eastAsia="zh-CN"/>
              </w:rPr>
              <w:t>（</w:t>
            </w:r>
            <w:r>
              <w:rPr>
                <w:rFonts w:ascii="Times New Roman" w:eastAsia="宋体" w:cs="Times New Roman" w:hAnsi="Times New Roman"/>
                <w:sz w:val="24"/>
                <w:szCs w:val="24"/>
                <w:lang w:val="en-US" w:eastAsia="zh-CN"/>
              </w:rPr>
              <w:t>试行</w:t>
            </w:r>
            <w:r>
              <w:rPr>
                <w:rFonts w:cs="Times New Roman" w:hint="eastAsia"/>
                <w:sz w:val="24"/>
                <w:szCs w:val="24"/>
                <w:lang w:val="en-US" w:eastAsia="zh-CN"/>
              </w:rPr>
              <w:t>）</w:t>
            </w:r>
            <w:r>
              <w:rPr>
                <w:rFonts w:ascii="Times New Roman" w:eastAsia="宋体" w:cs="Times New Roman" w:hAnsi="Times New Roman"/>
                <w:sz w:val="24"/>
                <w:szCs w:val="24"/>
                <w:lang w:val="en-US" w:eastAsia="zh-CN"/>
              </w:rPr>
              <w:t>的技术要求，企业所有排放口</w:t>
            </w:r>
            <w:r>
              <w:rPr>
                <w:rFonts w:cs="Times New Roman" w:hint="eastAsia"/>
                <w:sz w:val="24"/>
                <w:szCs w:val="24"/>
                <w:lang w:val="en-US" w:eastAsia="zh-CN"/>
              </w:rPr>
              <w:t>（</w:t>
            </w:r>
            <w:r>
              <w:rPr>
                <w:rFonts w:ascii="Times New Roman" w:eastAsia="宋体" w:cs="Times New Roman" w:hAnsi="Times New Roman"/>
                <w:sz w:val="24"/>
                <w:szCs w:val="24"/>
                <w:lang w:val="en-US" w:eastAsia="zh-CN"/>
              </w:rPr>
              <w:t>包括水、气、声</w:t>
            </w:r>
            <w:r>
              <w:rPr>
                <w:rFonts w:cs="Times New Roman" w:hint="eastAsia"/>
                <w:sz w:val="24"/>
                <w:szCs w:val="24"/>
                <w:lang w:val="en-US" w:eastAsia="zh-CN"/>
              </w:rPr>
              <w:t>及</w:t>
            </w:r>
            <w:r>
              <w:rPr>
                <w:rFonts w:ascii="Times New Roman" w:eastAsia="宋体" w:cs="Times New Roman" w:hAnsi="Times New Roman"/>
                <w:sz w:val="24"/>
                <w:szCs w:val="24"/>
                <w:lang w:val="en-US" w:eastAsia="zh-CN"/>
              </w:rPr>
              <w:t>渣</w:t>
            </w:r>
            <w:r>
              <w:rPr>
                <w:rFonts w:cs="Times New Roman" w:hint="eastAsia"/>
                <w:sz w:val="24"/>
                <w:szCs w:val="24"/>
                <w:lang w:val="en-US" w:eastAsia="zh-CN"/>
              </w:rPr>
              <w:t>）</w:t>
            </w:r>
            <w:r>
              <w:rPr>
                <w:rFonts w:ascii="Times New Roman" w:eastAsia="宋体" w:cs="Times New Roman" w:hAnsi="Times New Roman"/>
                <w:sz w:val="24"/>
                <w:szCs w:val="24"/>
                <w:lang w:val="en-US" w:eastAsia="zh-CN"/>
              </w:rPr>
              <w:t>必须</w:t>
            </w:r>
            <w:r>
              <w:rPr>
                <w:rFonts w:ascii="宋体" w:eastAsia="宋体" w:cs="宋体" w:hint="eastAsia"/>
                <w:sz w:val="24"/>
                <w:szCs w:val="24"/>
                <w:lang w:val="en-US" w:eastAsia="zh-CN"/>
              </w:rPr>
              <w:t>按照“</w:t>
            </w:r>
            <w:r>
              <w:rPr>
                <w:rFonts w:ascii="Times New Roman" w:eastAsia="宋体" w:cs="Times New Roman" w:hAnsi="Times New Roman"/>
                <w:sz w:val="24"/>
                <w:szCs w:val="24"/>
                <w:lang w:val="en-US" w:eastAsia="zh-CN"/>
              </w:rPr>
              <w:t>便于采样、便于计量检测、便于日常现场监督检查</w:t>
            </w:r>
            <w:r>
              <w:rPr>
                <w:rFonts w:ascii="宋体" w:eastAsia="宋体" w:cs="宋体" w:hint="eastAsia"/>
                <w:sz w:val="24"/>
                <w:szCs w:val="24"/>
                <w:lang w:val="en-US" w:eastAsia="zh-CN"/>
              </w:rPr>
              <w:t>”的原</w:t>
            </w:r>
            <w:r>
              <w:rPr>
                <w:rFonts w:ascii="Times New Roman" w:eastAsia="宋体" w:cs="Times New Roman" w:hAnsi="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67"/>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废水排放口</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67"/>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废气排放口</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建设单位需按《排污口设置及规范化整治管理办法》要求进行</w:t>
            </w:r>
            <w:r>
              <w:rPr>
                <w:rFonts w:cs="Times New Roman" w:hint="eastAsia"/>
                <w:sz w:val="24"/>
                <w:szCs w:val="24"/>
                <w:lang w:val="en-US" w:eastAsia="zh-CN"/>
              </w:rPr>
              <w:t>废气</w:t>
            </w:r>
            <w:r>
              <w:rPr>
                <w:rFonts w:ascii="Times New Roman" w:eastAsia="宋体" w:cs="Times New Roman" w:hAnsi="Times New Roman"/>
                <w:sz w:val="24"/>
                <w:szCs w:val="24"/>
                <w:lang w:val="en-US" w:eastAsia="zh-CN"/>
              </w:rPr>
              <w:t>排污口规范化设计。排气筒</w:t>
            </w:r>
            <w:r>
              <w:rPr>
                <w:rFonts w:cs="Times New Roman" w:hint="eastAsia"/>
                <w:sz w:val="24"/>
                <w:szCs w:val="24"/>
                <w:lang w:val="en-US" w:eastAsia="zh-CN"/>
              </w:rPr>
              <w:t>（</w:t>
            </w:r>
            <w:r>
              <w:rPr>
                <w:rFonts w:ascii="Times New Roman" w:eastAsia="宋体" w:cs="Times New Roman" w:hAnsi="Times New Roman"/>
                <w:sz w:val="24"/>
                <w:szCs w:val="24"/>
                <w:lang w:val="en-US" w:eastAsia="zh-CN"/>
              </w:rPr>
              <w:t>烟囱</w:t>
            </w:r>
            <w:r>
              <w:rPr>
                <w:rFonts w:cs="Times New Roman" w:hint="eastAsia"/>
                <w:sz w:val="24"/>
                <w:szCs w:val="24"/>
                <w:lang w:val="en-US" w:eastAsia="zh-CN"/>
              </w:rPr>
              <w:t>）</w:t>
            </w:r>
            <w:r>
              <w:rPr>
                <w:rFonts w:ascii="Times New Roman" w:eastAsia="宋体" w:cs="Times New Roman" w:hAnsi="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67"/>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固定噪声污染源扰民处规范化整治</w:t>
            </w:r>
          </w:p>
          <w:p>
            <w:p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67"/>
              </w:numPr>
              <w:bidi w:val="0"/>
              <w:spacing w:line="360" w:lineRule="auto"/>
              <w:ind w:left="0"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固废堆放规范化整治</w:t>
            </w:r>
          </w:p>
          <w:p>
            <w:pPr>
              <w:bidi w:val="0"/>
              <w:spacing w:line="360" w:lineRule="auto"/>
              <w:ind w:firstLineChars="200" w:firstLine="480"/>
              <w:rPr>
                <w:rFonts w:ascii="Times New Roman" w:eastAsia="宋体" w:cs="Times New Roman" w:hAnsi="Times New Roman"/>
                <w:sz w:val="24"/>
                <w:szCs w:val="24"/>
                <w:lang w:val="en-US" w:eastAsia="zh-CN"/>
              </w:rPr>
            </w:pPr>
            <w:r>
              <w:rPr>
                <w:rFonts w:ascii="Times New Roman" w:eastAsia="宋体" w:cs="Times New Roman" w:hAnsi="Times New Roman"/>
                <w:sz w:val="24"/>
                <w:szCs w:val="24"/>
                <w:lang w:val="en-US" w:eastAsia="zh-CN"/>
              </w:rPr>
              <w:t>固废堆场应设置环境保护图形标志牌，将</w:t>
            </w:r>
            <w:r>
              <w:rPr>
                <w:rFonts w:cs="Times New Roman" w:hint="eastAsia"/>
                <w:sz w:val="24"/>
                <w:szCs w:val="24"/>
                <w:lang w:val="en-US" w:eastAsia="zh-CN"/>
              </w:rPr>
              <w:t>产生的</w:t>
            </w:r>
            <w:r>
              <w:rPr>
                <w:rFonts w:ascii="Times New Roman" w:eastAsia="宋体" w:cs="Times New Roman" w:hAnsi="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cs="Times New Roman" w:hint="eastAsia"/>
                <w:sz w:val="24"/>
                <w:szCs w:val="24"/>
                <w:lang w:val="en-US" w:eastAsia="zh-CN"/>
              </w:rPr>
              <w:t>相应</w:t>
            </w:r>
            <w:r>
              <w:rPr>
                <w:rFonts w:ascii="Times New Roman" w:eastAsia="宋体" w:cs="Times New Roman" w:hAnsi="Times New Roman"/>
                <w:sz w:val="24"/>
                <w:szCs w:val="24"/>
                <w:lang w:val="en-US" w:eastAsia="zh-CN"/>
              </w:rPr>
              <w:t>环境保护图形标志，标志牌应设在与之功能相应的醒目处，标志牌必须保持清晰、完整。当发现形象损坏、颜色污染或有变化、</w:t>
            </w:r>
            <w:r>
              <w:rPr>
                <w:sz w:val="24"/>
              </w:rPr>
              <w:t>褪色</w:t>
            </w:r>
            <w:bookmarkStart w:id="0" w:name="_GoBack"/>
            <w:bookmarkEnd w:id="0"/>
            <w:r>
              <w:rPr>
                <w:rFonts w:ascii="Times New Roman" w:eastAsia="宋体" w:cs="Times New Roman" w:hAnsi="Times New Roman"/>
                <w:sz w:val="24"/>
                <w:szCs w:val="24"/>
                <w:lang w:val="en-US" w:eastAsia="zh-CN"/>
              </w:rPr>
              <w:t>等不符合本标准的情况，应及时修复或更换。检查时间至少每半年一次。</w:t>
            </w:r>
          </w:p>
          <w:p>
            <w:pPr>
              <w:bidi w:val="0"/>
              <w:spacing w:line="360" w:lineRule="auto"/>
              <w:ind w:left="0" w:firstLineChars="200" w:firstLine="480"/>
              <w:rPr>
                <w:rFonts w:ascii="Times New Roman" w:eastAsia="宋体" w:cs="Times New Roman" w:hAnsi="Times New Roman"/>
                <w:b/>
                <w:bCs/>
                <w:sz w:val="21"/>
                <w:szCs w:val="21"/>
                <w:lang w:val="en-US" w:eastAsia="zh-CN"/>
              </w:rPr>
            </w:pPr>
            <w:r>
              <w:rPr>
                <w:rFonts w:cs="Times New Roman" w:hint="eastAsia"/>
                <w:sz w:val="24"/>
                <w:szCs w:val="24"/>
                <w:lang w:val="en-US" w:eastAsia="zh-CN"/>
              </w:rPr>
              <w:t>本</w:t>
            </w:r>
            <w:r>
              <w:rPr>
                <w:rFonts w:ascii="Times New Roman" w:eastAsia="宋体" w:cs="Times New Roman" w:hAnsi="Times New Roman"/>
                <w:sz w:val="24"/>
                <w:szCs w:val="24"/>
                <w:lang w:val="en-US" w:eastAsia="zh-CN"/>
              </w:rPr>
              <w:t>项</w:t>
            </w:r>
            <w:r>
              <w:rPr>
                <w:rFonts w:ascii="宋体" w:eastAsia="宋体" w:cs="宋体" w:hint="eastAsia"/>
                <w:sz w:val="24"/>
                <w:szCs w:val="24"/>
                <w:lang w:val="en-US" w:eastAsia="zh-CN"/>
              </w:rPr>
              <w:t>目区“三废”及</w:t>
            </w:r>
            <w:r>
              <w:rPr>
                <w:rFonts w:ascii="Times New Roman" w:eastAsia="宋体" w:cs="Times New Roman" w:hAnsi="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cs="Times New Roman" w:hint="eastAsia"/>
                <w:sz w:val="24"/>
                <w:szCs w:val="24"/>
                <w:lang w:val="en-US" w:eastAsia="zh-CN"/>
              </w:rPr>
              <w:t>18</w:t>
            </w:r>
            <w:r>
              <w:rPr>
                <w:rFonts w:ascii="Times New Roman" w:eastAsia="宋体" w:cs="Times New Roman" w:hAnsi="Times New Roman"/>
                <w:sz w:val="24"/>
                <w:szCs w:val="24"/>
                <w:lang w:val="en-US" w:eastAsia="zh-CN"/>
              </w:rPr>
              <w:t>。</w:t>
            </w:r>
          </w:p>
          <w:p>
            <w:pPr>
              <w:bidi w:val="0"/>
              <w:spacing w:line="360" w:lineRule="auto"/>
              <w:jc w:val="center"/>
              <w:rPr>
                <w:rFonts w:ascii="Times New Roman" w:eastAsia="宋体" w:cs="Times New Roman" w:hAnsi="Times New Roman"/>
                <w:b/>
                <w:bCs/>
                <w:sz w:val="21"/>
                <w:szCs w:val="21"/>
                <w:lang w:val="en-US" w:eastAsia="zh-CN"/>
              </w:rPr>
            </w:pPr>
          </w:p>
          <w:p>
            <w:pPr>
              <w:bidi w:val="0"/>
              <w:spacing w:line="360" w:lineRule="auto"/>
              <w:jc w:val="center"/>
              <w:rPr>
                <w:rFonts w:ascii="Times New Roman" w:eastAsia="宋体" w:cs="Times New Roman" w:hAnsi="Times New Roman"/>
                <w:b/>
                <w:bCs/>
                <w:sz w:val="21"/>
                <w:szCs w:val="21"/>
                <w:lang w:val="en-US" w:eastAsia="zh-CN"/>
              </w:rPr>
            </w:pPr>
            <w:r>
              <w:rPr>
                <w:rFonts w:ascii="Times New Roman" w:eastAsia="宋体" w:cs="Times New Roman" w:hAnsi="Times New Roman"/>
                <w:b/>
                <w:bCs/>
                <w:sz w:val="21"/>
                <w:szCs w:val="21"/>
                <w:lang w:val="en-US" w:eastAsia="zh-CN"/>
              </w:rPr>
              <w:t>表4</w:t>
            </w:r>
            <w:r>
              <w:rPr>
                <w:rFonts w:cs="Times New Roman" w:hint="eastAsia"/>
                <w:b/>
                <w:bCs/>
                <w:sz w:val="21"/>
                <w:szCs w:val="21"/>
                <w:lang w:val="en-US" w:eastAsia="zh-CN"/>
              </w:rPr>
              <w:t xml:space="preserve">-18 </w:t>
            </w:r>
            <w:r>
              <w:rPr>
                <w:rFonts w:ascii="Times New Roman" w:eastAsia="宋体" w:cs="Times New Roman" w:hAnsi="Times New Roman"/>
                <w:b/>
                <w:bCs/>
                <w:sz w:val="21"/>
                <w:szCs w:val="21"/>
                <w:lang w:val="en-US" w:eastAsia="zh-CN"/>
              </w:rPr>
              <w:t>排放口图形标志</w:t>
            </w:r>
          </w:p>
          <w:tbl>
            <w:tblPr>
              <w:jc w:val="left"/>
              <w:tblInd w:w="0" w:type="dxa"/>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0"/>
              <w:gridCol w:w="1955"/>
              <w:gridCol w:w="1955"/>
              <w:gridCol w:w="1700"/>
              <w:gridCol w:w="1983"/>
            </w:tblGrid>
            <w:tr>
              <w:tc>
                <w:tcPr>
                  <w:tcW w:w="730"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序号</w:t>
                  </w:r>
                </w:p>
              </w:tc>
              <w:tc>
                <w:tcPr>
                  <w:tcW w:w="1955"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提示图形符号</w:t>
                  </w:r>
                </w:p>
              </w:tc>
              <w:tc>
                <w:tcPr>
                  <w:tcW w:w="1955"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警告图形符号</w:t>
                  </w:r>
                </w:p>
              </w:tc>
              <w:tc>
                <w:tcPr>
                  <w:tcW w:w="1700"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名称</w:t>
                  </w:r>
                </w:p>
              </w:tc>
              <w:tc>
                <w:tcPr>
                  <w:tcW w:w="1983" w:type="dxa"/>
                  <w:vAlign w:val="center"/>
                </w:tcPr>
                <w:p>
                  <w:pPr>
                    <w:bidi w:val="0"/>
                    <w:spacing w:line="240" w:lineRule="auto"/>
                    <w:jc w:val="center"/>
                    <w:rPr>
                      <w:rFonts w:ascii="Times New Roman" w:eastAsia="宋体" w:cs="Times New Roman" w:hAnsi="Times New Roman"/>
                      <w:b/>
                      <w:bCs/>
                      <w:sz w:val="21"/>
                      <w:szCs w:val="21"/>
                      <w:vertAlign w:val="baseline"/>
                      <w:lang w:val="en-US" w:eastAsia="zh-CN"/>
                    </w:rPr>
                  </w:pPr>
                  <w:r>
                    <w:rPr>
                      <w:rFonts w:ascii="Times New Roman" w:eastAsia="宋体" w:cs="Times New Roman" w:hAnsi="Times New Roman"/>
                      <w:b/>
                      <w:bCs/>
                      <w:sz w:val="21"/>
                      <w:szCs w:val="21"/>
                      <w:vertAlign w:val="baseline"/>
                      <w:lang w:val="en-US" w:eastAsia="zh-CN"/>
                    </w:rPr>
                    <w:t>功能</w:t>
                  </w:r>
                </w:p>
              </w:tc>
            </w:tr>
            <w:tr>
              <w:tc>
                <w:tcPr>
                  <w:tcW w:w="73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1</w:t>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18844" cy="918844"/>
                        <wp:effectExtent l="0" t="0" r="18" b="18"/>
                        <wp:docPr id="99" name="图片 5"/>
                        <wp:cNvGraphicFramePr>
                          <a:graphicFrameLocks noChangeAspect="1"/>
                        </wp:cNvGraphicFramePr>
                        <a:graphic>
                          <a:graphicData uri="http://schemas.openxmlformats.org/drawingml/2006/picture">
                            <pic:pic>
                              <pic:nvPicPr>
                                <pic:cNvPr id="101" name="图片 5 101"/>
                                <pic:cNvPicPr/>
                              </pic:nvPicPr>
                              <pic:blipFill>
                                <a:blip r:embed="rId26"/>
                                <a:stretch>
                                  <a:fillRect/>
                                </a:stretch>
                              </pic:blipFill>
                              <pic:spPr>
                                <a:xfrm rot="0">
                                  <a:off x="0" y="0"/>
                                  <a:ext cx="918844" cy="918844"/>
                                </a:xfrm>
                                <a:prstGeom prst="rect"/>
                                <a:noFill/>
                                <a:ln w="9525" cmpd="sng" cap="flat">
                                  <a:noFill/>
                                  <a:prstDash val="solid"/>
                                  <a:round/>
                                </a:ln>
                              </pic:spPr>
                            </pic:pic>
                          </a:graphicData>
                        </a:graphic>
                      </wp:inline>
                    </w:drawing>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18210" cy="744220"/>
                        <wp:effectExtent l="0" t="0" r="15" b="44"/>
                        <wp:docPr id="102" name="图片 9"/>
                        <wp:cNvGraphicFramePr>
                          <a:graphicFrameLocks noChangeAspect="1"/>
                        </wp:cNvGraphicFramePr>
                        <a:graphic>
                          <a:graphicData uri="http://schemas.openxmlformats.org/drawingml/2006/picture">
                            <pic:pic>
                              <pic:nvPicPr>
                                <pic:cNvPr id="104" name="图片 9 104"/>
                                <pic:cNvPicPr/>
                              </pic:nvPicPr>
                              <pic:blipFill>
                                <a:blip r:embed="rId27"/>
                                <a:stretch>
                                  <a:fillRect/>
                                </a:stretch>
                              </pic:blipFill>
                              <pic:spPr>
                                <a:xfrm rot="0">
                                  <a:off x="0" y="0"/>
                                  <a:ext cx="918210" cy="744220"/>
                                </a:xfrm>
                                <a:prstGeom prst="rect"/>
                                <a:noFill/>
                                <a:ln w="9525" cmpd="sng" cap="flat">
                                  <a:noFill/>
                                  <a:prstDash val="solid"/>
                                  <a:round/>
                                </a:ln>
                              </pic:spPr>
                            </pic:pic>
                          </a:graphicData>
                        </a:graphic>
                      </wp:inline>
                    </w:drawing>
                  </w:r>
                </w:p>
              </w:tc>
              <w:tc>
                <w:tcPr>
                  <w:tcW w:w="17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废气排放口</w:t>
                  </w:r>
                </w:p>
              </w:tc>
              <w:tc>
                <w:tcPr>
                  <w:tcW w:w="1983"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表示废气向大气环境排放</w:t>
                  </w:r>
                </w:p>
              </w:tc>
            </w:tr>
            <w:tr>
              <w:tc>
                <w:tcPr>
                  <w:tcW w:w="73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2</w:t>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13130" cy="909955"/>
                        <wp:effectExtent l="0" t="0" r="17" b="46"/>
                        <wp:docPr id="105" name="图片 6"/>
                        <wp:cNvGraphicFramePr>
                          <a:graphicFrameLocks noChangeAspect="1"/>
                        </wp:cNvGraphicFramePr>
                        <a:graphic>
                          <a:graphicData uri="http://schemas.openxmlformats.org/drawingml/2006/picture">
                            <pic:pic>
                              <pic:nvPicPr>
                                <pic:cNvPr id="107" name="图片 6 107"/>
                                <pic:cNvPicPr/>
                              </pic:nvPicPr>
                              <pic:blipFill>
                                <a:blip r:embed="rId28"/>
                                <a:stretch>
                                  <a:fillRect/>
                                </a:stretch>
                              </pic:blipFill>
                              <pic:spPr>
                                <a:xfrm rot="0">
                                  <a:off x="0" y="0"/>
                                  <a:ext cx="913130" cy="909955"/>
                                </a:xfrm>
                                <a:prstGeom prst="rect"/>
                                <a:noFill/>
                                <a:ln w="9525" cmpd="sng" cap="flat">
                                  <a:noFill/>
                                  <a:prstDash val="solid"/>
                                  <a:round/>
                                </a:ln>
                              </pic:spPr>
                            </pic:pic>
                          </a:graphicData>
                        </a:graphic>
                      </wp:inline>
                    </w:drawing>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18210" cy="703580"/>
                        <wp:effectExtent l="0" t="0" r="15" b="21"/>
                        <wp:docPr id="108" name="图片 10"/>
                        <wp:cNvGraphicFramePr>
                          <a:graphicFrameLocks noChangeAspect="1"/>
                        </wp:cNvGraphicFramePr>
                        <a:graphic>
                          <a:graphicData uri="http://schemas.openxmlformats.org/drawingml/2006/picture">
                            <pic:pic>
                              <pic:nvPicPr>
                                <pic:cNvPr id="110" name="图片 10 110"/>
                                <pic:cNvPicPr/>
                              </pic:nvPicPr>
                              <pic:blipFill>
                                <a:blip r:embed="rId29"/>
                                <a:stretch>
                                  <a:fillRect/>
                                </a:stretch>
                              </pic:blipFill>
                              <pic:spPr>
                                <a:xfrm rot="0">
                                  <a:off x="0" y="0"/>
                                  <a:ext cx="918210" cy="703580"/>
                                </a:xfrm>
                                <a:prstGeom prst="rect"/>
                                <a:noFill/>
                                <a:ln w="9525" cmpd="sng" cap="flat">
                                  <a:noFill/>
                                  <a:prstDash val="solid"/>
                                  <a:round/>
                                </a:ln>
                              </pic:spPr>
                            </pic:pic>
                          </a:graphicData>
                        </a:graphic>
                      </wp:inline>
                    </w:drawing>
                  </w:r>
                </w:p>
              </w:tc>
              <w:tc>
                <w:tcPr>
                  <w:tcW w:w="17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一般固体废物</w:t>
                  </w:r>
                </w:p>
              </w:tc>
              <w:tc>
                <w:tcPr>
                  <w:tcW w:w="1983"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表示一般固体废物贮存、处置场</w:t>
                  </w:r>
                </w:p>
              </w:tc>
            </w:tr>
            <w:tr>
              <w:tc>
                <w:tcPr>
                  <w:tcW w:w="730" w:type="dxa"/>
                  <w:tcBorders>
                    <w:top w:val="single" w:sz="4" w:space="0" w:color="auto"/>
                    <w:left w:val="single" w:sz="4" w:space="0" w:color="auto"/>
                    <w:right w:val="single" w:sz="4" w:space="0" w:color="auto"/>
                  </w:tcBorders>
                  <w:vAlign w:val="center"/>
                </w:tcPr>
                <w:p>
                  <w:pPr>
                    <w:bidi w:val="0"/>
                    <w:spacing w:line="240" w:lineRule="auto"/>
                    <w:jc w:val="center"/>
                    <w:rPr>
                      <w:rFonts w:cs="Times New Roman"/>
                      <w:sz w:val="21"/>
                      <w:szCs w:val="21"/>
                      <w:vertAlign w:val="baseline"/>
                      <w:lang w:val="en-US" w:eastAsia="zh-CN"/>
                    </w:rPr>
                  </w:pPr>
                  <w:r>
                    <w:rPr>
                      <w:rFonts w:cs="Times New Roman" w:hint="eastAsia"/>
                      <w:sz w:val="21"/>
                      <w:szCs w:val="21"/>
                      <w:vertAlign w:val="baseline"/>
                      <w:lang w:val="en-US" w:eastAsia="zh-CN"/>
                    </w:rPr>
                    <w:t>3</w:t>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eastAsia="宋体" w:hint="eastAsia"/>
                      <w:sz w:val="21"/>
                      <w:szCs w:val="21"/>
                      <w:lang w:val="en-US" w:eastAsia="zh-CN"/>
                    </w:rPr>
                  </w:pPr>
                  <w:r>
                    <w:drawing>
                      <wp:inline distT="0" distB="0" distL="114300" distR="114300">
                        <wp:extent cx="1103630" cy="670559"/>
                        <wp:effectExtent l="0" t="0" r="15" b="10"/>
                        <wp:docPr id="111" name="图片 4"/>
                        <wp:cNvGraphicFramePr>
                          <a:graphicFrameLocks noChangeAspect="1"/>
                        </wp:cNvGraphicFramePr>
                        <a:graphic>
                          <a:graphicData uri="http://schemas.openxmlformats.org/drawingml/2006/picture">
                            <pic:pic>
                              <pic:nvPicPr>
                                <pic:cNvPr id="113" name="图片 4 113"/>
                                <pic:cNvPicPr/>
                              </pic:nvPicPr>
                              <pic:blipFill>
                                <a:blip r:embed="rId30"/>
                                <a:stretch>
                                  <a:fillRect/>
                                </a:stretch>
                              </pic:blipFill>
                              <pic:spPr>
                                <a:xfrm rot="0">
                                  <a:off x="0" y="0"/>
                                  <a:ext cx="1103630" cy="670559"/>
                                </a:xfrm>
                                <a:prstGeom prst="rect"/>
                                <a:noFill/>
                                <a:ln w="9525" cmpd="sng" cap="flat">
                                  <a:noFill/>
                                  <a:prstDash val="solid"/>
                                  <a:round/>
                                </a:ln>
                              </pic:spPr>
                            </pic:pic>
                          </a:graphicData>
                        </a:graphic>
                      </wp:inline>
                    </w:drawing>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sz w:val="21"/>
                      <w:szCs w:val="21"/>
                    </w:rPr>
                  </w:pPr>
                  <w:r>
                    <w:drawing>
                      <wp:inline distT="0" distB="0" distL="114300" distR="114300">
                        <wp:extent cx="827405" cy="953135"/>
                        <wp:effectExtent l="0" t="0" r="19" b="17"/>
                        <wp:docPr id="114" name="图片 3"/>
                        <wp:cNvGraphicFramePr>
                          <a:graphicFrameLocks noChangeAspect="1"/>
                        </wp:cNvGraphicFramePr>
                        <a:graphic>
                          <a:graphicData uri="http://schemas.openxmlformats.org/drawingml/2006/picture">
                            <pic:pic>
                              <pic:nvPicPr>
                                <pic:cNvPr id="116" name="图片 3 116"/>
                                <pic:cNvPicPr/>
                              </pic:nvPicPr>
                              <pic:blipFill>
                                <a:blip r:embed="rId31"/>
                                <a:stretch>
                                  <a:fillRect/>
                                </a:stretch>
                              </pic:blipFill>
                              <pic:spPr>
                                <a:xfrm rot="0">
                                  <a:off x="0" y="0"/>
                                  <a:ext cx="827405" cy="953135"/>
                                </a:xfrm>
                                <a:prstGeom prst="rect"/>
                                <a:noFill/>
                                <a:ln w="9525" cmpd="sng" cap="flat">
                                  <a:noFill/>
                                  <a:prstDash val="solid"/>
                                  <a:round/>
                                </a:ln>
                              </pic:spPr>
                            </pic:pic>
                          </a:graphicData>
                        </a:graphic>
                      </wp:inline>
                    </w:drawing>
                  </w:r>
                </w:p>
              </w:tc>
              <w:tc>
                <w:tcPr>
                  <w:tcW w:w="17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危险废物</w:t>
                  </w:r>
                </w:p>
              </w:tc>
              <w:tc>
                <w:tcPr>
                  <w:tcW w:w="1983"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表示危险废物贮存、处置场</w:t>
                  </w:r>
                </w:p>
              </w:tc>
            </w:tr>
            <w:tr>
              <w:tc>
                <w:tcPr>
                  <w:tcW w:w="73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4</w:t>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08685" cy="908685"/>
                        <wp:effectExtent l="0" t="0" r="14" b="14"/>
                        <wp:docPr id="117" name="图片 7"/>
                        <wp:cNvGraphicFramePr>
                          <a:graphicFrameLocks noChangeAspect="1"/>
                        </wp:cNvGraphicFramePr>
                        <a:graphic>
                          <a:graphicData uri="http://schemas.openxmlformats.org/drawingml/2006/picture">
                            <pic:pic>
                              <pic:nvPicPr>
                                <pic:cNvPr id="119" name="图片 7 119"/>
                                <pic:cNvPicPr/>
                              </pic:nvPicPr>
                              <pic:blipFill>
                                <a:blip r:embed="rId32"/>
                                <a:stretch>
                                  <a:fillRect/>
                                </a:stretch>
                              </pic:blipFill>
                              <pic:spPr>
                                <a:xfrm rot="0">
                                  <a:off x="0" y="0"/>
                                  <a:ext cx="908685" cy="908685"/>
                                </a:xfrm>
                                <a:prstGeom prst="rect"/>
                                <a:noFill/>
                                <a:ln w="9525" cmpd="sng" cap="flat">
                                  <a:noFill/>
                                  <a:prstDash val="solid"/>
                                  <a:round/>
                                </a:ln>
                              </pic:spPr>
                            </pic:pic>
                          </a:graphicData>
                        </a:graphic>
                      </wp:inline>
                    </w:drawing>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17575" cy="749300"/>
                        <wp:effectExtent l="0" t="0" r="46" b="20"/>
                        <wp:docPr id="120" name="图片 11"/>
                        <wp:cNvGraphicFramePr>
                          <a:graphicFrameLocks noChangeAspect="1"/>
                        </wp:cNvGraphicFramePr>
                        <a:graphic>
                          <a:graphicData uri="http://schemas.openxmlformats.org/drawingml/2006/picture">
                            <pic:pic>
                              <pic:nvPicPr>
                                <pic:cNvPr id="122" name="图片 11 122"/>
                                <pic:cNvPicPr/>
                              </pic:nvPicPr>
                              <pic:blipFill>
                                <a:blip r:embed="rId33"/>
                                <a:stretch>
                                  <a:fillRect/>
                                </a:stretch>
                              </pic:blipFill>
                              <pic:spPr>
                                <a:xfrm rot="0">
                                  <a:off x="0" y="0"/>
                                  <a:ext cx="917575" cy="749300"/>
                                </a:xfrm>
                                <a:prstGeom prst="rect"/>
                                <a:noFill/>
                                <a:ln w="9525" cmpd="sng" cap="flat">
                                  <a:noFill/>
                                  <a:prstDash val="solid"/>
                                  <a:round/>
                                </a:ln>
                              </pic:spPr>
                            </pic:pic>
                          </a:graphicData>
                        </a:graphic>
                      </wp:inline>
                    </w:drawing>
                  </w:r>
                </w:p>
              </w:tc>
              <w:tc>
                <w:tcPr>
                  <w:tcW w:w="17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噪声排放源</w:t>
                  </w:r>
                </w:p>
              </w:tc>
              <w:tc>
                <w:tcPr>
                  <w:tcW w:w="1983"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表示噪声向外环境排放</w:t>
                  </w:r>
                </w:p>
              </w:tc>
            </w:tr>
            <w:tr>
              <w:trPr>
                <w:trHeight w:val="282"/>
              </w:trPr>
              <w:tc>
                <w:tcPr>
                  <w:tcW w:w="73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cs="Times New Roman" w:hint="eastAsia"/>
                      <w:sz w:val="21"/>
                      <w:szCs w:val="21"/>
                      <w:vertAlign w:val="baseline"/>
                      <w:lang w:val="en-US" w:eastAsia="zh-CN"/>
                    </w:rPr>
                    <w:t>5</w:t>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871855" cy="888364"/>
                        <wp:effectExtent l="0" t="0" r="45" b="19"/>
                        <wp:docPr id="123" name="图片 8"/>
                        <wp:cNvGraphicFramePr>
                          <a:graphicFrameLocks noChangeAspect="1"/>
                        </wp:cNvGraphicFramePr>
                        <a:graphic>
                          <a:graphicData uri="http://schemas.openxmlformats.org/drawingml/2006/picture">
                            <pic:pic>
                              <pic:nvPicPr>
                                <pic:cNvPr id="125" name="图片 8 125"/>
                                <pic:cNvPicPr/>
                              </pic:nvPicPr>
                              <pic:blipFill>
                                <a:blip r:embed="rId34"/>
                                <a:stretch>
                                  <a:fillRect/>
                                </a:stretch>
                              </pic:blipFill>
                              <pic:spPr>
                                <a:xfrm rot="0">
                                  <a:off x="0" y="0"/>
                                  <a:ext cx="871855" cy="888364"/>
                                </a:xfrm>
                                <a:prstGeom prst="rect"/>
                                <a:noFill/>
                                <a:ln w="9525" cmpd="sng" cap="flat">
                                  <a:noFill/>
                                  <a:prstDash val="solid"/>
                                  <a:round/>
                                </a:ln>
                              </pic:spPr>
                            </pic:pic>
                          </a:graphicData>
                        </a:graphic>
                      </wp:inline>
                    </w:drawing>
                  </w:r>
                </w:p>
              </w:tc>
              <w:tc>
                <w:tcPr>
                  <w:tcW w:w="1955"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sz w:val="21"/>
                      <w:szCs w:val="21"/>
                    </w:rPr>
                    <w:drawing>
                      <wp:inline distT="0" distB="0" distL="114300" distR="114300">
                        <wp:extent cx="917575" cy="784225"/>
                        <wp:effectExtent l="0" t="0" r="46" b="44"/>
                        <wp:docPr id="126" name="图片 12"/>
                        <wp:cNvGraphicFramePr>
                          <a:graphicFrameLocks noChangeAspect="1"/>
                        </wp:cNvGraphicFramePr>
                        <a:graphic>
                          <a:graphicData uri="http://schemas.openxmlformats.org/drawingml/2006/picture">
                            <pic:pic>
                              <pic:nvPicPr>
                                <pic:cNvPr id="128" name="图片 12 128"/>
                                <pic:cNvPicPr/>
                              </pic:nvPicPr>
                              <pic:blipFill>
                                <a:blip r:embed="rId35"/>
                                <a:stretch>
                                  <a:fillRect/>
                                </a:stretch>
                              </pic:blipFill>
                              <pic:spPr>
                                <a:xfrm rot="0">
                                  <a:off x="0" y="0"/>
                                  <a:ext cx="917575" cy="784225"/>
                                </a:xfrm>
                                <a:prstGeom prst="rect"/>
                                <a:noFill/>
                                <a:ln w="9525" cmpd="sng" cap="flat">
                                  <a:noFill/>
                                  <a:prstDash val="solid"/>
                                  <a:round/>
                                </a:ln>
                              </pic:spPr>
                            </pic:pic>
                          </a:graphicData>
                        </a:graphic>
                      </wp:inline>
                    </w:drawing>
                  </w:r>
                </w:p>
              </w:tc>
              <w:tc>
                <w:tcPr>
                  <w:tcW w:w="1700" w:type="dxa"/>
                  <w:tcBorders>
                    <w:top w:val="single" w:sz="4" w:space="0" w:color="auto"/>
                    <w:left w:val="single" w:sz="4" w:space="0" w:color="auto"/>
                    <w:right w:val="single" w:sz="4" w:space="0" w:color="auto"/>
                  </w:tcBorders>
                  <w:vAlign w:val="center"/>
                </w:tcPr>
                <w:p>
                  <w:pPr>
                    <w:bidi w:val="0"/>
                    <w:spacing w:line="240" w:lineRule="auto"/>
                    <w:jc w:val="center"/>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废水排放口</w:t>
                  </w:r>
                </w:p>
              </w:tc>
              <w:tc>
                <w:tcPr>
                  <w:tcW w:w="1983" w:type="dxa"/>
                  <w:tcBorders>
                    <w:top w:val="single" w:sz="4" w:space="0" w:color="auto"/>
                    <w:left w:val="single" w:sz="4" w:space="0" w:color="auto"/>
                    <w:right w:val="single" w:sz="4" w:space="0" w:color="auto"/>
                  </w:tcBorders>
                  <w:vAlign w:val="center"/>
                </w:tcPr>
                <w:p>
                  <w:pPr>
                    <w:bidi w:val="0"/>
                    <w:spacing w:line="240" w:lineRule="auto"/>
                    <w:jc w:val="both"/>
                    <w:rPr>
                      <w:rFonts w:ascii="Times New Roman" w:eastAsia="宋体" w:cs="Times New Roman" w:hAnsi="Times New Roman"/>
                      <w:sz w:val="21"/>
                      <w:szCs w:val="21"/>
                      <w:vertAlign w:val="baseline"/>
                      <w:lang w:val="en-US" w:eastAsia="zh-CN"/>
                    </w:rPr>
                  </w:pPr>
                  <w:r>
                    <w:rPr>
                      <w:rFonts w:ascii="Times New Roman" w:eastAsia="宋体" w:cs="Times New Roman" w:hAnsi="Times New Roman"/>
                      <w:sz w:val="21"/>
                      <w:szCs w:val="21"/>
                      <w:vertAlign w:val="baseline"/>
                      <w:lang w:val="en-US" w:eastAsia="zh-CN"/>
                    </w:rPr>
                    <w:t>表示废水向外环境排放</w:t>
                  </w:r>
                </w:p>
              </w:tc>
            </w:tr>
          </w:tbl>
          <w:p>
            <w:pPr>
              <w:bidi w:val="0"/>
              <w:spacing w:line="360" w:lineRule="auto"/>
              <w:jc w:val="center"/>
              <w:rPr>
                <w:rFonts w:ascii="Times New Roman" w:eastAsia="宋体" w:cs="Times New Roman" w:hAnsi="Times New Roman"/>
                <w:b/>
                <w:bCs/>
                <w:sz w:val="21"/>
                <w:szCs w:val="21"/>
                <w:lang w:val="en-US" w:eastAsia="zh-CN"/>
              </w:rPr>
            </w:pPr>
          </w:p>
          <w:p>
            <w:pPr>
              <w:bidi w:val="0"/>
              <w:spacing w:line="360" w:lineRule="auto"/>
              <w:rPr>
                <w:rFonts w:cs="Times New Roman" w:hint="eastAsia"/>
                <w:sz w:val="24"/>
                <w:szCs w:val="24"/>
                <w:lang w:val="en-US" w:eastAsia="zh-CN"/>
              </w:rPr>
            </w:pPr>
          </w:p>
          <w:p>
            <w:pPr>
              <w:bidi w:val="0"/>
              <w:spacing w:line="360" w:lineRule="auto"/>
              <w:rPr>
                <w:rFonts w:cs="Times New Roman" w:hint="eastAsia"/>
                <w:sz w:val="24"/>
                <w:szCs w:val="24"/>
                <w:lang w:val="en-US" w:eastAsia="zh-CN"/>
              </w:rPr>
            </w:pPr>
          </w:p>
          <w:p>
            <w:pPr>
              <w:bidi w:val="0"/>
              <w:spacing w:line="360" w:lineRule="auto"/>
              <w:rPr>
                <w:rFonts w:cs="Times New Roman" w:hint="eastAsia"/>
                <w:sz w:val="24"/>
                <w:szCs w:val="24"/>
                <w:lang w:val="en-US" w:eastAsia="zh-CN"/>
              </w:rPr>
            </w:pPr>
          </w:p>
          <w:p>
            <w:pPr>
              <w:bidi w:val="0"/>
              <w:spacing w:line="360" w:lineRule="auto"/>
              <w:rPr>
                <w:rFonts w:cs="Times New Roman" w:hint="eastAsia"/>
                <w:sz w:val="24"/>
                <w:szCs w:val="24"/>
                <w:lang w:val="en-US" w:eastAsia="zh-CN"/>
              </w:rPr>
            </w:pPr>
          </w:p>
          <w:p>
            <w:pPr>
              <w:bidi w:val="0"/>
              <w:spacing w:line="360" w:lineRule="auto"/>
              <w:rPr>
                <w:rFonts w:cs="Times New Roman" w:hint="eastAsia"/>
                <w:sz w:val="24"/>
                <w:szCs w:val="24"/>
                <w:lang w:val="en-US" w:eastAsia="zh-CN"/>
              </w:rPr>
            </w:pPr>
          </w:p>
          <w:p>
            <w:pPr>
              <w:bidi w:val="0"/>
              <w:spacing w:line="360" w:lineRule="auto"/>
              <w:rPr>
                <w:rFonts w:cs="Times New Roman" w:hint="eastAsia"/>
                <w:sz w:val="24"/>
                <w:szCs w:val="24"/>
                <w:lang w:val="en-US" w:eastAsia="zh-CN"/>
              </w:rPr>
            </w:pPr>
          </w:p>
          <w:p>
            <w:pPr>
              <w:bidi w:val="0"/>
              <w:spacing w:line="360" w:lineRule="auto"/>
              <w:rPr>
                <w:rFonts w:cs="Times New Roman" w:hint="eastAsia"/>
                <w:sz w:val="24"/>
                <w:szCs w:val="24"/>
                <w:lang w:val="en-US" w:eastAsia="zh-CN"/>
              </w:rPr>
            </w:pPr>
          </w:p>
          <w:p>
            <w:pPr>
              <w:bidi w:val="0"/>
              <w:spacing w:line="360" w:lineRule="auto"/>
              <w:rPr>
                <w:rFonts w:ascii="Times New Roman" w:eastAsia="宋体" w:cs="Times New Roman" w:hAnsi="Times New Roman"/>
                <w:sz w:val="24"/>
                <w:szCs w:val="24"/>
                <w:lang w:val="en-US" w:eastAsia="zh-CN"/>
              </w:rPr>
            </w:pPr>
          </w:p>
        </w:tc>
      </w:tr>
      <w:tr>
        <w:trPr>
          <w:trHeight w:val="93"/>
        </w:trPr>
        <w:tc>
          <w:tcPr>
            <w:tcW w:w="1116" w:type="dxa"/>
            <w:tcBorders>
              <w:top w:val="single" w:sz="4" w:space="0" w:color="auto"/>
              <w:left w:val="single" w:sz="4" w:space="0" w:color="auto"/>
              <w:right w:val="single" w:sz="4" w:space="0" w:color="auto"/>
            </w:tcBorders>
            <w:noWrap/>
            <w:vAlign w:val="center"/>
          </w:tcPr>
          <w:p>
            <w:pPr>
              <w:bidi w:val="0"/>
              <w:spacing w:line="360" w:lineRule="auto"/>
              <w:jc w:val="center"/>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环保</w:t>
            </w:r>
          </w:p>
          <w:p>
            <w:pPr>
              <w:bidi w:val="0"/>
              <w:spacing w:line="360" w:lineRule="auto"/>
              <w:jc w:val="center"/>
              <w:rPr>
                <w:rFonts w:ascii="Times New Roman" w:eastAsia="宋体" w:cs="Times New Roman" w:hAnsi="Times New Roman"/>
                <w:b/>
                <w:bCs/>
                <w:sz w:val="24"/>
                <w:szCs w:val="24"/>
                <w:lang w:val="en-US" w:eastAsia="zh-CN"/>
              </w:rPr>
            </w:pPr>
            <w:r>
              <w:rPr>
                <w:rFonts w:ascii="Times New Roman" w:eastAsia="宋体" w:cs="Times New Roman" w:hAnsi="Times New Roman"/>
                <w:b/>
                <w:bCs/>
                <w:sz w:val="24"/>
                <w:szCs w:val="24"/>
                <w:lang w:val="en-US" w:eastAsia="zh-CN"/>
              </w:rPr>
              <w:t>投资</w:t>
            </w:r>
          </w:p>
        </w:tc>
        <w:tc>
          <w:tcPr>
            <w:tcW w:w="8539" w:type="dxa"/>
            <w:tcBorders>
              <w:top w:val="single" w:sz="4" w:space="0" w:color="auto"/>
              <w:left w:val="single" w:sz="4" w:space="0" w:color="auto"/>
              <w:right w:val="single" w:sz="4" w:space="0" w:color="auto"/>
            </w:tcBorders>
            <w:noWrap/>
            <w:vAlign w:val="center"/>
          </w:tcPr>
          <w:p>
            <w:pPr>
              <w:bidi w:val="0"/>
              <w:spacing w:line="360" w:lineRule="auto"/>
              <w:ind w:left="0"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color w:val="auto"/>
                <w:sz w:val="24"/>
                <w:szCs w:val="24"/>
                <w:lang w:val="en-US" w:eastAsia="zh-CN"/>
              </w:rPr>
              <w:t>本项目建设总投资</w:t>
            </w:r>
            <w:r>
              <w:rPr>
                <w:rFonts w:cs="Times New Roman" w:hint="eastAsia"/>
                <w:color w:val="auto"/>
                <w:sz w:val="24"/>
                <w:szCs w:val="24"/>
                <w:lang w:val="en-US" w:eastAsia="zh-CN"/>
              </w:rPr>
              <w:t>200</w:t>
            </w:r>
            <w:r>
              <w:rPr>
                <w:rFonts w:ascii="Times New Roman" w:eastAsia="宋体" w:cs="Times New Roman" w:hAnsi="Times New Roman" w:hint="eastAsia"/>
                <w:color w:val="auto"/>
                <w:sz w:val="24"/>
                <w:szCs w:val="24"/>
                <w:lang w:val="en-US" w:eastAsia="zh-CN"/>
              </w:rPr>
              <w:t>万元</w:t>
            </w:r>
            <w:r>
              <w:rPr>
                <w:rFonts w:cs="Times New Roman" w:hint="eastAsia"/>
                <w:color w:val="auto"/>
                <w:sz w:val="24"/>
                <w:szCs w:val="24"/>
                <w:lang w:val="en-US" w:eastAsia="zh-CN"/>
              </w:rPr>
              <w:t>，其中</w:t>
            </w:r>
            <w:r>
              <w:rPr>
                <w:rFonts w:ascii="Times New Roman" w:eastAsia="宋体" w:cs="Times New Roman" w:hAnsi="Times New Roman" w:hint="eastAsia"/>
                <w:color w:val="auto"/>
                <w:sz w:val="24"/>
                <w:szCs w:val="24"/>
                <w:lang w:val="en-US" w:eastAsia="zh-CN"/>
              </w:rPr>
              <w:t>环保投资</w:t>
            </w:r>
            <w:r>
              <w:rPr>
                <w:rFonts w:ascii="Times New Roman" w:eastAsia="宋体" w:cs="Times New Roman" w:hAnsi="Times New Roman"/>
                <w:color w:val="auto"/>
                <w:sz w:val="24"/>
                <w:szCs w:val="24"/>
                <w:lang w:val="en-US" w:eastAsia="zh-CN"/>
              </w:rPr>
              <w:t>估算约</w:t>
            </w:r>
            <w:r>
              <w:rPr>
                <w:rFonts w:cs="Times New Roman" w:hint="eastAsia"/>
                <w:color w:val="auto"/>
                <w:sz w:val="24"/>
                <w:szCs w:val="24"/>
                <w:lang w:val="en-US" w:eastAsia="zh-CN"/>
              </w:rPr>
              <w:t>20.5</w:t>
            </w:r>
            <w:r>
              <w:rPr>
                <w:rFonts w:ascii="Times New Roman" w:eastAsia="宋体" w:cs="Times New Roman" w:hAnsi="Times New Roman" w:hint="eastAsia"/>
                <w:color w:val="auto"/>
                <w:sz w:val="24"/>
                <w:szCs w:val="24"/>
                <w:lang w:val="en-US" w:eastAsia="zh-CN"/>
              </w:rPr>
              <w:t>万元</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占项目总投资的</w:t>
            </w:r>
            <w:r>
              <w:rPr>
                <w:rFonts w:cs="Times New Roman" w:hint="eastAsia"/>
                <w:color w:val="auto"/>
                <w:sz w:val="24"/>
                <w:szCs w:val="24"/>
                <w:lang w:val="en-US" w:eastAsia="zh-CN"/>
              </w:rPr>
              <w:t>10.25</w:t>
            </w:r>
            <w:r>
              <w:rPr>
                <w:rFonts w:ascii="Times New Roman" w:eastAsia="宋体" w:cs="Times New Roman" w:hAnsi="Times New Roman" w:hint="eastAsia"/>
                <w:color w:val="auto"/>
                <w:sz w:val="24"/>
                <w:szCs w:val="24"/>
                <w:lang w:val="en-US" w:eastAsia="zh-CN"/>
              </w:rPr>
              <w:t>%</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环保设施及投资详见下表</w:t>
            </w:r>
            <w:r>
              <w:rPr>
                <w:rFonts w:ascii="Times New Roman" w:eastAsia="宋体" w:cs="Times New Roman" w:hAnsi="Times New Roman"/>
                <w:color w:val="auto"/>
                <w:sz w:val="24"/>
                <w:szCs w:val="24"/>
                <w:lang w:val="en-US" w:eastAsia="zh-CN"/>
              </w:rPr>
              <w:t>。</w:t>
            </w:r>
          </w:p>
          <w:p>
            <w:pPr>
              <w:bidi w:val="0"/>
              <w:spacing w:line="360" w:lineRule="auto"/>
              <w:jc w:val="center"/>
              <w:rPr>
                <w:rFonts w:ascii="Times New Roman" w:eastAsia="宋体" w:cs="Times New Roman" w:hAnsi="Times New Roman"/>
                <w:b/>
                <w:bCs/>
                <w:color w:val="auto"/>
                <w:sz w:val="21"/>
                <w:szCs w:val="21"/>
                <w:vertAlign w:val="baseline"/>
                <w:lang w:val="en-US" w:eastAsia="zh-CN"/>
              </w:rPr>
            </w:pPr>
            <w:r>
              <w:rPr>
                <w:rFonts w:ascii="Times New Roman" w:eastAsia="宋体" w:cs="Times New Roman" w:hAnsi="Times New Roman"/>
                <w:b/>
                <w:bCs/>
                <w:color w:val="auto"/>
                <w:sz w:val="21"/>
                <w:szCs w:val="21"/>
                <w:lang w:val="en-US" w:eastAsia="zh-CN"/>
              </w:rPr>
              <w:t>表4-</w:t>
            </w:r>
            <w:r>
              <w:rPr>
                <w:rFonts w:cs="Times New Roman" w:hint="eastAsia"/>
                <w:b/>
                <w:bCs/>
                <w:color w:val="auto"/>
                <w:sz w:val="21"/>
                <w:szCs w:val="21"/>
                <w:lang w:val="en-US" w:eastAsia="zh-CN"/>
              </w:rPr>
              <w:t>19</w:t>
            </w:r>
            <w:r>
              <w:rPr>
                <w:rFonts w:ascii="Times New Roman" w:eastAsia="宋体" w:cs="Times New Roman" w:hAnsi="Times New Roman" w:hint="eastAsia"/>
                <w:b/>
                <w:bCs/>
                <w:color w:val="auto"/>
                <w:sz w:val="21"/>
                <w:szCs w:val="21"/>
                <w:lang w:val="en-US" w:eastAsia="zh-CN"/>
              </w:rPr>
              <w:t xml:space="preserve"> </w:t>
            </w:r>
            <w:r>
              <w:rPr>
                <w:rFonts w:ascii="Times New Roman" w:eastAsia="宋体" w:cs="Times New Roman" w:hAnsi="Times New Roman"/>
                <w:b/>
                <w:bCs/>
                <w:color w:val="auto"/>
                <w:sz w:val="21"/>
                <w:szCs w:val="21"/>
                <w:lang w:val="en-US" w:eastAsia="zh-CN"/>
              </w:rPr>
              <w:t>项目环保投资估算情况一览表</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64"/>
              <w:gridCol w:w="1125"/>
              <w:gridCol w:w="4333"/>
              <w:gridCol w:w="1235"/>
              <w:gridCol w:w="851"/>
            </w:tblGrid>
            <w:tr>
              <w:tc>
                <w:tcPr>
                  <w:tcW w:w="460" w:type="pct"/>
                  <w:noWrap/>
                  <w:vAlign w:val="center"/>
                </w:tcPr>
                <w:p>
                  <w:pPr>
                    <w:jc w:val="center"/>
                    <w:rPr>
                      <w:b/>
                      <w:bCs/>
                      <w:szCs w:val="21"/>
                    </w:rPr>
                  </w:pPr>
                  <w:r>
                    <w:rPr>
                      <w:b/>
                      <w:bCs/>
                    </w:rPr>
                    <w:t>序号</w:t>
                  </w:r>
                </w:p>
              </w:tc>
              <w:tc>
                <w:tcPr>
                  <w:tcW w:w="3283" w:type="pct"/>
                  <w:gridSpan w:val="2"/>
                  <w:noWrap/>
                  <w:vAlign w:val="center"/>
                </w:tcPr>
                <w:p>
                  <w:pPr>
                    <w:jc w:val="center"/>
                    <w:rPr>
                      <w:b/>
                      <w:bCs/>
                      <w:szCs w:val="21"/>
                    </w:rPr>
                  </w:pPr>
                  <w:r>
                    <w:rPr>
                      <w:b/>
                      <w:bCs/>
                    </w:rPr>
                    <w:t>项目</w:t>
                  </w:r>
                </w:p>
              </w:tc>
              <w:tc>
                <w:tcPr>
                  <w:tcW w:w="743" w:type="pct"/>
                  <w:noWrap/>
                  <w:vAlign w:val="center"/>
                </w:tcPr>
                <w:p>
                  <w:pPr>
                    <w:jc w:val="center"/>
                    <w:rPr>
                      <w:b/>
                      <w:bCs/>
                    </w:rPr>
                  </w:pPr>
                  <w:r>
                    <w:rPr>
                      <w:b/>
                      <w:bCs/>
                    </w:rPr>
                    <w:t>投资估算</w:t>
                  </w:r>
                </w:p>
                <w:p>
                  <w:pPr>
                    <w:jc w:val="center"/>
                    <w:rPr>
                      <w:rFonts w:eastAsia="宋体" w:hint="eastAsia"/>
                      <w:b/>
                      <w:bCs/>
                      <w:szCs w:val="21"/>
                      <w:lang w:eastAsia="zh-CN"/>
                    </w:rPr>
                  </w:pPr>
                  <w:r>
                    <w:rPr>
                      <w:b/>
                      <w:bCs/>
                    </w:rPr>
                    <w:t>（万元</w:t>
                  </w:r>
                  <w:r>
                    <w:rPr>
                      <w:rFonts w:hint="eastAsia"/>
                      <w:b/>
                      <w:bCs/>
                      <w:lang w:eastAsia="zh-CN"/>
                    </w:rPr>
                    <w:t>）</w:t>
                  </w:r>
                </w:p>
              </w:tc>
              <w:tc>
                <w:tcPr>
                  <w:tcW w:w="512" w:type="pct"/>
                  <w:noWrap/>
                  <w:vAlign w:val="center"/>
                </w:tcPr>
                <w:p>
                  <w:pPr>
                    <w:jc w:val="center"/>
                    <w:rPr>
                      <w:b/>
                      <w:bCs/>
                      <w:szCs w:val="21"/>
                    </w:rPr>
                  </w:pPr>
                  <w:r>
                    <w:rPr>
                      <w:b/>
                      <w:bCs/>
                    </w:rPr>
                    <w:t>备注</w:t>
                  </w:r>
                </w:p>
              </w:tc>
            </w:tr>
            <w:tr>
              <w:trPr>
                <w:trHeight w:val="369"/>
              </w:trPr>
              <w:tc>
                <w:tcPr>
                  <w:tcW w:w="460" w:type="pct"/>
                  <w:tcBorders>
                    <w:top w:val="single" w:sz="4" w:space="0" w:color="auto"/>
                    <w:left w:val="single" w:sz="4" w:space="0" w:color="auto"/>
                    <w:right w:val="single" w:sz="4" w:space="0" w:color="auto"/>
                  </w:tcBorders>
                  <w:noWrap/>
                  <w:vAlign w:val="center"/>
                </w:tcPr>
                <w:p>
                  <w:pPr>
                    <w:jc w:val="center"/>
                    <w:rPr>
                      <w:szCs w:val="21"/>
                    </w:rPr>
                  </w:pPr>
                  <w:r>
                    <w:t>废水</w:t>
                  </w:r>
                </w:p>
              </w:tc>
              <w:tc>
                <w:tcPr>
                  <w:tcW w:w="677" w:type="pct"/>
                  <w:tcBorders>
                    <w:top w:val="single" w:sz="4" w:space="0" w:color="auto"/>
                    <w:left w:val="single" w:sz="4" w:space="0" w:color="auto"/>
                    <w:right w:val="single" w:sz="4" w:space="0" w:color="auto"/>
                  </w:tcBorders>
                  <w:noWrap/>
                  <w:vAlign w:val="center"/>
                </w:tcPr>
                <w:p>
                  <w:pPr>
                    <w:jc w:val="center"/>
                    <w:rPr>
                      <w:szCs w:val="21"/>
                    </w:rPr>
                  </w:pPr>
                  <w:r>
                    <w:t>生活污水</w:t>
                  </w:r>
                </w:p>
              </w:tc>
              <w:tc>
                <w:tcPr>
                  <w:tcW w:w="2605" w:type="pct"/>
                  <w:tcBorders>
                    <w:top w:val="single" w:sz="4" w:space="0" w:color="auto"/>
                    <w:left w:val="single" w:sz="4" w:space="0" w:color="auto"/>
                    <w:right w:val="single" w:sz="4" w:space="0" w:color="auto"/>
                  </w:tcBorders>
                  <w:noWrap/>
                  <w:vAlign w:val="center"/>
                </w:tcPr>
                <w:p>
                  <w:pPr>
                    <w:jc w:val="both"/>
                    <w:rPr>
                      <w:rFonts w:eastAsia="宋体" w:hint="eastAsia"/>
                      <w:szCs w:val="21"/>
                      <w:lang w:eastAsia="zh-CN"/>
                    </w:rPr>
                  </w:pPr>
                  <w:r>
                    <w:rPr>
                      <w:rFonts w:hint="eastAsia"/>
                      <w:lang w:val="en-US" w:eastAsia="zh-CN"/>
                    </w:rPr>
                    <w:t>依托厂区</w:t>
                  </w:r>
                  <w:r>
                    <w:rPr>
                      <w:rFonts w:hint="eastAsia"/>
                    </w:rPr>
                    <w:t>现有</w:t>
                  </w:r>
                  <w:r>
                    <w:rPr>
                      <w:rFonts w:hint="eastAsia"/>
                      <w:lang w:eastAsia="zh-CN"/>
                    </w:rPr>
                    <w:t>预处理池</w:t>
                  </w:r>
                  <w:r>
                    <w:rPr>
                      <w:rFonts w:hint="eastAsia"/>
                    </w:rPr>
                    <w:t>处理达标后排入园区污水管网</w:t>
                  </w:r>
                  <w:r>
                    <w:rPr>
                      <w:rFonts w:hint="eastAsia"/>
                      <w:lang w:eastAsia="zh-CN"/>
                    </w:rPr>
                    <w:t>；</w:t>
                  </w:r>
                </w:p>
              </w:tc>
              <w:tc>
                <w:tcPr>
                  <w:tcW w:w="743" w:type="pct"/>
                  <w:tcBorders>
                    <w:top w:val="single" w:sz="4" w:space="0" w:color="auto"/>
                    <w:left w:val="single" w:sz="4" w:space="0" w:color="auto"/>
                    <w:right w:val="single" w:sz="4" w:space="0" w:color="auto"/>
                  </w:tcBorders>
                  <w:noWrap/>
                  <w:vAlign w:val="center"/>
                </w:tcPr>
                <w:p>
                  <w:pPr>
                    <w:jc w:val="center"/>
                    <w:rPr>
                      <w:rFonts w:eastAsia="宋体"/>
                      <w:szCs w:val="21"/>
                      <w:lang w:val="en-US" w:eastAsia="zh-CN"/>
                    </w:rPr>
                  </w:pPr>
                  <w:r>
                    <w:rPr>
                      <w:rFonts w:hint="eastAsia"/>
                      <w:lang w:val="en-US" w:eastAsia="zh-CN"/>
                    </w:rPr>
                    <w:t>/</w:t>
                  </w:r>
                </w:p>
              </w:tc>
              <w:tc>
                <w:tcPr>
                  <w:tcW w:w="512" w:type="pct"/>
                  <w:tcBorders>
                    <w:top w:val="single" w:sz="4" w:space="0" w:color="auto"/>
                    <w:left w:val="single" w:sz="4" w:space="0" w:color="auto"/>
                    <w:right w:val="single" w:sz="4" w:space="0" w:color="auto"/>
                  </w:tcBorders>
                  <w:noWrap/>
                  <w:vAlign w:val="center"/>
                </w:tcPr>
                <w:p>
                  <w:pPr>
                    <w:jc w:val="center"/>
                    <w:rPr>
                      <w:rFonts w:eastAsia="宋体" w:hint="eastAsia"/>
                      <w:szCs w:val="21"/>
                      <w:lang w:val="en-US" w:eastAsia="zh-CN"/>
                    </w:rPr>
                  </w:pPr>
                  <w:r>
                    <w:rPr>
                      <w:rFonts w:hint="eastAsia"/>
                      <w:lang w:val="en-US" w:eastAsia="zh-CN"/>
                    </w:rPr>
                    <w:t>依托</w:t>
                  </w:r>
                </w:p>
              </w:tc>
            </w:tr>
            <w:tr>
              <w:trPr>
                <w:trHeight w:val="172"/>
              </w:trPr>
              <w:tc>
                <w:tcPr>
                  <w:tcW w:w="460" w:type="pct"/>
                  <w:tcBorders>
                    <w:top w:val="single" w:sz="4" w:space="0" w:color="auto"/>
                    <w:left w:val="single" w:sz="4" w:space="0" w:color="auto"/>
                    <w:right w:val="single" w:sz="4" w:space="0" w:color="auto"/>
                  </w:tcBorders>
                  <w:noWrap/>
                  <w:vAlign w:val="center"/>
                </w:tcPr>
                <w:p>
                  <w:pPr>
                    <w:jc w:val="center"/>
                    <w:rPr>
                      <w:szCs w:val="21"/>
                    </w:rPr>
                  </w:pPr>
                  <w:r>
                    <w:t>废气</w:t>
                  </w:r>
                </w:p>
              </w:tc>
              <w:tc>
                <w:tcPr>
                  <w:tcW w:w="677" w:type="pct"/>
                  <w:tcBorders>
                    <w:top w:val="single" w:sz="4" w:space="0" w:color="auto"/>
                    <w:left w:val="single" w:sz="4" w:space="0" w:color="auto"/>
                    <w:right w:val="single" w:sz="4" w:space="0" w:color="auto"/>
                  </w:tcBorders>
                  <w:noWrap/>
                  <w:vAlign w:val="center"/>
                </w:tcPr>
                <w:p>
                  <w:pPr>
                    <w:jc w:val="center"/>
                    <w:rPr>
                      <w:rFonts w:eastAsia="宋体" w:hint="eastAsia"/>
                      <w:szCs w:val="21"/>
                      <w:lang w:eastAsia="zh-CN"/>
                    </w:rPr>
                  </w:pPr>
                  <w:r>
                    <w:rPr>
                      <w:rFonts w:hint="eastAsia"/>
                    </w:rPr>
                    <w:t>清灰粉尘</w:t>
                  </w:r>
                </w:p>
              </w:tc>
              <w:tc>
                <w:tcPr>
                  <w:tcW w:w="2605" w:type="pct"/>
                  <w:tcBorders>
                    <w:top w:val="single" w:sz="4" w:space="0" w:color="auto"/>
                    <w:left w:val="single" w:sz="4" w:space="0" w:color="auto"/>
                    <w:right w:val="single" w:sz="4" w:space="0" w:color="auto"/>
                  </w:tcBorders>
                  <w:noWrap/>
                  <w:vAlign w:val="center"/>
                </w:tcPr>
                <w:p>
                  <w:pPr>
                    <w:jc w:val="both"/>
                    <w:rPr>
                      <w:rFonts w:eastAsia="宋体" w:hint="eastAsia"/>
                      <w:szCs w:val="21"/>
                      <w:lang w:eastAsia="zh-CN"/>
                    </w:rPr>
                  </w:pPr>
                  <w:r>
                    <w:rPr>
                      <w:rFonts w:hint="eastAsia"/>
                      <w:lang w:val="en-US" w:eastAsia="zh-CN"/>
                    </w:rPr>
                    <w:t>负压收集后</w:t>
                  </w:r>
                  <w:r>
                    <w:rPr>
                      <w:rFonts w:hint="eastAsia"/>
                    </w:rPr>
                    <w:t>经</w:t>
                  </w:r>
                  <w:r>
                    <w:rPr>
                      <w:rFonts w:hint="eastAsia"/>
                      <w:lang w:val="en-US" w:eastAsia="zh-CN"/>
                    </w:rPr>
                    <w:t>配套</w:t>
                  </w:r>
                  <w:r>
                    <w:rPr>
                      <w:rFonts w:hint="eastAsia"/>
                      <w:lang w:eastAsia="zh-CN"/>
                    </w:rPr>
                    <w:t>布袋除尘</w:t>
                  </w:r>
                  <w:r>
                    <w:rPr>
                      <w:rFonts w:hint="eastAsia"/>
                    </w:rPr>
                    <w:t>器处理</w:t>
                  </w:r>
                  <w:r>
                    <w:rPr>
                      <w:rFonts w:hint="eastAsia"/>
                      <w:lang w:val="en-US" w:eastAsia="zh-CN"/>
                    </w:rPr>
                    <w:t>后</w:t>
                  </w:r>
                  <w:r>
                    <w:rPr>
                      <w:rFonts w:hint="eastAsia"/>
                    </w:rPr>
                    <w:t>通过一根</w:t>
                  </w:r>
                  <w:r>
                    <w:rPr>
                      <w:rFonts w:hint="eastAsia"/>
                      <w:lang w:val="en-US" w:eastAsia="zh-CN"/>
                    </w:rPr>
                    <w:t>21.</w:t>
                  </w:r>
                  <w:r>
                    <w:rPr>
                      <w:rFonts w:hint="eastAsia"/>
                    </w:rPr>
                    <w:t>m高排气筒（DA001）达标排放</w:t>
                  </w:r>
                  <w:r>
                    <w:rPr>
                      <w:rFonts w:hint="eastAsia"/>
                      <w:lang w:eastAsia="zh-CN"/>
                    </w:rPr>
                    <w:t>；</w:t>
                  </w:r>
                </w:p>
              </w:tc>
              <w:tc>
                <w:tcPr>
                  <w:tcW w:w="743" w:type="pct"/>
                  <w:tcBorders>
                    <w:top w:val="single" w:sz="4" w:space="0" w:color="auto"/>
                    <w:left w:val="single" w:sz="4" w:space="0" w:color="auto"/>
                    <w:right w:val="single" w:sz="4" w:space="0" w:color="auto"/>
                  </w:tcBorders>
                  <w:noWrap/>
                  <w:vAlign w:val="center"/>
                </w:tcPr>
                <w:p>
                  <w:pPr>
                    <w:jc w:val="center"/>
                    <w:rPr>
                      <w:rFonts w:eastAsia="宋体"/>
                      <w:szCs w:val="21"/>
                      <w:lang w:val="en-US" w:eastAsia="zh-CN"/>
                    </w:rPr>
                  </w:pPr>
                  <w:r>
                    <w:rPr>
                      <w:rFonts w:hint="eastAsia"/>
                      <w:szCs w:val="21"/>
                      <w:lang w:val="en-US" w:eastAsia="zh-CN"/>
                    </w:rPr>
                    <w:t>9.0</w:t>
                  </w:r>
                </w:p>
              </w:tc>
              <w:tc>
                <w:tcPr>
                  <w:tcW w:w="512" w:type="pct"/>
                  <w:tcBorders>
                    <w:top w:val="single" w:sz="4" w:space="0" w:color="auto"/>
                    <w:left w:val="single" w:sz="4" w:space="0" w:color="auto"/>
                    <w:right w:val="single" w:sz="4" w:space="0" w:color="auto"/>
                  </w:tcBorders>
                  <w:noWrap/>
                  <w:vAlign w:val="center"/>
                </w:tcPr>
                <w:p>
                  <w:pPr>
                    <w:jc w:val="center"/>
                    <w:rPr>
                      <w:rFonts w:eastAsia="宋体" w:hint="eastAsia"/>
                      <w:szCs w:val="21"/>
                      <w:lang w:val="en-US" w:eastAsia="zh-CN"/>
                    </w:rPr>
                  </w:pPr>
                  <w:r>
                    <w:rPr>
                      <w:rFonts w:hint="eastAsia"/>
                      <w:szCs w:val="21"/>
                      <w:lang w:val="en-US" w:eastAsia="zh-CN"/>
                    </w:rPr>
                    <w:t>新建</w:t>
                  </w:r>
                </w:p>
              </w:tc>
            </w:tr>
            <w:tr>
              <w:trPr>
                <w:trHeight w:val="90"/>
              </w:trPr>
              <w:tc>
                <w:tcPr>
                  <w:tcW w:w="460" w:type="pct"/>
                  <w:tcBorders>
                    <w:top w:val="single" w:sz="4" w:space="0" w:color="auto"/>
                    <w:left w:val="single" w:sz="4" w:space="0" w:color="auto"/>
                    <w:right w:val="single" w:sz="4" w:space="0" w:color="auto"/>
                  </w:tcBorders>
                  <w:noWrap/>
                  <w:vAlign w:val="center"/>
                </w:tcPr>
                <w:p>
                  <w:pPr>
                    <w:widowControl/>
                    <w:jc w:val="center"/>
                    <w:rPr>
                      <w:szCs w:val="21"/>
                    </w:rPr>
                  </w:pPr>
                  <w:r>
                    <w:t>噪声防治</w:t>
                  </w:r>
                </w:p>
              </w:tc>
              <w:tc>
                <w:tcPr>
                  <w:tcW w:w="3283" w:type="pct"/>
                  <w:gridSpan w:val="2"/>
                  <w:tcBorders>
                    <w:top w:val="single" w:sz="4" w:space="0" w:color="auto"/>
                    <w:left w:val="single" w:sz="4" w:space="0" w:color="auto"/>
                    <w:right w:val="single" w:sz="4" w:space="0" w:color="auto"/>
                  </w:tcBorders>
                  <w:noWrap/>
                  <w:vAlign w:val="center"/>
                </w:tcPr>
                <w:p>
                  <w:pPr>
                    <w:jc w:val="both"/>
                    <w:rPr>
                      <w:rFonts w:eastAsia="宋体" w:hint="eastAsia"/>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tcBorders>
                    <w:top w:val="single" w:sz="4" w:space="0" w:color="auto"/>
                    <w:left w:val="single" w:sz="4" w:space="0" w:color="auto"/>
                    <w:right w:val="single" w:sz="4" w:space="0" w:color="auto"/>
                  </w:tcBorders>
                  <w:noWrap/>
                  <w:vAlign w:val="center"/>
                </w:tcPr>
                <w:p>
                  <w:pPr>
                    <w:jc w:val="center"/>
                    <w:rPr>
                      <w:lang w:val="en-US" w:eastAsia="zh-CN"/>
                    </w:rPr>
                  </w:pPr>
                  <w:r>
                    <w:rPr>
                      <w:rFonts w:hint="eastAsia"/>
                      <w:lang w:val="en-US" w:eastAsia="zh-CN"/>
                    </w:rPr>
                    <w:t>0.5</w:t>
                  </w:r>
                </w:p>
              </w:tc>
              <w:tc>
                <w:tcPr>
                  <w:tcW w:w="512" w:type="pct"/>
                  <w:tcBorders>
                    <w:top w:val="single" w:sz="4" w:space="0" w:color="auto"/>
                    <w:left w:val="single" w:sz="4" w:space="0" w:color="auto"/>
                    <w:right w:val="single" w:sz="4" w:space="0" w:color="auto"/>
                  </w:tcBorders>
                  <w:noWrap/>
                  <w:vAlign w:val="center"/>
                </w:tcPr>
                <w:p>
                  <w:pPr>
                    <w:jc w:val="center"/>
                  </w:pPr>
                  <w:r>
                    <w:rPr>
                      <w:rFonts w:hint="eastAsia"/>
                      <w:szCs w:val="21"/>
                      <w:lang w:val="en-US" w:eastAsia="zh-CN"/>
                    </w:rPr>
                    <w:t>新建</w:t>
                  </w:r>
                </w:p>
              </w:tc>
            </w:tr>
            <w:tr>
              <w:trPr>
                <w:trHeight w:val="90"/>
              </w:trPr>
              <w:tc>
                <w:tcPr>
                  <w:tcW w:w="460" w:type="pct"/>
                  <w:vMerge w:val="restart"/>
                  <w:tcBorders>
                    <w:top w:val="single" w:sz="4" w:space="0" w:color="auto"/>
                    <w:left w:val="single" w:sz="4" w:space="0" w:color="auto"/>
                    <w:right w:val="single" w:sz="4" w:space="0" w:color="auto"/>
                  </w:tcBorders>
                  <w:noWrap/>
                  <w:vAlign w:val="center"/>
                </w:tcPr>
                <w:p>
                  <w:pPr>
                    <w:jc w:val="center"/>
                    <w:rPr>
                      <w:szCs w:val="21"/>
                    </w:rPr>
                  </w:pPr>
                  <w:r>
                    <w:t>固废</w:t>
                  </w:r>
                </w:p>
              </w:tc>
              <w:tc>
                <w:tcPr>
                  <w:tcW w:w="677" w:type="pct"/>
                  <w:tcBorders>
                    <w:top w:val="single" w:sz="4" w:space="0" w:color="auto"/>
                    <w:left w:val="single" w:sz="4" w:space="0" w:color="auto"/>
                    <w:right w:val="single" w:sz="4" w:space="0" w:color="auto"/>
                  </w:tcBorders>
                  <w:noWrap/>
                  <w:vAlign w:val="center"/>
                </w:tcPr>
                <w:p>
                  <w:pPr>
                    <w:jc w:val="center"/>
                    <w:rPr>
                      <w:szCs w:val="21"/>
                    </w:rPr>
                  </w:pPr>
                  <w:r>
                    <w:rPr>
                      <w:rFonts w:hint="eastAsia"/>
                    </w:rPr>
                    <w:t>生活垃圾</w:t>
                  </w:r>
                </w:p>
              </w:tc>
              <w:tc>
                <w:tcPr>
                  <w:tcW w:w="2605" w:type="pct"/>
                  <w:tcBorders>
                    <w:top w:val="single" w:sz="4" w:space="0" w:color="auto"/>
                    <w:left w:val="single" w:sz="4" w:space="0" w:color="auto"/>
                    <w:right w:val="single" w:sz="4" w:space="0" w:color="auto"/>
                  </w:tcBorders>
                  <w:noWrap/>
                  <w:vAlign w:val="center"/>
                </w:tcPr>
                <w:p>
                  <w:pPr>
                    <w:jc w:val="both"/>
                    <w:rPr>
                      <w:rFonts w:eastAsia="宋体"/>
                      <w:szCs w:val="21"/>
                      <w:lang w:val="en-US" w:eastAsia="zh-CN"/>
                    </w:rPr>
                  </w:pPr>
                  <w:r>
                    <w:rPr>
                      <w:rFonts w:hint="eastAsia"/>
                      <w:szCs w:val="21"/>
                      <w:lang w:val="en-US" w:eastAsia="zh-CN"/>
                    </w:rPr>
                    <w:t>集中收集后交由环卫部门统一清运处理；</w:t>
                  </w:r>
                </w:p>
              </w:tc>
              <w:tc>
                <w:tcPr>
                  <w:tcW w:w="743" w:type="pct"/>
                  <w:vMerge w:val="restart"/>
                  <w:tcBorders>
                    <w:top w:val="single" w:sz="4" w:space="0" w:color="auto"/>
                    <w:left w:val="single" w:sz="4" w:space="0" w:color="auto"/>
                    <w:right w:val="single" w:sz="4" w:space="0" w:color="auto"/>
                  </w:tcBorders>
                  <w:noWrap/>
                  <w:vAlign w:val="center"/>
                </w:tcPr>
                <w:p>
                  <w:pPr>
                    <w:jc w:val="center"/>
                    <w:rPr>
                      <w:rFonts w:eastAsia="宋体"/>
                      <w:szCs w:val="21"/>
                      <w:lang w:val="en-US" w:eastAsia="zh-CN"/>
                    </w:rPr>
                  </w:pPr>
                  <w:r>
                    <w:rPr>
                      <w:rFonts w:hint="eastAsia"/>
                      <w:lang w:val="en-US" w:eastAsia="zh-CN"/>
                    </w:rPr>
                    <w:t>3.0</w:t>
                  </w:r>
                </w:p>
              </w:tc>
              <w:tc>
                <w:tcPr>
                  <w:tcW w:w="512" w:type="pct"/>
                  <w:vMerge w:val="restart"/>
                  <w:tcBorders>
                    <w:top w:val="single" w:sz="4" w:space="0" w:color="auto"/>
                    <w:left w:val="single" w:sz="4" w:space="0" w:color="auto"/>
                    <w:right w:val="single" w:sz="4" w:space="0" w:color="auto"/>
                  </w:tcBorders>
                  <w:noWrap/>
                  <w:vAlign w:val="center"/>
                </w:tcPr>
                <w:p>
                  <w:pPr>
                    <w:pStyle w:val="36"/>
                    <w:widowControl w:val="0"/>
                    <w:jc w:val="center"/>
                    <w:rPr>
                      <w:rFonts w:ascii="Times New Roman" w:hAnsi="Times New Roman"/>
                      <w:color w:val="auto"/>
                      <w:sz w:val="21"/>
                      <w:szCs w:val="21"/>
                    </w:rPr>
                  </w:pPr>
                  <w:r>
                    <w:rPr>
                      <w:rFonts w:ascii="Times New Roman" w:hAnsi="Times New Roman"/>
                      <w:color w:val="auto"/>
                      <w:sz w:val="21"/>
                      <w:szCs w:val="21"/>
                    </w:rPr>
                    <w:t>新建</w:t>
                  </w:r>
                </w:p>
              </w:tc>
            </w:tr>
            <w:tr>
              <w:trPr>
                <w:trHeight w:val="90"/>
              </w:trPr>
              <w:tc>
                <w:tcPr>
                  <w:tcW w:w="460" w:type="pct"/>
                  <w:vMerge/>
                  <w:tcBorders>
                    <w:top w:val="single" w:sz="4" w:space="0" w:color="auto"/>
                    <w:left w:val="single" w:sz="4" w:space="0" w:color="auto"/>
                    <w:right w:val="single" w:sz="4" w:space="0" w:color="auto"/>
                  </w:tcBorders>
                  <w:noWrap/>
                  <w:vAlign w:val="center"/>
                </w:tcPr>
                <w:p/>
              </w:tc>
              <w:tc>
                <w:tcPr>
                  <w:tcW w:w="677" w:type="pct"/>
                  <w:tcBorders>
                    <w:top w:val="single" w:sz="4" w:space="0" w:color="auto"/>
                    <w:left w:val="single" w:sz="4" w:space="0" w:color="auto"/>
                    <w:right w:val="single" w:sz="4" w:space="0" w:color="auto"/>
                  </w:tcBorders>
                  <w:noWrap/>
                  <w:vAlign w:val="center"/>
                </w:tcPr>
                <w:p>
                  <w:pPr>
                    <w:widowControl/>
                    <w:jc w:val="center"/>
                    <w:rPr>
                      <w:rFonts w:cs="Times New Roman" w:hint="eastAsia"/>
                      <w:b w:val="0"/>
                      <w:bCs w:val="0"/>
                      <w:color w:val="000000"/>
                      <w:kern w:val="0"/>
                      <w:szCs w:val="21"/>
                      <w:lang w:val="en-US" w:eastAsia="zh-CN"/>
                    </w:rPr>
                  </w:pPr>
                  <w:r>
                    <w:rPr>
                      <w:rFonts w:cs="Times New Roman" w:hint="eastAsia"/>
                      <w:b w:val="0"/>
                      <w:bCs w:val="0"/>
                      <w:color w:val="000000"/>
                      <w:kern w:val="0"/>
                      <w:szCs w:val="21"/>
                      <w:lang w:val="en-US" w:eastAsia="zh-CN"/>
                    </w:rPr>
                    <w:t>一般工</w:t>
                  </w:r>
                </w:p>
                <w:p>
                  <w:pPr>
                    <w:widowControl/>
                    <w:jc w:val="center"/>
                    <w:rPr>
                      <w:rFonts w:hint="eastAsia"/>
                    </w:rPr>
                  </w:pPr>
                  <w:r>
                    <w:rPr>
                      <w:rFonts w:cs="Times New Roman" w:hint="eastAsia"/>
                      <w:b w:val="0"/>
                      <w:bCs w:val="0"/>
                      <w:color w:val="000000"/>
                      <w:kern w:val="0"/>
                      <w:szCs w:val="21"/>
                      <w:lang w:val="en-US" w:eastAsia="zh-CN"/>
                    </w:rPr>
                    <w:t>业废物</w:t>
                  </w:r>
                </w:p>
              </w:tc>
              <w:tc>
                <w:tcPr>
                  <w:tcW w:w="2605" w:type="pct"/>
                  <w:tcBorders>
                    <w:top w:val="single" w:sz="4" w:space="0" w:color="auto"/>
                    <w:left w:val="single" w:sz="4" w:space="0" w:color="auto"/>
                    <w:right w:val="single" w:sz="4" w:space="0" w:color="auto"/>
                  </w:tcBorders>
                  <w:noWrap/>
                  <w:vAlign w:val="center"/>
                </w:tcPr>
                <w:p>
                  <w:pPr>
                    <w:widowControl/>
                    <w:jc w:val="both"/>
                    <w:rPr>
                      <w:szCs w:val="21"/>
                      <w:lang w:val="en-US"/>
                    </w:rPr>
                  </w:pPr>
                  <w:r>
                    <w:rPr>
                      <w:rFonts w:ascii="Times New Roman" w:eastAsia="宋体" w:cs="Times New Roman" w:hAnsi="Times New Roman"/>
                      <w:b w:val="0"/>
                      <w:bCs w:val="0"/>
                      <w:color w:val="000000"/>
                      <w:kern w:val="0"/>
                      <w:szCs w:val="21"/>
                      <w:lang w:eastAsia="zh-CN"/>
                    </w:rPr>
                    <w:t>拆解产生不可利用零部件委托有拆解资质的企业进一步处置；拆解产生不可利用物收集后暂存于一般固废暂存区，定期交由有处理能力单位处理；除尘器收集粉尘定期清理收集后交由环卫部门处置；废包装材料集中收集后外售至废品回收站；</w:t>
                  </w:r>
                </w:p>
              </w:tc>
              <w:tc>
                <w:tcPr>
                  <w:tcW w:w="743" w:type="pct"/>
                  <w:vMerge/>
                  <w:tcBorders>
                    <w:top w:val="single" w:sz="4" w:space="0" w:color="auto"/>
                    <w:left w:val="single" w:sz="4" w:space="0" w:color="auto"/>
                    <w:right w:val="single" w:sz="4" w:space="0" w:color="auto"/>
                  </w:tcBorders>
                  <w:noWrap/>
                  <w:vAlign w:val="center"/>
                </w:tcPr>
                <w:p/>
              </w:tc>
              <w:tc>
                <w:tcPr>
                  <w:tcW w:w="512" w:type="pct"/>
                  <w:vMerge/>
                  <w:tcBorders>
                    <w:top w:val="single" w:sz="4" w:space="0" w:color="auto"/>
                    <w:left w:val="single" w:sz="4" w:space="0" w:color="auto"/>
                    <w:right w:val="single" w:sz="4" w:space="0" w:color="auto"/>
                  </w:tcBorders>
                  <w:noWrap/>
                  <w:vAlign w:val="center"/>
                </w:tcPr>
                <w:p/>
              </w:tc>
            </w:tr>
            <w:tr>
              <w:trPr>
                <w:trHeight w:val="90"/>
              </w:trPr>
              <w:tc>
                <w:tcPr>
                  <w:tcW w:w="460" w:type="pct"/>
                  <w:vMerge/>
                  <w:tcBorders>
                    <w:top w:val="single" w:sz="4" w:space="0" w:color="auto"/>
                    <w:left w:val="single" w:sz="4" w:space="0" w:color="auto"/>
                    <w:right w:val="single" w:sz="4" w:space="0" w:color="auto"/>
                  </w:tcBorders>
                  <w:noWrap/>
                  <w:vAlign w:val="center"/>
                </w:tcPr>
                <w:p/>
              </w:tc>
              <w:tc>
                <w:tcPr>
                  <w:tcW w:w="677" w:type="pct"/>
                  <w:tcBorders>
                    <w:top w:val="single" w:sz="4" w:space="0" w:color="auto"/>
                    <w:left w:val="single" w:sz="4" w:space="0" w:color="auto"/>
                    <w:right w:val="single" w:sz="4" w:space="0" w:color="auto"/>
                  </w:tcBorders>
                  <w:noWrap/>
                  <w:vAlign w:val="center"/>
                </w:tcPr>
                <w:p>
                  <w:pPr>
                    <w:widowControl/>
                    <w:spacing w:line="240" w:lineRule="auto"/>
                    <w:jc w:val="center"/>
                    <w:rPr>
                      <w:rFonts w:ascii="宋体" w:eastAsia="宋体" w:cs="Times New Roman"/>
                      <w:kern w:val="2"/>
                      <w:sz w:val="21"/>
                      <w:szCs w:val="24"/>
                      <w:lang w:val="en-US" w:eastAsia="zh-CN" w:bidi="ar-SA"/>
                    </w:rPr>
                  </w:pPr>
                  <w:r>
                    <w:rPr>
                      <w:rFonts w:ascii="宋体" w:cs="Times New Roman" w:hint="eastAsia"/>
                      <w:kern w:val="2"/>
                      <w:sz w:val="21"/>
                      <w:szCs w:val="24"/>
                      <w:lang w:val="en-US" w:eastAsia="zh-CN" w:bidi="ar-SA"/>
                    </w:rPr>
                    <w:t>危险废物</w:t>
                  </w:r>
                </w:p>
              </w:tc>
              <w:tc>
                <w:tcPr>
                  <w:tcW w:w="2605" w:type="pct"/>
                  <w:tcBorders>
                    <w:top w:val="single" w:sz="4" w:space="0" w:color="auto"/>
                    <w:left w:val="single" w:sz="4" w:space="0" w:color="auto"/>
                    <w:right w:val="single" w:sz="4" w:space="0" w:color="auto"/>
                  </w:tcBorders>
                  <w:noWrap/>
                  <w:vAlign w:val="center"/>
                </w:tcPr>
                <w:p>
                  <w:pPr>
                    <w:jc w:val="both"/>
                    <w:rPr>
                      <w:rFonts w:eastAsia="宋体"/>
                      <w:szCs w:val="21"/>
                      <w:lang w:val="en-US" w:eastAsia="zh-CN"/>
                    </w:rPr>
                  </w:pPr>
                  <w:r>
                    <w:rPr>
                      <w:rFonts w:hint="eastAsia"/>
                      <w:szCs w:val="21"/>
                      <w:lang w:val="en-US" w:eastAsia="zh-CN"/>
                    </w:rPr>
                    <w:t>废电路板、废含汞元（器）件、废矿物油、废润滑油、含油废劳保用品分类收集后，暂存于危废暂存间，定期交由有资质的单位处置；</w:t>
                  </w:r>
                </w:p>
              </w:tc>
              <w:tc>
                <w:tcPr>
                  <w:tcW w:w="743" w:type="pct"/>
                  <w:tcBorders>
                    <w:top w:val="single" w:sz="4" w:space="0" w:color="auto"/>
                    <w:left w:val="single" w:sz="4" w:space="0" w:color="auto"/>
                    <w:right w:val="single" w:sz="4" w:space="0" w:color="auto"/>
                  </w:tcBorders>
                  <w:noWrap/>
                  <w:vAlign w:val="center"/>
                </w:tcPr>
                <w:p>
                  <w:pPr>
                    <w:jc w:val="center"/>
                    <w:rPr>
                      <w:rFonts w:eastAsia="宋体"/>
                      <w:szCs w:val="21"/>
                      <w:lang w:val="en-US" w:eastAsia="zh-CN"/>
                    </w:rPr>
                  </w:pPr>
                  <w:r>
                    <w:rPr>
                      <w:rFonts w:hint="eastAsia"/>
                      <w:szCs w:val="21"/>
                      <w:lang w:val="en-US" w:eastAsia="zh-CN"/>
                    </w:rPr>
                    <w:t>5.0</w:t>
                  </w:r>
                </w:p>
              </w:tc>
              <w:tc>
                <w:tcPr>
                  <w:tcW w:w="512" w:type="pct"/>
                  <w:vMerge/>
                  <w:tcBorders>
                    <w:top w:val="single" w:sz="4" w:space="0" w:color="auto"/>
                    <w:left w:val="single" w:sz="4" w:space="0" w:color="auto"/>
                    <w:right w:val="single" w:sz="4" w:space="0" w:color="auto"/>
                  </w:tcBorders>
                  <w:noWrap/>
                  <w:vAlign w:val="center"/>
                </w:tcPr>
                <w:p/>
              </w:tc>
            </w:tr>
            <w:tr>
              <w:trPr>
                <w:trHeight w:val="273"/>
              </w:trPr>
              <w:tc>
                <w:tcPr>
                  <w:tcW w:w="3744" w:type="pct"/>
                  <w:gridSpan w:val="3"/>
                  <w:tcBorders>
                    <w:top w:val="single" w:sz="4" w:space="0" w:color="auto"/>
                    <w:left w:val="single" w:sz="4" w:space="0" w:color="auto"/>
                    <w:right w:val="single" w:sz="4" w:space="0" w:color="auto"/>
                  </w:tcBorders>
                  <w:noWrap/>
                  <w:vAlign w:val="center"/>
                </w:tcPr>
                <w:p>
                  <w:pPr>
                    <w:widowControl/>
                    <w:spacing w:line="240" w:lineRule="auto"/>
                    <w:jc w:val="center"/>
                    <w:rPr>
                      <w:szCs w:val="21"/>
                      <w:lang w:val="en-US"/>
                    </w:rPr>
                  </w:pPr>
                  <w:r>
                    <w:rPr>
                      <w:rFonts w:hint="eastAsia"/>
                    </w:rPr>
                    <w:t>排污口规范化建设</w:t>
                  </w:r>
                </w:p>
              </w:tc>
              <w:tc>
                <w:tcPr>
                  <w:tcW w:w="743" w:type="pct"/>
                  <w:tcBorders>
                    <w:top w:val="single" w:sz="4" w:space="0" w:color="auto"/>
                    <w:left w:val="single" w:sz="4" w:space="0" w:color="auto"/>
                    <w:right w:val="single" w:sz="4" w:space="0" w:color="auto"/>
                  </w:tcBorders>
                  <w:noWrap/>
                  <w:vAlign w:val="center"/>
                </w:tcPr>
                <w:p>
                  <w:pPr>
                    <w:jc w:val="center"/>
                    <w:rPr>
                      <w:szCs w:val="21"/>
                      <w:lang w:val="en-US" w:eastAsia="zh-CN"/>
                    </w:rPr>
                  </w:pPr>
                  <w:r>
                    <w:rPr>
                      <w:rFonts w:hint="eastAsia"/>
                      <w:szCs w:val="21"/>
                      <w:lang w:val="en-US" w:eastAsia="zh-CN"/>
                    </w:rPr>
                    <w:t>0.7</w:t>
                  </w:r>
                </w:p>
              </w:tc>
              <w:tc>
                <w:tcPr>
                  <w:tcW w:w="512" w:type="pct"/>
                  <w:vMerge w:val="restart"/>
                  <w:tcBorders>
                    <w:top w:val="single" w:sz="4" w:space="0" w:color="auto"/>
                    <w:left w:val="single" w:sz="4" w:space="0" w:color="auto"/>
                    <w:right w:val="single" w:sz="4" w:space="0" w:color="auto"/>
                  </w:tcBorders>
                  <w:noWrap/>
                  <w:vAlign w:val="center"/>
                </w:tcPr>
                <w:p>
                  <w:pPr>
                    <w:widowControl/>
                    <w:jc w:val="center"/>
                    <w:rPr>
                      <w:kern w:val="0"/>
                      <w:szCs w:val="21"/>
                    </w:rPr>
                  </w:pPr>
                  <w:r>
                    <w:rPr>
                      <w:rFonts w:ascii="Times New Roman" w:hAnsi="Times New Roman"/>
                      <w:color w:val="auto"/>
                      <w:sz w:val="21"/>
                      <w:szCs w:val="21"/>
                    </w:rPr>
                    <w:t>新建</w:t>
                  </w:r>
                </w:p>
              </w:tc>
            </w:tr>
            <w:tr>
              <w:trPr>
                <w:trHeight w:val="273"/>
              </w:trPr>
              <w:tc>
                <w:tcPr>
                  <w:tcW w:w="3744" w:type="pct"/>
                  <w:gridSpan w:val="3"/>
                  <w:tcBorders>
                    <w:top w:val="single" w:sz="4" w:space="0" w:color="auto"/>
                    <w:left w:val="single" w:sz="4" w:space="0" w:color="auto"/>
                    <w:right w:val="single" w:sz="4" w:space="0" w:color="auto"/>
                  </w:tcBorders>
                  <w:noWrap/>
                  <w:vAlign w:val="center"/>
                </w:tcPr>
                <w:p>
                  <w:pPr>
                    <w:widowControl/>
                    <w:spacing w:line="240" w:lineRule="auto"/>
                    <w:jc w:val="center"/>
                    <w:rPr>
                      <w:rFonts w:hint="eastAsia"/>
                    </w:rPr>
                  </w:pPr>
                  <w:r>
                    <w:rPr>
                      <w:rFonts w:hint="eastAsia"/>
                    </w:rPr>
                    <w:t>防范泄露、火灾的措施及应急设施</w:t>
                  </w:r>
                </w:p>
              </w:tc>
              <w:tc>
                <w:tcPr>
                  <w:tcW w:w="743" w:type="pct"/>
                  <w:tcBorders>
                    <w:top w:val="single" w:sz="4" w:space="0" w:color="auto"/>
                    <w:left w:val="single" w:sz="4" w:space="0" w:color="auto"/>
                    <w:right w:val="single" w:sz="4" w:space="0" w:color="auto"/>
                  </w:tcBorders>
                  <w:noWrap/>
                  <w:vAlign w:val="center"/>
                </w:tcPr>
                <w:p>
                  <w:pPr>
                    <w:jc w:val="center"/>
                    <w:rPr>
                      <w:szCs w:val="21"/>
                      <w:lang w:val="en-US" w:eastAsia="zh-CN"/>
                    </w:rPr>
                  </w:pPr>
                  <w:r>
                    <w:rPr>
                      <w:rFonts w:hint="eastAsia"/>
                      <w:szCs w:val="21"/>
                      <w:lang w:val="en-US" w:eastAsia="zh-CN"/>
                    </w:rPr>
                    <w:t>1.5</w:t>
                  </w:r>
                </w:p>
              </w:tc>
              <w:tc>
                <w:tcPr>
                  <w:tcW w:w="512" w:type="pct"/>
                  <w:vMerge/>
                  <w:tcBorders>
                    <w:top w:val="single" w:sz="4" w:space="0" w:color="auto"/>
                    <w:left w:val="single" w:sz="4" w:space="0" w:color="auto"/>
                    <w:right w:val="single" w:sz="4" w:space="0" w:color="auto"/>
                  </w:tcBorders>
                  <w:noWrap/>
                  <w:vAlign w:val="center"/>
                </w:tcPr>
                <w:p/>
              </w:tc>
            </w:tr>
            <w:tr>
              <w:trPr>
                <w:trHeight w:val="273"/>
              </w:trPr>
              <w:tc>
                <w:tcPr>
                  <w:tcW w:w="3744" w:type="pct"/>
                  <w:gridSpan w:val="3"/>
                  <w:tcBorders>
                    <w:top w:val="single" w:sz="4" w:space="0" w:color="auto"/>
                    <w:left w:val="single" w:sz="4" w:space="0" w:color="auto"/>
                    <w:right w:val="single" w:sz="4" w:space="0" w:color="auto"/>
                  </w:tcBorders>
                  <w:noWrap/>
                  <w:vAlign w:val="center"/>
                </w:tcPr>
                <w:p>
                  <w:pPr>
                    <w:jc w:val="center"/>
                    <w:rPr>
                      <w:rFonts w:ascii="Times New Roman" w:eastAsia="宋体" w:cs="Times New Roman" w:hAnsi="Times New Roman"/>
                      <w:color w:val="000000"/>
                      <w:kern w:val="0"/>
                      <w:sz w:val="21"/>
                      <w:szCs w:val="21"/>
                      <w:lang w:eastAsia="zh-CN"/>
                    </w:rPr>
                  </w:pPr>
                  <w:r>
                    <w:rPr>
                      <w:rFonts w:hint="eastAsia"/>
                      <w:szCs w:val="21"/>
                      <w:lang w:val="en-US" w:eastAsia="zh-CN"/>
                    </w:rPr>
                    <w:t>例行环境监测</w:t>
                  </w:r>
                </w:p>
              </w:tc>
              <w:tc>
                <w:tcPr>
                  <w:tcW w:w="743" w:type="pct"/>
                  <w:tcBorders>
                    <w:top w:val="single" w:sz="4" w:space="0" w:color="auto"/>
                    <w:left w:val="single" w:sz="4" w:space="0" w:color="auto"/>
                    <w:right w:val="single" w:sz="4" w:space="0" w:color="auto"/>
                  </w:tcBorders>
                  <w:noWrap/>
                  <w:vAlign w:val="center"/>
                </w:tcPr>
                <w:p>
                  <w:pPr>
                    <w:jc w:val="center"/>
                    <w:rPr>
                      <w:szCs w:val="21"/>
                      <w:lang w:val="en-US" w:eastAsia="zh-CN"/>
                    </w:rPr>
                  </w:pPr>
                  <w:r>
                    <w:rPr>
                      <w:rFonts w:hint="eastAsia"/>
                      <w:szCs w:val="21"/>
                      <w:lang w:val="en-US" w:eastAsia="zh-CN"/>
                    </w:rPr>
                    <w:t>0.8</w:t>
                  </w:r>
                </w:p>
              </w:tc>
              <w:tc>
                <w:tcPr>
                  <w:tcW w:w="512" w:type="pct"/>
                  <w:vMerge/>
                  <w:tcBorders>
                    <w:top w:val="single" w:sz="4" w:space="0" w:color="auto"/>
                    <w:left w:val="single" w:sz="4" w:space="0" w:color="auto"/>
                    <w:right w:val="single" w:sz="4" w:space="0" w:color="auto"/>
                  </w:tcBorders>
                  <w:noWrap/>
                  <w:vAlign w:val="center"/>
                </w:tcPr>
                <w:p/>
              </w:tc>
            </w:tr>
            <w:tr>
              <w:trPr>
                <w:trHeight w:val="90"/>
              </w:trPr>
              <w:tc>
                <w:tcPr>
                  <w:tcW w:w="3744" w:type="pct"/>
                  <w:gridSpan w:val="3"/>
                  <w:tcBorders>
                    <w:top w:val="single" w:sz="4" w:space="0" w:color="auto"/>
                    <w:left w:val="single" w:sz="4" w:space="0" w:color="auto"/>
                    <w:right w:val="single" w:sz="4" w:space="0" w:color="auto"/>
                  </w:tcBorders>
                  <w:noWrap/>
                  <w:vAlign w:val="center"/>
                </w:tcPr>
                <w:p>
                  <w:pPr>
                    <w:jc w:val="center"/>
                    <w:rPr>
                      <w:szCs w:val="21"/>
                    </w:rPr>
                  </w:pPr>
                  <w:r>
                    <w:t>合计</w:t>
                  </w:r>
                </w:p>
              </w:tc>
              <w:tc>
                <w:tcPr>
                  <w:tcW w:w="743" w:type="pct"/>
                  <w:tcBorders>
                    <w:top w:val="single" w:sz="4" w:space="0" w:color="auto"/>
                    <w:left w:val="single" w:sz="4" w:space="0" w:color="auto"/>
                    <w:right w:val="single" w:sz="4" w:space="0" w:color="auto"/>
                  </w:tcBorders>
                  <w:noWrap/>
                  <w:vAlign w:val="center"/>
                </w:tcPr>
                <w:p>
                  <w:pPr>
                    <w:jc w:val="center"/>
                    <w:rPr>
                      <w:rFonts w:eastAsia="宋体"/>
                      <w:szCs w:val="21"/>
                      <w:lang w:val="en-US" w:eastAsia="zh-CN"/>
                    </w:rPr>
                  </w:pPr>
                  <w:r>
                    <w:rPr>
                      <w:rFonts w:hint="eastAsia"/>
                      <w:lang w:val="en-US" w:eastAsia="zh-CN"/>
                    </w:rPr>
                    <w:t>20.5</w:t>
                  </w:r>
                </w:p>
              </w:tc>
              <w:tc>
                <w:tcPr>
                  <w:tcW w:w="512" w:type="pct"/>
                  <w:tcBorders>
                    <w:top w:val="single" w:sz="4" w:space="0" w:color="auto"/>
                    <w:left w:val="single" w:sz="4" w:space="0" w:color="auto"/>
                    <w:right w:val="single" w:sz="4" w:space="0" w:color="auto"/>
                  </w:tcBorders>
                  <w:noWrap/>
                  <w:vAlign w:val="center"/>
                </w:tcPr>
                <w:p>
                  <w:pPr>
                    <w:jc w:val="center"/>
                    <w:rPr>
                      <w:rFonts w:eastAsia="宋体" w:hint="eastAsia"/>
                      <w:szCs w:val="21"/>
                      <w:lang w:val="en-US" w:eastAsia="zh-CN"/>
                    </w:rPr>
                  </w:pPr>
                  <w:r>
                    <w:rPr>
                      <w:rFonts w:hint="eastAsia"/>
                      <w:szCs w:val="21"/>
                      <w:lang w:val="en-US" w:eastAsia="zh-CN"/>
                    </w:rPr>
                    <w:t>/</w:t>
                  </w:r>
                </w:p>
              </w:tc>
            </w:tr>
          </w:tbl>
          <w:p>
            <w:pPr>
              <w:bidi w:val="0"/>
              <w:spacing w:line="360" w:lineRule="auto"/>
              <w:jc w:val="center"/>
              <w:rPr>
                <w:rFonts w:cs="Times New Roman" w:hint="eastAsia"/>
                <w:b/>
                <w:bCs/>
                <w:color w:val="auto"/>
                <w:sz w:val="21"/>
                <w:szCs w:val="21"/>
                <w:vertAlign w:val="baseline"/>
                <w:lang w:val="en-US" w:eastAsia="zh-CN"/>
              </w:rPr>
            </w:pPr>
          </w:p>
          <w:p>
            <w:pPr>
              <w:bidi w:val="0"/>
              <w:spacing w:line="360" w:lineRule="auto"/>
              <w:jc w:val="center"/>
              <w:rPr>
                <w:rFonts w:cs="Times New Roman" w:hint="eastAsia"/>
                <w:b/>
                <w:bCs/>
                <w:color w:val="auto"/>
                <w:sz w:val="21"/>
                <w:szCs w:val="21"/>
                <w:vertAlign w:val="baseline"/>
                <w:lang w:val="en-US" w:eastAsia="zh-CN"/>
              </w:rPr>
            </w:pPr>
          </w:p>
          <w:p>
            <w:pPr>
              <w:bidi w:val="0"/>
              <w:spacing w:line="360" w:lineRule="auto"/>
              <w:jc w:val="both"/>
              <w:rPr>
                <w:rFonts w:cs="Times New Roman" w:hint="eastAsia"/>
                <w:b/>
                <w:bCs/>
                <w:color w:val="auto"/>
                <w:sz w:val="21"/>
                <w:szCs w:val="21"/>
                <w:vertAlign w:val="baseline"/>
                <w:lang w:val="en-US" w:eastAsia="zh-CN"/>
              </w:rPr>
            </w:pPr>
          </w:p>
          <w:p>
            <w:pPr>
              <w:bidi w:val="0"/>
              <w:spacing w:line="360" w:lineRule="auto"/>
              <w:jc w:val="both"/>
              <w:rPr>
                <w:rFonts w:cs="Times New Roman" w:hint="eastAsia"/>
                <w:b/>
                <w:bCs/>
                <w:color w:val="auto"/>
                <w:sz w:val="21"/>
                <w:szCs w:val="21"/>
                <w:vertAlign w:val="baseline"/>
                <w:lang w:val="en-US" w:eastAsia="zh-CN"/>
              </w:rPr>
            </w:pPr>
          </w:p>
          <w:p>
            <w:pPr>
              <w:bidi w:val="0"/>
              <w:spacing w:line="360" w:lineRule="auto"/>
              <w:jc w:val="both"/>
              <w:rPr>
                <w:rFonts w:cs="Times New Roman" w:hint="eastAsia"/>
                <w:b/>
                <w:bCs/>
                <w:color w:val="auto"/>
                <w:sz w:val="21"/>
                <w:szCs w:val="21"/>
                <w:vertAlign w:val="baseline"/>
                <w:lang w:val="en-US" w:eastAsia="zh-CN"/>
              </w:rPr>
            </w:pPr>
          </w:p>
          <w:p>
            <w:pPr>
              <w:bidi w:val="0"/>
              <w:spacing w:line="360" w:lineRule="auto"/>
              <w:jc w:val="both"/>
              <w:rPr>
                <w:rFonts w:cs="Times New Roman" w:hint="eastAsia"/>
                <w:b/>
                <w:bCs/>
                <w:color w:val="auto"/>
                <w:sz w:val="21"/>
                <w:szCs w:val="21"/>
                <w:vertAlign w:val="baseline"/>
                <w:lang w:val="en-US" w:eastAsia="zh-CN"/>
              </w:rPr>
            </w:pPr>
          </w:p>
          <w:p>
            <w:pPr>
              <w:bidi w:val="0"/>
              <w:spacing w:line="360" w:lineRule="auto"/>
              <w:jc w:val="both"/>
              <w:rPr>
                <w:rFonts w:cs="Times New Roman" w:hint="eastAsia"/>
                <w:b/>
                <w:bCs/>
                <w:color w:val="auto"/>
                <w:sz w:val="21"/>
                <w:szCs w:val="21"/>
                <w:vertAlign w:val="baseline"/>
                <w:lang w:val="en-US" w:eastAsia="zh-CN"/>
              </w:rPr>
            </w:pPr>
          </w:p>
          <w:p>
            <w:pPr>
              <w:bidi w:val="0"/>
              <w:spacing w:line="360" w:lineRule="auto"/>
              <w:jc w:val="both"/>
              <w:rPr>
                <w:rFonts w:cs="Times New Roman" w:hint="eastAsia"/>
                <w:b/>
                <w:bCs/>
                <w:color w:val="auto"/>
                <w:sz w:val="21"/>
                <w:szCs w:val="21"/>
                <w:vertAlign w:val="baseline"/>
                <w:lang w:val="en-US" w:eastAsia="zh-CN"/>
              </w:rPr>
            </w:pPr>
          </w:p>
          <w:p>
            <w:pPr>
              <w:bidi w:val="0"/>
              <w:spacing w:line="360" w:lineRule="auto"/>
              <w:jc w:val="both"/>
              <w:rPr>
                <w:rFonts w:cs="Times New Roman"/>
                <w:b/>
                <w:bCs/>
                <w:color w:val="auto"/>
                <w:sz w:val="21"/>
                <w:szCs w:val="21"/>
                <w:vertAlign w:val="baseline"/>
                <w:lang w:val="en-US" w:eastAsia="zh-CN"/>
              </w:rPr>
            </w:pPr>
          </w:p>
          <w:p>
            <w:pPr>
              <w:bidi w:val="0"/>
              <w:spacing w:line="360" w:lineRule="auto"/>
              <w:jc w:val="both"/>
              <w:rPr>
                <w:rFonts w:cs="Times New Roman" w:hint="eastAsia"/>
                <w:sz w:val="24"/>
                <w:szCs w:val="24"/>
                <w:lang w:val="en-US" w:eastAsia="zh-CN"/>
              </w:rPr>
            </w:pPr>
          </w:p>
          <w:p>
            <w:pPr>
              <w:bidi w:val="0"/>
              <w:spacing w:line="360" w:lineRule="auto"/>
              <w:jc w:val="both"/>
              <w:rPr>
                <w:rFonts w:ascii="Times New Roman" w:eastAsia="宋体" w:cs="Times New Roman" w:hAnsi="Times New Roman"/>
                <w:sz w:val="24"/>
                <w:szCs w:val="24"/>
                <w:lang w:val="en-US" w:eastAsia="zh-CN"/>
              </w:rPr>
            </w:pPr>
          </w:p>
        </w:tc>
      </w:tr>
    </w:tbl>
    <w:p>
      <w:pPr>
        <w:spacing w:line="360" w:lineRule="auto"/>
        <w:jc w:val="center"/>
        <w:rPr>
          <w:rFonts w:ascii="Times New Roman" w:eastAsia="宋体" w:cs="Times New Roman" w:hAnsi="Times New Roman"/>
          <w:b/>
          <w:bCs/>
          <w:color w:val="auto"/>
          <w:sz w:val="24"/>
        </w:rPr>
      </w:pPr>
      <w:r>
        <w:rPr>
          <w:rFonts w:ascii="Times New Roman" w:eastAsia="宋体" w:cs="Times New Roman" w:hAnsi="Times New Roman" w:hint="eastAsia"/>
          <w:b/>
          <w:bCs/>
          <w:color w:val="auto"/>
          <w:sz w:val="28"/>
          <w:szCs w:val="28"/>
          <w:lang w:val="en-US" w:eastAsia="zh-CN"/>
        </w:rPr>
        <w:t>五</w:t>
      </w:r>
      <w:r>
        <w:rPr>
          <w:rFonts w:cs="Times New Roman" w:hint="eastAsia"/>
          <w:b/>
          <w:bCs/>
          <w:color w:val="auto"/>
          <w:sz w:val="28"/>
          <w:szCs w:val="28"/>
          <w:lang w:val="en-US" w:eastAsia="zh-CN"/>
        </w:rPr>
        <w:t>、</w:t>
      </w:r>
      <w:r>
        <w:rPr>
          <w:rFonts w:ascii="Times New Roman" w:eastAsia="宋体" w:cs="Times New Roman" w:hAnsi="Times New Roman" w:hint="eastAsia"/>
          <w:b/>
          <w:bCs/>
          <w:color w:val="auto"/>
          <w:sz w:val="28"/>
          <w:szCs w:val="28"/>
          <w:lang w:val="en-US" w:eastAsia="zh-CN"/>
        </w:rPr>
        <w:t>环境保护措施监督检查清单</w:t>
      </w:r>
    </w:p>
    <w:tbl>
      <w:tblPr>
        <w:jc w:val="cente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41"/>
        <w:gridCol w:w="1823"/>
        <w:gridCol w:w="1817"/>
        <w:gridCol w:w="2500"/>
        <w:gridCol w:w="2350"/>
      </w:tblGrid>
      <w:tr>
        <w:trPr>
          <w:trHeight w:val="90"/>
        </w:trPr>
        <w:tc>
          <w:tcPr>
            <w:tcW w:w="1141" w:type="dxa"/>
            <w:tcBorders>
              <w:tl2br w:val="nil"/>
              <w:tr2bl w:val="nil"/>
            </w:tcBorders>
            <w:noWra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ascii="Times New Roman" w:eastAsia="宋体" w:cs="Times New Roman" w:hAnsi="Times New Roman"/>
                <w:b/>
                <w:bCs/>
                <w:sz w:val="21"/>
                <w:szCs w:val="21"/>
              </w:rPr>
            </w:pPr>
            <w:r>
              <w:rPr>
                <w:rFonts w:ascii="Times New Roman" w:eastAsia="宋体" w:cs="Times New Roman" w:hAnsi="Times New Roman"/>
                <w:b/>
                <w:bCs/>
                <w:sz w:val="21"/>
                <w:szCs w:val="21"/>
                <w:lang w:eastAsia="zh-CN"/>
              </w:rPr>
              <w:t>　</w:t>
            </w:r>
            <w:r>
              <w:rPr>
                <w:rFonts w:ascii="Times New Roman" w:eastAsia="宋体" w:cs="Times New Roman" w:hAnsi="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ascii="Times New Roman" w:eastAsia="宋体" w:cs="Times New Roman" w:hAnsi="Times New Roman"/>
                <w:b/>
                <w:bCs/>
                <w:sz w:val="21"/>
                <w:szCs w:val="21"/>
              </w:rPr>
            </w:pPr>
            <w:r>
              <w:rPr>
                <w:rFonts w:ascii="Times New Roman" w:eastAsia="宋体" w:cs="Times New Roman" w:hAnsi="Times New Roman"/>
                <w:b/>
                <w:bCs/>
                <w:sz w:val="21"/>
                <w:szCs w:val="21"/>
              </w:rPr>
              <w:t>要素</w:t>
            </w:r>
          </w:p>
        </w:tc>
        <w:tc>
          <w:tcPr>
            <w:tcW w:w="1823"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b/>
                <w:bCs/>
                <w:sz w:val="21"/>
                <w:szCs w:val="21"/>
              </w:rPr>
            </w:pPr>
            <w:r>
              <w:rPr>
                <w:rFonts w:ascii="Times New Roman" w:eastAsia="宋体" w:cs="Times New Roman" w:hAnsi="Times New Roman"/>
                <w:b/>
                <w:bCs/>
                <w:sz w:val="21"/>
                <w:szCs w:val="21"/>
              </w:rPr>
              <w:t>排放口</w:t>
            </w:r>
            <w:r>
              <w:rPr>
                <w:rFonts w:ascii="Times New Roman" w:eastAsia="宋体" w:cs="Times New Roman" w:hAnsi="Times New Roman" w:hint="eastAsia"/>
                <w:b/>
                <w:bCs/>
                <w:sz w:val="21"/>
                <w:szCs w:val="21"/>
                <w:lang w:eastAsia="zh-CN"/>
              </w:rPr>
              <w:t>（</w:t>
            </w:r>
            <w:r>
              <w:rPr>
                <w:rFonts w:ascii="Times New Roman" w:eastAsia="宋体" w:cs="Times New Roman" w:hAnsi="Times New Roman"/>
                <w:b/>
                <w:bCs/>
                <w:sz w:val="21"/>
                <w:szCs w:val="21"/>
              </w:rPr>
              <w:t>编号、名称</w:t>
            </w:r>
            <w:r>
              <w:rPr>
                <w:rFonts w:cs="Times New Roman" w:hint="eastAsia"/>
                <w:b/>
                <w:bCs/>
                <w:sz w:val="21"/>
                <w:szCs w:val="21"/>
                <w:lang w:eastAsia="zh-CN"/>
              </w:rPr>
              <w:t>）</w:t>
            </w:r>
            <w:r>
              <w:rPr>
                <w:rFonts w:ascii="Times New Roman" w:eastAsia="宋体" w:cs="Times New Roman" w:hAnsi="Times New Roman"/>
                <w:b/>
                <w:bCs/>
                <w:sz w:val="21"/>
                <w:szCs w:val="21"/>
              </w:rPr>
              <w:t>/污染源</w:t>
            </w:r>
          </w:p>
        </w:tc>
        <w:tc>
          <w:tcPr>
            <w:tcW w:w="1817"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b/>
                <w:bCs/>
                <w:sz w:val="21"/>
                <w:szCs w:val="21"/>
              </w:rPr>
            </w:pPr>
            <w:r>
              <w:rPr>
                <w:rFonts w:ascii="Times New Roman" w:eastAsia="宋体" w:cs="Times New Roman" w:hAnsi="Times New Roman"/>
                <w:b/>
                <w:bCs/>
                <w:sz w:val="21"/>
                <w:szCs w:val="21"/>
              </w:rPr>
              <w:t>污染物项目</w:t>
            </w:r>
          </w:p>
        </w:tc>
        <w:tc>
          <w:tcPr>
            <w:tcW w:w="2500"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b/>
                <w:bCs/>
                <w:sz w:val="21"/>
                <w:szCs w:val="21"/>
              </w:rPr>
            </w:pPr>
            <w:r>
              <w:rPr>
                <w:rFonts w:ascii="Times New Roman" w:eastAsia="宋体" w:cs="Times New Roman" w:hAnsi="Times New Roman"/>
                <w:b/>
                <w:bCs/>
                <w:sz w:val="21"/>
                <w:szCs w:val="21"/>
              </w:rPr>
              <w:t>环境保护措施</w:t>
            </w:r>
          </w:p>
        </w:tc>
        <w:tc>
          <w:tcPr>
            <w:tcW w:w="2350"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b/>
                <w:bCs/>
                <w:sz w:val="21"/>
                <w:szCs w:val="21"/>
              </w:rPr>
            </w:pPr>
            <w:r>
              <w:rPr>
                <w:rFonts w:ascii="Times New Roman" w:eastAsia="宋体" w:cs="Times New Roman" w:hAnsi="Times New Roman"/>
                <w:b/>
                <w:bCs/>
                <w:sz w:val="21"/>
                <w:szCs w:val="21"/>
              </w:rPr>
              <w:t>执行标准</w:t>
            </w:r>
          </w:p>
        </w:tc>
      </w:tr>
      <w:tr>
        <w:trPr>
          <w:trHeight w:val="90"/>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环境</w:t>
            </w:r>
          </w:p>
        </w:tc>
        <w:tc>
          <w:tcPr>
            <w:tcW w:w="1823" w:type="dxa"/>
            <w:tcBorders>
              <w:tl2br w:val="nil"/>
              <w:tr2bl w:val="nil"/>
            </w:tcBorders>
            <w:noWrap/>
            <w:vAlign w:val="center"/>
          </w:tcPr>
          <w:p>
            <w:pPr>
              <w:widowControl/>
              <w:adjustRightInd w:val="0"/>
              <w:snapToGrid w:val="0"/>
              <w:spacing w:line="240" w:lineRule="auto"/>
              <w:jc w:val="center"/>
              <w:textAlignment w:val="center"/>
              <w:rPr>
                <w:rFonts w:ascii="Times New Roman" w:eastAsia="宋体" w:cs="Times New Roman" w:hAnsi="Times New Roman"/>
                <w:color w:val="000000"/>
                <w:kern w:val="0"/>
                <w:sz w:val="21"/>
                <w:szCs w:val="21"/>
              </w:rPr>
            </w:pPr>
            <w:r>
              <w:rPr>
                <w:rFonts w:ascii="Times New Roman" w:eastAsia="宋体" w:cs="Times New Roman" w:hAnsi="Times New Roman"/>
                <w:color w:val="000000"/>
                <w:kern w:val="0"/>
                <w:sz w:val="21"/>
                <w:szCs w:val="21"/>
              </w:rPr>
              <w:t>DA001</w:t>
            </w:r>
          </w:p>
          <w:p>
            <w:pPr>
              <w:widowControl/>
              <w:adjustRightInd w:val="0"/>
              <w:snapToGrid w:val="0"/>
              <w:spacing w:line="240" w:lineRule="auto"/>
              <w:jc w:val="center"/>
              <w:textAlignment w:val="center"/>
              <w:rPr>
                <w:rFonts w:ascii="Times New Roman" w:eastAsia="宋体" w:cs="Times New Roman" w:hAnsi="Times New Roman"/>
                <w:sz w:val="21"/>
                <w:szCs w:val="21"/>
                <w:lang w:val="en-US" w:eastAsia="zh-CN"/>
              </w:rPr>
            </w:pPr>
            <w:r>
              <w:rPr>
                <w:rFonts w:ascii="Times New Roman" w:eastAsia="宋体" w:cs="Times New Roman" w:hAnsi="Times New Roman"/>
                <w:color w:val="000000"/>
                <w:kern w:val="0"/>
                <w:sz w:val="21"/>
                <w:szCs w:val="21"/>
              </w:rPr>
              <w:t>清灰废气排放口</w:t>
            </w:r>
          </w:p>
        </w:tc>
        <w:tc>
          <w:tcPr>
            <w:tcW w:w="1817" w:type="dxa"/>
            <w:tcBorders>
              <w:tl2br w:val="nil"/>
              <w:tr2bl w:val="nil"/>
            </w:tcBorders>
            <w:noWrap/>
            <w:vAlign w:val="center"/>
          </w:tcPr>
          <w:p>
            <w:pPr>
              <w:spacing w:line="240" w:lineRule="auto"/>
              <w:jc w:val="center"/>
              <w:rPr>
                <w:rFonts w:ascii="Times New Roman" w:eastAsia="宋体" w:cs="Times New Roman" w:hAnsi="Times New Roman"/>
                <w:sz w:val="21"/>
                <w:szCs w:val="21"/>
                <w:lang w:val="en-US" w:eastAsia="zh-CN"/>
              </w:rPr>
            </w:pPr>
            <w:r>
              <w:rPr>
                <w:rFonts w:cs="Times New Roman" w:hint="eastAsia"/>
                <w:kern w:val="0"/>
                <w:sz w:val="21"/>
                <w:szCs w:val="21"/>
                <w:lang w:val="en-US" w:eastAsia="zh-CN"/>
              </w:rPr>
              <w:t>颗粒物</w:t>
            </w:r>
          </w:p>
        </w:tc>
        <w:tc>
          <w:tcPr>
            <w:tcW w:w="2500" w:type="dxa"/>
            <w:tcBorders>
              <w:tl2br w:val="nil"/>
              <w:tr2bl w:val="nil"/>
            </w:tcBorders>
            <w:noWrap/>
            <w:vAlign w:val="center"/>
          </w:tcPr>
          <w:p>
            <w:pPr>
              <w:spacing w:line="240" w:lineRule="auto"/>
              <w:jc w:val="both"/>
              <w:rPr>
                <w:rFonts w:ascii="Times New Roman" w:eastAsia="宋体" w:cs="Times New Roman" w:hAnsi="Times New Roman" w:hint="eastAsia"/>
                <w:sz w:val="21"/>
                <w:szCs w:val="21"/>
                <w:lang w:val="en-US" w:eastAsia="zh-CN"/>
              </w:rPr>
            </w:pPr>
            <w:r>
              <w:rPr>
                <w:rFonts w:cs="Times New Roman" w:hint="eastAsia"/>
                <w:lang w:val="en-US" w:eastAsia="zh-CN"/>
              </w:rPr>
              <w:t>“拆解通风橱</w:t>
            </w:r>
            <w:r>
              <w:rPr>
                <w:rFonts w:ascii="Times New Roman" w:eastAsia="宋体" w:cs="Times New Roman" w:hAnsi="Times New Roman"/>
              </w:rPr>
              <w:t>+</w:t>
            </w:r>
            <w:r>
              <w:rPr>
                <w:rFonts w:ascii="宋体" w:cs="宋体" w:hint="eastAsia"/>
                <w:lang w:eastAsia="zh-CN"/>
              </w:rPr>
              <w:t>布袋除尘</w:t>
            </w:r>
            <w:r>
              <w:rPr>
                <w:rFonts w:ascii="Times New Roman" w:eastAsia="宋体" w:cs="Times New Roman" w:hAnsi="Times New Roman"/>
              </w:rPr>
              <w:t>装置</w:t>
            </w:r>
            <w:r>
              <w:rPr>
                <w:rFonts w:cs="Times New Roman" w:hint="eastAsia"/>
                <w:lang w:val="en-US" w:eastAsia="zh-CN"/>
              </w:rPr>
              <w:t>”处理+21</w:t>
            </w:r>
            <w:r>
              <w:rPr>
                <w:rFonts w:ascii="Times New Roman" w:eastAsia="宋体" w:cs="Times New Roman" w:hAnsi="Times New Roman"/>
              </w:rPr>
              <w:t>m高排气筒排放</w:t>
            </w:r>
            <w:r>
              <w:rPr>
                <w:rFonts w:ascii="Times New Roman" w:eastAsia="宋体" w:cs="Times New Roman" w:hAnsi="Times New Roman"/>
                <w:lang w:val="en-US" w:eastAsia="zh-CN"/>
              </w:rPr>
              <w:t>；</w:t>
            </w:r>
          </w:p>
        </w:tc>
        <w:tc>
          <w:tcPr>
            <w:tcW w:w="2350"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ascii="Times New Roman" w:eastAsia="宋体" w:cs="Times New Roman" w:hAnsi="Times New Roman"/>
                <w:kern w:val="0"/>
                <w:sz w:val="21"/>
                <w:szCs w:val="21"/>
              </w:rPr>
            </w:pPr>
            <w:r>
              <w:rPr>
                <w:rFonts w:ascii="Times New Roman" w:eastAsia="宋体" w:cs="Times New Roman" w:hAnsi="Times New Roman"/>
                <w:kern w:val="0"/>
                <w:sz w:val="21"/>
                <w:szCs w:val="21"/>
              </w:rPr>
              <w:t>《大气污染物综合排放标准》（GB16297-1996）表2二级标准</w:t>
            </w:r>
          </w:p>
        </w:tc>
      </w:tr>
      <w:tr>
        <w:trPr>
          <w:trHeight w:val="428"/>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环境</w:t>
            </w:r>
          </w:p>
        </w:tc>
        <w:tc>
          <w:tcPr>
            <w:tcW w:w="1823"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sz w:val="21"/>
                <w:szCs w:val="21"/>
                <w:lang w:val="en-US" w:eastAsia="zh-CN"/>
              </w:rPr>
              <w:t>生活污水</w:t>
            </w:r>
          </w:p>
        </w:tc>
        <w:tc>
          <w:tcPr>
            <w:tcW w:w="1817"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kern w:val="0"/>
                <w:sz w:val="21"/>
                <w:szCs w:val="21"/>
                <w:lang w:val="en-US" w:eastAsia="zh-CN"/>
              </w:rPr>
              <w:t>COD、BOD</w:t>
            </w:r>
            <w:r>
              <w:rPr>
                <w:rFonts w:ascii="Times New Roman" w:eastAsia="宋体" w:cs="Times New Roman" w:hAnsi="Times New Roman"/>
                <w:color w:val="000000"/>
                <w:kern w:val="0"/>
                <w:sz w:val="21"/>
                <w:szCs w:val="21"/>
                <w:vertAlign w:val="subscript"/>
                <w:lang w:val="en-US" w:eastAsia="zh-CN"/>
              </w:rPr>
              <w:t>5</w:t>
            </w:r>
            <w:r>
              <w:rPr>
                <w:rFonts w:ascii="Times New Roman" w:eastAsia="宋体" w:cs="Times New Roman" w:hAnsi="Times New Roman"/>
                <w:color w:val="000000"/>
                <w:kern w:val="0"/>
                <w:sz w:val="21"/>
                <w:szCs w:val="21"/>
                <w:lang w:val="en-US" w:eastAsia="zh-CN"/>
              </w:rPr>
              <w:t>、</w:t>
            </w:r>
            <w:r>
              <w:rPr>
                <w:rFonts w:cs="Times New Roman" w:hint="eastAsia"/>
                <w:color w:val="000000"/>
                <w:kern w:val="0"/>
                <w:sz w:val="21"/>
                <w:szCs w:val="21"/>
                <w:lang w:val="en-US" w:eastAsia="zh-CN"/>
              </w:rPr>
              <w:t>悬浮物、</w:t>
            </w:r>
            <w:r>
              <w:rPr>
                <w:rFonts w:ascii="Times New Roman" w:eastAsia="宋体" w:cs="Times New Roman" w:hAnsi="Times New Roman"/>
                <w:color w:val="000000"/>
                <w:kern w:val="0"/>
                <w:sz w:val="21"/>
                <w:szCs w:val="21"/>
                <w:lang w:val="en-US" w:eastAsia="zh-CN"/>
              </w:rPr>
              <w:t>NH</w:t>
            </w:r>
            <w:r>
              <w:rPr>
                <w:rFonts w:ascii="Times New Roman" w:eastAsia="宋体" w:cs="Times New Roman" w:hAnsi="Times New Roman"/>
                <w:color w:val="000000"/>
                <w:kern w:val="0"/>
                <w:sz w:val="21"/>
                <w:szCs w:val="21"/>
                <w:vertAlign w:val="subscript"/>
                <w:lang w:val="en-US" w:eastAsia="zh-CN"/>
              </w:rPr>
              <w:t>3</w:t>
            </w:r>
            <w:r>
              <w:rPr>
                <w:rFonts w:ascii="Times New Roman" w:eastAsia="宋体" w:cs="Times New Roman" w:hAnsi="Times New Roman"/>
                <w:color w:val="000000"/>
                <w:kern w:val="0"/>
                <w:sz w:val="21"/>
                <w:szCs w:val="21"/>
                <w:lang w:val="en-US" w:eastAsia="zh-CN"/>
              </w:rPr>
              <w:t>-N</w:t>
            </w:r>
          </w:p>
        </w:tc>
        <w:tc>
          <w:tcPr>
            <w:tcW w:w="2500"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ascii="Times New Roman" w:eastAsia="宋体" w:cs="Times New Roman" w:hAnsi="Times New Roman" w:hint="eastAsia"/>
                <w:color w:val="000000"/>
                <w:sz w:val="21"/>
                <w:szCs w:val="21"/>
                <w:lang w:val="en-US" w:eastAsia="zh-CN"/>
              </w:rPr>
            </w:pPr>
            <w:r>
              <w:rPr>
                <w:rFonts w:ascii="Times New Roman" w:eastAsia="宋体" w:cs="Times New Roman" w:hAnsi="Times New Roman"/>
                <w:color w:val="auto"/>
                <w:sz w:val="21"/>
                <w:szCs w:val="21"/>
              </w:rPr>
              <w:t>经</w:t>
            </w:r>
            <w:r>
              <w:rPr>
                <w:rFonts w:cs="Times New Roman" w:hint="eastAsia"/>
                <w:color w:val="auto"/>
                <w:sz w:val="21"/>
                <w:szCs w:val="21"/>
                <w:lang w:val="en-US" w:eastAsia="zh-CN"/>
              </w:rPr>
              <w:t>租赁厂区</w:t>
            </w:r>
            <w:r>
              <w:rPr>
                <w:rFonts w:cs="Times New Roman" w:hint="eastAsia"/>
                <w:color w:val="auto"/>
                <w:sz w:val="21"/>
                <w:szCs w:val="21"/>
                <w:lang w:eastAsia="zh-CN"/>
              </w:rPr>
              <w:t>预处理池</w:t>
            </w:r>
            <w:r>
              <w:rPr>
                <w:rFonts w:ascii="Times New Roman" w:eastAsia="宋体" w:cs="Times New Roman" w:hAnsi="Times New Roman"/>
                <w:color w:val="auto"/>
                <w:sz w:val="21"/>
                <w:szCs w:val="21"/>
              </w:rPr>
              <w:t>预处理后</w:t>
            </w:r>
            <w:r>
              <w:rPr>
                <w:rFonts w:cs="Times New Roman" w:hint="eastAsia"/>
                <w:color w:val="auto"/>
                <w:sz w:val="21"/>
                <w:szCs w:val="21"/>
                <w:lang w:val="en-US" w:eastAsia="zh-CN"/>
              </w:rPr>
              <w:t>通过</w:t>
            </w:r>
            <w:r>
              <w:rPr>
                <w:rFonts w:ascii="Times New Roman" w:eastAsia="宋体" w:cs="Times New Roman" w:hAnsi="Times New Roman"/>
                <w:color w:val="auto"/>
                <w:sz w:val="21"/>
                <w:szCs w:val="21"/>
              </w:rPr>
              <w:t>市政管网排入进入</w:t>
            </w:r>
            <w:r>
              <w:rPr>
                <w:rFonts w:cs="Times New Roman" w:hint="eastAsia"/>
                <w:color w:val="auto"/>
                <w:sz w:val="21"/>
                <w:szCs w:val="21"/>
                <w:lang w:eastAsia="zh-CN"/>
              </w:rPr>
              <w:t>大英县工业污水处理厂</w:t>
            </w:r>
            <w:r>
              <w:rPr>
                <w:rFonts w:ascii="Times New Roman" w:eastAsia="宋体" w:cs="Times New Roman" w:hAnsi="Times New Roman"/>
                <w:color w:val="auto"/>
                <w:sz w:val="21"/>
                <w:szCs w:val="21"/>
              </w:rPr>
              <w:t>处理</w:t>
            </w:r>
            <w:r>
              <w:rPr>
                <w:rFonts w:cs="Times New Roman" w:hint="eastAsia"/>
                <w:color w:val="auto"/>
                <w:sz w:val="21"/>
                <w:szCs w:val="21"/>
                <w:lang w:eastAsia="zh-CN"/>
              </w:rPr>
              <w:t>；</w:t>
            </w:r>
          </w:p>
        </w:tc>
        <w:tc>
          <w:tcPr>
            <w:tcW w:w="2350"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ascii="Times New Roman" w:eastAsia="宋体" w:cs="Times New Roman" w:hAnsi="Times New Roman"/>
                <w:kern w:val="0"/>
                <w:sz w:val="21"/>
                <w:szCs w:val="21"/>
                <w:lang w:val="en-US" w:eastAsia="zh-CN"/>
              </w:rPr>
            </w:pPr>
            <w:r>
              <w:rPr>
                <w:rFonts w:ascii="Times New Roman" w:eastAsia="宋体" w:cs="Times New Roman" w:hAnsi="Times New Roman" w:hint="eastAsia"/>
                <w:kern w:val="0"/>
                <w:sz w:val="21"/>
                <w:szCs w:val="21"/>
                <w:lang w:val="en-US" w:eastAsia="zh-CN"/>
              </w:rPr>
              <w:t>《污水综合排放标准》（GB8978-1996）表4中三级标准</w:t>
            </w:r>
          </w:p>
        </w:tc>
      </w:tr>
      <w:tr>
        <w:trPr>
          <w:trHeight w:val="425"/>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声环境</w:t>
            </w:r>
          </w:p>
        </w:tc>
        <w:tc>
          <w:tcPr>
            <w:tcW w:w="1823"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ascii="Times New Roman" w:eastAsia="宋体" w:cs="Times New Roman" w:hAnsi="Times New Roman"/>
                <w:kern w:val="2"/>
                <w:sz w:val="21"/>
                <w:szCs w:val="21"/>
                <w:lang w:val="en-US" w:eastAsia="zh-CN" w:bidi="ar-SA"/>
              </w:rPr>
            </w:pPr>
            <w:r>
              <w:rPr>
                <w:rFonts w:ascii="Times New Roman" w:eastAsia="宋体" w:cs="Times New Roman" w:hAnsi="Times New Roman"/>
                <w:kern w:val="2"/>
                <w:sz w:val="21"/>
                <w:szCs w:val="21"/>
                <w:lang w:val="en-US" w:eastAsia="zh-CN" w:bidi="ar-SA"/>
              </w:rPr>
              <w:t>机械设备</w:t>
            </w:r>
          </w:p>
        </w:tc>
        <w:tc>
          <w:tcPr>
            <w:tcW w:w="1817"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ascii="Times New Roman" w:eastAsia="宋体" w:cs="Times New Roman" w:hAnsi="Times New Roman"/>
                <w:spacing w:val="8"/>
                <w:kern w:val="2"/>
                <w:sz w:val="21"/>
                <w:szCs w:val="21"/>
                <w:lang w:val="en-US" w:eastAsia="zh-CN" w:bidi="ar-SA"/>
              </w:rPr>
            </w:pPr>
            <w:r>
              <w:rPr>
                <w:rFonts w:ascii="Times New Roman" w:eastAsia="宋体" w:cs="Times New Roman" w:hAnsi="Times New Roman"/>
                <w:spacing w:val="8"/>
                <w:kern w:val="2"/>
                <w:sz w:val="21"/>
                <w:szCs w:val="21"/>
                <w:lang w:val="en-US" w:eastAsia="zh-CN" w:bidi="ar-SA"/>
              </w:rPr>
              <w:t>厂界噪声</w:t>
            </w:r>
          </w:p>
        </w:tc>
        <w:tc>
          <w:tcPr>
            <w:tcW w:w="2500"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ascii="Times New Roman" w:eastAsia="宋体" w:cs="Times New Roman" w:hAnsi="Times New Roman" w:hint="eastAsia"/>
                <w:bCs/>
                <w:kern w:val="2"/>
                <w:sz w:val="21"/>
                <w:szCs w:val="21"/>
                <w:lang w:val="en-US" w:eastAsia="zh-CN" w:bidi="ar-SA"/>
              </w:rPr>
            </w:pPr>
            <w:r>
              <w:rPr>
                <w:rFonts w:ascii="Times New Roman" w:eastAsia="宋体" w:cs="Times New Roman" w:hAnsi="Times New Roman"/>
                <w:color w:val="000000"/>
                <w:sz w:val="21"/>
                <w:szCs w:val="21"/>
              </w:rPr>
              <w:t>优化布局</w:t>
            </w:r>
            <w:r>
              <w:rPr>
                <w:rFonts w:cs="Times New Roman" w:hint="eastAsia"/>
                <w:color w:val="000000"/>
                <w:sz w:val="21"/>
                <w:szCs w:val="21"/>
                <w:lang w:eastAsia="zh-CN"/>
              </w:rPr>
              <w:t>，</w:t>
            </w:r>
            <w:r>
              <w:rPr>
                <w:rFonts w:ascii="Times New Roman" w:eastAsia="宋体" w:cs="Times New Roman" w:hAnsi="Times New Roman"/>
                <w:color w:val="000000"/>
                <w:sz w:val="21"/>
                <w:szCs w:val="21"/>
              </w:rPr>
              <w:t>选用低噪声设备</w:t>
            </w:r>
            <w:r>
              <w:rPr>
                <w:rFonts w:cs="Times New Roman" w:hint="eastAsia"/>
                <w:color w:val="000000"/>
                <w:sz w:val="21"/>
                <w:szCs w:val="21"/>
                <w:lang w:eastAsia="zh-CN"/>
              </w:rPr>
              <w:t>，</w:t>
            </w:r>
            <w:r>
              <w:rPr>
                <w:rFonts w:ascii="Times New Roman" w:eastAsia="宋体" w:cs="Times New Roman" w:hAnsi="Times New Roman"/>
                <w:color w:val="000000"/>
                <w:sz w:val="21"/>
                <w:szCs w:val="21"/>
              </w:rPr>
              <w:t>并采取隔声、减振、消声等降噪措施</w:t>
            </w:r>
            <w:r>
              <w:rPr>
                <w:rFonts w:cs="Times New Roman" w:hint="eastAsia"/>
                <w:color w:val="000000"/>
                <w:sz w:val="21"/>
                <w:szCs w:val="21"/>
                <w:lang w:eastAsia="zh-CN"/>
              </w:rPr>
              <w:t>；</w:t>
            </w:r>
          </w:p>
        </w:tc>
        <w:tc>
          <w:tcPr>
            <w:tcW w:w="2350" w:type="dxa"/>
            <w:tcBorders>
              <w:tl2br w:val="nil"/>
              <w:tr2bl w:val="nil"/>
            </w:tcBorders>
            <w:noWrap/>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sz w:val="21"/>
                <w:szCs w:val="21"/>
                <w:lang w:val="en-US" w:eastAsia="zh-CN"/>
              </w:rPr>
              <w:t>《工业企业厂界环境噪声排放标准》</w:t>
            </w:r>
            <w:r>
              <w:rPr>
                <w:rFonts w:ascii="Times New Roman" w:eastAsia="宋体" w:cs="Times New Roman" w:hAnsi="Times New Roman" w:hint="eastAsia"/>
                <w:color w:val="000000"/>
                <w:sz w:val="21"/>
                <w:szCs w:val="21"/>
                <w:lang w:val="en-US" w:eastAsia="zh-CN"/>
              </w:rPr>
              <w:t>（</w:t>
            </w:r>
            <w:r>
              <w:rPr>
                <w:rFonts w:ascii="Times New Roman" w:eastAsia="宋体" w:cs="Times New Roman" w:hAnsi="Times New Roman"/>
                <w:color w:val="000000"/>
                <w:sz w:val="21"/>
                <w:szCs w:val="21"/>
                <w:lang w:val="en-US" w:eastAsia="zh-CN"/>
              </w:rPr>
              <w:t>GB12348</w:t>
            </w:r>
            <w:r>
              <w:rPr>
                <w:rFonts w:ascii="Times New Roman" w:eastAsia="宋体" w:cs="Times New Roman" w:hAnsi="Times New Roman" w:hint="eastAsia"/>
                <w:color w:val="000000"/>
                <w:sz w:val="21"/>
                <w:szCs w:val="21"/>
                <w:lang w:val="en-US" w:eastAsia="zh-CN"/>
              </w:rPr>
              <w:t>-</w:t>
            </w:r>
            <w:r>
              <w:rPr>
                <w:rFonts w:ascii="Times New Roman" w:eastAsia="宋体" w:cs="Times New Roman" w:hAnsi="Times New Roman"/>
                <w:color w:val="000000"/>
                <w:sz w:val="21"/>
                <w:szCs w:val="21"/>
                <w:lang w:val="en-US" w:eastAsia="zh-CN"/>
              </w:rPr>
              <w:t>2008</w:t>
            </w:r>
            <w:r>
              <w:rPr>
                <w:rFonts w:cs="Times New Roman" w:hint="eastAsia"/>
                <w:color w:val="000000"/>
                <w:sz w:val="21"/>
                <w:szCs w:val="21"/>
                <w:lang w:val="en-US" w:eastAsia="zh-CN"/>
              </w:rPr>
              <w:t>）</w:t>
            </w:r>
            <w:r>
              <w:rPr>
                <w:rFonts w:ascii="Times New Roman" w:eastAsia="宋体" w:cs="Times New Roman" w:hAnsi="Times New Roman"/>
                <w:color w:val="000000"/>
                <w:sz w:val="21"/>
                <w:szCs w:val="21"/>
                <w:lang w:val="en-US" w:eastAsia="zh-CN"/>
              </w:rPr>
              <w:t>中的</w:t>
            </w:r>
            <w:r>
              <w:rPr>
                <w:rFonts w:cs="Times New Roman" w:hint="eastAsia"/>
                <w:color w:val="000000"/>
                <w:sz w:val="21"/>
                <w:szCs w:val="21"/>
                <w:lang w:val="en-US" w:eastAsia="zh-CN"/>
              </w:rPr>
              <w:t>3类</w:t>
            </w:r>
            <w:r>
              <w:rPr>
                <w:rFonts w:ascii="Times New Roman" w:eastAsia="宋体" w:cs="Times New Roman" w:hAnsi="Times New Roman"/>
                <w:color w:val="000000"/>
                <w:sz w:val="21"/>
                <w:szCs w:val="21"/>
                <w:lang w:val="en-US" w:eastAsia="zh-CN"/>
              </w:rPr>
              <w:t>标准</w:t>
            </w:r>
          </w:p>
        </w:tc>
      </w:tr>
      <w:tr>
        <w:trPr>
          <w:trHeight w:val="90"/>
        </w:trPr>
        <w:tc>
          <w:tcPr>
            <w:tcW w:w="1141" w:type="dxa"/>
            <w:vMerge w:val="restart"/>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废物</w:t>
            </w:r>
          </w:p>
        </w:tc>
        <w:tc>
          <w:tcPr>
            <w:tcW w:w="1823"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ascii="Times New Roman" w:eastAsia="宋体" w:cs="Times New Roman" w:hAnsi="Times New Roman"/>
                <w:kern w:val="2"/>
                <w:sz w:val="21"/>
                <w:szCs w:val="21"/>
                <w:lang w:val="en-US" w:eastAsia="zh-CN" w:bidi="ar-SA"/>
              </w:rPr>
            </w:pPr>
            <w:r>
              <w:rPr>
                <w:rFonts w:ascii="Times New Roman" w:eastAsia="宋体" w:cs="Times New Roman" w:hAnsi="Times New Roman"/>
                <w:color w:val="000000"/>
                <w:sz w:val="21"/>
                <w:szCs w:val="21"/>
                <w:lang w:val="en-US" w:eastAsia="zh-CN"/>
              </w:rPr>
              <w:t>一般固废</w:t>
            </w:r>
          </w:p>
        </w:tc>
        <w:tc>
          <w:tcPr>
            <w:tcW w:w="4317" w:type="dxa"/>
            <w:gridSpan w:val="2"/>
            <w:tcBorders>
              <w:tl2br w:val="nil"/>
              <w:tr2bl w:val="nil"/>
            </w:tcBorders>
            <w:noWrap/>
            <w:vAlign w:val="center"/>
          </w:tcPr>
          <w:p>
            <w:pPr>
              <w:widowControl/>
              <w:spacing w:line="240" w:lineRule="auto"/>
              <w:jc w:val="both"/>
              <w:rPr>
                <w:rFonts w:ascii="Times New Roman" w:eastAsia="宋体" w:cs="Times New Roman" w:hAnsi="Times New Roman"/>
                <w:color w:val="000000"/>
                <w:sz w:val="21"/>
                <w:szCs w:val="21"/>
                <w:lang w:val="en-US"/>
              </w:rPr>
            </w:pPr>
            <w:r>
              <w:rPr>
                <w:rFonts w:ascii="Times New Roman" w:eastAsia="宋体" w:cs="Times New Roman" w:hAnsi="Times New Roman"/>
                <w:color w:val="000000"/>
                <w:sz w:val="21"/>
                <w:szCs w:val="21"/>
                <w:lang w:val="en-US" w:eastAsia="zh-CN"/>
              </w:rPr>
              <w:t>除尘器收集粉尘</w:t>
            </w:r>
            <w:r>
              <w:rPr>
                <w:rFonts w:cs="Times New Roman" w:hint="eastAsia"/>
                <w:color w:val="000000"/>
                <w:sz w:val="21"/>
                <w:szCs w:val="21"/>
                <w:lang w:val="en-US" w:eastAsia="zh-CN"/>
              </w:rPr>
              <w:t>、</w:t>
            </w:r>
            <w:r>
              <w:rPr>
                <w:rFonts w:ascii="Times New Roman" w:eastAsia="宋体" w:cs="Times New Roman" w:hAnsi="Times New Roman"/>
                <w:color w:val="000000"/>
                <w:sz w:val="21"/>
                <w:szCs w:val="21"/>
                <w:lang w:val="en-US" w:eastAsia="zh-CN"/>
              </w:rPr>
              <w:t>生活垃圾集中收集后交由环卫部门统一清运处理；废包装材料存放于一般工业固体废物暂存处，</w:t>
            </w:r>
            <w:r>
              <w:rPr>
                <w:rFonts w:cs="Times New Roman" w:hint="eastAsia"/>
                <w:color w:val="000000"/>
                <w:sz w:val="21"/>
                <w:szCs w:val="21"/>
                <w:lang w:val="en-US" w:eastAsia="zh-CN"/>
              </w:rPr>
              <w:t>由废品回收站回收</w:t>
            </w:r>
            <w:r>
              <w:rPr>
                <w:rFonts w:ascii="Times New Roman" w:eastAsia="宋体" w:cs="Times New Roman" w:hAnsi="Times New Roman"/>
                <w:color w:val="000000"/>
                <w:sz w:val="21"/>
                <w:szCs w:val="21"/>
                <w:lang w:val="en-US" w:eastAsia="zh-CN"/>
              </w:rPr>
              <w:t>处理</w:t>
            </w:r>
            <w:r>
              <w:rPr>
                <w:rFonts w:cs="Times New Roman" w:hint="eastAsia"/>
                <w:color w:val="000000"/>
                <w:sz w:val="21"/>
                <w:szCs w:val="21"/>
                <w:lang w:val="en-US" w:eastAsia="zh-CN"/>
              </w:rPr>
              <w:t>；拆解产生不可利用物、拆解产生不可利用零部件</w:t>
            </w:r>
            <w:r>
              <w:rPr>
                <w:rFonts w:ascii="Times New Roman" w:eastAsia="宋体" w:cs="Times New Roman" w:hAnsi="Times New Roman"/>
                <w:color w:val="000000"/>
                <w:sz w:val="21"/>
                <w:szCs w:val="21"/>
                <w:lang w:val="en-US" w:eastAsia="zh-CN"/>
              </w:rPr>
              <w:t>存放于一般工业固体废物暂存处，定期交由有处理能力单位处理</w:t>
            </w:r>
            <w:r>
              <w:rPr>
                <w:rFonts w:cs="Times New Roman" w:hint="eastAsia"/>
                <w:color w:val="000000"/>
                <w:sz w:val="21"/>
                <w:szCs w:val="21"/>
                <w:lang w:val="en-US" w:eastAsia="zh-CN"/>
              </w:rPr>
              <w:t>；</w:t>
            </w:r>
          </w:p>
        </w:tc>
        <w:tc>
          <w:tcPr>
            <w:tcW w:w="2350" w:type="dxa"/>
            <w:tcBorders>
              <w:tl2br w:val="nil"/>
              <w:tr2bl w:val="nil"/>
            </w:tcBorders>
            <w:noWrap/>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sz w:val="21"/>
                <w:szCs w:val="21"/>
                <w:lang w:val="en-US" w:eastAsia="zh-CN"/>
              </w:rPr>
              <w:t>执行《一般工业固体废物贮存、处置场污染控制标准》（GB18599-2020</w:t>
            </w:r>
            <w:r>
              <w:rPr>
                <w:rFonts w:cs="Times New Roman" w:hint="eastAsia"/>
                <w:color w:val="000000"/>
                <w:sz w:val="21"/>
                <w:szCs w:val="21"/>
                <w:lang w:val="en-US" w:eastAsia="zh-CN"/>
              </w:rPr>
              <w:t>）</w:t>
            </w:r>
          </w:p>
        </w:tc>
      </w:tr>
      <w:tr>
        <w:trPr>
          <w:trHeight w:val="90"/>
        </w:trPr>
        <w:tc>
          <w:tcPr>
            <w:tcW w:w="1141" w:type="dxa"/>
            <w:vMerge/>
            <w:tcBorders>
              <w:tl2br w:val="nil"/>
              <w:tr2bl w:val="nil"/>
            </w:tcBorders>
            <w:noWrap/>
            <w:vAlign w:val="center"/>
          </w:tcPr>
          <w:p/>
        </w:tc>
        <w:tc>
          <w:tcPr>
            <w:tcW w:w="1823" w:type="dxa"/>
            <w:tcBorders>
              <w:tl2br w:val="nil"/>
              <w:tr2bl w:val="nil"/>
            </w:tcBorders>
            <w:noWrap/>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sz w:val="21"/>
                <w:szCs w:val="21"/>
                <w:lang w:val="en-US" w:eastAsia="zh-CN"/>
              </w:rPr>
              <w:t>危险废物</w:t>
            </w:r>
          </w:p>
        </w:tc>
        <w:tc>
          <w:tcPr>
            <w:tcW w:w="4317" w:type="dxa"/>
            <w:gridSpan w:val="2"/>
            <w:tcBorders>
              <w:tl2br w:val="nil"/>
              <w:tr2bl w:val="nil"/>
            </w:tcBorders>
            <w:noWrap/>
            <w:vAlign w:val="center"/>
          </w:tcPr>
          <w:p>
            <w:pPr>
              <w:widowControl/>
              <w:spacing w:line="240" w:lineRule="auto"/>
              <w:jc w:val="both"/>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sz w:val="21"/>
                <w:szCs w:val="21"/>
                <w:lang w:val="en-US" w:eastAsia="zh-CN"/>
              </w:rPr>
              <w:t>废电路板</w:t>
            </w:r>
            <w:r>
              <w:rPr>
                <w:rFonts w:cs="Times New Roman" w:hint="eastAsia"/>
                <w:color w:val="000000"/>
                <w:sz w:val="21"/>
                <w:szCs w:val="21"/>
                <w:lang w:val="en-US" w:eastAsia="zh-CN"/>
              </w:rPr>
              <w:t>、</w:t>
            </w:r>
            <w:r>
              <w:rPr>
                <w:rFonts w:ascii="Times New Roman" w:eastAsia="宋体" w:cs="Times New Roman" w:hAnsi="Times New Roman"/>
                <w:color w:val="000000"/>
                <w:sz w:val="21"/>
                <w:szCs w:val="21"/>
                <w:lang w:val="en-US" w:eastAsia="zh-CN"/>
              </w:rPr>
              <w:t>废含汞元（器）件</w:t>
            </w:r>
            <w:r>
              <w:rPr>
                <w:rFonts w:cs="Times New Roman" w:hint="eastAsia"/>
                <w:color w:val="000000"/>
                <w:sz w:val="21"/>
                <w:szCs w:val="21"/>
                <w:lang w:val="en-US" w:eastAsia="zh-CN"/>
              </w:rPr>
              <w:t>、废矿物油、废润滑油、</w:t>
            </w:r>
            <w:r>
              <w:rPr>
                <w:rFonts w:ascii="Times New Roman" w:eastAsia="宋体" w:cs="Times New Roman" w:hAnsi="Times New Roman"/>
                <w:color w:val="000000"/>
                <w:sz w:val="21"/>
                <w:szCs w:val="21"/>
                <w:lang w:val="en-US" w:eastAsia="zh-CN"/>
              </w:rPr>
              <w:t>含油废劳保用品</w:t>
            </w:r>
            <w:r>
              <w:rPr>
                <w:rFonts w:cs="Times New Roman" w:hint="eastAsia"/>
                <w:color w:val="000000"/>
                <w:sz w:val="21"/>
                <w:szCs w:val="21"/>
                <w:lang w:val="en-US" w:eastAsia="zh-CN"/>
              </w:rPr>
              <w:t>在危险废物暂存间暂存，定期由有资质单位接收处置；</w:t>
            </w:r>
          </w:p>
        </w:tc>
        <w:tc>
          <w:tcPr>
            <w:tcW w:w="2350" w:type="dxa"/>
            <w:tcBorders>
              <w:tl2br w:val="nil"/>
              <w:tr2bl w:val="nil"/>
            </w:tcBorders>
            <w:noWrap/>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ascii="Times New Roman" w:eastAsia="宋体" w:cs="Times New Roman" w:hAnsi="Times New Roman"/>
                <w:color w:val="000000"/>
                <w:sz w:val="21"/>
                <w:szCs w:val="21"/>
                <w:lang w:val="en-US" w:eastAsia="zh-CN"/>
              </w:rPr>
            </w:pPr>
            <w:r>
              <w:rPr>
                <w:rFonts w:ascii="Times New Roman" w:eastAsia="宋体" w:cs="Times New Roman" w:hAnsi="Times New Roman"/>
                <w:color w:val="000000"/>
                <w:sz w:val="21"/>
                <w:szCs w:val="21"/>
                <w:lang w:val="en-US" w:eastAsia="zh-CN"/>
              </w:rPr>
              <w:t>执行危险废物贮存污染控制标准（</w:t>
            </w:r>
            <w:r>
              <w:rPr>
                <w:rFonts w:cs="Times New Roman" w:hint="eastAsia"/>
                <w:color w:val="000000"/>
                <w:sz w:val="21"/>
                <w:szCs w:val="21"/>
                <w:lang w:val="en-US" w:eastAsia="zh-CN"/>
              </w:rPr>
              <w:t>GB18597-2023</w:t>
            </w:r>
            <w:r>
              <w:rPr>
                <w:rFonts w:ascii="Times New Roman" w:eastAsia="宋体" w:cs="Times New Roman" w:hAnsi="Times New Roman"/>
                <w:color w:val="000000"/>
                <w:sz w:val="21"/>
                <w:szCs w:val="21"/>
                <w:lang w:val="en-US" w:eastAsia="zh-CN"/>
              </w:rPr>
              <w:t>）</w:t>
            </w:r>
          </w:p>
        </w:tc>
      </w:tr>
      <w:tr>
        <w:trPr>
          <w:trHeight w:val="90"/>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土壤及地下水污染防治措施</w:t>
            </w:r>
          </w:p>
        </w:tc>
        <w:tc>
          <w:tcPr>
            <w:tcW w:w="8490" w:type="dxa"/>
            <w:gridSpan w:val="4"/>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Chars="200" w:firstLine="420"/>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厂区内按要求做好防渗措施；</w:t>
            </w:r>
            <w:r>
              <w:rPr>
                <w:rFonts w:cs="Times New Roman" w:hint="eastAsia"/>
                <w:sz w:val="21"/>
                <w:szCs w:val="21"/>
                <w:lang w:val="en-US" w:eastAsia="zh-CN"/>
              </w:rPr>
              <w:t>危险废物贮存区域</w:t>
            </w:r>
            <w:r>
              <w:rPr>
                <w:rFonts w:ascii="Times New Roman" w:eastAsia="宋体" w:cs="Times New Roman" w:hAnsi="Times New Roman"/>
                <w:sz w:val="21"/>
                <w:szCs w:val="21"/>
                <w:lang w:val="en-US" w:eastAsia="zh-CN"/>
              </w:rPr>
              <w:t>按重点防渗区要求采取防渗措施</w:t>
            </w:r>
            <w:r>
              <w:rPr>
                <w:rFonts w:cs="Times New Roman" w:hint="eastAsia"/>
                <w:sz w:val="21"/>
                <w:szCs w:val="21"/>
                <w:lang w:val="en-US" w:eastAsia="zh-CN"/>
              </w:rPr>
              <w:t>；拆解车间、原料储存区、产品仓库、检测区及一般固废暂存区等</w:t>
            </w:r>
            <w:r>
              <w:rPr>
                <w:rFonts w:ascii="Times New Roman" w:eastAsia="宋体" w:cs="Times New Roman" w:hAnsi="Times New Roman"/>
                <w:sz w:val="21"/>
                <w:szCs w:val="21"/>
                <w:lang w:val="en-US" w:eastAsia="zh-CN"/>
              </w:rPr>
              <w:t>按一般防渗区要求采取防渗措施</w:t>
            </w:r>
            <w:r>
              <w:rPr>
                <w:rFonts w:cs="Times New Roman" w:hint="eastAsia"/>
                <w:sz w:val="21"/>
                <w:szCs w:val="21"/>
                <w:lang w:val="en-US" w:eastAsia="zh-CN"/>
              </w:rPr>
              <w:t>。</w:t>
            </w:r>
          </w:p>
        </w:tc>
      </w:tr>
      <w:tr>
        <w:trPr>
          <w:trHeight w:val="686"/>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rPr>
            </w:pPr>
            <w:r>
              <w:rPr>
                <w:rFonts w:ascii="Times New Roman" w:eastAsia="宋体" w:cs="Times New Roman" w:hAnsi="Times New Roman"/>
                <w:sz w:val="21"/>
                <w:szCs w:val="21"/>
              </w:rPr>
              <w:t>生态保护措施</w:t>
            </w:r>
          </w:p>
        </w:tc>
        <w:tc>
          <w:tcPr>
            <w:tcW w:w="8490" w:type="dxa"/>
            <w:gridSpan w:val="4"/>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无</w:t>
            </w:r>
          </w:p>
        </w:tc>
      </w:tr>
      <w:tr>
        <w:trPr>
          <w:trHeight w:val="756"/>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pacing w:val="-8"/>
                <w:sz w:val="21"/>
                <w:szCs w:val="21"/>
              </w:rPr>
            </w:pPr>
            <w:r>
              <w:rPr>
                <w:rFonts w:ascii="Times New Roman" w:eastAsia="宋体" w:cs="Times New Roman" w:hAnsi="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pacing w:val="-8"/>
                <w:sz w:val="21"/>
                <w:szCs w:val="21"/>
              </w:rPr>
            </w:pPr>
            <w:r>
              <w:rPr>
                <w:rFonts w:ascii="Times New Roman" w:eastAsia="宋体" w:cs="Times New Roman" w:hAnsi="Times New Roman"/>
                <w:spacing w:val="-8"/>
                <w:sz w:val="21"/>
                <w:szCs w:val="21"/>
              </w:rPr>
              <w:t>防范措施</w:t>
            </w:r>
          </w:p>
        </w:tc>
        <w:tc>
          <w:tcPr>
            <w:tcW w:w="8490" w:type="dxa"/>
            <w:gridSpan w:val="4"/>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①产生</w:t>
            </w:r>
            <w:r>
              <w:rPr>
                <w:rFonts w:cs="Times New Roman" w:hint="eastAsia"/>
                <w:sz w:val="21"/>
                <w:szCs w:val="21"/>
                <w:lang w:val="en-US" w:eastAsia="zh-CN"/>
              </w:rPr>
              <w:t>废矿物油</w:t>
            </w:r>
            <w:r>
              <w:rPr>
                <w:rFonts w:ascii="Times New Roman" w:eastAsia="宋体" w:cs="Times New Roman" w:hAnsi="Times New Roman"/>
                <w:sz w:val="21"/>
                <w:szCs w:val="21"/>
                <w:lang w:val="en-US" w:eastAsia="zh-CN"/>
              </w:rPr>
              <w:t>由专用桶装容器收集后，存储于厂内危废暂存间及时交由有危险废物处置资质的单位进行处置，在厂区内的贮存时间不得超过1年。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②危废暂存间严格落实分区防渗要求，并在四周设置截排水沟，截排水沟按重点防渗区落实防渗要求。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③危险废物及其贮存设施严格落实本评价提出的各项管控要求。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④值班维护人员对设备进行定期检查防止发生跑、冒、滴、漏现象。</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cs="Times New Roman" w:hint="eastAsia"/>
                <w:sz w:val="21"/>
                <w:szCs w:val="21"/>
                <w:lang w:val="en-US" w:eastAsia="zh-CN"/>
              </w:rPr>
            </w:pPr>
            <w:r>
              <w:rPr>
                <w:rFonts w:ascii="Times New Roman" w:eastAsia="宋体" w:cs="Times New Roman" w:hAnsi="Times New Roman"/>
                <w:sz w:val="21"/>
                <w:szCs w:val="21"/>
                <w:lang w:val="en-US" w:eastAsia="zh-CN"/>
              </w:rPr>
              <w:t>⑤制定环境风险应急预案，配备应急处理设备和保障物资</w:t>
            </w:r>
            <w:r>
              <w:rPr>
                <w:rFonts w:cs="Times New Roman" w:hint="eastAsia"/>
                <w:sz w:val="21"/>
                <w:szCs w:val="21"/>
                <w:lang w:val="en-US"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ascii="Times New Roman" w:eastAsia="宋体" w:cs="Times New Roman" w:hAnsi="Times New Roman"/>
                <w:sz w:val="21"/>
                <w:szCs w:val="21"/>
                <w:lang w:val="en-US" w:eastAsia="zh-CN"/>
              </w:rPr>
            </w:pPr>
            <w:r>
              <w:rPr>
                <w:rFonts w:cs="Times New Roman" w:hint="eastAsia"/>
                <w:sz w:val="21"/>
                <w:szCs w:val="21"/>
                <w:lang w:val="en-US" w:eastAsia="zh-CN"/>
              </w:rPr>
              <w:t>⑥</w:t>
            </w:r>
            <w:r>
              <w:rPr>
                <w:rFonts w:ascii="Times New Roman" w:eastAsia="宋体" w:cs="Times New Roman" w:hAnsi="Times New Roman"/>
                <w:sz w:val="21"/>
                <w:szCs w:val="21"/>
                <w:lang w:val="en-US" w:eastAsia="zh-CN"/>
              </w:rPr>
              <w:t>定期维护废气治理设施</w:t>
            </w:r>
            <w:r>
              <w:rPr>
                <w:rFonts w:cs="Times New Roman" w:hint="eastAsia"/>
                <w:sz w:val="21"/>
                <w:szCs w:val="21"/>
                <w:lang w:val="en-US" w:eastAsia="zh-CN"/>
              </w:rPr>
              <w:t>。</w:t>
            </w:r>
          </w:p>
        </w:tc>
      </w:tr>
      <w:tr>
        <w:trPr>
          <w:trHeight w:val="882"/>
        </w:trPr>
        <w:tc>
          <w:tcPr>
            <w:tcW w:w="1141" w:type="dxa"/>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pacing w:val="-8"/>
                <w:sz w:val="21"/>
                <w:szCs w:val="21"/>
              </w:rPr>
            </w:pPr>
            <w:r>
              <w:rPr>
                <w:rFonts w:ascii="Times New Roman" w:eastAsia="宋体" w:cs="Times New Roman" w:hAnsi="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ascii="Times New Roman" w:eastAsia="宋体" w:cs="Times New Roman" w:hAnsi="Times New Roman"/>
                <w:spacing w:val="-8"/>
                <w:sz w:val="21"/>
                <w:szCs w:val="21"/>
              </w:rPr>
            </w:pPr>
            <w:r>
              <w:rPr>
                <w:rFonts w:ascii="Times New Roman" w:eastAsia="宋体" w:cs="Times New Roman" w:hAnsi="Times New Roman"/>
                <w:spacing w:val="-8"/>
                <w:sz w:val="21"/>
                <w:szCs w:val="21"/>
              </w:rPr>
              <w:t>管理要求</w:t>
            </w:r>
          </w:p>
        </w:tc>
        <w:tc>
          <w:tcPr>
            <w:tcW w:w="8490" w:type="dxa"/>
            <w:gridSpan w:val="4"/>
            <w:tcBorders>
              <w:tl2br w:val="nil"/>
              <w:tr2bl w:val="nil"/>
            </w:tcBorders>
            <w:noWrap/>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Chars="200" w:firstLine="420"/>
              <w:jc w:val="both"/>
              <w:textAlignment w:val="auto"/>
              <w:rPr>
                <w:rFonts w:ascii="Times New Roman" w:eastAsia="宋体" w:cs="Times New Roman" w:hAnsi="Times New Roman"/>
                <w:sz w:val="21"/>
                <w:szCs w:val="21"/>
                <w:lang w:val="en-US" w:eastAsia="zh-CN"/>
              </w:rPr>
            </w:pPr>
            <w:r>
              <w:rPr>
                <w:rFonts w:ascii="Times New Roman" w:eastAsia="宋体" w:cs="Times New Roman" w:hAnsi="Times New Roman"/>
                <w:sz w:val="21"/>
                <w:szCs w:val="21"/>
                <w:lang w:val="en-US" w:eastAsia="zh-CN"/>
              </w:rPr>
              <w:t>要求建设单位严格按报告表提出的污染治理设施及环保对策措施逐项实施，做到达标排放</w:t>
            </w:r>
            <w:r>
              <w:rPr>
                <w:rFonts w:cs="Times New Roman" w:hint="eastAsia"/>
                <w:sz w:val="21"/>
                <w:szCs w:val="21"/>
                <w:lang w:val="en-US" w:eastAsia="zh-CN"/>
              </w:rPr>
              <w:t>；</w:t>
            </w:r>
            <w:r>
              <w:rPr>
                <w:rFonts w:ascii="Times New Roman" w:eastAsia="宋体" w:cs="Times New Roman" w:hAnsi="Times New Roman"/>
                <w:sz w:val="21"/>
                <w:szCs w:val="21"/>
                <w:lang w:val="en-US" w:eastAsia="zh-CN"/>
              </w:rPr>
              <w:t>项目建成后，及时进行环境保护验收</w:t>
            </w:r>
            <w:r>
              <w:rPr>
                <w:rFonts w:cs="Times New Roman" w:hint="eastAsia"/>
                <w:sz w:val="21"/>
                <w:szCs w:val="21"/>
                <w:lang w:val="en-US" w:eastAsia="zh-CN"/>
              </w:rPr>
              <w:t>。</w:t>
            </w:r>
          </w:p>
        </w:tc>
      </w:tr>
    </w:tbl>
    <w:p>
      <w:pPr>
        <w:spacing w:line="360" w:lineRule="auto"/>
        <w:jc w:val="center"/>
        <w:rPr>
          <w:rFonts w:ascii="Times New Roman" w:eastAsia="宋体" w:cs="Times New Roman" w:hAnsi="Times New Roman"/>
          <w:b/>
          <w:bCs/>
          <w:color w:val="auto"/>
          <w:sz w:val="24"/>
        </w:rPr>
      </w:pPr>
    </w:p>
    <w:p>
      <w:pPr>
        <w:pStyle w:val="17"/>
        <w:spacing w:line="360" w:lineRule="auto"/>
        <w:rPr>
          <w:rFonts w:ascii="Times New Roman" w:eastAsia="宋体" w:cs="Times New Roman" w:hAnsi="Times New Roman"/>
          <w:b w:val="0"/>
          <w:snapToGrid w:val="0"/>
          <w:color w:val="auto"/>
          <w:sz w:val="28"/>
          <w:szCs w:val="28"/>
        </w:rPr>
        <w:sectPr>
          <w:headerReference w:type="default" r:id="rId21"/>
          <w:pgSz w:w="11906" w:h="16838"/>
          <w:pgMar w:top="1587" w:right="1134" w:bottom="1587" w:left="1134" w:header="851" w:footer="992" w:gutter="0"/>
          <w:pgNumType/>
          <w:rtlGutter/>
          <w:docGrid w:type="lines" w:linePitch="312" w:charSpace="0"/>
        </w:sectPr>
      </w:pPr>
    </w:p>
    <w:p>
      <w:pPr>
        <w:spacing w:line="360" w:lineRule="auto"/>
        <w:jc w:val="center"/>
        <w:rPr>
          <w:rFonts w:ascii="Times New Roman" w:eastAsia="宋体" w:cs="Times New Roman" w:hAnsi="Times New Roman"/>
          <w:b/>
          <w:bCs/>
          <w:color w:val="auto"/>
          <w:sz w:val="28"/>
          <w:szCs w:val="28"/>
          <w:lang w:val="en-US" w:eastAsia="zh-CN"/>
        </w:rPr>
      </w:pPr>
      <w:r>
        <w:rPr>
          <w:rFonts w:ascii="Times New Roman" w:eastAsia="宋体" w:cs="Times New Roman" w:hAnsi="Times New Roman" w:hint="eastAsia"/>
          <w:b/>
          <w:bCs/>
          <w:color w:val="auto"/>
          <w:sz w:val="28"/>
          <w:szCs w:val="28"/>
          <w:lang w:val="en-US" w:eastAsia="zh-CN"/>
        </w:rPr>
        <w:t>六</w:t>
      </w:r>
      <w:r>
        <w:rPr>
          <w:rFonts w:cs="Times New Roman" w:hint="eastAsia"/>
          <w:b/>
          <w:bCs/>
          <w:color w:val="auto"/>
          <w:sz w:val="28"/>
          <w:szCs w:val="28"/>
          <w:lang w:val="en-US" w:eastAsia="zh-CN"/>
        </w:rPr>
        <w:t>、</w:t>
      </w:r>
      <w:r>
        <w:rPr>
          <w:rFonts w:ascii="Times New Roman" w:eastAsia="宋体" w:cs="Times New Roman" w:hAnsi="Times New Roman" w:hint="eastAsia"/>
          <w:b/>
          <w:bCs/>
          <w:color w:val="auto"/>
          <w:sz w:val="28"/>
          <w:szCs w:val="28"/>
          <w:lang w:val="en-US" w:eastAsia="zh-CN"/>
        </w:rPr>
        <w:t>结论</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570"/>
      </w:tblGrid>
      <w:tr>
        <w:trPr>
          <w:trHeight w:val="31"/>
        </w:trPr>
        <w:tc>
          <w:tcPr>
            <w:tcW w:w="9570" w:type="dxa"/>
            <w:noWrap/>
            <w:vAlign w:val="center"/>
          </w:tcPr>
          <w:p>
            <w:pPr>
              <w:bidi w:val="0"/>
              <w:spacing w:line="360" w:lineRule="auto"/>
              <w:ind w:firstLineChars="200" w:firstLine="480"/>
              <w:rPr>
                <w:rFonts w:ascii="Times New Roman" w:eastAsia="宋体" w:cs="Times New Roman" w:hAnsi="Times New Roman" w:hint="eastAsia"/>
                <w:b/>
                <w:bCs/>
                <w:color w:val="auto"/>
                <w:sz w:val="24"/>
                <w:szCs w:val="24"/>
                <w:lang w:val="en-US" w:eastAsia="zh-CN"/>
              </w:rPr>
            </w:pPr>
            <w:r>
              <w:rPr>
                <w:rFonts w:ascii="Times New Roman" w:eastAsia="宋体" w:cs="Times New Roman" w:hAnsi="Times New Roman" w:hint="eastAsia"/>
                <w:b/>
                <w:bCs/>
                <w:color w:val="auto"/>
                <w:sz w:val="24"/>
                <w:szCs w:val="24"/>
                <w:lang w:val="en-US" w:eastAsia="zh-CN"/>
              </w:rPr>
              <w:t>根据前文分析可知</w:t>
            </w:r>
            <w:r>
              <w:rPr>
                <w:rFonts w:cs="Times New Roman" w:hint="eastAsia"/>
                <w:b/>
                <w:bCs/>
                <w:color w:val="auto"/>
                <w:sz w:val="24"/>
                <w:szCs w:val="24"/>
                <w:lang w:val="en-US" w:eastAsia="zh-CN"/>
              </w:rPr>
              <w:t>，</w:t>
            </w:r>
            <w:r>
              <w:rPr>
                <w:rFonts w:ascii="Times New Roman" w:eastAsia="宋体" w:cs="Times New Roman" w:hAnsi="Times New Roman" w:hint="eastAsia"/>
                <w:b/>
                <w:bCs/>
                <w:color w:val="auto"/>
                <w:sz w:val="24"/>
                <w:szCs w:val="24"/>
                <w:lang w:val="en-US" w:eastAsia="zh-CN"/>
              </w:rPr>
              <w:t>本次评价结论如下</w:t>
            </w:r>
            <w:r>
              <w:rPr>
                <w:rFonts w:cs="Times New Roman" w:hint="eastAsia"/>
                <w:b/>
                <w:bCs/>
                <w:color w:val="auto"/>
                <w:sz w:val="24"/>
                <w:szCs w:val="24"/>
                <w:lang w:val="en-US" w:eastAsia="zh-CN"/>
              </w:rPr>
              <w:t>：</w:t>
            </w:r>
          </w:p>
          <w:p>
            <w:pPr>
              <w:bidi w:val="0"/>
              <w:spacing w:line="360" w:lineRule="auto"/>
              <w:ind w:firstLineChars="200" w:firstLine="480"/>
              <w:rPr>
                <w:rFonts w:cs="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从环境角度而言</w:t>
            </w:r>
            <w:r>
              <w:rPr>
                <w:rFonts w:cs="Times New Roman" w:hint="eastAsia"/>
                <w:color w:val="auto"/>
                <w:sz w:val="24"/>
                <w:szCs w:val="24"/>
                <w:lang w:val="en-US" w:eastAsia="zh-CN"/>
              </w:rPr>
              <w:t>，</w:t>
            </w:r>
            <w:r>
              <w:rPr>
                <w:rFonts w:ascii="Times New Roman" w:eastAsia="宋体" w:cs="Times New Roman" w:hAnsi="Times New Roman" w:hint="eastAsia"/>
                <w:color w:val="auto"/>
                <w:sz w:val="24"/>
                <w:szCs w:val="24"/>
                <w:lang w:val="en-US" w:eastAsia="zh-CN"/>
              </w:rPr>
              <w:t>“</w:t>
            </w:r>
            <w:r>
              <w:rPr>
                <w:rFonts w:cs="Times New Roman" w:hint="eastAsia"/>
                <w:color w:val="auto"/>
                <w:sz w:val="24"/>
                <w:szCs w:val="24"/>
                <w:lang w:val="en-US" w:eastAsia="zh-CN"/>
              </w:rPr>
              <w:t>废弃电器电子产品拆解综合利用生产线建设项目</w:t>
            </w:r>
            <w:r>
              <w:rPr>
                <w:rFonts w:ascii="Times New Roman" w:eastAsia="宋体" w:cs="Times New Roman" w:hAnsi="Times New Roman" w:hint="eastAsia"/>
                <w:color w:val="auto"/>
                <w:sz w:val="24"/>
                <w:szCs w:val="24"/>
                <w:lang w:val="en-US" w:eastAsia="zh-CN"/>
              </w:rPr>
              <w:t>”选址</w:t>
            </w:r>
            <w:r>
              <w:rPr>
                <w:rFonts w:cs="Times New Roman" w:hint="eastAsia"/>
                <w:color w:val="auto"/>
                <w:sz w:val="24"/>
                <w:szCs w:val="24"/>
                <w:lang w:val="en-US" w:eastAsia="zh-CN"/>
              </w:rPr>
              <w:t>遂宁市大英县蓬莱镇南华路，租赁</w:t>
            </w:r>
            <w:r>
              <w:rPr>
                <w:rFonts w:cs="Times New Roman" w:hint="eastAsia"/>
                <w:b w:val="0"/>
                <w:bCs w:val="0"/>
                <w:color w:val="auto"/>
                <w:sz w:val="24"/>
                <w:szCs w:val="24"/>
                <w:lang w:val="en-US" w:eastAsia="zh-CN"/>
              </w:rPr>
              <w:t>大英县嘉泰城市建设投资开发有限责任公司</w:t>
            </w:r>
            <w:r>
              <w:rPr>
                <w:rFonts w:cs="Times New Roman" w:hint="eastAsia"/>
                <w:color w:val="auto"/>
                <w:sz w:val="24"/>
                <w:szCs w:val="24"/>
                <w:lang w:val="en-US" w:eastAsia="zh-CN"/>
              </w:rPr>
              <w:t>20幢厂房第3层已建标准厂房</w:t>
            </w:r>
            <w:r>
              <w:rPr>
                <w:rFonts w:ascii="Times New Roman" w:eastAsia="宋体" w:cs="Times New Roman" w:hAnsi="Times New Roman" w:hint="eastAsia"/>
                <w:color w:val="auto"/>
                <w:sz w:val="24"/>
                <w:szCs w:val="24"/>
                <w:lang w:val="en-US" w:eastAsia="zh-CN"/>
              </w:rPr>
              <w:t>实施建设是可行的</w:t>
            </w:r>
            <w:r>
              <w:rPr>
                <w:rFonts w:cs="Times New Roman" w:hint="eastAsia"/>
                <w:color w:val="auto"/>
                <w:sz w:val="24"/>
                <w:szCs w:val="24"/>
                <w:lang w:val="en-US" w:eastAsia="zh-CN"/>
              </w:rPr>
              <w:t>。</w:t>
            </w: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rPr>
                <w:rFonts w:cs="Times New Roman"/>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ind w:firstLineChars="200" w:firstLine="480"/>
              <w:rPr>
                <w:rFonts w:cs="Times New Roman" w:hint="eastAsia"/>
                <w:color w:val="auto"/>
                <w:sz w:val="24"/>
                <w:szCs w:val="24"/>
                <w:lang w:val="en-US" w:eastAsia="zh-CN"/>
              </w:rPr>
            </w:pPr>
          </w:p>
          <w:p>
            <w:pPr>
              <w:bidi w:val="0"/>
              <w:spacing w:line="360" w:lineRule="auto"/>
              <w:rPr>
                <w:rFonts w:ascii="Times New Roman" w:eastAsia="宋体" w:cs="Times New Roman" w:hAnsi="Times New Roman"/>
                <w:color w:val="auto"/>
                <w:sz w:val="24"/>
                <w:szCs w:val="24"/>
                <w:lang w:val="en-US" w:eastAsia="zh-CN"/>
              </w:rPr>
            </w:pPr>
          </w:p>
        </w:tc>
      </w:tr>
    </w:tbl>
    <w:p>
      <w:pPr>
        <w:spacing w:line="360" w:lineRule="auto"/>
        <w:rPr>
          <w:rFonts w:ascii="Times New Roman" w:eastAsia="宋体" w:cs="Times New Roman" w:hAnsi="Times New Roman"/>
          <w:color w:val="auto"/>
        </w:rPr>
      </w:pPr>
    </w:p>
    <w:sectPr>
      <w:headerReference w:type="default" r:id="rId36"/>
      <w:pgSz w:w="11906" w:h="16838"/>
      <w:pgMar w:top="1587" w:right="1134" w:bottom="1587" w:left="1134" w:header="851" w:footer="992" w:gutter="0"/>
      <w:pgNumType/>
      <w:rtlGutter/>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panose1 w:val="02020603050405020304"/>
    <w:charset w:val="7A"/>
    <w:family w:val="auto"/>
    <w:pitch w:val="variable"/>
    <w:sig w:usb0="E0002EFF" w:usb1="C000785B" w:usb2="00000009" w:usb3="00000000" w:csb0="400001FF" w:csb1="FFFF0000"/>
  </w:font>
  <w:font w:name="宋体">
    <w:altName w:val="方正书宋_GBK"/>
    <w:panose1 w:val="02010600030101010101"/>
    <w:charset w:val="0D"/>
    <w:family w:val="roman"/>
    <w:pitch w:val="variable"/>
    <w:sig w:usb0="00000203" w:usb1="288F0000" w:usb2="00000006" w:usb3="00000000" w:csb0="00040001" w:csb1="00000000"/>
  </w:font>
  <w:font w:name="Helvetica">
    <w:altName w:val="Arial"/>
    <w:panose1 w:val="00000000000000000000"/>
    <w:charset w:val="00"/>
    <w:family w:val="roman"/>
    <w:pitch w:val="variable"/>
    <w:sig w:usb0="00000000" w:usb1="00000000" w:usb2="00000000" w:usb3="00000000" w:csb0="00000001"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variable"/>
    <w:sig w:usb0="800002BF" w:usb1="38CF7CFA" w:usb2="00000016" w:usb3="00000000" w:csb0="00040001" w:csb1="00000000"/>
  </w:font>
  <w:font w:name="仿宋_GB2312">
    <w:altName w:val="仿宋"/>
    <w:panose1 w:val="02010609030101010101"/>
    <w:charset w:val="86"/>
    <w:family w:val="modern"/>
    <w:pitch w:val="variable"/>
    <w:sig w:usb0="00000000" w:usb1="00000000" w:usb2="00000000" w:usb3="00000000" w:csb0="00040000" w:csb1="00000000"/>
  </w:font>
  <w:font w:name="Calibri">
    <w:panose1 w:val="020F0502020204030204"/>
    <w:charset w:val="00"/>
    <w:family w:val="swiss"/>
    <w:pitch w:val="variable"/>
    <w:sig w:usb0="E4002EFF" w:usb1="C000247B" w:usb2="00000009" w:usb3="00000000" w:csb0="200001FF" w:csb1="00000000"/>
  </w:font>
  <w:font w:name="Plotter">
    <w:altName w:val="Lucida Console"/>
    <w:panose1 w:val="00000000000000000000"/>
    <w:charset w:val="00"/>
    <w:family w:val="modern"/>
    <w:pitch w:val="variable"/>
    <w:sig w:usb0="00000000" w:usb1="00000000" w:usb2="00000000" w:usb3="00000000" w:csb0="00000001" w:csb1="00000000"/>
  </w:font>
  <w:font w:name="Wingdings 2">
    <w:altName w:val="Wingdings"/>
    <w:panose1 w:val="05020102010507070707"/>
    <w:charset w:val="02"/>
    <w:family w:val="auto"/>
    <w:pitch w:val="variable"/>
    <w:sig w:usb0="00000000" w:usb1="00000000" w:usb2="00000000" w:usb3="00000000" w:csb0="80000000" w:csb1="00000000"/>
  </w:font>
  <w:font w:name="TimesNewRoman">
    <w:altName w:val="Times New Roman"/>
    <w:panose1 w:val="00000000000000000000"/>
    <w:charset w:val="00"/>
    <w:family w:val="roman"/>
    <w:pitch w:val="variable"/>
    <w:sig w:usb0="00000000" w:usb1="00000000" w:usb2="00000000" w:usb3="00000000" w:csb0="00000001" w:csb1="00000000"/>
  </w:font>
  <w:font w:name="华文中宋">
    <w:altName w:val="方正书宋_GBK"/>
    <w:panose1 w:val="02010600040101010101"/>
    <w:charset w:val="86"/>
    <w:family w:val="auto"/>
    <w:pitch w:val="variable"/>
    <w:sig w:usb0="00000000" w:usb1="00000000" w:usb2="00000000" w:usb3="00000000" w:csb0="0004009F" w:csb1="DFD70000"/>
  </w:font>
  <w:font w:name="方正仿宋简体">
    <w:altName w:val="微软雅黑"/>
    <w:panose1 w:val="02000000000000000000"/>
    <w:charset w:val="86"/>
    <w:family w:val="auto"/>
    <w:pitch w:val="variable"/>
    <w:sig w:usb0="00000000" w:usb1="00000000" w:usb2="00000012" w:usb3="00000000" w:csb0="00040001" w:csb1="00000000"/>
  </w:font>
  <w:font w:name="仿宋">
    <w:panose1 w:val="02010609060101010101"/>
    <w:charset w:val="86"/>
    <w:family w:val="auto"/>
    <w:pitch w:val="variable"/>
    <w:sig w:usb0="800002BF" w:usb1="38CF7CFA" w:usb2="00000016" w:usb3="00000000" w:csb0="00040001" w:csb1="00000000"/>
  </w:font>
  <w:font w:name="Courier New">
    <w:panose1 w:val="02070309020205020404"/>
    <w:charset w:val="01"/>
    <w:family w:val="modern"/>
    <w:pitch w:val="variable"/>
    <w:sig w:usb0="E0002EFF" w:usb1="C0007843" w:usb2="00000009" w:usb3="00000000" w:csb0="400001FF" w:csb1="FFFF0000"/>
  </w:font>
  <w:font w:name="Wingdings">
    <w:panose1 w:val="05000000000000000000"/>
    <w:charset w:val="02"/>
    <w:family w:val="auto"/>
    <w:pitch w:val="variable"/>
    <w:sig w:usb0="00000000" w:usb1="00000000" w:usb2="00000000" w:usb3="00000000" w:csb0="8000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1"/>
      <w:framePr w:w="0" w:hRule="auto" w:wrap="around" w:vAnchor="text" w:hAnchor="margin" w:xAlign="center" w:y="1" w:anchorLock="0"/>
      <w:tabs>
        <w:tab w:val="center" w:pos="4153"/>
        <w:tab w:val="right" w:pos="8306"/>
      </w:tabs>
      <w:rPr>
        <w:rStyle w:val="40"/>
      </w:rPr>
    </w:pPr>
    <w:r>
      <w:rPr>
        <w:rStyle w:val="40"/>
      </w:rPr>
      <w:fldChar w:fldCharType="begin"/>
    </w:r>
    <w:r>
      <w:rPr>
        <w:rStyle w:val="40"/>
      </w:rPr>
      <w:instrText xml:space="preserve">PAGE  </w:instrText>
    </w:r>
    <w:r>
      <w:fldChar w:fldCharType="separate"/>
    </w:r>
    <w:r>
      <w:t xml:space="preserve"> </w:t>
    </w:r>
    <w:r>
      <w:fldChar w:fldCharType="end"/>
    </w:r>
  </w:p>
  <w:p>
    <w:pPr>
      <w:pStyle w:val="31"/>
      <w:tabs>
        <w:tab w:val="center" w:pos="4153"/>
        <w:tab w:val="right" w:pos="8306"/>
      </w:tabs>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1"/>
      <w:tabs>
        <w:tab w:val="center" w:pos="4153"/>
        <w:tab w:val="right" w:pos="8306"/>
      </w:tabs>
    </w:pPr>
    <w:r>
      <w:br/>
    </w: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1"/>
      <w:tabs>
        <w:tab w:val="center" w:pos="4153"/>
        <w:tab w:val="right" w:pos="8306"/>
      </w:tabs>
    </w:pPr>
    <w:r>
      <w:rPr>
        <w:sz w:val="18"/>
      </w:rPr>
      <mc:AlternateContent>
        <mc:Choice Requires="wps">
          <w:drawing>
            <wp:anchor distT="0" distB="0" distL="114298" distR="114298" simplePos="0" relativeHeight="86" behindDoc="0" locked="0" layoutInCell="1" hidden="0" allowOverlap="1">
              <wp:simplePos x="0" y="0"/>
              <wp:positionH relativeFrom="margin">
                <wp:align>center</wp:align>
              </wp:positionH>
              <wp:positionV relativeFrom="paragraph">
                <wp:posOffset>0</wp:posOffset>
              </wp:positionV>
              <wp:extent cx="114300" cy="131559"/>
              <wp:effectExtent l="0" t="0" r="0" b="0"/>
              <wp:wrapNone/>
              <wp:docPr id="7" name="文本框 73"/>
              <wp:cNvGraphicFramePr>
                <a:graphicFrameLocks noChangeAspect="0"/>
              </wp:cNvGraphicFramePr>
              <a:graphic>
                <a:graphicData uri="http://schemas.microsoft.com/office/word/2010/wordprocessingShape">
                  <wps:wsp>
                    <wps:cNvSpPr/>
                    <wps:spPr>
                      <a:xfrm rot="0">
                        <a:off x="0" y="0"/>
                        <a:ext cx="114300" cy="131559"/>
                      </a:xfrm>
                      <a:prstGeom prst="rect"/>
                      <a:noFill/>
                      <a:ln w="6350" cmpd="sng" cap="flat">
                        <a:noFill/>
                        <a:prstDash val="solid"/>
                        <a:round/>
                      </a:ln>
                    </wps:spPr>
                    <wps:txbx id="8">
                      <w:txbxContent>
                        <w:p>
                          <w:pPr>
                            <w:pStyle w:val="31"/>
                            <w:tabs>
                              <w:tab w:val="center" w:pos="4153"/>
                              <w:tab w:val="right" w:pos="8306"/>
                            </w:tabs>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type="#_x0000_t202" id="文本框 73 9" o:spid="_x0000_s9" filled="f" stroked="f" strokeweight="0.5pt" style="position:absolute;margin-left:0.0pt;margin-top:0.0pt;width:9.0pt;height:10.359035pt;z-index:86;mso-position-horizontal:center;mso-position-horizontal-relative:margin;mso-position-vertical:absolute;mso-wrap-distance-left:8.999863pt;mso-wrap-distance-right:8.999863pt;mso-wrap-style:none;">
              <v:stroke color="#000000"/>
              <v:textbox id="881" inset="0mm,0mm,0mm,0mm" o:insetmode="custom" style="layout-flow:horizontal;v-text-anchor:top;mso-fit-shape-to-text:t;">
                <w:txbxContent>
                  <w:p>
                    <w:pPr>
                      <w:pStyle w:val="31"/>
                      <w:tabs>
                        <w:tab w:val="center" w:pos="4153"/>
                        <w:tab w:val="right" w:pos="8306"/>
                      </w:tabs>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0" w:color="auto"/>
      </w:pBdr>
      <w:tabs>
        <w:tab w:val="center" w:pos="4153"/>
        <w:tab w:val="right" w:pos="8306"/>
      </w:tabs>
    </w:pPr>
  </w:p>
</w:hdr>
</file>

<file path=word/header2.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0" w:color="auto"/>
      </w:pBdr>
      <w:tabs>
        <w:tab w:val="center" w:pos="4153"/>
        <w:tab w:val="right" w:pos="8306"/>
      </w:tabs>
    </w:pPr>
  </w:p>
</w:hdr>
</file>

<file path=word/header3.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0" w:color="auto"/>
      </w:pBdr>
      <w:tabs>
        <w:tab w:val="center" w:pos="4153"/>
        <w:tab w:val="right" w:pos="8306"/>
      </w:tabs>
      <w:snapToGrid/>
      <w:jc w:val="both"/>
      <w:rPr>
        <w:rFonts w:hint="eastAsia"/>
      </w:rPr>
    </w:pPr>
    <w:r>
      <w:rPr>
        <w:rFonts w:hint="eastAsia"/>
      </w:rPr>
      <w:t xml:space="preserve">  </w:t>
    </w:r>
  </w:p>
</w:hdr>
</file>

<file path=word/header4.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0" w:color="auto"/>
      </w:pBdr>
      <w:tabs>
        <w:tab w:val="center" w:pos="4153"/>
        <w:tab w:val="right" w:pos="8306"/>
      </w:tabs>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0" w:color="auto"/>
      </w:pBdr>
      <w:tabs>
        <w:tab w:val="center" w:pos="4153"/>
        <w:tab w:val="right" w:pos="8306"/>
      </w:tabs>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0" w:color="auto"/>
      </w:pBdr>
      <w:tabs>
        <w:tab w:val="center" w:pos="4153"/>
        <w:tab w:val="right" w:pos="8306"/>
      </w:tabs>
      <w:jc w:val="both"/>
      <w:rPr>
        <w:rFonts w:hint="eastAsia"/>
      </w:rPr>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61F578E8"/>
    <w:multiLevelType w:val="singleLevel"/>
    <w:tmpl w:val="61F578E8"/>
    <w:lvl w:ilvl="0">
      <w:start w:val="1"/>
      <w:numFmt w:val="chineseCounting"/>
      <w:lvlRestart w:val="0"/>
      <w:suff w:val="nothing"/>
      <w:lvlText w:val="（%1）"/>
      <w:lvlJc w:val="left"/>
      <w:pPr>
        <w:ind w:left="0" w:hanging="0"/>
      </w:pPr>
      <w:rPr>
        <w:rFonts w:hint="eastAsia"/>
      </w:rPr>
    </w:lvl>
  </w:abstractNum>
  <w:abstractNum w:abstractNumId="1">
    <w:nsid w:val="2852185E"/>
    <w:multiLevelType w:val="singleLevel"/>
    <w:tmpl w:val="2852185E"/>
    <w:lvl w:ilvl="0">
      <w:start w:val="1"/>
      <w:numFmt w:val="decimal"/>
      <w:lvlRestart w:val="0"/>
      <w:suff w:val="nothing"/>
      <w:lvlText w:val="（%1）"/>
      <w:lvlJc w:val="left"/>
      <w:pPr>
        <w:ind w:left="0" w:hanging="0"/>
      </w:pPr>
    </w:lvl>
  </w:abstractNum>
  <w:abstractNum w:abstractNumId="2">
    <w:nsid w:val="CE0BD005"/>
    <w:multiLevelType w:val="singleLevel"/>
    <w:tmpl w:val="CE0BD005"/>
    <w:lvl w:ilvl="0">
      <w:start w:val="1"/>
      <w:numFmt w:val="decimal"/>
      <w:lvlRestart w:val="0"/>
      <w:suff w:val="nothing"/>
      <w:lvlText w:val="%1）"/>
      <w:lvlJc w:val="left"/>
      <w:pPr>
        <w:ind w:left="0" w:hanging="0"/>
      </w:pPr>
    </w:lvl>
  </w:abstractNum>
  <w:abstractNum w:abstractNumId="3">
    <w:nsid w:val="DD359D03"/>
    <w:multiLevelType w:val="singleLevel"/>
    <w:tmpl w:val="DD359D03"/>
    <w:lvl w:ilvl="0">
      <w:start w:val="1"/>
      <w:numFmt w:val="chineseCounting"/>
      <w:lvlRestart w:val="0"/>
      <w:suff w:val="nothing"/>
      <w:lvlText w:val="（%1）"/>
      <w:lvlJc w:val="left"/>
      <w:pPr>
        <w:ind w:left="0" w:hanging="0"/>
      </w:pPr>
      <w:rPr>
        <w:rFonts w:hint="eastAsia"/>
      </w:rPr>
    </w:lvl>
  </w:abstractNum>
  <w:abstractNum w:abstractNumId="4">
    <w:nsid w:val="EFEAA6C9"/>
    <w:multiLevelType w:val="singleLevel"/>
    <w:tmpl w:val="EFEAA6C9"/>
    <w:lvl w:ilvl="0">
      <w:start w:val="1"/>
      <w:numFmt w:val="decimal"/>
      <w:lvlRestart w:val="0"/>
      <w:suff w:val="nothing"/>
      <w:lvlText w:val="%1、"/>
      <w:lvlJc w:val="left"/>
      <w:pPr>
        <w:ind w:left="0" w:hanging="0"/>
      </w:pPr>
    </w:lvl>
  </w:abstractNum>
  <w:abstractNum w:abstractNumId="5">
    <w:nsid w:val="9D0B4F46"/>
    <w:multiLevelType w:val="singleLevel"/>
    <w:tmpl w:val="9D0B4F46"/>
    <w:lvl w:ilvl="0">
      <w:start w:val="1"/>
      <w:numFmt w:val="decimal"/>
      <w:lvlRestart w:val="0"/>
      <w:suff w:val="nothing"/>
      <w:lvlText w:val="%1、"/>
      <w:lvlJc w:val="left"/>
      <w:pPr>
        <w:ind w:left="0" w:hanging="0"/>
      </w:pPr>
    </w:lvl>
  </w:abstractNum>
  <w:abstractNum w:abstractNumId="6">
    <w:nsid w:val="F19676DF"/>
    <w:multiLevelType w:val="singleLevel"/>
    <w:tmpl w:val="F19676DF"/>
    <w:lvl w:ilvl="0">
      <w:start w:val="1"/>
      <w:numFmt w:val="decimal"/>
      <w:lvlRestart w:val="0"/>
      <w:suff w:val="nothing"/>
      <w:lvlText w:val="（%1）"/>
      <w:lvlJc w:val="left"/>
      <w:pPr>
        <w:ind w:left="0" w:hanging="0"/>
      </w:pPr>
    </w:lvl>
  </w:abstractNum>
  <w:abstractNum w:abstractNumId="7">
    <w:nsid w:val="FA39C55C"/>
    <w:multiLevelType w:val="singleLevel"/>
    <w:tmpl w:val="FA39C55C"/>
    <w:lvl w:ilvl="0">
      <w:start w:val="1"/>
      <w:numFmt w:val="decimal"/>
      <w:lvlRestart w:val="0"/>
      <w:suff w:val="nothing"/>
      <w:lvlText w:val="（%1）"/>
      <w:lvlJc w:val="left"/>
      <w:pPr>
        <w:ind w:left="0" w:hanging="0"/>
      </w:pPr>
    </w:lvl>
  </w:abstractNum>
  <w:abstractNum w:abstractNumId="8">
    <w:nsid w:val="9C6D82D0"/>
    <w:multiLevelType w:val="singleLevel"/>
    <w:tmpl w:val="9C6D82D0"/>
    <w:lvl w:ilvl="0">
      <w:start w:val="1"/>
      <w:numFmt w:val="decimal"/>
      <w:lvlRestart w:val="0"/>
      <w:suff w:val="nothing"/>
      <w:lvlText w:val="%1、"/>
      <w:lvlJc w:val="left"/>
      <w:pPr>
        <w:ind w:left="0" w:hanging="0"/>
      </w:pPr>
    </w:lvl>
  </w:abstractNum>
  <w:abstractNum w:abstractNumId="9">
    <w:nsid w:val="50A3A9AF"/>
    <w:multiLevelType w:val="singleLevel"/>
    <w:tmpl w:val="50A3A9AF"/>
    <w:lvl w:ilvl="0">
      <w:start w:val="1"/>
      <w:numFmt w:val="decimal"/>
      <w:lvlRestart w:val="0"/>
      <w:suff w:val="nothing"/>
      <w:lvlText w:val="%1、"/>
      <w:lvlJc w:val="left"/>
      <w:pPr>
        <w:ind w:left="0" w:hanging="0"/>
      </w:pPr>
    </w:lvl>
  </w:abstractNum>
  <w:abstractNum w:abstractNumId="10">
    <w:nsid w:val="20B9A5EC"/>
    <w:multiLevelType w:val="singleLevel"/>
    <w:tmpl w:val="20B9A5EC"/>
    <w:lvl w:ilvl="0">
      <w:start w:val="1"/>
      <w:numFmt w:val="decimal"/>
      <w:lvlRestart w:val="0"/>
      <w:suff w:val="nothing"/>
      <w:lvlText w:val="%1、"/>
      <w:lvlJc w:val="left"/>
      <w:pPr>
        <w:ind w:left="0" w:hanging="0"/>
      </w:pPr>
    </w:lvl>
  </w:abstractNum>
  <w:abstractNum w:abstractNumId="11">
    <w:nsid w:val="C23F3BE6"/>
    <w:multiLevelType w:val="singleLevel"/>
    <w:tmpl w:val="C23F3BE6"/>
    <w:lvl w:ilvl="0">
      <w:start w:val="1"/>
      <w:numFmt w:val="decimal"/>
      <w:lvlRestart w:val="0"/>
      <w:suff w:val="nothing"/>
      <w:lvlText w:val="%1、"/>
      <w:lvlJc w:val="left"/>
      <w:pPr>
        <w:ind w:left="0" w:hanging="0"/>
      </w:pPr>
    </w:lvl>
  </w:abstractNum>
  <w:abstractNum w:abstractNumId="12">
    <w:nsid w:val="E35E06C2"/>
    <w:multiLevelType w:val="singleLevel"/>
    <w:tmpl w:val="E35E06C2"/>
    <w:lvl w:ilvl="0">
      <w:start w:val="1"/>
      <w:numFmt w:val="decimal"/>
      <w:lvlRestart w:val="0"/>
      <w:suff w:val="nothing"/>
      <w:lvlText w:val="%1、"/>
      <w:lvlJc w:val="left"/>
      <w:pPr>
        <w:ind w:left="0" w:hanging="0"/>
      </w:pPr>
    </w:lvl>
  </w:abstractNum>
  <w:abstractNum w:abstractNumId="13">
    <w:nsid w:val="3EDF0B71"/>
    <w:multiLevelType w:val="singleLevel"/>
    <w:tmpl w:val="3EDF0B71"/>
    <w:lvl w:ilvl="0">
      <w:start w:val="1"/>
      <w:numFmt w:val="decimal"/>
      <w:lvlRestart w:val="0"/>
      <w:suff w:val="nothing"/>
      <w:lvlText w:val="%1、"/>
      <w:lvlJc w:val="left"/>
      <w:pPr>
        <w:ind w:left="0" w:hanging="0"/>
      </w:pPr>
    </w:lvl>
  </w:abstractNum>
  <w:abstractNum w:abstractNumId="14">
    <w:nsid w:val="C8253837"/>
    <w:multiLevelType w:val="singleLevel"/>
    <w:tmpl w:val="C8253837"/>
    <w:lvl w:ilvl="0">
      <w:start w:val="1"/>
      <w:numFmt w:val="decimal"/>
      <w:lvlRestart w:val="0"/>
      <w:suff w:val="nothing"/>
      <w:lvlText w:val="%1、"/>
      <w:lvlJc w:val="left"/>
      <w:pPr>
        <w:ind w:left="0" w:hanging="0"/>
      </w:pPr>
    </w:lvl>
  </w:abstractNum>
  <w:abstractNum w:abstractNumId="15">
    <w:nsid w:val="1DC6A38D"/>
    <w:multiLevelType w:val="singleLevel"/>
    <w:tmpl w:val="1DC6A38D"/>
    <w:lvl w:ilvl="0">
      <w:start w:val="1"/>
      <w:numFmt w:val="decimal"/>
      <w:lvlRestart w:val="0"/>
      <w:suff w:val="nothing"/>
      <w:lvlText w:val="%1、"/>
      <w:lvlJc w:val="left"/>
      <w:pPr>
        <w:ind w:left="0" w:hanging="0"/>
      </w:pPr>
    </w:lvl>
  </w:abstractNum>
  <w:abstractNum w:abstractNumId="16">
    <w:nsid w:val="72451BBC"/>
    <w:multiLevelType w:val="singleLevel"/>
    <w:tmpl w:val="72451BBC"/>
    <w:lvl w:ilvl="0">
      <w:start w:val="1"/>
      <w:numFmt w:val="decimal"/>
      <w:lvlRestart w:val="0"/>
      <w:suff w:val="nothing"/>
      <w:lvlText w:val="（%1）"/>
      <w:lvlJc w:val="left"/>
      <w:pPr>
        <w:ind w:left="0" w:hanging="0"/>
      </w:pPr>
    </w:lvl>
  </w:abstractNum>
  <w:abstractNum w:abstractNumId="17">
    <w:nsid w:val="DBE3E66F"/>
    <w:multiLevelType w:val="singleLevel"/>
    <w:tmpl w:val="DBE3E66F"/>
    <w:lvl w:ilvl="0">
      <w:start w:val="1"/>
      <w:numFmt w:val="decimal"/>
      <w:lvlRestart w:val="0"/>
      <w:suff w:val="nothing"/>
      <w:lvlText w:val="%1、"/>
      <w:lvlJc w:val="left"/>
      <w:pPr>
        <w:ind w:left="0" w:hanging="0"/>
      </w:pPr>
    </w:lvl>
  </w:abstractNum>
  <w:abstractNum w:abstractNumId="18">
    <w:nsid w:val="0CA34EC9"/>
    <w:multiLevelType w:val="singleLevel"/>
    <w:tmpl w:val="0CA34EC9"/>
    <w:lvl w:ilvl="0">
      <w:start w:val="1"/>
      <w:numFmt w:val="decimal"/>
      <w:lvlRestart w:val="0"/>
      <w:suff w:val="nothing"/>
      <w:lvlText w:val="%1、"/>
      <w:lvlJc w:val="left"/>
      <w:pPr>
        <w:ind w:left="0" w:hanging="0"/>
      </w:pPr>
    </w:lvl>
  </w:abstractNum>
  <w:abstractNum w:abstractNumId="19">
    <w:nsid w:val="2FB5EC7F"/>
    <w:multiLevelType w:val="singleLevel"/>
    <w:tmpl w:val="2FB5EC7F"/>
    <w:lvl w:ilvl="0">
      <w:start w:val="1"/>
      <w:numFmt w:val="decimal"/>
      <w:lvlRestart w:val="0"/>
      <w:suff w:val="nothing"/>
      <w:lvlText w:val="%1、"/>
      <w:lvlJc w:val="left"/>
      <w:pPr>
        <w:ind w:left="0" w:hanging="0"/>
      </w:pPr>
    </w:lvl>
  </w:abstractNum>
  <w:abstractNum w:abstractNumId="20">
    <w:nsid w:val="A9150E08"/>
    <w:multiLevelType w:val="singleLevel"/>
    <w:tmpl w:val="A9150E08"/>
    <w:lvl w:ilvl="0">
      <w:start w:val="1"/>
      <w:numFmt w:val="decimal"/>
      <w:lvlRestart w:val="0"/>
      <w:suff w:val="nothing"/>
      <w:lvlText w:val="（%1）"/>
      <w:lvlJc w:val="left"/>
      <w:pPr>
        <w:ind w:left="0" w:hanging="0"/>
      </w:pPr>
    </w:lvl>
  </w:abstractNum>
  <w:abstractNum w:abstractNumId="21">
    <w:nsid w:val="743DC11D"/>
    <w:multiLevelType w:val="singleLevel"/>
    <w:tmpl w:val="743DC11D"/>
    <w:lvl w:ilvl="0">
      <w:start w:val="1"/>
      <w:numFmt w:val="decimal"/>
      <w:lvlRestart w:val="0"/>
      <w:suff w:val="nothing"/>
      <w:lvlText w:val="%1、"/>
      <w:lvlJc w:val="left"/>
      <w:pPr>
        <w:ind w:left="0" w:hanging="0"/>
      </w:pPr>
    </w:lvl>
  </w:abstractNum>
  <w:abstractNum w:abstractNumId="22">
    <w:nsid w:val="7970C412"/>
    <w:multiLevelType w:val="singleLevel"/>
    <w:tmpl w:val="7970C412"/>
    <w:lvl w:ilvl="0">
      <w:start w:val="1"/>
      <w:numFmt w:val="decimal"/>
      <w:lvlRestart w:val="0"/>
      <w:suff w:val="nothing"/>
      <w:lvlText w:val="%1、"/>
      <w:lvlJc w:val="left"/>
      <w:pPr>
        <w:ind w:left="0" w:hanging="0"/>
      </w:pPr>
    </w:lvl>
  </w:abstractNum>
  <w:abstractNum w:abstractNumId="23">
    <w:nsid w:val="C374D235"/>
    <w:multiLevelType w:val="singleLevel"/>
    <w:tmpl w:val="C374D235"/>
    <w:lvl w:ilvl="0">
      <w:start w:val="1"/>
      <w:numFmt w:val="decimal"/>
      <w:lvlRestart w:val="0"/>
      <w:suff w:val="nothing"/>
      <w:lvlText w:val="%1、"/>
      <w:lvlJc w:val="left"/>
      <w:pPr>
        <w:ind w:left="0" w:hanging="0"/>
      </w:pPr>
    </w:lvl>
  </w:abstractNum>
  <w:abstractNum w:abstractNumId="24">
    <w:nsid w:val="46284790"/>
    <w:multiLevelType w:val="singleLevel"/>
    <w:tmpl w:val="46284790"/>
    <w:lvl w:ilvl="0">
      <w:start w:val="1"/>
      <w:numFmt w:val="decimal"/>
      <w:lvlRestart w:val="0"/>
      <w:suff w:val="nothing"/>
      <w:lvlText w:val="（%1）"/>
      <w:lvlJc w:val="left"/>
      <w:pPr>
        <w:ind w:left="0" w:hanging="0"/>
      </w:pPr>
    </w:lvl>
  </w:abstractNum>
  <w:abstractNum w:abstractNumId="25">
    <w:nsid w:val="AC4A9052"/>
    <w:multiLevelType w:val="singleLevel"/>
    <w:tmpl w:val="AC4A9052"/>
    <w:lvl w:ilvl="0">
      <w:start w:val="1"/>
      <w:numFmt w:val="decimal"/>
      <w:lvlRestart w:val="0"/>
      <w:suff w:val="nothing"/>
      <w:lvlText w:val="%1、"/>
      <w:lvlJc w:val="left"/>
      <w:pPr>
        <w:ind w:left="0" w:hanging="0"/>
      </w:pPr>
    </w:lvl>
  </w:abstractNum>
  <w:abstractNum w:abstractNumId="26">
    <w:nsid w:val="5B8DCCE5"/>
    <w:multiLevelType w:val="singleLevel"/>
    <w:tmpl w:val="5B8DCCE5"/>
    <w:lvl w:ilvl="0">
      <w:start w:val="1"/>
      <w:numFmt w:val="chineseCounting"/>
      <w:lvlRestart w:val="0"/>
      <w:suff w:val="nothing"/>
      <w:lvlText w:val="（%1）"/>
      <w:lvlJc w:val="left"/>
      <w:pPr>
        <w:ind w:left="0" w:hanging="0"/>
      </w:pPr>
      <w:rPr>
        <w:rFonts w:hint="eastAsia"/>
      </w:rPr>
    </w:lvl>
  </w:abstractNum>
  <w:abstractNum w:abstractNumId="27">
    <w:nsid w:val="AC3AD894"/>
    <w:multiLevelType w:val="singleLevel"/>
    <w:tmpl w:val="AC3AD894"/>
    <w:lvl w:ilvl="0">
      <w:start w:val="1"/>
      <w:numFmt w:val="decimal"/>
      <w:lvlRestart w:val="0"/>
      <w:suff w:val="nothing"/>
      <w:lvlText w:val="%1、"/>
      <w:lvlJc w:val="left"/>
      <w:pPr>
        <w:ind w:left="0" w:hanging="0"/>
      </w:pPr>
    </w:lvl>
  </w:abstractNum>
  <w:abstractNum w:abstractNumId="28">
    <w:nsid w:val="9C007066"/>
    <w:multiLevelType w:val="singleLevel"/>
    <w:tmpl w:val="9C007066"/>
    <w:lvl w:ilvl="0">
      <w:start w:val="1"/>
      <w:numFmt w:val="decimal"/>
      <w:lvlRestart w:val="0"/>
      <w:suff w:val="nothing"/>
      <w:lvlText w:val="%1、"/>
      <w:lvlJc w:val="left"/>
      <w:pPr>
        <w:ind w:left="0" w:hanging="0"/>
      </w:pPr>
    </w:lvl>
  </w:abstractNum>
  <w:abstractNum w:abstractNumId="29">
    <w:nsid w:val="85931908"/>
    <w:multiLevelType w:val="singleLevel"/>
    <w:tmpl w:val="85931908"/>
    <w:lvl w:ilvl="0">
      <w:start w:val="1"/>
      <w:numFmt w:val="decimal"/>
      <w:lvlRestart w:val="0"/>
      <w:suff w:val="nothing"/>
      <w:lvlText w:val="%1、"/>
      <w:lvlJc w:val="left"/>
      <w:pPr>
        <w:ind w:left="0" w:hanging="0"/>
      </w:pPr>
    </w:lvl>
  </w:abstractNum>
  <w:abstractNum w:abstractNumId="30">
    <w:nsid w:val="AA54A175"/>
    <w:multiLevelType w:val="singleLevel"/>
    <w:tmpl w:val="AA54A175"/>
    <w:lvl w:ilvl="0">
      <w:start w:val="1"/>
      <w:numFmt w:val="decimal"/>
      <w:lvlRestart w:val="0"/>
      <w:suff w:val="nothing"/>
      <w:lvlText w:val="（%1）"/>
      <w:lvlJc w:val="left"/>
      <w:pPr>
        <w:ind w:left="0" w:hanging="0"/>
      </w:pPr>
    </w:lvl>
  </w:abstractNum>
  <w:abstractNum w:abstractNumId="31">
    <w:nsid w:val="2DB8985C"/>
    <w:multiLevelType w:val="singleLevel"/>
    <w:tmpl w:val="2DB8985C"/>
    <w:lvl w:ilvl="0">
      <w:start w:val="1"/>
      <w:numFmt w:val="decimal"/>
      <w:lvlRestart w:val="0"/>
      <w:suff w:val="nothing"/>
      <w:lvlText w:val="%1、"/>
      <w:lvlJc w:val="left"/>
      <w:pPr>
        <w:ind w:left="0" w:hanging="0"/>
      </w:pPr>
    </w:lvl>
  </w:abstractNum>
  <w:abstractNum w:abstractNumId="32">
    <w:nsid w:val="9D985F0C"/>
    <w:multiLevelType w:val="singleLevel"/>
    <w:tmpl w:val="9D985F0C"/>
    <w:lvl w:ilvl="0">
      <w:start w:val="1"/>
      <w:numFmt w:val="chineseCounting"/>
      <w:lvlRestart w:val="0"/>
      <w:suff w:val="nothing"/>
      <w:lvlText w:val="%1、"/>
      <w:lvlJc w:val="left"/>
      <w:pPr>
        <w:ind w:left="0" w:hanging="0"/>
      </w:pPr>
      <w:rPr>
        <w:rFonts w:hint="eastAsia"/>
      </w:rPr>
    </w:lvl>
  </w:abstractNum>
  <w:abstractNum w:abstractNumId="33">
    <w:nsid w:val="39456CC2"/>
    <w:multiLevelType w:val="singleLevel"/>
    <w:tmpl w:val="39456CC2"/>
    <w:lvl w:ilvl="0">
      <w:start w:val="1"/>
      <w:numFmt w:val="chineseCounting"/>
      <w:lvlRestart w:val="0"/>
      <w:suff w:val="nothing"/>
      <w:lvlText w:val="（%1）"/>
      <w:lvlJc w:val="left"/>
      <w:pPr>
        <w:ind w:left="0" w:hanging="0"/>
      </w:pPr>
      <w:rPr>
        <w:rFonts w:hint="eastAsia"/>
      </w:rPr>
    </w:lvl>
  </w:abstractNum>
  <w:abstractNum w:abstractNumId="34">
    <w:nsid w:val="D988FD5E"/>
    <w:multiLevelType w:val="singleLevel"/>
    <w:tmpl w:val="D988FD5E"/>
    <w:lvl w:ilvl="0">
      <w:start w:val="1"/>
      <w:numFmt w:val="decimal"/>
      <w:lvlRestart w:val="0"/>
      <w:suff w:val="nothing"/>
      <w:lvlText w:val="（%1）"/>
      <w:lvlJc w:val="left"/>
      <w:pPr>
        <w:ind w:left="0" w:hanging="0"/>
      </w:pPr>
    </w:lvl>
  </w:abstractNum>
  <w:abstractNum w:abstractNumId="35">
    <w:nsid w:val="9DB5ACCD"/>
    <w:multiLevelType w:val="singleLevel"/>
    <w:tmpl w:val="9DB5ACCD"/>
    <w:lvl w:ilvl="0">
      <w:start w:val="1"/>
      <w:numFmt w:val="decimal"/>
      <w:lvlRestart w:val="0"/>
      <w:suff w:val="nothing"/>
      <w:lvlText w:val="%1、"/>
      <w:lvlJc w:val="left"/>
      <w:pPr>
        <w:ind w:left="0" w:hanging="0"/>
      </w:pPr>
    </w:lvl>
  </w:abstractNum>
  <w:abstractNum w:abstractNumId="36">
    <w:nsid w:val="AD5E97B3"/>
    <w:multiLevelType w:val="singleLevel"/>
    <w:tmpl w:val="AD5E97B3"/>
    <w:lvl w:ilvl="0">
      <w:start w:val="1"/>
      <w:numFmt w:val="decimal"/>
      <w:lvlRestart w:val="0"/>
      <w:suff w:val="nothing"/>
      <w:lvlText w:val="%1）"/>
      <w:lvlJc w:val="left"/>
      <w:pPr>
        <w:ind w:left="0" w:hanging="0"/>
      </w:pPr>
      <w:rPr>
        <w:rFonts w:hint="default"/>
        <w:sz w:val="24"/>
        <w:szCs w:val="24"/>
      </w:rPr>
    </w:lvl>
  </w:abstractNum>
  <w:abstractNum w:abstractNumId="37">
    <w:nsid w:val="9F869FA5"/>
    <w:multiLevelType w:val="singleLevel"/>
    <w:tmpl w:val="9F869FA5"/>
    <w:lvl w:ilvl="0">
      <w:start w:val="1"/>
      <w:numFmt w:val="chineseCounting"/>
      <w:lvlRestart w:val="0"/>
      <w:suff w:val="nothing"/>
      <w:lvlText w:val="%1、"/>
      <w:lvlJc w:val="left"/>
      <w:pPr>
        <w:ind w:left="0" w:hanging="0"/>
      </w:pPr>
      <w:rPr>
        <w:rFonts w:hint="eastAsia"/>
      </w:rPr>
    </w:lvl>
  </w:abstractNum>
  <w:abstractNum w:abstractNumId="38">
    <w:nsid w:val="C996541B"/>
    <w:multiLevelType w:val="singleLevel"/>
    <w:tmpl w:val="C996541B"/>
    <w:lvl w:ilvl="0">
      <w:start w:val="1"/>
      <w:numFmt w:val="decimal"/>
      <w:lvlRestart w:val="0"/>
      <w:suff w:val="nothing"/>
      <w:lvlText w:val="%1、"/>
      <w:lvlJc w:val="left"/>
      <w:pPr>
        <w:ind w:left="0" w:hanging="0"/>
      </w:pPr>
    </w:lvl>
  </w:abstractNum>
  <w:abstractNum w:abstractNumId="39">
    <w:nsid w:val="1A9E5081"/>
    <w:multiLevelType w:val="singleLevel"/>
    <w:tmpl w:val="1A9E5081"/>
    <w:lvl w:ilvl="0">
      <w:start w:val="1"/>
      <w:numFmt w:val="decimal"/>
      <w:lvlRestart w:val="0"/>
      <w:suff w:val="nothing"/>
      <w:lvlText w:val="（%1）"/>
      <w:lvlJc w:val="left"/>
      <w:pPr>
        <w:ind w:left="0" w:hanging="0"/>
      </w:pPr>
    </w:lvl>
  </w:abstractNum>
  <w:abstractNum w:abstractNumId="40">
    <w:nsid w:val="03523BFF"/>
    <w:multiLevelType w:val="singleLevel"/>
    <w:tmpl w:val="03523BFF"/>
    <w:lvl w:ilvl="0">
      <w:start w:val="1"/>
      <w:numFmt w:val="decimal"/>
      <w:lvlRestart w:val="0"/>
      <w:suff w:val="nothing"/>
      <w:lvlText w:val="%1、"/>
      <w:lvlJc w:val="left"/>
      <w:pPr>
        <w:ind w:left="0" w:hanging="0"/>
      </w:pPr>
    </w:lvl>
  </w:abstractNum>
  <w:abstractNum w:abstractNumId="41">
    <w:nsid w:val="77FFDD47"/>
    <w:multiLevelType w:val="singleLevel"/>
    <w:tmpl w:val="77FFDD47"/>
    <w:lvl w:ilvl="0">
      <w:start w:val="1"/>
      <w:numFmt w:val="decimal"/>
      <w:lvlRestart w:val="0"/>
      <w:suff w:val="nothing"/>
      <w:lvlText w:val="%1、"/>
      <w:lvlJc w:val="left"/>
      <w:pPr>
        <w:ind w:left="0" w:hanging="0"/>
      </w:pPr>
    </w:lvl>
  </w:abstractNum>
  <w:abstractNum w:abstractNumId="42">
    <w:nsid w:val="2849F5C3"/>
    <w:multiLevelType w:val="singleLevel"/>
    <w:tmpl w:val="2849F5C3"/>
    <w:lvl w:ilvl="0">
      <w:start w:val="1"/>
      <w:numFmt w:val="decimal"/>
      <w:lvlRestart w:val="0"/>
      <w:suff w:val="nothing"/>
      <w:lvlText w:val="%1、"/>
      <w:lvlJc w:val="left"/>
      <w:pPr>
        <w:ind w:left="0" w:hanging="0"/>
      </w:pPr>
    </w:lvl>
  </w:abstractNum>
  <w:abstractNum w:abstractNumId="43">
    <w:nsid w:val="B6402049"/>
    <w:multiLevelType w:val="singleLevel"/>
    <w:tmpl w:val="B6402049"/>
    <w:lvl w:ilvl="0">
      <w:start w:val="1"/>
      <w:numFmt w:val="chineseCounting"/>
      <w:lvlRestart w:val="0"/>
      <w:suff w:val="nothing"/>
      <w:lvlText w:val="（%1）"/>
      <w:lvlJc w:val="left"/>
      <w:pPr>
        <w:ind w:left="0" w:hanging="0"/>
      </w:pPr>
      <w:rPr>
        <w:rFonts w:hint="eastAsia"/>
      </w:rPr>
    </w:lvl>
  </w:abstractNum>
  <w:abstractNum w:abstractNumId="44">
    <w:nsid w:val="ADCC212B"/>
    <w:multiLevelType w:val="singleLevel"/>
    <w:tmpl w:val="ADCC212B"/>
    <w:lvl w:ilvl="0">
      <w:start w:val="1"/>
      <w:numFmt w:val="decimal"/>
      <w:lvlRestart w:val="0"/>
      <w:suff w:val="nothing"/>
      <w:lvlText w:val="%1、"/>
      <w:lvlJc w:val="left"/>
      <w:pPr>
        <w:ind w:left="0" w:hanging="0"/>
      </w:pPr>
    </w:lvl>
  </w:abstractNum>
  <w:abstractNum w:abstractNumId="45">
    <w:nsid w:val="52A93480"/>
    <w:multiLevelType w:val="singleLevel"/>
    <w:tmpl w:val="52A93480"/>
    <w:lvl w:ilvl="0">
      <w:start w:val="1"/>
      <w:numFmt w:val="chineseCounting"/>
      <w:lvlRestart w:val="0"/>
      <w:suff w:val="nothing"/>
      <w:lvlText w:val="%1、"/>
      <w:lvlJc w:val="left"/>
      <w:pPr>
        <w:ind w:left="0" w:hanging="0"/>
      </w:pPr>
      <w:rPr>
        <w:rFonts w:hint="eastAsia"/>
      </w:rPr>
    </w:lvl>
  </w:abstractNum>
  <w:abstractNum w:abstractNumId="46">
    <w:nsid w:val="A1394EF4"/>
    <w:multiLevelType w:val="singleLevel"/>
    <w:tmpl w:val="A1394EF4"/>
    <w:lvl w:ilvl="0">
      <w:start w:val="1"/>
      <w:numFmt w:val="decimal"/>
      <w:lvlRestart w:val="0"/>
      <w:suff w:val="nothing"/>
      <w:lvlText w:val="%1、"/>
      <w:lvlJc w:val="left"/>
      <w:pPr>
        <w:ind w:left="0" w:hanging="0"/>
      </w:pPr>
    </w:lvl>
  </w:abstractNum>
  <w:abstractNum w:abstractNumId="47">
    <w:nsid w:val="891051DC"/>
    <w:multiLevelType w:val="singleLevel"/>
    <w:tmpl w:val="891051DC"/>
    <w:lvl w:ilvl="0">
      <w:start w:val="1"/>
      <w:numFmt w:val="decimal"/>
      <w:lvlRestart w:val="0"/>
      <w:suff w:val="nothing"/>
      <w:lvlText w:val="（%1）"/>
      <w:lvlJc w:val="left"/>
      <w:pPr>
        <w:ind w:left="0" w:hanging="0"/>
      </w:pPr>
    </w:lvl>
  </w:abstractNum>
  <w:abstractNum w:abstractNumId="48">
    <w:nsid w:val="C6E7735D"/>
    <w:multiLevelType w:val="singleLevel"/>
    <w:tmpl w:val="C6E7735D"/>
    <w:lvl w:ilvl="0">
      <w:start w:val="1"/>
      <w:numFmt w:val="decimal"/>
      <w:lvlRestart w:val="0"/>
      <w:suff w:val="nothing"/>
      <w:lvlText w:val="%1）"/>
      <w:lvlJc w:val="left"/>
      <w:pPr>
        <w:ind w:left="0" w:hanging="0"/>
      </w:pPr>
    </w:lvl>
  </w:abstractNum>
  <w:abstractNum w:abstractNumId="49">
    <w:nsid w:val="707F702E"/>
    <w:multiLevelType w:val="singleLevel"/>
    <w:tmpl w:val="707F702E"/>
    <w:lvl w:ilvl="0">
      <w:start w:val="1"/>
      <w:numFmt w:val="upperLetter"/>
      <w:lvlRestart w:val="0"/>
      <w:suff w:val="nothing"/>
      <w:lvlText w:val="%1、"/>
      <w:lvlJc w:val="left"/>
      <w:pPr>
        <w:ind w:left="0" w:hanging="0"/>
      </w:pPr>
    </w:lvl>
  </w:abstractNum>
  <w:abstractNum w:abstractNumId="50">
    <w:nsid w:val="0167E8AA"/>
    <w:multiLevelType w:val="singleLevel"/>
    <w:tmpl w:val="0167E8AA"/>
    <w:lvl w:ilvl="0">
      <w:start w:val="1"/>
      <w:numFmt w:val="decimal"/>
      <w:lvlRestart w:val="0"/>
      <w:suff w:val="nothing"/>
      <w:lvlText w:val="（%1）"/>
      <w:lvlJc w:val="left"/>
      <w:pPr>
        <w:ind w:left="0" w:hanging="0"/>
      </w:pPr>
    </w:lvl>
  </w:abstractNum>
  <w:abstractNum w:abstractNumId="51">
    <w:nsid w:val="DB0862EB"/>
    <w:multiLevelType w:val="singleLevel"/>
    <w:tmpl w:val="DB0862EB"/>
    <w:lvl w:ilvl="0">
      <w:start w:val="1"/>
      <w:numFmt w:val="decimal"/>
      <w:lvlRestart w:val="0"/>
      <w:suff w:val="nothing"/>
      <w:lvlText w:val="%1）"/>
      <w:lvlJc w:val="left"/>
      <w:pPr>
        <w:ind w:left="0" w:hanging="0"/>
      </w:pPr>
    </w:lvl>
  </w:abstractNum>
  <w:abstractNum w:abstractNumId="52">
    <w:nsid w:val="3EC2F084"/>
    <w:multiLevelType w:val="singleLevel"/>
    <w:tmpl w:val="3EC2F084"/>
    <w:lvl w:ilvl="0">
      <w:start w:val="1"/>
      <w:numFmt w:val="decimal"/>
      <w:lvlRestart w:val="0"/>
      <w:suff w:val="nothing"/>
      <w:lvlText w:val="%1）"/>
      <w:lvlJc w:val="left"/>
      <w:pPr>
        <w:ind w:left="0" w:hanging="0"/>
      </w:pPr>
    </w:lvl>
  </w:abstractNum>
  <w:abstractNum w:abstractNumId="53">
    <w:nsid w:val="0AEA7406"/>
    <w:multiLevelType w:val="singleLevel"/>
    <w:tmpl w:val="0AEA7406"/>
    <w:lvl w:ilvl="0">
      <w:start w:val="1"/>
      <w:numFmt w:val="decimal"/>
      <w:lvlRestart w:val="0"/>
      <w:suff w:val="nothing"/>
      <w:lvlText w:val="%1）"/>
      <w:lvlJc w:val="left"/>
      <w:pPr>
        <w:ind w:left="0" w:hanging="0"/>
      </w:pPr>
    </w:lvl>
  </w:abstractNum>
  <w:abstractNum w:abstractNumId="54">
    <w:nsid w:val="5A961364"/>
    <w:multiLevelType w:val="singleLevel"/>
    <w:tmpl w:val="5A961364"/>
    <w:lvl w:ilvl="0">
      <w:start w:val="1"/>
      <w:numFmt w:val="decimal"/>
      <w:lvlRestart w:val="0"/>
      <w:suff w:val="nothing"/>
      <w:lvlText w:val="（%1）"/>
      <w:lvlJc w:val="left"/>
      <w:pPr>
        <w:ind w:left="0" w:hanging="0"/>
      </w:pPr>
    </w:lvl>
  </w:abstractNum>
  <w:abstractNum w:abstractNumId="55">
    <w:nsid w:val="35E2ED27"/>
    <w:multiLevelType w:val="singleLevel"/>
    <w:tmpl w:val="35E2ED27"/>
    <w:lvl w:ilvl="0">
      <w:start w:val="1"/>
      <w:numFmt w:val="decimal"/>
      <w:lvlRestart w:val="0"/>
      <w:suff w:val="nothing"/>
      <w:lvlText w:val="（%1）"/>
      <w:lvlJc w:val="left"/>
      <w:pPr>
        <w:ind w:left="0" w:hanging="0"/>
      </w:pPr>
    </w:lvl>
  </w:abstractNum>
  <w:abstractNum w:abstractNumId="56">
    <w:nsid w:val="EDED75F6"/>
    <w:multiLevelType w:val="singleLevel"/>
    <w:tmpl w:val="EDED75F6"/>
    <w:lvl w:ilvl="0">
      <w:start w:val="1"/>
      <w:numFmt w:val="decimal"/>
      <w:lvlRestart w:val="0"/>
      <w:suff w:val="nothing"/>
      <w:lvlText w:val="%1）"/>
      <w:lvlJc w:val="left"/>
      <w:pPr>
        <w:ind w:left="0" w:hanging="0"/>
      </w:pPr>
    </w:lvl>
  </w:abstractNum>
  <w:abstractNum w:abstractNumId="57">
    <w:nsid w:val="A286047B"/>
    <w:multiLevelType w:val="singleLevel"/>
    <w:tmpl w:val="A286047B"/>
    <w:lvl w:ilvl="0">
      <w:start w:val="1"/>
      <w:numFmt w:val="decimal"/>
      <w:lvlRestart w:val="0"/>
      <w:suff w:val="nothing"/>
      <w:lvlText w:val="%1）"/>
      <w:lvlJc w:val="left"/>
      <w:pPr>
        <w:ind w:left="0" w:hanging="0"/>
      </w:pPr>
    </w:lvl>
  </w:abstractNum>
  <w:abstractNum w:abstractNumId="58">
    <w:nsid w:val="11EAD85D"/>
    <w:multiLevelType w:val="singleLevel"/>
    <w:tmpl w:val="11EAD85D"/>
    <w:lvl w:ilvl="0">
      <w:start w:val="1"/>
      <w:numFmt w:val="upperLetter"/>
      <w:lvlRestart w:val="0"/>
      <w:suff w:val="nothing"/>
      <w:lvlText w:val="%1、"/>
      <w:lvlJc w:val="left"/>
      <w:pPr>
        <w:ind w:left="0" w:hanging="0"/>
      </w:pPr>
    </w:lvl>
  </w:abstractNum>
  <w:abstractNum w:abstractNumId="59">
    <w:nsid w:val="861602D6"/>
    <w:multiLevelType w:val="singleLevel"/>
    <w:tmpl w:val="861602D6"/>
    <w:lvl w:ilvl="0">
      <w:start w:val="1"/>
      <w:numFmt w:val="upperLetter"/>
      <w:lvlRestart w:val="0"/>
      <w:suff w:val="nothing"/>
      <w:lvlText w:val="%1、"/>
      <w:lvlJc w:val="left"/>
      <w:pPr>
        <w:ind w:left="0" w:hanging="0"/>
      </w:pPr>
    </w:lvl>
  </w:abstractNum>
  <w:abstractNum w:abstractNumId="60">
    <w:nsid w:val="9F46C6D7"/>
    <w:multiLevelType w:val="singleLevel"/>
    <w:tmpl w:val="9F46C6D7"/>
    <w:lvl w:ilvl="0">
      <w:start w:val="1"/>
      <w:numFmt w:val="decimal"/>
      <w:lvlRestart w:val="0"/>
      <w:suff w:val="nothing"/>
      <w:lvlText w:val="（%1）"/>
      <w:lvlJc w:val="left"/>
      <w:pPr>
        <w:ind w:left="0" w:hanging="0"/>
      </w:pPr>
    </w:lvl>
  </w:abstractNum>
  <w:abstractNum w:abstractNumId="61">
    <w:nsid w:val="A238CCA6"/>
    <w:multiLevelType w:val="singleLevel"/>
    <w:tmpl w:val="A238CCA6"/>
    <w:lvl w:ilvl="0">
      <w:start w:val="1"/>
      <w:numFmt w:val="decimal"/>
      <w:lvlRestart w:val="0"/>
      <w:suff w:val="nothing"/>
      <w:lvlText w:val="%1）"/>
      <w:lvlJc w:val="left"/>
      <w:pPr>
        <w:ind w:left="0" w:hanging="0"/>
      </w:pPr>
    </w:lvl>
  </w:abstractNum>
  <w:abstractNum w:abstractNumId="62">
    <w:nsid w:val="89A03904"/>
    <w:multiLevelType w:val="singleLevel"/>
    <w:tmpl w:val="89A03904"/>
    <w:lvl w:ilvl="0">
      <w:start w:val="1"/>
      <w:numFmt w:val="decimal"/>
      <w:lvlRestart w:val="0"/>
      <w:suff w:val="nothing"/>
      <w:lvlText w:val="%1、"/>
      <w:lvlJc w:val="left"/>
      <w:pPr>
        <w:ind w:left="0" w:hanging="0"/>
      </w:pPr>
    </w:lvl>
  </w:abstractNum>
  <w:abstractNum w:abstractNumId="63">
    <w:nsid w:val="2B1CB4B4"/>
    <w:multiLevelType w:val="singleLevel"/>
    <w:tmpl w:val="2B1CB4B4"/>
    <w:lvl w:ilvl="0">
      <w:start w:val="1"/>
      <w:numFmt w:val="decimal"/>
      <w:lvlRestart w:val="0"/>
      <w:suff w:val="nothing"/>
      <w:lvlText w:val="%1）"/>
      <w:lvlJc w:val="left"/>
      <w:pPr>
        <w:ind w:left="0" w:hanging="0"/>
      </w:pPr>
    </w:lvl>
  </w:abstractNum>
  <w:abstractNum w:abstractNumId="64">
    <w:nsid w:val="B3954680"/>
    <w:multiLevelType w:val="singleLevel"/>
    <w:tmpl w:val="B3954680"/>
    <w:lvl w:ilvl="0">
      <w:start w:val="1"/>
      <w:numFmt w:val="decimal"/>
      <w:lvlRestart w:val="0"/>
      <w:suff w:val="nothing"/>
      <w:lvlText w:val="%1、"/>
      <w:lvlJc w:val="left"/>
      <w:pPr>
        <w:ind w:left="0" w:hanging="0"/>
      </w:pPr>
    </w:lvl>
  </w:abstractNum>
  <w:abstractNum w:abstractNumId="65">
    <w:nsid w:val="D7EEE5C4"/>
    <w:multiLevelType w:val="singleLevel"/>
    <w:tmpl w:val="D7EEE5C4"/>
    <w:lvl w:ilvl="0">
      <w:start w:val="1"/>
      <w:numFmt w:val="decimal"/>
      <w:lvlRestart w:val="0"/>
      <w:suff w:val="nothing"/>
      <w:lvlText w:val="（%1）"/>
      <w:lvlJc w:val="left"/>
      <w:pPr>
        <w:ind w:left="0" w:hanging="0"/>
      </w:pPr>
    </w:lvl>
  </w:abstractNum>
  <w:abstractNum w:abstractNumId="66">
    <w:nsid w:val="A6450AC5"/>
    <w:multiLevelType w:val="singleLevel"/>
    <w:tmpl w:val="A6450AC5"/>
    <w:lvl w:ilvl="0">
      <w:start w:val="1"/>
      <w:numFmt w:val="decimal"/>
      <w:lvlRestart w:val="0"/>
      <w:suff w:val="nothing"/>
      <w:lvlText w:val="（%1）"/>
      <w:lvlJc w:val="left"/>
      <w:pPr>
        <w:ind w:left="0" w:hanging="0"/>
      </w:pPr>
    </w:lvl>
  </w:abstractNum>
  <w:abstractNum w:abstractNumId="67">
    <w:nsid w:val="B6F3B86D"/>
    <w:multiLevelType w:val="singleLevel"/>
    <w:tmpl w:val="B6F3B86D"/>
    <w:lvl w:ilvl="0">
      <w:start w:val="1"/>
      <w:numFmt w:val="bullet"/>
      <w:lvlRestart w:val="0"/>
      <w:pStyle w:val="29"/>
      <w:lvlText w:val=""/>
      <w:lvlJc w:val="left"/>
      <w:pPr>
        <w:ind w:left="2040" w:hanging="360"/>
      </w:pPr>
      <w:rPr>
        <w:rFonts w:ascii="Wingdings" w:hAnsi="Wingdings" w:hint="default"/>
      </w:rPr>
    </w:lvl>
  </w:abstractNum>
  <w:abstractNum w:abstractNumId="68">
    <w:nsid w:val="58107342"/>
    <w:multiLevelType w:val="multilevel"/>
    <w:tmpl w:val="58107342"/>
    <w:lvl w:ilvl="0">
      <w:start w:val="1"/>
      <w:numFmt w:val="chineseCounting"/>
      <w:lvlRestart w:val="0"/>
      <w:suff w:val="space"/>
      <w:lvlText w:val="第%1章"/>
      <w:lvlJc w:val="center"/>
      <w:pPr>
        <w:ind w:left="0" w:hanging="0"/>
      </w:pPr>
      <w:rPr>
        <w:rFonts w:ascii="宋体" w:hAnsi="宋体" w:eastAsia="宋体" w:cs="宋体" w:hint="eastAsia"/>
      </w:rPr>
    </w:lvl>
    <w:lvl w:ilvl="1">
      <w:start w:val="1"/>
      <w:numFmt w:val="decimal"/>
      <w:isLgl/>
      <w:suff w:val="space"/>
      <w:lvlText w:val="%1.%2"/>
      <w:lvlJc w:val="left"/>
      <w:pPr>
        <w:ind w:left="0" w:hanging="0"/>
      </w:pPr>
      <w:rPr>
        <w:rFonts w:ascii="宋体" w:hAnsi="宋体" w:eastAsia="宋体" w:cs="宋体" w:hint="eastAsia"/>
        <w:b/>
        <w:bCs/>
        <w:sz w:val="30"/>
        <w:szCs w:val="30"/>
      </w:rPr>
    </w:lvl>
    <w:lvl w:ilvl="2">
      <w:start w:val="1"/>
      <w:numFmt w:val="decimal"/>
      <w:isLgl/>
      <w:suff w:val="space"/>
      <w:lvlText w:val="%1.%2.%3"/>
      <w:lvlJc w:val="left"/>
      <w:pPr>
        <w:ind w:left="0" w:hanging="0"/>
      </w:pPr>
      <w:rPr>
        <w:rFonts w:ascii="宋体" w:hAnsi="宋体" w:eastAsia="宋体" w:cs="宋体" w:hint="eastAsia"/>
        <w:b/>
        <w:bCs/>
        <w:sz w:val="28"/>
        <w:szCs w:val="28"/>
      </w:rPr>
    </w:lvl>
    <w:lvl w:ilvl="3">
      <w:start w:val="1"/>
      <w:numFmt w:val="decimal"/>
      <w:pStyle w:val="72"/>
      <w:isLgl/>
      <w:suff w:val="space"/>
      <w:lvlText w:val="%1.%2.%3.%4"/>
      <w:lvlJc w:val="left"/>
      <w:pPr>
        <w:ind w:left="0" w:hanging="0"/>
      </w:pPr>
      <w:rPr>
        <w:rFonts w:ascii="宋体" w:hAnsi="宋体" w:eastAsia="宋体" w:cs="宋体" w:hint="eastAsia"/>
        <w:b/>
        <w:bCs/>
        <w:sz w:val="24"/>
        <w:szCs w:val="24"/>
      </w:rPr>
    </w:lvl>
    <w:lvl w:ilvl="4">
      <w:start w:val="1"/>
      <w:numFmt w:val="decimal"/>
      <w:isLgl/>
      <w:suff w:val="space"/>
      <w:lvlText w:val="%1.%2.%3.%4.%5"/>
      <w:lvlJc w:val="left"/>
      <w:pPr>
        <w:ind w:left="0" w:hanging="0"/>
      </w:pPr>
      <w:rPr>
        <w:rFonts w:ascii="宋体" w:hAnsi="宋体" w:eastAsia="宋体" w:cs="宋体" w:hint="eastAsia"/>
        <w:sz w:val="24"/>
        <w:szCs w:val="24"/>
      </w:rPr>
    </w:lvl>
    <w:lvl w:ilvl="5">
      <w:start w:val="1"/>
      <w:numFmt w:val="decimal"/>
      <w:isLgl/>
      <w:suff w:val="space"/>
      <w:lvlText w:val="%1.%2.%3.%4.%5.%6"/>
      <w:lvlJc w:val="left"/>
      <w:pPr>
        <w:ind w:left="0" w:hanging="0"/>
      </w:pPr>
      <w:rPr>
        <w:rFonts w:ascii="宋体" w:hAnsi="宋体" w:eastAsia="宋体" w:cs="宋体" w:hint="eastAsia"/>
      </w:rPr>
    </w:lvl>
    <w:lvl w:ilvl="6">
      <w:start w:val="1"/>
      <w:numFmt w:val="decimal"/>
      <w:isLgl/>
      <w:lvlText w:val="%1.%2.%3.%4.%5.%6.%7."/>
      <w:lvlJc w:val="left"/>
      <w:pPr>
        <w:ind w:left="1275" w:hanging="1275"/>
      </w:pPr>
      <w:rPr>
        <w:rFonts w:ascii="宋体" w:hAnsi="宋体" w:eastAsia="宋体" w:cs="宋体" w:hint="eastAsia"/>
      </w:rPr>
    </w:lvl>
    <w:lvl w:ilvl="7">
      <w:start w:val="1"/>
      <w:numFmt w:val="decimal"/>
      <w:isLgl/>
      <w:lvlText w:val="%1.%2.%3.%4.%5.%6.%7.%8."/>
      <w:lvlJc w:val="left"/>
      <w:pPr>
        <w:ind w:left="1418" w:hanging="1418"/>
      </w:pPr>
      <w:rPr>
        <w:rFonts w:ascii="宋体" w:hAnsi="宋体" w:eastAsia="宋体" w:cs="宋体" w:hint="eastAsia"/>
      </w:rPr>
    </w:lvl>
    <w:lvl w:ilvl="8">
      <w:start w:val="1"/>
      <w:numFmt w:val="decimal"/>
      <w:isLgl/>
      <w:lvlText w:val="%1.%2.%3.%4.%5.%6.%7.%8.%9."/>
      <w:lvlJc w:val="left"/>
      <w:pPr>
        <w:ind w:left="1558" w:hanging="1558"/>
      </w:pPr>
      <w:rPr>
        <w:rFonts w:ascii="宋体" w:hAnsi="宋体" w:eastAsia="宋体" w:cs="宋体"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useAltKinsokuLineBreakRules/>
    <w:compatSetting w:name="compatibilityMode" w:uri="http://schemas.microsoft.com/office/word" w:val="14"/>
  </w:compat>
  <w:docVars>
    <w:docVar w:name="commondata" w:val="eyJoZGlkIjoiYzM4YjEwNTVkZTJmMWE1MjRlNGY4N2YwNGE4ZGZjMDA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autoRedefine/>
    <w:next w:val="17"/>
    <w:pPr>
      <w:widowControl w:val="0"/>
      <w:jc w:val="both"/>
    </w:pPr>
    <w:rPr>
      <w:rFonts w:ascii="Times New Roman" w:eastAsia="宋体" w:cs="Times New Roman" w:hAnsi="Times New Roman"/>
      <w:kern w:val="2"/>
      <w:sz w:val="21"/>
      <w:szCs w:val="24"/>
      <w:lang w:val="en-US" w:eastAsia="zh-CN" w:bidi="ar-SA"/>
    </w:rPr>
  </w:style>
  <w:style w:type="paragraph" w:styleId="1">
    <w:name w:val="heading 1"/>
    <w:basedOn w:val="0"/>
    <w:autoRedefine/>
    <w:next w:val="0"/>
    <w:pPr>
      <w:keepNext/>
      <w:keepLines/>
      <w:widowControl w:val="0"/>
      <w:spacing w:before="340" w:after="330" w:line="578" w:lineRule="auto"/>
      <w:outlineLvl w:val="0"/>
    </w:pPr>
    <w:rPr>
      <w:b/>
      <w:bCs/>
      <w:kern w:val="44"/>
      <w:sz w:val="44"/>
      <w:szCs w:val="44"/>
    </w:rPr>
  </w:style>
  <w:style w:type="paragraph" w:styleId="2">
    <w:name w:val="heading 2"/>
    <w:basedOn w:val="0"/>
    <w:autoRedefine/>
    <w:next w:val="0"/>
    <w:pPr>
      <w:keepNext/>
      <w:framePr w:w="0" w:hRule="auto" w:hSpace="180" w:wrap="notBeside" w:vAnchor="text" w:hAnchor="text" w:xAlign="center" w:y="172" w:anchorLock="0"/>
      <w:widowControl w:val="0"/>
      <w:spacing w:line="500" w:lineRule="exact"/>
      <w:jc w:val="center"/>
      <w:outlineLvl w:val="1"/>
    </w:pPr>
    <w:rPr>
      <w:color w:val="000000"/>
      <w:sz w:val="28"/>
      <w:szCs w:val="20"/>
    </w:rPr>
  </w:style>
  <w:style w:type="paragraph" w:styleId="3">
    <w:name w:val="heading 3"/>
    <w:basedOn w:val="0"/>
    <w:autoRedefine/>
    <w:next w:val="0"/>
    <w:pPr>
      <w:keepNext/>
      <w:keepLines/>
      <w:widowControl w:val="0"/>
      <w:spacing w:before="260" w:after="260" w:line="415" w:lineRule="auto"/>
      <w:outlineLvl w:val="2"/>
    </w:pPr>
    <w:rPr>
      <w:b/>
      <w:bCs/>
      <w:sz w:val="32"/>
      <w:szCs w:val="32"/>
    </w:rPr>
  </w:style>
  <w:style w:type="paragraph" w:styleId="4">
    <w:name w:val="heading 4"/>
    <w:basedOn w:val="0"/>
    <w:autoRedefine/>
    <w:next w:val="0"/>
    <w:pPr>
      <w:keepNext/>
      <w:keepLines/>
      <w:widowControl w:val="0"/>
      <w:spacing w:before="280" w:after="290" w:line="377" w:lineRule="auto"/>
      <w:outlineLvl w:val="3"/>
    </w:pPr>
    <w:rPr>
      <w:rFonts w:ascii="Arial" w:eastAsia="黑体" w:hAnsi="Arial"/>
      <w:b/>
      <w:bCs/>
      <w:sz w:val="28"/>
      <w:szCs w:val="28"/>
    </w:rPr>
  </w:style>
  <w:style w:type="character" w:default="1" w:styleId="10">
    <w:name w:val="Default Paragraph Font"/>
  </w:style>
  <w:style w:type="paragraph" w:customStyle="1" w:styleId="15">
    <w:name w:val=" Char1"/>
    <w:basedOn w:val="0"/>
    <w:autoRedefine/>
    <w:link w:val="15Char"/>
    <w:pPr>
      <w:spacing w:line="360" w:lineRule="auto"/>
      <w:ind w:firstLineChars="200" w:firstLine="200"/>
    </w:pPr>
    <w:rPr>
      <w:rFonts w:ascii="宋体" w:cs="宋体"/>
      <w:sz w:val="24"/>
    </w:rPr>
  </w:style>
  <w:style w:type="character" w:customStyle="1" w:styleId="15Char">
    <w:name w:val=" Char1 Char"/>
    <w:basedOn w:val="10"/>
    <w:link w:val="15"/>
    <w:autoRedefine/>
    <w:rPr>
      <w:rFonts w:ascii="宋体" w:eastAsia="宋体" w:cs="宋体"/>
      <w:kern w:val="2"/>
      <w:sz w:val="24"/>
      <w:szCs w:val="24"/>
      <w:lang w:val="en-US" w:eastAsia="zh-CN" w:bidi="ar-SA"/>
    </w:rPr>
  </w:style>
  <w:style w:type="paragraph" w:customStyle="1" w:styleId="16">
    <w:name w:val="标题 段落4级"/>
    <w:autoRedefine/>
    <w:pPr>
      <w:spacing w:line="500" w:lineRule="exact"/>
      <w:outlineLvl w:val="3"/>
    </w:pPr>
    <w:rPr>
      <w:rFonts w:ascii="Times New Roman" w:eastAsia="仿宋_GB2312" w:cs="Calibri" w:hAnsi="Times New Roman"/>
      <w:b/>
      <w:kern w:val="2"/>
      <w:sz w:val="28"/>
      <w:szCs w:val="24"/>
      <w:lang w:val="en-US" w:eastAsia="zh-CN" w:bidi="ar-SA"/>
    </w:rPr>
  </w:style>
  <w:style w:type="paragraph" w:customStyle="1" w:styleId="17">
    <w:name w:val="Default"/>
    <w:basedOn w:val="16"/>
    <w:autoRedefine/>
    <w:next w:val="18"/>
    <w:pPr>
      <w:widowControl w:val="0"/>
      <w:autoSpaceDE w:val="0"/>
      <w:autoSpaceDN w:val="0"/>
      <w:adjustRightInd w:val="0"/>
    </w:pPr>
    <w:rPr>
      <w:rFonts w:ascii="宋体" w:eastAsia="宋体" w:cs="宋体"/>
      <w:color w:val="000000"/>
      <w:sz w:val="24"/>
      <w:szCs w:val="24"/>
      <w:lang w:val="en-US" w:eastAsia="zh-CN" w:bidi="ar-SA"/>
    </w:rPr>
  </w:style>
  <w:style w:type="paragraph" w:styleId="18">
    <w:name w:val="Body Text"/>
    <w:basedOn w:val="0"/>
    <w:autoRedefine/>
    <w:next w:val="0"/>
    <w:pPr>
      <w:spacing w:after="120"/>
    </w:pPr>
  </w:style>
  <w:style w:type="paragraph" w:styleId="19">
    <w:name w:val="Normal Indent"/>
    <w:basedOn w:val="0"/>
    <w:autoRedefine/>
    <w:pPr>
      <w:adjustRightInd w:val="0"/>
      <w:snapToGrid w:val="0"/>
      <w:spacing w:line="360" w:lineRule="auto"/>
    </w:pPr>
    <w:rPr>
      <w:sz w:val="24"/>
    </w:rPr>
  </w:style>
  <w:style w:type="paragraph" w:styleId="20">
    <w:name w:val="caption"/>
    <w:basedOn w:val="0"/>
    <w:autoRedefine/>
    <w:next w:val="0"/>
    <w:pPr>
      <w:spacing w:before="152" w:after="160"/>
    </w:pPr>
    <w:rPr>
      <w:rFonts w:ascii="Arial" w:eastAsia="黑体" w:cs="Arial" w:hAnsi="Arial"/>
      <w:sz w:val="20"/>
    </w:rPr>
  </w:style>
  <w:style w:type="paragraph" w:styleId="21">
    <w:name w:val="annotation text"/>
    <w:basedOn w:val="0"/>
    <w:autoRedefine/>
    <w:pPr>
      <w:jc w:val="left"/>
    </w:pPr>
    <w:rPr>
      <w:szCs w:val="24"/>
    </w:rPr>
  </w:style>
  <w:style w:type="paragraph" w:styleId="22">
    <w:name w:val="Body Text Indent"/>
    <w:basedOn w:val="0"/>
    <w:autoRedefine/>
    <w:next w:val="23"/>
    <w:pPr>
      <w:spacing w:after="120"/>
      <w:ind w:leftChars="200" w:left="200"/>
    </w:pPr>
  </w:style>
  <w:style w:type="paragraph" w:styleId="23">
    <w:name w:val="header"/>
    <w:basedOn w:val="0"/>
    <w:autoRedefine/>
    <w:next w:val="26"/>
    <w:pPr>
      <w:pBdr>
        <w:bottom w:val="single" w:sz="6" w:space="1" w:color="auto"/>
      </w:pBdr>
      <w:tabs>
        <w:tab w:val="center" w:pos="4153"/>
        <w:tab w:val="right" w:pos="8306"/>
      </w:tabs>
      <w:snapToGrid w:val="0"/>
      <w:jc w:val="center"/>
    </w:pPr>
    <w:rPr>
      <w:sz w:val="18"/>
      <w:szCs w:val="18"/>
    </w:rPr>
  </w:style>
  <w:style w:type="paragraph" w:styleId="24">
    <w:name w:val="List"/>
    <w:basedOn w:val="0"/>
    <w:autoRedefine/>
    <w:pPr>
      <w:widowControl/>
      <w:spacing w:line="440" w:lineRule="exact"/>
      <w:ind w:left="200" w:hanging="200"/>
      <w:jc w:val="left"/>
    </w:pPr>
    <w:rPr>
      <w:kern w:val="0"/>
      <w:sz w:val="24"/>
      <w:szCs w:val="20"/>
    </w:rPr>
  </w:style>
  <w:style w:type="paragraph" w:customStyle="1" w:styleId="25">
    <w:name w:val="样式3"/>
    <w:basedOn w:val="24"/>
    <w:autoRedefine/>
    <w:next w:val="18"/>
    <w:pPr>
      <w:adjustRightInd w:val="0"/>
      <w:snapToGrid w:val="0"/>
      <w:spacing w:line="360" w:lineRule="auto"/>
      <w:ind w:left="0" w:firstLineChars="200" w:firstLine="200"/>
    </w:pPr>
    <w:rPr>
      <w:rFonts w:eastAsia="Times New Roman"/>
      <w:snapToGrid w:val="0"/>
      <w:color w:val="0000FF"/>
      <w:kern w:val="0"/>
      <w:sz w:val="24"/>
    </w:rPr>
  </w:style>
  <w:style w:type="paragraph" w:customStyle="1" w:styleId="26">
    <w:name w:val="样式5"/>
    <w:basedOn w:val="25"/>
    <w:autoRedefine/>
    <w:next w:val="27"/>
    <w:pPr>
      <w:adjustRightInd w:val="0"/>
      <w:snapToGrid w:val="0"/>
      <w:spacing w:line="360" w:lineRule="auto"/>
    </w:pPr>
    <w:rPr>
      <w:sz w:val="24"/>
    </w:rPr>
  </w:style>
  <w:style w:type="paragraph" w:styleId="27">
    <w:name w:val="Body Text Indent 2"/>
    <w:basedOn w:val="0"/>
    <w:autoRedefine/>
    <w:next w:val="0"/>
    <w:pPr>
      <w:spacing w:line="520" w:lineRule="exact"/>
      <w:ind w:firstLineChars="200" w:firstLine="200"/>
    </w:pPr>
    <w:rPr>
      <w:rFonts w:ascii="仿宋_GB2312" w:eastAsia="仿宋_GB2312"/>
      <w:bCs/>
      <w:sz w:val="28"/>
    </w:rPr>
  </w:style>
  <w:style w:type="paragraph" w:styleId="28">
    <w:name w:val="Plain Text"/>
    <w:basedOn w:val="0"/>
    <w:autoRedefine/>
    <w:rPr>
      <w:rFonts w:ascii="宋体"/>
      <w:szCs w:val="20"/>
    </w:rPr>
  </w:style>
  <w:style w:type="paragraph" w:styleId="29">
    <w:name w:val="List Bullet 5"/>
    <w:basedOn w:val="0"/>
    <w:autoRedefine/>
    <w:pPr>
      <w:numPr>
        <w:ilvl w:val="0"/>
        <w:numId w:val="68"/>
      </w:numPr>
    </w:pPr>
  </w:style>
  <w:style w:type="paragraph" w:styleId="30">
    <w:name w:val="Date"/>
    <w:basedOn w:val="0"/>
    <w:autoRedefine/>
    <w:next w:val="0"/>
    <w:rPr>
      <w:sz w:val="28"/>
      <w:szCs w:val="20"/>
    </w:rPr>
  </w:style>
  <w:style w:type="paragraph" w:styleId="31">
    <w:name w:val="footer"/>
    <w:basedOn w:val="0"/>
    <w:autoRedefine/>
    <w:pPr>
      <w:tabs>
        <w:tab w:val="center" w:pos="4153"/>
        <w:tab w:val="right" w:pos="8306"/>
      </w:tabs>
      <w:snapToGrid w:val="0"/>
      <w:jc w:val="left"/>
    </w:pPr>
    <w:rPr>
      <w:sz w:val="18"/>
      <w:szCs w:val="18"/>
    </w:rPr>
  </w:style>
  <w:style w:type="paragraph" w:styleId="32">
    <w:name w:val="Body Text Indent 3"/>
    <w:basedOn w:val="0"/>
    <w:autoRedefine/>
    <w:pPr>
      <w:spacing w:after="120"/>
      <w:ind w:leftChars="200" w:left="200"/>
    </w:pPr>
    <w:rPr>
      <w:rFonts w:ascii="Plotter" w:cs="Plotter" w:hAnsi="Plotter"/>
      <w:bCs/>
      <w:color w:val="000000"/>
      <w:sz w:val="16"/>
      <w:szCs w:val="16"/>
    </w:rPr>
  </w:style>
  <w:style w:type="paragraph" w:styleId="33">
    <w:name w:val="table of figures"/>
    <w:basedOn w:val="0"/>
    <w:autoRedefine/>
    <w:next w:val="0"/>
    <w:pPr>
      <w:spacing w:beforeLines="50" w:before="50" w:afterLines="50" w:after="50" w:line="500" w:lineRule="exact"/>
      <w:jc w:val="center"/>
    </w:pPr>
    <w:rPr>
      <w:rFonts w:ascii="仿宋_GB2312" w:eastAsia="仿宋_GB2312" w:cs="仿宋_GB2312"/>
      <w:sz w:val="28"/>
      <w:szCs w:val="28"/>
    </w:rPr>
  </w:style>
  <w:style w:type="paragraph" w:styleId="34">
    <w:name w:val="toc 2"/>
    <w:basedOn w:val="0"/>
    <w:autoRedefine/>
    <w:next w:val="0"/>
    <w:pPr>
      <w:ind w:leftChars="200" w:left="200"/>
    </w:pPr>
  </w:style>
  <w:style w:type="paragraph" w:styleId="35">
    <w:name w:val="HTML Preformatted"/>
    <w:basedOn w:val="0"/>
    <w:autoRedefin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styleId="36">
    <w:name w:val="Normal (Web)"/>
    <w:basedOn w:val="0"/>
    <w:autoRedefine/>
    <w:pPr>
      <w:widowControl/>
      <w:spacing w:before="100" w:beforeAutospacing="1" w:after="100" w:afterAutospacing="1"/>
      <w:jc w:val="left"/>
    </w:pPr>
    <w:rPr>
      <w:rFonts w:ascii="宋体" w:cs="宋体"/>
      <w:kern w:val="0"/>
      <w:sz w:val="24"/>
    </w:rPr>
  </w:style>
  <w:style w:type="paragraph" w:styleId="37">
    <w:name w:val="Body Text First Indent"/>
    <w:basedOn w:val="18"/>
    <w:autoRedefine/>
    <w:pPr>
      <w:adjustRightInd w:val="0"/>
      <w:snapToGrid w:val="0"/>
      <w:ind w:firstLineChars="100" w:firstLine="100"/>
      <w:jc w:val="left"/>
    </w:pPr>
  </w:style>
  <w:style w:type="paragraph" w:styleId="38">
    <w:name w:val="Body Text First Indent 2"/>
    <w:basedOn w:val="22"/>
    <w:autoRedefine/>
    <w:next w:val="0"/>
    <w:pPr>
      <w:spacing w:line="360" w:lineRule="auto"/>
      <w:ind w:firstLineChars="200" w:firstLine="200"/>
      <w:jc w:val="left"/>
    </w:pPr>
    <w:rPr>
      <w:rFonts w:ascii="宋体" w:eastAsia="Times New Roman" w:hAnsi="宋体"/>
      <w:spacing w:val="5"/>
      <w:kern w:val="2"/>
      <w:sz w:val="25"/>
      <w:szCs w:val="25"/>
    </w:rPr>
  </w:style>
  <w:style w:type="character" w:styleId="39">
    <w:name w:val="Strong"/>
    <w:basedOn w:val="15"/>
    <w:autoRedefine/>
    <w:rPr>
      <w:b/>
      <w:bCs/>
    </w:rPr>
  </w:style>
  <w:style w:type="character" w:styleId="40">
    <w:name w:val="page number"/>
    <w:basedOn w:val="15"/>
    <w:autoRedefine/>
  </w:style>
  <w:style w:type="character" w:styleId="41">
    <w:name w:val="Hyperlink"/>
    <w:basedOn w:val="15"/>
    <w:autoRedefine/>
    <w:rPr>
      <w:color w:val="000000"/>
      <w:u w:val="none"/>
    </w:rPr>
  </w:style>
  <w:style w:type="character" w:styleId="42">
    <w:name w:val="annotation reference"/>
    <w:basedOn w:val="15"/>
    <w:autoRedefine/>
    <w:rPr>
      <w:sz w:val="21"/>
      <w:szCs w:val="21"/>
    </w:rPr>
  </w:style>
  <w:style w:type="paragraph" w:customStyle="1" w:styleId="43">
    <w:name w:val="Default1"/>
    <w:autoRedefine/>
    <w:pPr>
      <w:widowControl w:val="0"/>
      <w:autoSpaceDE w:val="0"/>
      <w:autoSpaceDN w:val="0"/>
      <w:adjustRightInd w:val="0"/>
    </w:pPr>
    <w:rPr>
      <w:rFonts w:ascii="宋体" w:eastAsia="宋体" w:cs="Times New Roman"/>
      <w:color w:val="000000"/>
      <w:sz w:val="24"/>
      <w:szCs w:val="22"/>
      <w:lang w:val="en-US" w:eastAsia="zh-CN" w:bidi="ar-SA"/>
    </w:rPr>
  </w:style>
  <w:style w:type="paragraph" w:customStyle="1" w:styleId="44">
    <w:name w:val="样式 四号 左侧:  1.53 厘米"/>
    <w:basedOn w:val="0"/>
    <w:autoRedefine/>
    <w:pPr>
      <w:adjustRightInd w:val="0"/>
    </w:pPr>
    <w:rPr>
      <w:w w:val="90"/>
      <w:sz w:val="28"/>
      <w:szCs w:val="28"/>
    </w:rPr>
  </w:style>
  <w:style w:type="paragraph" w:customStyle="1" w:styleId="45">
    <w:name w:val="样式 样式 四号 左侧:  1.53 厘米 + 首行缩进:  2 字符"/>
    <w:basedOn w:val="44"/>
    <w:autoRedefine/>
    <w:pPr>
      <w:ind w:leftChars="200" w:left="200"/>
    </w:pPr>
    <w:rPr>
      <w:szCs w:val="20"/>
    </w:rPr>
  </w:style>
  <w:style w:type="paragraph" w:customStyle="1" w:styleId="46">
    <w:name w:val="样式 样式 样式 四号 左侧:  1.53 厘米 + 首行缩进:  2 字符 + 居中 左侧:  2 字符 首行缩进:  2..."/>
    <w:basedOn w:val="45"/>
    <w:autoRedefine/>
    <w:pPr>
      <w:ind w:firstLine="0"/>
      <w:jc w:val="center"/>
    </w:pPr>
  </w:style>
  <w:style w:type="character" w:customStyle="1" w:styleId="47">
    <w:name w:val="font51"/>
    <w:basedOn w:val="15"/>
    <w:autoRedefine/>
    <w:rPr>
      <w:rFonts w:ascii="宋体" w:eastAsia="宋体" w:cs="宋体"/>
      <w:color w:val="FF0000"/>
      <w:sz w:val="24"/>
      <w:szCs w:val="24"/>
      <w:u w:val="none"/>
    </w:rPr>
  </w:style>
  <w:style w:type="paragraph" w:customStyle="1" w:styleId="48">
    <w:name w:val="表名"/>
    <w:basedOn w:val="0"/>
    <w:autoRedefine/>
    <w:pPr>
      <w:autoSpaceDE w:val="0"/>
      <w:autoSpaceDN w:val="0"/>
      <w:adjustRightInd w:val="0"/>
      <w:spacing w:beforeLines="50" w:before="50"/>
      <w:jc w:val="center"/>
      <w:textAlignment w:val="baseline"/>
    </w:pPr>
    <w:rPr>
      <w:rFonts w:eastAsia="黑体"/>
      <w:b/>
      <w:bCs/>
      <w:kern w:val="0"/>
      <w:sz w:val="24"/>
      <w:szCs w:val="20"/>
    </w:rPr>
  </w:style>
  <w:style w:type="character" w:customStyle="1" w:styleId="49">
    <w:name w:val="font41"/>
    <w:basedOn w:val="15"/>
    <w:autoRedefine/>
    <w:rPr>
      <w:rFonts w:ascii="Times New Roman" w:cs="Times New Roman" w:hAnsi="Times New Roman"/>
      <w:color w:val="000000"/>
      <w:sz w:val="22"/>
      <w:szCs w:val="22"/>
      <w:u w:val="none"/>
    </w:rPr>
  </w:style>
  <w:style w:type="character" w:customStyle="1" w:styleId="50">
    <w:name w:val="font01"/>
    <w:basedOn w:val="15"/>
    <w:autoRedefine/>
    <w:rPr>
      <w:rFonts w:ascii="宋体" w:eastAsia="宋体" w:cs="宋体"/>
      <w:color w:val="000000"/>
      <w:sz w:val="22"/>
      <w:szCs w:val="22"/>
      <w:u w:val="none"/>
      <w:vertAlign w:val="subscript"/>
    </w:rPr>
  </w:style>
  <w:style w:type="character" w:customStyle="1" w:styleId="51">
    <w:name w:val="font11"/>
    <w:basedOn w:val="15"/>
    <w:autoRedefine/>
    <w:rPr>
      <w:rFonts w:ascii="Times New Roman" w:cs="Times New Roman" w:hAnsi="Times New Roman"/>
      <w:color w:val="000000"/>
      <w:sz w:val="22"/>
      <w:szCs w:val="22"/>
      <w:u w:val="none"/>
      <w:vertAlign w:val="subscript"/>
    </w:rPr>
  </w:style>
  <w:style w:type="character" w:customStyle="1" w:styleId="52">
    <w:name w:val="font31"/>
    <w:basedOn w:val="15"/>
    <w:autoRedefine/>
    <w:rPr>
      <w:rFonts w:ascii="Wingdings 2" w:eastAsia="Wingdings 2" w:cs="Wingdings 2" w:hAnsi="Wingdings 2"/>
      <w:color w:val="000000"/>
      <w:sz w:val="24"/>
      <w:szCs w:val="24"/>
      <w:u w:val="none"/>
    </w:rPr>
  </w:style>
  <w:style w:type="character" w:customStyle="1" w:styleId="53">
    <w:name w:val="font21"/>
    <w:basedOn w:val="15"/>
    <w:autoRedefine/>
    <w:rPr>
      <w:rFonts w:ascii="宋体" w:eastAsia="宋体" w:cs="宋体"/>
      <w:color w:val="000000"/>
      <w:sz w:val="22"/>
      <w:szCs w:val="22"/>
      <w:u w:val="none"/>
    </w:rPr>
  </w:style>
  <w:style w:type="character" w:customStyle="1" w:styleId="54">
    <w:name w:val="st1"/>
    <w:basedOn w:val="15"/>
    <w:autoRedefine/>
    <w:rPr>
      <w:sz w:val="27"/>
      <w:szCs w:val="27"/>
    </w:rPr>
  </w:style>
  <w:style w:type="paragraph" w:customStyle="1" w:styleId="55">
    <w:name w:val="Normal_61"/>
    <w:autoRedefine/>
    <w:pPr>
      <w:spacing w:before="120" w:after="240"/>
      <w:jc w:val="both"/>
    </w:pPr>
    <w:rPr>
      <w:rFonts w:ascii="Calibri" w:eastAsia="Calibri" w:cs="Times New Roman" w:hAnsi="Calibri"/>
      <w:sz w:val="22"/>
      <w:szCs w:val="22"/>
      <w:lang w:val="ru-RU" w:bidi="ar-SA"/>
    </w:rPr>
  </w:style>
  <w:style w:type="paragraph" w:customStyle="1" w:styleId="56">
    <w:name w:val="报告表格"/>
    <w:basedOn w:val="0"/>
    <w:autoRedefine/>
    <w:pPr>
      <w:autoSpaceDE w:val="0"/>
      <w:autoSpaceDN w:val="0"/>
      <w:adjustRightInd w:val="0"/>
      <w:spacing w:before="40" w:after="40"/>
      <w:jc w:val="center"/>
      <w:textAlignment w:val="bottom"/>
    </w:pPr>
    <w:rPr>
      <w:kern w:val="0"/>
    </w:rPr>
  </w:style>
  <w:style w:type="paragraph" w:customStyle="1" w:styleId="57">
    <w:name w:val="表头何昌泽"/>
    <w:basedOn w:val="0"/>
    <w:autoRedefine/>
    <w:pPr>
      <w:widowControl/>
      <w:adjustRightInd w:val="0"/>
      <w:snapToGrid w:val="0"/>
      <w:spacing w:line="160" w:lineRule="atLeast"/>
      <w:jc w:val="center"/>
    </w:pPr>
    <w:rPr>
      <w:rFonts w:ascii="Calibri" w:eastAsia="Times New Roman" w:cs="Times New Roman" w:hAnsi="Calibri"/>
      <w:b/>
      <w:szCs w:val="21"/>
    </w:rPr>
  </w:style>
  <w:style w:type="paragraph" w:customStyle="1" w:styleId="58">
    <w:name w:val="表头"/>
    <w:autoRedefine/>
    <w:pPr>
      <w:spacing w:beforeLines="50" w:before="50"/>
      <w:jc w:val="center"/>
    </w:pPr>
    <w:rPr>
      <w:rFonts w:ascii="Times New Roman" w:eastAsia="宋体" w:cs="Times New Roman" w:hAnsi="Times New Roman"/>
      <w:b/>
      <w:sz w:val="24"/>
      <w:szCs w:val="20"/>
      <w:lang w:val="en-US" w:eastAsia="zh-CN" w:bidi="ar-SA"/>
    </w:rPr>
  </w:style>
  <w:style w:type="paragraph" w:customStyle="1" w:styleId="59">
    <w:name w:val="表格"/>
    <w:basedOn w:val="24"/>
    <w:autoRedefine/>
    <w:next w:val="0"/>
    <w:pPr>
      <w:jc w:val="center"/>
    </w:pPr>
    <w:rPr>
      <w:sz w:val="24"/>
    </w:rPr>
  </w:style>
  <w:style w:type="paragraph" w:customStyle="1" w:styleId="60">
    <w:name w:val="1表格头"/>
    <w:basedOn w:val="0"/>
    <w:autoRedefine/>
    <w:pPr>
      <w:snapToGrid w:val="0"/>
      <w:spacing w:line="160" w:lineRule="atLeast"/>
      <w:jc w:val="center"/>
    </w:pPr>
    <w:rPr>
      <w:rFonts w:eastAsia="仿宋_GB2312"/>
      <w:sz w:val="24"/>
      <w:szCs w:val="20"/>
    </w:rPr>
  </w:style>
  <w:style w:type="paragraph" w:customStyle="1" w:styleId="61">
    <w:name w:val="——大纲报告书表格标题"/>
    <w:basedOn w:val="0"/>
    <w:autoRedefine/>
    <w:pPr>
      <w:tabs>
        <w:tab w:val="left" w:pos="0"/>
        <w:tab w:val="left" w:pos="785"/>
      </w:tabs>
      <w:jc w:val="center"/>
      <w:outlineLvl w:val="8"/>
    </w:pPr>
    <w:rPr>
      <w:b/>
      <w:szCs w:val="24"/>
    </w:rPr>
  </w:style>
  <w:style w:type="paragraph" w:customStyle="1" w:styleId="62">
    <w:name w:val=" Char"/>
    <w:basedOn w:val="0"/>
    <w:autoRedefine/>
    <w:pPr>
      <w:spacing w:line="360" w:lineRule="auto"/>
      <w:ind w:firstLineChars="200" w:firstLine="200"/>
    </w:pPr>
    <w:rPr>
      <w:rFonts w:ascii="宋体" w:cs="宋体"/>
      <w:sz w:val="24"/>
    </w:rPr>
  </w:style>
  <w:style w:type="paragraph" w:customStyle="1" w:styleId="63">
    <w:name w:val="表格标题"/>
    <w:autoRedefine/>
    <w:pPr>
      <w:jc w:val="center"/>
    </w:pPr>
    <w:rPr>
      <w:rFonts w:ascii="TimesNewRoman" w:eastAsia="宋体" w:cs="Times New Roman" w:hAnsi="TimesNewRoman"/>
      <w:b/>
      <w:sz w:val="24"/>
      <w:szCs w:val="20"/>
      <w:lang w:val="en-US" w:eastAsia="zh-CN" w:bidi="ar-SA"/>
    </w:rPr>
  </w:style>
  <w:style w:type="paragraph" w:customStyle="1" w:styleId="64">
    <w:name w:val="报告表正文"/>
    <w:basedOn w:val="0"/>
    <w:autoRedefine/>
    <w:pPr>
      <w:adjustRightInd w:val="0"/>
      <w:spacing w:line="312" w:lineRule="auto"/>
      <w:ind w:left="113" w:right="113" w:firstLine="482"/>
      <w:jc w:val="left"/>
      <w:textAlignment w:val="baseline"/>
    </w:pPr>
    <w:rPr>
      <w:kern w:val="0"/>
      <w:sz w:val="24"/>
      <w:szCs w:val="20"/>
    </w:rPr>
  </w:style>
  <w:style w:type="paragraph" w:customStyle="1" w:styleId="65">
    <w:name w:val="_Style 20"/>
    <w:basedOn w:val="0"/>
    <w:autoRedefine/>
  </w:style>
  <w:style w:type="paragraph" w:customStyle="1" w:styleId="66">
    <w:name w:val="报告"/>
    <w:basedOn w:val="0"/>
    <w:autoRedefine/>
    <w:pPr>
      <w:adjustRightInd w:val="0"/>
      <w:spacing w:line="360" w:lineRule="auto"/>
      <w:ind w:firstLine="505"/>
      <w:textAlignment w:val="center"/>
    </w:pPr>
    <w:rPr>
      <w:rFonts w:ascii="TimesNewRoman" w:hAnsi="TimesNewRoman"/>
      <w:bCs/>
      <w:kern w:val="0"/>
      <w:sz w:val="24"/>
    </w:rPr>
  </w:style>
  <w:style w:type="paragraph" w:customStyle="1" w:styleId="67">
    <w:name w:val="Normal_46"/>
    <w:autoRedefine/>
    <w:pPr>
      <w:spacing w:before="120" w:after="240"/>
      <w:jc w:val="both"/>
    </w:pPr>
    <w:rPr>
      <w:rFonts w:ascii="Calibri" w:eastAsia="Calibri" w:cs="Times New Roman" w:hAnsi="Calibri"/>
      <w:sz w:val="22"/>
      <w:szCs w:val="22"/>
      <w:lang w:val="ru-RU" w:bidi="ar-SA"/>
    </w:rPr>
  </w:style>
  <w:style w:type="paragraph" w:customStyle="1" w:styleId="68">
    <w:name w:val="表中"/>
    <w:autoRedefine/>
    <w:pPr>
      <w:spacing w:line="300" w:lineRule="exact"/>
      <w:jc w:val="center"/>
    </w:pPr>
    <w:rPr>
      <w:rFonts w:ascii="Times New Roman" w:eastAsia="宋体" w:cs="Times New Roman" w:hAnsi="Times New Roman"/>
      <w:kern w:val="44"/>
      <w:sz w:val="21"/>
      <w:szCs w:val="21"/>
      <w:lang w:val="en-US" w:eastAsia="zh-CN" w:bidi="ar-SA"/>
    </w:rPr>
  </w:style>
  <w:style w:type="paragraph" w:customStyle="1" w:styleId="69">
    <w:name w:val="标题3l"/>
    <w:basedOn w:val="0"/>
    <w:autoRedefine/>
    <w:pPr>
      <w:adjustRightInd w:val="0"/>
      <w:snapToGrid w:val="0"/>
      <w:spacing w:before="120" w:line="360" w:lineRule="auto"/>
      <w:ind w:left="1260" w:hanging="420"/>
      <w:outlineLvl w:val="2"/>
    </w:pPr>
    <w:rPr>
      <w:b/>
      <w:color w:val="000000"/>
    </w:rPr>
  </w:style>
  <w:style w:type="paragraph" w:customStyle="1" w:styleId="70">
    <w:name w:val="章标题"/>
    <w:basedOn w:val="0"/>
    <w:autoRedefine/>
    <w:next w:val="71"/>
    <w:pPr>
      <w:widowControl/>
      <w:spacing w:line="323" w:lineRule="atLeast"/>
      <w:ind w:right="-120"/>
      <w:jc w:val="center"/>
      <w:textAlignment w:val="baseline"/>
    </w:pPr>
    <w:rPr>
      <w:color w:val="FF0000"/>
      <w:kern w:val="0"/>
      <w:sz w:val="18"/>
      <w:szCs w:val="18"/>
    </w:rPr>
  </w:style>
  <w:style w:type="paragraph" w:customStyle="1" w:styleId="71">
    <w:name w:val="节标题"/>
    <w:basedOn w:val="0"/>
    <w:autoRedefine/>
    <w:next w:val="0"/>
    <w:pPr>
      <w:widowControl/>
      <w:spacing w:line="289" w:lineRule="atLeast"/>
      <w:jc w:val="center"/>
      <w:textAlignment w:val="baseline"/>
    </w:pPr>
    <w:rPr>
      <w:color w:val="000000"/>
      <w:kern w:val="0"/>
      <w:sz w:val="28"/>
      <w:szCs w:val="28"/>
    </w:rPr>
  </w:style>
  <w:style w:type="paragraph" w:customStyle="1" w:styleId="72">
    <w:name w:val="XF-标题4"/>
    <w:basedOn w:val="4"/>
    <w:autoRedefine/>
    <w:next w:val="0"/>
    <w:pPr>
      <w:keepNext/>
      <w:keepLines/>
      <w:widowControl w:val="0"/>
      <w:numPr>
        <w:ilvl w:val="3"/>
        <w:numId w:val="69"/>
      </w:numPr>
      <w:tabs>
        <w:tab w:val="left" w:pos="0"/>
      </w:tabs>
      <w:adjustRightInd/>
      <w:snapToGrid/>
      <w:spacing w:before="120" w:after="120" w:line="520" w:lineRule="exact"/>
    </w:pPr>
    <w:rPr>
      <w:rFonts w:ascii="Times New Roman" w:eastAsia="宋体" w:cs="Times New Roman" w:hAnsi="Times New Roman"/>
      <w:kern w:val="2"/>
      <w:sz w:val="24"/>
    </w:rPr>
  </w:style>
  <w:style w:type="paragraph" w:customStyle="1" w:styleId="73">
    <w:name w:val="正文1"/>
    <w:basedOn w:val="0"/>
    <w:autoRedefine/>
    <w:pPr>
      <w:adjustRightInd w:val="0"/>
      <w:snapToGrid w:val="0"/>
      <w:spacing w:line="440" w:lineRule="exact"/>
      <w:ind w:firstLineChars="200" w:firstLine="200"/>
    </w:pPr>
    <w:rPr>
      <w:rFonts w:eastAsia="华文中宋"/>
      <w:kern w:val="2"/>
      <w:sz w:val="24"/>
      <w:lang w:val="en-US" w:eastAsia="zh-CN" w:bidi="ar-SA"/>
    </w:rPr>
  </w:style>
  <w:style w:type="paragraph" w:customStyle="1" w:styleId="74">
    <w:name w:val="图表标题"/>
    <w:basedOn w:val="66"/>
    <w:autoRedefine/>
    <w:next w:val="56"/>
    <w:pPr>
      <w:adjustRightInd/>
      <w:spacing w:line="240" w:lineRule="auto"/>
      <w:ind w:firstLine="0"/>
      <w:jc w:val="center"/>
      <w:textAlignment w:val="baseline"/>
    </w:pPr>
    <w:rPr>
      <w:rFonts w:ascii="Times New Roman" w:hAnsi="Times New Roman"/>
      <w:b/>
      <w:bCs w:val="0"/>
      <w:szCs w:val="24"/>
    </w:rPr>
  </w:style>
  <w:style w:type="paragraph" w:customStyle="1" w:styleId="75">
    <w:name w:val="样式2"/>
    <w:basedOn w:val="0"/>
    <w:autoRedefine/>
    <w:pPr>
      <w:adjustRightInd w:val="0"/>
      <w:ind w:left="170"/>
      <w:jc w:val="left"/>
      <w:textAlignment w:val="baseline"/>
    </w:pPr>
    <w:rPr>
      <w:b/>
      <w:kern w:val="0"/>
      <w:sz w:val="24"/>
      <w:szCs w:val="20"/>
    </w:rPr>
  </w:style>
  <w:style w:type="paragraph" w:customStyle="1" w:styleId="76">
    <w:name w:val="表格中字体123"/>
    <w:basedOn w:val="0"/>
    <w:autoRedefine/>
    <w:pPr>
      <w:spacing w:line="240" w:lineRule="exact"/>
      <w:jc w:val="center"/>
    </w:pPr>
    <w:rPr>
      <w:color w:val="000000"/>
      <w:szCs w:val="22"/>
    </w:rPr>
  </w:style>
  <w:style w:type="paragraph" w:customStyle="1" w:styleId="77">
    <w:name w:val="Normal_37"/>
    <w:autoRedefine/>
    <w:pPr>
      <w:spacing w:before="120" w:after="240"/>
      <w:jc w:val="both"/>
    </w:pPr>
    <w:rPr>
      <w:rFonts w:ascii="Calibri" w:eastAsia="Calibri" w:cs="Times New Roman" w:hAnsi="Calibri"/>
      <w:sz w:val="22"/>
      <w:szCs w:val="22"/>
      <w:lang w:val="ru-RU" w:bidi="ar-SA"/>
    </w:rPr>
  </w:style>
  <w:style w:type="paragraph" w:customStyle="1" w:styleId="78">
    <w:name w:val="表格文字"/>
    <w:autoRedefine/>
    <w:next w:val="0"/>
    <w:pPr>
      <w:widowControl w:val="0"/>
      <w:adjustRightInd w:val="0"/>
      <w:spacing w:line="360" w:lineRule="atLeast"/>
      <w:jc w:val="center"/>
      <w:textAlignment w:val="baseline"/>
    </w:pPr>
    <w:rPr>
      <w:rFonts w:ascii="Calibri" w:eastAsia="宋体" w:cs="Times New Roman" w:hAnsi="Calibri"/>
      <w:sz w:val="21"/>
      <w:szCs w:val="21"/>
      <w:lang w:val="en-US" w:eastAsia="zh-CN" w:bidi="ar-SA"/>
    </w:rPr>
  </w:style>
  <w:style w:type="paragraph" w:customStyle="1" w:styleId="79">
    <w:name w:val="首行缩进"/>
    <w:basedOn w:val="0"/>
    <w:autoRedefine/>
    <w:pPr>
      <w:spacing w:line="360" w:lineRule="auto"/>
      <w:ind w:firstLineChars="200" w:firstLine="200"/>
    </w:pPr>
    <w:rPr>
      <w:sz w:val="24"/>
      <w:szCs w:val="24"/>
    </w:rPr>
  </w:style>
  <w:style w:type="paragraph" w:customStyle="1" w:styleId="80">
    <w:name w:val="1表格"/>
    <w:basedOn w:val="0"/>
    <w:autoRedefine/>
    <w:pPr>
      <w:snapToGrid w:val="0"/>
      <w:spacing w:line="160" w:lineRule="atLeast"/>
      <w:jc w:val="center"/>
    </w:pPr>
    <w:rPr>
      <w:rFonts w:eastAsia="仿宋_GB2312"/>
      <w:szCs w:val="20"/>
    </w:rPr>
  </w:style>
  <w:style w:type="paragraph" w:customStyle="1" w:styleId="81">
    <w:name w:val="表格何昌泽"/>
    <w:basedOn w:val="57"/>
    <w:autoRedefine/>
    <w:rPr>
      <w:b w:val="0"/>
    </w:rPr>
  </w:style>
  <w:style w:type="paragraph" w:customStyle="1" w:styleId="82">
    <w:name w:val="正文11"/>
    <w:basedOn w:val="0"/>
    <w:autoRedefine/>
    <w:pPr>
      <w:spacing w:line="640" w:lineRule="exact"/>
      <w:ind w:firstLineChars="200" w:firstLine="200"/>
      <w:jc w:val="left"/>
    </w:pPr>
    <w:rPr>
      <w:rFonts w:ascii="仿宋_GB2312" w:eastAsia="仿宋_GB2312"/>
      <w:kern w:val="0"/>
      <w:sz w:val="28"/>
    </w:rPr>
  </w:style>
  <w:style w:type="paragraph" w:customStyle="1" w:styleId="83">
    <w:name w:val="表"/>
    <w:basedOn w:val="0"/>
    <w:autoRedefine/>
    <w:pPr>
      <w:snapToGrid w:val="0"/>
      <w:jc w:val="center"/>
    </w:pPr>
    <w:rPr>
      <w:spacing w:val="2"/>
    </w:rPr>
  </w:style>
  <w:style w:type="paragraph" w:customStyle="1" w:styleId="84">
    <w:name w:val="Table Paragraph"/>
    <w:basedOn w:val="0"/>
    <w:autoRedefine/>
    <w:pPr>
      <w:jc w:val="left"/>
    </w:pPr>
    <w:rPr>
      <w:rFonts w:ascii="Calibri" w:eastAsia="宋体" w:cs="Times New Roman" w:hAnsi="Calibri"/>
      <w:kern w:val="0"/>
      <w:sz w:val="22"/>
      <w:szCs w:val="22"/>
    </w:rPr>
  </w:style>
  <w:style w:type="paragraph" w:customStyle="1" w:styleId="85">
    <w:name w:val="表1 五号"/>
    <w:basedOn w:val="0"/>
    <w:autoRedefine/>
    <w:pPr>
      <w:adjustRightInd w:val="0"/>
      <w:snapToGrid w:val="0"/>
      <w:jc w:val="center"/>
    </w:pPr>
    <w:rPr>
      <w:szCs w:val="21"/>
    </w:rPr>
  </w:style>
  <w:style w:type="paragraph" w:customStyle="1" w:styleId="86">
    <w:name w:val="常用样式（方正仿宋简）"/>
    <w:basedOn w:val="0"/>
    <w:autoRedefine/>
    <w:next w:val="0"/>
    <w:pPr>
      <w:spacing w:line="560" w:lineRule="exact"/>
      <w:ind w:firstLineChars="200" w:firstLine="200"/>
    </w:pPr>
    <w:rPr>
      <w:rFonts w:eastAsia="方正仿宋简体"/>
      <w:sz w:val="32"/>
      <w:szCs w:val="32"/>
    </w:rPr>
  </w:style>
  <w:style w:type="paragraph" w:customStyle="1" w:styleId="87">
    <w:name w:val="1标题3级"/>
    <w:basedOn w:val="0"/>
    <w:autoRedefine/>
    <w:pPr>
      <w:snapToGrid w:val="0"/>
      <w:spacing w:line="360" w:lineRule="auto"/>
    </w:pPr>
    <w:rPr>
      <w:rFonts w:eastAsia="仿宋_GB2312"/>
      <w:sz w:val="28"/>
      <w:szCs w:val="20"/>
    </w:rPr>
  </w:style>
  <w:style w:type="paragraph" w:customStyle="1" w:styleId="88">
    <w:name w:val="表文字"/>
    <w:basedOn w:val="0"/>
    <w:autoRedefine/>
    <w:next w:val="0"/>
    <w:pPr>
      <w:topLinePunct/>
      <w:spacing w:line="240" w:lineRule="auto"/>
      <w:ind w:firstLine="0"/>
      <w:jc w:val="center"/>
    </w:pPr>
    <w:rPr>
      <w:sz w:val="21"/>
      <w:szCs w:val="21"/>
    </w:rPr>
  </w:style>
  <w:style w:type="paragraph" w:customStyle="1" w:styleId="89">
    <w:name w:val="Normal_0"/>
    <w:autoRedefine/>
    <w:pPr>
      <w:widowControl w:val="0"/>
      <w:spacing w:line="360" w:lineRule="auto"/>
      <w:ind w:firstLineChars="200" w:firstLine="200"/>
      <w:jc w:val="both"/>
    </w:pPr>
    <w:rPr>
      <w:rFonts w:ascii="Times New Roman" w:eastAsia="仿宋" w:cs="Times New Roman" w:hAnsi="Times New Roman"/>
      <w:kern w:val="2"/>
      <w:sz w:val="28"/>
      <w:szCs w:val="21"/>
    </w:rPr>
  </w:style>
  <w:style w:type="paragraph" w:customStyle="1" w:styleId="90">
    <w:name w:val="Normal_0_0"/>
    <w:autoRedefine/>
    <w:pPr>
      <w:widowControl w:val="0"/>
      <w:spacing w:line="360" w:lineRule="auto"/>
      <w:ind w:firstLineChars="200" w:firstLine="200"/>
      <w:jc w:val="both"/>
    </w:pPr>
    <w:rPr>
      <w:rFonts w:ascii="Times New Roman" w:eastAsia="仿宋" w:cs="Times New Roman" w:hAnsi="Times New Roman"/>
      <w:kern w:val="2"/>
      <w:sz w:val="28"/>
      <w:szCs w:val="21"/>
    </w:rPr>
  </w:style>
  <w:style w:type="paragraph" w:customStyle="1" w:styleId="91">
    <w:name w:val="表内文字"/>
    <w:basedOn w:val="0"/>
    <w:autoRedefine/>
    <w:rPr>
      <w:rFonts w:ascii="Calibri" w:hAnsi="Calibri"/>
      <w:kern w:val="0"/>
    </w:rPr>
  </w:style>
  <w:style w:type="paragraph" w:customStyle="1" w:styleId="92">
    <w:name w:val="表格内容-龙池"/>
    <w:basedOn w:val="0"/>
    <w:autoRedefine/>
    <w:pPr>
      <w:autoSpaceDE w:val="0"/>
      <w:autoSpaceDN w:val="0"/>
      <w:adjustRightInd w:val="0"/>
      <w:contextualSpacing/>
      <w:jc w:val="center"/>
    </w:pPr>
    <w:rPr>
      <w:rFonts w:ascii="Calibri" w:hAnsi="Calibri"/>
      <w:kern w:val="0"/>
      <w:szCs w:val="21"/>
    </w:rPr>
  </w:style>
  <w:style w:type="paragraph" w:customStyle="1" w:styleId="93">
    <w:name w:val="表格首行"/>
    <w:basedOn w:val="0"/>
    <w:autoRedefine/>
    <w:next w:val="1"/>
    <w:pPr>
      <w:adjustRightInd w:val="0"/>
      <w:jc w:val="center"/>
    </w:pPr>
    <w:rPr>
      <w:rFonts w:cs="宋体"/>
      <w:b/>
    </w:rPr>
  </w:style>
  <w:style w:type="paragraph" w:styleId="94">
    <w:name w:val="No Spacing"/>
    <w:autoRedefine/>
    <w:next w:val="95"/>
    <w:pPr>
      <w:widowControl w:val="0"/>
      <w:spacing w:line="340" w:lineRule="exact"/>
      <w:jc w:val="center"/>
    </w:pPr>
    <w:rPr>
      <w:rFonts w:ascii="Times New Roman" w:eastAsia="宋体" w:cs="Arial" w:hAnsi="Times New Roman"/>
      <w:snapToGrid w:val="0"/>
      <w:color w:val="1F497D"/>
      <w:sz w:val="21"/>
      <w:szCs w:val="21"/>
      <w:lang w:val="zh-CN" w:eastAsia="zh-CN" w:bidi="ar-SA"/>
    </w:rPr>
  </w:style>
  <w:style w:type="paragraph" w:customStyle="1" w:styleId="95">
    <w:name w:val="书正文"/>
    <w:basedOn w:val="0"/>
    <w:autoRedefine/>
    <w:pPr>
      <w:ind w:firstLine="480"/>
      <w:jc w:val="both"/>
    </w:pPr>
    <w:rPr>
      <w:rFonts w:ascii="Times New Roman" w:eastAsia="宋体" w:hAnsi="Times New Roman"/>
      <w:color w:val="000000"/>
      <w:sz w:val="24"/>
      <w:szCs w:val="22"/>
      <w:shd w:val="clear" w:color="auto" w:fill="FFFFFF"/>
    </w:rPr>
  </w:style>
  <w:style w:type="paragraph" w:customStyle="1" w:styleId="96">
    <w:name w:val="表格内容"/>
    <w:basedOn w:val="0"/>
    <w:autoRedefine/>
    <w:pPr>
      <w:framePr w:w="0" w:hRule="auto" w:wrap="around" w:vAnchor="text" w:hAnchor="text" w:xAlign="left" w:y="1" w:anchorLock="0"/>
      <w:adjustRightInd w:val="0"/>
      <w:jc w:val="center"/>
    </w:pPr>
    <w:rPr>
      <w:rFonts w:cs="Courier New"/>
      <w:kern w:val="0"/>
      <w:szCs w:val="21"/>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header" Target="header3.xml"/><Relationship Id="rId6" Type="http://schemas.openxmlformats.org/officeDocument/2006/relationships/footer" Target="footer2.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image" Target="media/19.png"/><Relationship Id="rId10" Type="http://schemas.openxmlformats.org/officeDocument/2006/relationships/image" Target="media/22.png"/><Relationship Id="rId11" Type="http://schemas.openxmlformats.org/officeDocument/2006/relationships/image" Target="media/25.png"/><Relationship Id="rId12" Type="http://schemas.openxmlformats.org/officeDocument/2006/relationships/image" Target="media/28.png"/><Relationship Id="rId13" Type="http://schemas.openxmlformats.org/officeDocument/2006/relationships/image" Target="media/76.png"/><Relationship Id="rId14" Type="http://schemas.openxmlformats.org/officeDocument/2006/relationships/image" Target="media/79.png"/><Relationship Id="rId15" Type="http://schemas.openxmlformats.org/officeDocument/2006/relationships/image" Target="media/82.png"/><Relationship Id="rId16" Type="http://schemas.openxmlformats.org/officeDocument/2006/relationships/image" Target="media/85.png"/><Relationship Id="rId17" Type="http://schemas.openxmlformats.org/officeDocument/2006/relationships/image" Target="media/88.jpeg"/><Relationship Id="rId18" Type="http://schemas.openxmlformats.org/officeDocument/2006/relationships/image" Target="media/91.jpeg"/><Relationship Id="rId19" Type="http://schemas.openxmlformats.org/officeDocument/2006/relationships/image" Target="media/94.wmf"/><Relationship Id="rId20" Type="http://schemas.openxmlformats.org/officeDocument/2006/relationships/oleObject" Target="embeddings/oleObject1.bin"/><Relationship Id="rId21" Type="http://schemas.openxmlformats.org/officeDocument/2006/relationships/header" Target="header5.xml"/><Relationship Id="rId22" Type="http://schemas.openxmlformats.org/officeDocument/2006/relationships/image" Target="media/96.wmf"/><Relationship Id="rId23" Type="http://schemas.openxmlformats.org/officeDocument/2006/relationships/oleObject" Target="embeddings/oleObject2.bin"/><Relationship Id="rId24" Type="http://schemas.openxmlformats.org/officeDocument/2006/relationships/image" Target="media/98.wmf"/><Relationship Id="rId25" Type="http://schemas.openxmlformats.org/officeDocument/2006/relationships/oleObject" Target="embeddings/oleObject3.bin"/><Relationship Id="rId26" Type="http://schemas.openxmlformats.org/officeDocument/2006/relationships/image" Target="media/100.png"/><Relationship Id="rId27" Type="http://schemas.openxmlformats.org/officeDocument/2006/relationships/image" Target="media/103.png"/><Relationship Id="rId28" Type="http://schemas.openxmlformats.org/officeDocument/2006/relationships/image" Target="media/106.png"/><Relationship Id="rId29" Type="http://schemas.openxmlformats.org/officeDocument/2006/relationships/image" Target="media/109.png"/><Relationship Id="rId30" Type="http://schemas.openxmlformats.org/officeDocument/2006/relationships/image" Target="media/112.png"/><Relationship Id="rId31" Type="http://schemas.openxmlformats.org/officeDocument/2006/relationships/image" Target="media/115.png"/><Relationship Id="rId32" Type="http://schemas.openxmlformats.org/officeDocument/2006/relationships/image" Target="media/118.png"/><Relationship Id="rId33" Type="http://schemas.openxmlformats.org/officeDocument/2006/relationships/image" Target="media/121.png"/><Relationship Id="rId34" Type="http://schemas.openxmlformats.org/officeDocument/2006/relationships/image" Target="media/124.png"/><Relationship Id="rId35" Type="http://schemas.openxmlformats.org/officeDocument/2006/relationships/image" Target="media/127.png"/><Relationship Id="rId36" Type="http://schemas.openxmlformats.org/officeDocument/2006/relationships/header" Target="header6.xml"/><Relationship Id="rId37" Type="http://schemas.openxmlformats.org/officeDocument/2006/relationships/styles" Target="style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customXml" Target="../customXml/item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sectPr/>
    <sectPr/>
    <sectPr/>
  </customProps>
</customData>
</file>

<file path=customXml/itemProps1.xml><?xml version="1.0" encoding="utf-8"?>
<ds:datastoreItem xmlns:ds="http://schemas.openxmlformats.org/officeDocument/2006/customXml" ds:itemID="{E73925EC-8A87-4CB4-8113-58BA5C2D7C4B}">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2</TotalTime>
  <Application>Yozo_Office27021597764231179</Application>
  <Pages>88</Pages>
  <Words>44849</Words>
  <Characters>49306</Characters>
  <Lines>1039</Lines>
  <Paragraphs>2449</Paragraphs>
  <CharactersWithSpaces>49445</CharactersWithSpaces>
  <Company>snhks</Company>
</Properties>
</file>

<file path=docProps/core.xml><?xml version="1.0" encoding="utf-8"?>
<cp:coreProperties xmlns:cp="http://schemas.openxmlformats.org/package/2006/metadata/core-properties" xmlns:dc="http://purl.org/dc/elements/1.1/" xmlns:dcterms="http://purl.org/dc/terms/" xmlns:xsi="http://www.w3.org/2001/XMLSchema-instance">
  <dc:title>建设项目基本情况（一）</dc:title>
  <dc:creator>fjx</dc:creator>
  <cp:lastModifiedBy>user</cp:lastModifiedBy>
  <cp:revision>2713</cp:revision>
  <cp:lastPrinted>2020-10-09T09:39:00Z</cp:lastPrinted>
  <dcterms:created xsi:type="dcterms:W3CDTF">2011-03-27T13:31:00Z</dcterms:created>
  <dcterms:modified xsi:type="dcterms:W3CDTF">2024-11-04T07:29:10Z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2052-12.1.0.18608</vt:lpwstr>
  </property>
  <property fmtid="{D5CDD505-2E9C-101B-9397-08002B2CF9AE}" pid="3" name="ICV">
    <vt:lpwstr>E07B25E466F545D9A5E5D102D7B5F55F</vt:lpwstr>
  </property>
</Properties>
</file>