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bookmarkStart w:id="0" w:name="OLE_LINK1"/>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eastAsia" w:cs="Times New Roman"/>
          <w:sz w:val="32"/>
          <w:szCs w:val="32"/>
          <w:lang w:val="en-US" w:eastAsia="zh-CN"/>
        </w:rPr>
        <w:t>91</w:t>
      </w:r>
      <w:r>
        <w:rPr>
          <w:rFonts w:hint="eastAsia" w:ascii="仿宋_GB2312" w:hAnsi="仿宋_GB2312" w:eastAsia="仿宋_GB2312" w:cs="仿宋_GB2312"/>
          <w:sz w:val="32"/>
          <w:szCs w:val="32"/>
        </w:rPr>
        <w:t>号</w:t>
      </w:r>
    </w:p>
    <w:p w14:paraId="187037DF">
      <w:pPr>
        <w:pStyle w:val="3"/>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6EF46D8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eastAsia="方正小标宋简体" w:cs="Times New Roman"/>
          <w:kern w:val="0"/>
          <w:sz w:val="44"/>
          <w:szCs w:val="44"/>
        </w:rPr>
      </w:pPr>
      <w:r>
        <w:rPr>
          <w:rFonts w:hint="eastAsia" w:eastAsia="方正小标宋简体" w:cs="Times New Roman"/>
          <w:kern w:val="0"/>
          <w:sz w:val="44"/>
          <w:szCs w:val="44"/>
        </w:rPr>
        <w:t>关于年产</w:t>
      </w:r>
      <w:r>
        <w:rPr>
          <w:rFonts w:hint="eastAsia" w:ascii="方正小标宋简体" w:hAnsi="方正小标宋简体" w:eastAsia="方正小标宋简体" w:cs="方正小标宋简体"/>
          <w:kern w:val="0"/>
          <w:sz w:val="44"/>
          <w:szCs w:val="44"/>
        </w:rPr>
        <w:t>4000</w:t>
      </w:r>
      <w:r>
        <w:rPr>
          <w:rFonts w:hint="eastAsia" w:eastAsia="方正小标宋简体" w:cs="Times New Roman"/>
          <w:kern w:val="0"/>
          <w:sz w:val="44"/>
          <w:szCs w:val="44"/>
        </w:rPr>
        <w:t>万只酒类及家电类环保塑料制品数字化生产线建设项目环境影响报告表的</w:t>
      </w:r>
    </w:p>
    <w:p w14:paraId="651747E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eastAsia="方正小标宋简体" w:cs="Times New Roman"/>
          <w:kern w:val="0"/>
          <w:sz w:val="44"/>
          <w:szCs w:val="44"/>
        </w:rPr>
        <w:t>批  复</w:t>
      </w:r>
    </w:p>
    <w:p w14:paraId="1A4C9D87">
      <w:pPr>
        <w:pStyle w:val="8"/>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Times New Roman" w:hAnsi="Times New Roman" w:eastAsia="仿宋_GB2312" w:cs="Times New Roman"/>
          <w:color w:val="auto"/>
          <w:spacing w:val="-6"/>
          <w:kern w:val="2"/>
          <w:sz w:val="32"/>
          <w:szCs w:val="32"/>
          <w:lang w:val="en-US" w:eastAsia="zh-CN" w:bidi="ar-SA"/>
        </w:rPr>
      </w:pPr>
    </w:p>
    <w:p w14:paraId="51ADBA90">
      <w:pPr>
        <w:keepNext w:val="0"/>
        <w:keepLines w:val="0"/>
        <w:pageBreakBefore w:val="0"/>
        <w:kinsoku/>
        <w:wordWrap/>
        <w:overflowPunct w:val="0"/>
        <w:topLinePunct/>
        <w:bidi w:val="0"/>
        <w:snapToGrid w:val="0"/>
        <w:spacing w:line="560" w:lineRule="exact"/>
        <w:ind w:left="0"/>
        <w:jc w:val="both"/>
        <w:textAlignment w:val="auto"/>
        <w:rPr>
          <w:rFonts w:eastAsia="仿宋_GB2312" w:cs="Times New Roman"/>
        </w:rPr>
      </w:pPr>
      <w:r>
        <w:rPr>
          <w:rFonts w:hint="eastAsia" w:eastAsia="仿宋_GB2312" w:cs="Times New Roman"/>
        </w:rPr>
        <w:t>四川圣拉斯包装制品有限公司：</w:t>
      </w:r>
    </w:p>
    <w:p w14:paraId="65B18DB6">
      <w:pPr>
        <w:keepNext w:val="0"/>
        <w:keepLines w:val="0"/>
        <w:pageBreakBefore w:val="0"/>
        <w:widowControl/>
        <w:kinsoku/>
        <w:wordWrap/>
        <w:bidi w:val="0"/>
        <w:spacing w:line="560" w:lineRule="exact"/>
        <w:ind w:left="0" w:firstLine="632" w:firstLineChars="200"/>
        <w:jc w:val="both"/>
        <w:textAlignment w:val="auto"/>
        <w:rPr>
          <w:rFonts w:eastAsia="仿宋_GB2312" w:cs="Times New Roman"/>
        </w:rPr>
      </w:pPr>
      <w:r>
        <w:rPr>
          <w:rFonts w:hint="eastAsia" w:eastAsia="仿宋_GB2312" w:cs="Times New Roman"/>
        </w:rPr>
        <w:t>你公司报送的《年产4000万只酒类及家电类环保塑料制品数字化生产线建设项目环境影响报告表》（以下简称《报告表》）收悉。经研究，批复如下：</w:t>
      </w:r>
    </w:p>
    <w:p w14:paraId="5AFEE302">
      <w:pPr>
        <w:keepNext w:val="0"/>
        <w:keepLines w:val="0"/>
        <w:pageBreakBefore w:val="0"/>
        <w:kinsoku/>
        <w:wordWrap/>
        <w:bidi w:val="0"/>
        <w:adjustRightInd w:val="0"/>
        <w:spacing w:line="560" w:lineRule="exact"/>
        <w:ind w:left="0" w:firstLine="632" w:firstLineChars="200"/>
        <w:jc w:val="both"/>
        <w:textAlignment w:val="auto"/>
        <w:rPr>
          <w:rFonts w:eastAsia="黑体" w:cs="Times New Roman"/>
        </w:rPr>
      </w:pPr>
      <w:r>
        <w:rPr>
          <w:rFonts w:hint="eastAsia" w:eastAsia="黑体" w:cs="Times New Roman"/>
        </w:rPr>
        <w:t>一、项目概况及总体意见</w:t>
      </w:r>
    </w:p>
    <w:p w14:paraId="4B0130E4">
      <w:pPr>
        <w:keepNext w:val="0"/>
        <w:keepLines w:val="0"/>
        <w:pageBreakBefore w:val="0"/>
        <w:kinsoku/>
        <w:wordWrap/>
        <w:bidi w:val="0"/>
        <w:adjustRightInd w:val="0"/>
        <w:spacing w:line="560" w:lineRule="exact"/>
        <w:ind w:left="0" w:firstLine="632" w:firstLineChars="200"/>
        <w:jc w:val="both"/>
        <w:textAlignment w:val="auto"/>
        <w:rPr>
          <w:rFonts w:eastAsia="仿宋_GB2312" w:cs="Times New Roman"/>
        </w:rPr>
      </w:pPr>
      <w:r>
        <w:rPr>
          <w:rFonts w:hint="eastAsia" w:eastAsia="仿宋_GB2312" w:cs="Times New Roman"/>
        </w:rPr>
        <w:t>该项目在你公司位于四川大英经济开发区的厂区内（大英县蓬莱镇采和大道261号附1号）建设，主要建设内容为：新建1栋生产车间（2F）、1栋成品库房（2F），新增4条酒类及家电类环保塑料制品全自动生产线及配套公辅、环保设施，建成后形成年产3000万只酒瓶外包装盒（含底座）、1000万只日用家电配件的生产能力。项目总投资2000万元，其中环保投资90万元。</w:t>
      </w:r>
    </w:p>
    <w:p w14:paraId="049E361B">
      <w:pPr>
        <w:keepNext w:val="0"/>
        <w:keepLines w:val="0"/>
        <w:pageBreakBefore w:val="0"/>
        <w:kinsoku/>
        <w:wordWrap/>
        <w:bidi w:val="0"/>
        <w:adjustRightInd w:val="0"/>
        <w:spacing w:line="560" w:lineRule="exact"/>
        <w:ind w:left="0" w:firstLine="632" w:firstLineChars="200"/>
        <w:jc w:val="both"/>
        <w:textAlignment w:val="auto"/>
        <w:rPr>
          <w:rFonts w:hint="eastAsia" w:eastAsia="仿宋_GB2312" w:cs="Times New Roman"/>
          <w:kern w:val="0"/>
        </w:rPr>
        <w:sectPr>
          <w:headerReference r:id="rId3" w:type="default"/>
          <w:footerReference r:id="rId5" w:type="default"/>
          <w:headerReference r:id="rId4" w:type="even"/>
          <w:pgSz w:w="11906" w:h="16838"/>
          <w:pgMar w:top="2098" w:right="1474" w:bottom="1417" w:left="1587" w:header="851" w:footer="1020"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eastAsia="仿宋_GB2312" w:cs="Times New Roman"/>
        </w:rPr>
        <w:t>项目经大英县发展和改革局登记备案（川投资备</w:t>
      </w:r>
      <w:r>
        <w:rPr>
          <w:rFonts w:hint="eastAsia" w:eastAsia="仿宋_GB2312" w:cs="Times New Roman"/>
          <w:kern w:val="0"/>
        </w:rPr>
        <w:t>【2406-510923-04-01-802027】FGQB-0114号），属于未列入《产</w:t>
      </w:r>
    </w:p>
    <w:p w14:paraId="710E2ED8">
      <w:pPr>
        <w:keepNext w:val="0"/>
        <w:keepLines w:val="0"/>
        <w:pageBreakBefore w:val="0"/>
        <w:kinsoku/>
        <w:wordWrap/>
        <w:bidi w:val="0"/>
        <w:adjustRightInd w:val="0"/>
        <w:spacing w:line="560" w:lineRule="exact"/>
        <w:jc w:val="both"/>
        <w:textAlignment w:val="auto"/>
        <w:rPr>
          <w:rFonts w:eastAsia="仿宋_GB2312" w:cs="Times New Roman"/>
        </w:rPr>
      </w:pPr>
      <w:r>
        <w:rPr>
          <w:rFonts w:hint="eastAsia" w:eastAsia="仿宋_GB2312" w:cs="Times New Roman"/>
        </w:rPr>
        <w:t>业结构调整指导目录（2</w:t>
      </w:r>
      <w:r>
        <w:rPr>
          <w:rFonts w:eastAsia="仿宋_GB2312" w:cs="Times New Roman"/>
        </w:rPr>
        <w:t>024</w:t>
      </w:r>
      <w:r>
        <w:rPr>
          <w:rFonts w:hint="eastAsia" w:eastAsia="仿宋_GB2312" w:cs="Times New Roman"/>
        </w:rPr>
        <w:t>年本）》中的允许类项目。项目新增建设用地5252.52m</w:t>
      </w:r>
      <w:r>
        <w:rPr>
          <w:rFonts w:hint="eastAsia" w:eastAsia="仿宋_GB2312" w:cs="Times New Roman"/>
          <w:vertAlign w:val="superscript"/>
        </w:rPr>
        <w:t>2</w:t>
      </w:r>
      <w:r>
        <w:rPr>
          <w:rFonts w:hint="eastAsia" w:eastAsia="仿宋_GB2312" w:cs="Times New Roman"/>
          <w:vertAlign w:val="baseline"/>
        </w:rPr>
        <w:t>，</w:t>
      </w:r>
      <w:r>
        <w:rPr>
          <w:rFonts w:hint="eastAsia" w:eastAsia="仿宋_GB2312" w:cs="Times New Roman"/>
        </w:rPr>
        <w:t>用地性质为工业用地，已取得不动产登记证明〔川（2024）大英县不动产证明第0004140号〕。</w:t>
      </w:r>
      <w:r>
        <w:rPr>
          <w:rFonts w:eastAsia="仿宋_GB2312" w:cs="Times New Roman"/>
        </w:rPr>
        <w:t>项目建设选址的四川大英经济开发区，已开展规划环评并取得审查意见（川环建函〔2019〕48号）。</w:t>
      </w:r>
      <w:r>
        <w:rPr>
          <w:rFonts w:hint="eastAsia" w:eastAsia="仿宋_GB2312" w:cs="Times New Roman"/>
        </w:rPr>
        <w:t>《报告表》认为项目建设符合国家产业政策，选址符合相关规划和规划环评相关要求。</w:t>
      </w:r>
    </w:p>
    <w:p w14:paraId="36B70C36">
      <w:pPr>
        <w:keepNext w:val="0"/>
        <w:keepLines w:val="0"/>
        <w:pageBreakBefore w:val="0"/>
        <w:kinsoku/>
        <w:wordWrap/>
        <w:overflowPunct w:val="0"/>
        <w:bidi w:val="0"/>
        <w:adjustRightInd w:val="0"/>
        <w:snapToGrid w:val="0"/>
        <w:spacing w:line="560" w:lineRule="exact"/>
        <w:ind w:left="0" w:firstLine="632" w:firstLineChars="200"/>
        <w:jc w:val="both"/>
        <w:textAlignment w:val="auto"/>
        <w:rPr>
          <w:rFonts w:eastAsia="仿宋_GB2312" w:cs="Times New Roman"/>
        </w:rPr>
      </w:pPr>
      <w:r>
        <w:rPr>
          <w:rFonts w:hint="eastAsia" w:eastAsia="仿宋_GB2312" w:cs="Times New Roman"/>
        </w:rPr>
        <w:t>在严格落实《报告表》提出的环保对策及措施，严格执行环</w:t>
      </w:r>
      <w:r>
        <w:rPr>
          <w:rFonts w:hint="eastAsia" w:eastAsia="仿宋_GB2312" w:cs="Times New Roman"/>
          <w:kern w:val="0"/>
        </w:rPr>
        <w:t>境保护“三同时”制度，确保污染物达标排放，认真落实环境风险</w:t>
      </w:r>
      <w:r>
        <w:rPr>
          <w:rFonts w:hint="eastAsia" w:eastAsia="仿宋_GB2312" w:cs="Times New Roman"/>
        </w:rPr>
        <w:t>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14:paraId="30B5ADDD">
      <w:pPr>
        <w:keepNext w:val="0"/>
        <w:keepLines w:val="0"/>
        <w:pageBreakBefore w:val="0"/>
        <w:kinsoku/>
        <w:wordWrap/>
        <w:overflowPunct w:val="0"/>
        <w:bidi w:val="0"/>
        <w:snapToGrid w:val="0"/>
        <w:spacing w:line="560" w:lineRule="exact"/>
        <w:ind w:left="0" w:firstLine="632" w:firstLineChars="200"/>
        <w:jc w:val="both"/>
        <w:textAlignment w:val="auto"/>
        <w:rPr>
          <w:rFonts w:eastAsia="黑体" w:cs="Times New Roman"/>
        </w:rPr>
      </w:pPr>
      <w:r>
        <w:rPr>
          <w:rFonts w:hint="eastAsia" w:eastAsia="黑体" w:cs="Times New Roman"/>
        </w:rPr>
        <w:t>二、项目建设及营运期应重点做好以下工作</w:t>
      </w:r>
    </w:p>
    <w:p w14:paraId="15CD59A1">
      <w:pPr>
        <w:keepNext w:val="0"/>
        <w:keepLines w:val="0"/>
        <w:pageBreakBefore w:val="0"/>
        <w:kinsoku/>
        <w:wordWrap/>
        <w:overflowPunct w:val="0"/>
        <w:bidi w:val="0"/>
        <w:adjustRightInd w:val="0"/>
        <w:snapToGrid w:val="0"/>
        <w:spacing w:line="56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（一）落实污染防治和环境管理措施。</w:t>
      </w:r>
      <w:r>
        <w:rPr>
          <w:rFonts w:hint="eastAsia" w:eastAsia="仿宋_GB2312" w:cs="Times New Roman"/>
        </w:rPr>
        <w:t>加强环保设施的日常管理和维护，确保环保设施正常运行及各类污染物稳定达标排放。制定并不断完善突发环境事件应急预案，规范内部管理，严格规范操作，定期开展自行监测，防止污染事故的发生。</w:t>
      </w:r>
    </w:p>
    <w:p w14:paraId="2B279A7B">
      <w:pPr>
        <w:keepNext w:val="0"/>
        <w:keepLines w:val="0"/>
        <w:pageBreakBefore w:val="0"/>
        <w:kinsoku/>
        <w:wordWrap/>
        <w:overflowPunct w:val="0"/>
        <w:bidi w:val="0"/>
        <w:adjustRightInd w:val="0"/>
        <w:snapToGrid w:val="0"/>
        <w:spacing w:line="56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（二）落实废水处理措施。</w:t>
      </w:r>
      <w:r>
        <w:rPr>
          <w:rFonts w:hint="eastAsia" w:ascii="Times New Roman" w:hAnsi="Times New Roman" w:eastAsia="仿宋_GB2312" w:cs="Times New Roman"/>
        </w:rPr>
        <w:t>施工期</w:t>
      </w:r>
      <w:r>
        <w:rPr>
          <w:rFonts w:hint="eastAsia" w:eastAsia="仿宋_GB2312" w:cs="Times New Roman"/>
        </w:rPr>
        <w:t>：</w:t>
      </w:r>
      <w:r>
        <w:rPr>
          <w:rFonts w:hint="eastAsia" w:ascii="Times New Roman" w:hAnsi="Times New Roman" w:eastAsia="仿宋_GB2312" w:cs="Times New Roman"/>
        </w:rPr>
        <w:t>在</w:t>
      </w:r>
      <w:r>
        <w:rPr>
          <w:rFonts w:hint="eastAsia" w:ascii="Times New Roman" w:eastAsia="仿宋_GB2312" w:cs="Times New Roman"/>
          <w:kern w:val="2"/>
          <w:sz w:val="32"/>
          <w:szCs w:val="32"/>
        </w:rPr>
        <w:t>施工场地设置三级沉淀池，</w:t>
      </w:r>
      <w:r>
        <w:rPr>
          <w:rFonts w:hint="eastAsia" w:eastAsia="仿宋_GB2312" w:cs="Times New Roman"/>
        </w:rPr>
        <w:t>施工</w:t>
      </w:r>
      <w:r>
        <w:rPr>
          <w:rFonts w:hint="eastAsia" w:ascii="Times New Roman" w:eastAsia="仿宋_GB2312" w:cs="Times New Roman"/>
          <w:kern w:val="2"/>
          <w:sz w:val="32"/>
          <w:szCs w:val="32"/>
        </w:rPr>
        <w:t>废水经沉淀后全部回用</w:t>
      </w:r>
      <w:r>
        <w:rPr>
          <w:rFonts w:hint="eastAsia" w:eastAsia="仿宋_GB2312" w:cs="Times New Roman"/>
        </w:rPr>
        <w:t>；</w:t>
      </w:r>
      <w:r>
        <w:rPr>
          <w:rFonts w:hint="eastAsia" w:ascii="Times New Roman" w:eastAsia="仿宋_GB2312" w:cs="Times New Roman"/>
          <w:kern w:val="2"/>
          <w:sz w:val="32"/>
          <w:szCs w:val="32"/>
        </w:rPr>
        <w:t>场地内地下渗水收集后用作车辆冲洗、洒水降尘等</w:t>
      </w:r>
      <w:r>
        <w:rPr>
          <w:rFonts w:hint="eastAsia" w:eastAsia="仿宋_GB2312" w:cs="Times New Roman"/>
        </w:rPr>
        <w:t>；</w:t>
      </w:r>
      <w:r>
        <w:rPr>
          <w:rFonts w:hint="eastAsia" w:ascii="Times New Roman" w:eastAsia="仿宋_GB2312" w:cs="Times New Roman"/>
          <w:kern w:val="2"/>
          <w:sz w:val="32"/>
          <w:szCs w:val="32"/>
        </w:rPr>
        <w:t>生活污水依托厂区已建预处理池处理后</w:t>
      </w:r>
      <w:r>
        <w:rPr>
          <w:rFonts w:hint="eastAsia" w:eastAsia="仿宋_GB2312" w:cs="Times New Roman"/>
        </w:rPr>
        <w:t>经园区管网</w:t>
      </w:r>
      <w:r>
        <w:rPr>
          <w:rFonts w:hint="eastAsia" w:ascii="Times New Roman" w:eastAsia="仿宋_GB2312" w:cs="Times New Roman"/>
          <w:kern w:val="2"/>
          <w:sz w:val="32"/>
          <w:szCs w:val="32"/>
        </w:rPr>
        <w:t>排</w:t>
      </w:r>
      <w:r>
        <w:rPr>
          <w:rFonts w:hint="eastAsia" w:eastAsia="仿宋_GB2312" w:cs="Times New Roman"/>
        </w:rPr>
        <w:t>至</w:t>
      </w:r>
      <w:r>
        <w:rPr>
          <w:rFonts w:hint="eastAsia" w:ascii="Times New Roman" w:eastAsia="仿宋_GB2312" w:cs="Times New Roman"/>
          <w:kern w:val="2"/>
          <w:sz w:val="32"/>
          <w:szCs w:val="32"/>
        </w:rPr>
        <w:t>大英县工业污水处理厂</w:t>
      </w:r>
      <w:r>
        <w:rPr>
          <w:rFonts w:hint="eastAsia" w:eastAsia="仿宋_GB2312" w:cs="Times New Roman"/>
        </w:rPr>
        <w:t>集中处理</w:t>
      </w:r>
      <w:r>
        <w:rPr>
          <w:rFonts w:hint="eastAsia" w:ascii="Times New Roman" w:eastAsia="仿宋_GB2312" w:cs="Times New Roman"/>
          <w:kern w:val="2"/>
          <w:sz w:val="32"/>
          <w:szCs w:val="32"/>
        </w:rPr>
        <w:t>。</w:t>
      </w:r>
      <w:r>
        <w:rPr>
          <w:rFonts w:hint="eastAsia" w:eastAsia="仿宋_GB2312" w:cs="Times New Roman"/>
        </w:rPr>
        <w:t>运营期：</w:t>
      </w:r>
      <w:r>
        <w:rPr>
          <w:rFonts w:hint="eastAsia" w:ascii="Times New Roman" w:eastAsia="仿宋_GB2312" w:cs="Times New Roman"/>
          <w:kern w:val="2"/>
          <w:sz w:val="32"/>
          <w:szCs w:val="32"/>
        </w:rPr>
        <w:t>采用雨、污分流制排水体系，</w:t>
      </w:r>
      <w:r>
        <w:rPr>
          <w:rFonts w:hint="eastAsia" w:eastAsia="仿宋_GB2312" w:cs="Times New Roman"/>
        </w:rPr>
        <w:t>食堂废水经隔油池处理后与生活污水一起经预处理池处理后，合并</w:t>
      </w:r>
      <w:r>
        <w:rPr>
          <w:rFonts w:hint="eastAsia" w:ascii="Times New Roman" w:eastAsia="仿宋_GB2312" w:cs="Times New Roman"/>
          <w:kern w:val="2"/>
          <w:sz w:val="32"/>
          <w:szCs w:val="32"/>
        </w:rPr>
        <w:t>循环冷却排污水</w:t>
      </w:r>
      <w:r>
        <w:rPr>
          <w:rFonts w:hint="eastAsia" w:eastAsia="仿宋_GB2312" w:cs="Times New Roman"/>
        </w:rPr>
        <w:t>经园区管网排至大英县工业污水处理厂处理达标后排放。</w:t>
      </w:r>
    </w:p>
    <w:p w14:paraId="465B98E3">
      <w:pPr>
        <w:keepNext w:val="0"/>
        <w:keepLines w:val="0"/>
        <w:pageBreakBefore w:val="0"/>
        <w:kinsoku/>
        <w:wordWrap/>
        <w:overflowPunct w:val="0"/>
        <w:bidi w:val="0"/>
        <w:adjustRightInd w:val="0"/>
        <w:snapToGrid w:val="0"/>
        <w:spacing w:line="56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（三）落实废气治理措施。</w:t>
      </w:r>
      <w:r>
        <w:rPr>
          <w:rFonts w:hint="eastAsia" w:eastAsia="仿宋_GB2312" w:cs="Times New Roman"/>
        </w:rPr>
        <w:t>施工期：现场施工</w:t>
      </w:r>
      <w:r>
        <w:rPr>
          <w:rFonts w:hint="eastAsia" w:ascii="Times New Roman" w:eastAsia="仿宋_GB2312" w:cs="Times New Roman"/>
          <w:kern w:val="2"/>
          <w:sz w:val="32"/>
          <w:szCs w:val="32"/>
        </w:rPr>
        <w:t>使用商品混凝土，不设搅拌站，风速大于</w:t>
      </w:r>
      <w:r>
        <w:rPr>
          <w:rFonts w:ascii="Times New Roman" w:eastAsia="仿宋_GB2312" w:cs="Times New Roman"/>
          <w:kern w:val="2"/>
          <w:sz w:val="32"/>
          <w:szCs w:val="32"/>
        </w:rPr>
        <w:t>4m/s</w:t>
      </w:r>
      <w:r>
        <w:rPr>
          <w:rFonts w:hint="eastAsia" w:ascii="Times New Roman" w:eastAsia="仿宋_GB2312" w:cs="Times New Roman"/>
          <w:kern w:val="2"/>
          <w:sz w:val="32"/>
          <w:szCs w:val="32"/>
        </w:rPr>
        <w:t>时停止施工；</w:t>
      </w:r>
      <w:r>
        <w:rPr>
          <w:rFonts w:hint="eastAsia" w:eastAsia="仿宋_GB2312" w:cs="Times New Roman"/>
        </w:rPr>
        <w:t>严格落实建筑工地“六必须六不准”和“六个百分百”要求；加强运输车辆和非道路移动机械尾气管理；</w:t>
      </w:r>
      <w:r>
        <w:rPr>
          <w:rFonts w:hint="eastAsia" w:ascii="Times New Roman" w:eastAsia="仿宋_GB2312" w:cs="Times New Roman"/>
          <w:kern w:val="2"/>
          <w:sz w:val="32"/>
          <w:szCs w:val="32"/>
        </w:rPr>
        <w:t>遇重污染天气预警时</w:t>
      </w:r>
      <w:r>
        <w:rPr>
          <w:rFonts w:hint="eastAsia" w:eastAsia="仿宋_GB2312" w:cs="Times New Roman"/>
        </w:rPr>
        <w:t>严格落实</w:t>
      </w:r>
      <w:r>
        <w:rPr>
          <w:rFonts w:hint="eastAsia" w:ascii="Times New Roman" w:eastAsia="仿宋_GB2312" w:cs="Times New Roman"/>
          <w:kern w:val="2"/>
          <w:sz w:val="32"/>
          <w:szCs w:val="32"/>
        </w:rPr>
        <w:t>应急减排措施</w:t>
      </w:r>
      <w:r>
        <w:rPr>
          <w:rFonts w:hint="eastAsia" w:eastAsia="仿宋_GB2312" w:cs="Times New Roman"/>
        </w:rPr>
        <w:t>。运营期：注塑成型工序产生的有机废气通过在每台注塑成型机注射口上方设</w:t>
      </w:r>
      <w:r>
        <w:rPr>
          <w:rFonts w:hint="eastAsia" w:ascii="Times New Roman" w:eastAsia="仿宋_GB2312" w:cs="Times New Roman"/>
          <w:kern w:val="2"/>
          <w:sz w:val="32"/>
          <w:szCs w:val="32"/>
        </w:rPr>
        <w:t>置“集气罩</w:t>
      </w:r>
      <w:r>
        <w:rPr>
          <w:rFonts w:ascii="Times New Roman" w:eastAsia="仿宋_GB2312" w:cs="Times New Roman"/>
          <w:b w:val="0"/>
          <w:bCs w:val="0"/>
          <w:kern w:val="2"/>
          <w:sz w:val="32"/>
          <w:szCs w:val="32"/>
        </w:rPr>
        <w:t>+</w:t>
      </w:r>
      <w:r>
        <w:rPr>
          <w:rFonts w:hint="eastAsia" w:ascii="Times New Roman" w:eastAsia="仿宋_GB2312" w:cs="Times New Roman"/>
          <w:kern w:val="2"/>
          <w:sz w:val="32"/>
          <w:szCs w:val="32"/>
        </w:rPr>
        <w:t>软帘”收集；</w:t>
      </w:r>
      <w:r>
        <w:rPr>
          <w:rFonts w:hint="eastAsia" w:eastAsia="仿宋_GB2312" w:cs="Times New Roman"/>
        </w:rPr>
        <w:t>丝印/热转印工序设置在密闭印刷间，产生的有机废气通过</w:t>
      </w:r>
      <w:r>
        <w:rPr>
          <w:rFonts w:hint="eastAsia" w:ascii="Times New Roman" w:eastAsia="仿宋_GB2312" w:cs="Times New Roman"/>
          <w:kern w:val="2"/>
          <w:sz w:val="32"/>
          <w:szCs w:val="32"/>
        </w:rPr>
        <w:t>密闭负压抽风系统收集；</w:t>
      </w:r>
      <w:r>
        <w:rPr>
          <w:rFonts w:hint="eastAsia" w:eastAsia="仿宋_GB2312" w:cs="Times New Roman"/>
        </w:rPr>
        <w:t>两个工序的有机废气收集后汇入废气总管，通过1套二级活性炭吸附装置处理达标后经15米高排气筒（DA005）排放。食堂油烟依托现有项目已建油烟净化器处理后引至食堂屋顶排放。加强无组织排放废气管理，</w:t>
      </w:r>
      <w:r>
        <w:rPr>
          <w:rFonts w:hint="eastAsia" w:ascii="Times New Roman" w:eastAsia="仿宋_GB2312" w:cs="Times New Roman"/>
          <w:kern w:val="2"/>
          <w:sz w:val="32"/>
          <w:szCs w:val="32"/>
        </w:rPr>
        <w:t>以生产车间边界</w:t>
      </w:r>
      <w:r>
        <w:rPr>
          <w:rFonts w:hint="eastAsia" w:eastAsia="仿宋_GB2312" w:cs="Times New Roman"/>
        </w:rPr>
        <w:t>起向外</w:t>
      </w:r>
      <w:r>
        <w:rPr>
          <w:rFonts w:hint="eastAsia" w:ascii="Times New Roman" w:eastAsia="仿宋_GB2312" w:cs="Times New Roman"/>
          <w:kern w:val="2"/>
          <w:sz w:val="32"/>
          <w:szCs w:val="32"/>
        </w:rPr>
        <w:t>划定</w:t>
      </w:r>
      <w:r>
        <w:rPr>
          <w:rFonts w:ascii="Times New Roman" w:eastAsia="仿宋_GB2312" w:cs="Times New Roman"/>
          <w:kern w:val="2"/>
          <w:sz w:val="32"/>
          <w:szCs w:val="32"/>
        </w:rPr>
        <w:t>100m</w:t>
      </w:r>
      <w:r>
        <w:rPr>
          <w:rFonts w:hint="eastAsia" w:ascii="Times New Roman" w:eastAsia="仿宋_GB2312" w:cs="Times New Roman"/>
          <w:kern w:val="2"/>
          <w:sz w:val="32"/>
          <w:szCs w:val="32"/>
        </w:rPr>
        <w:t>范围卫生防护距离，</w:t>
      </w:r>
      <w:r>
        <w:rPr>
          <w:rFonts w:hint="eastAsia" w:ascii="Times New Roman" w:eastAsia="仿宋_GB2312" w:cs="Times New Roman"/>
          <w:color w:val="auto"/>
          <w:sz w:val="32"/>
          <w:szCs w:val="32"/>
          <w:shd w:val="clear" w:color="auto" w:fill="auto"/>
        </w:rPr>
        <w:t>此范围内现无居民分布，</w:t>
      </w:r>
      <w:r>
        <w:rPr>
          <w:rFonts w:hint="eastAsia" w:eastAsia="仿宋_GB2312" w:cs="Times New Roman"/>
          <w:bCs w:val="0"/>
        </w:rPr>
        <w:t>你公司应</w:t>
      </w:r>
      <w:r>
        <w:rPr>
          <w:rFonts w:hint="eastAsia" w:eastAsia="仿宋_GB2312" w:cs="Times New Roman"/>
        </w:rPr>
        <w:t>积极配合相关</w:t>
      </w:r>
      <w:r>
        <w:rPr>
          <w:rFonts w:hint="eastAsia" w:eastAsia="仿宋_GB2312" w:cs="Times New Roman"/>
          <w:bCs w:val="0"/>
        </w:rPr>
        <w:t>主管部门</w:t>
      </w:r>
      <w:r>
        <w:rPr>
          <w:rFonts w:hint="eastAsia" w:eastAsia="仿宋_GB2312" w:cs="Times New Roman"/>
        </w:rPr>
        <w:t>加强项目周边规划控制</w:t>
      </w:r>
      <w:r>
        <w:rPr>
          <w:rFonts w:hint="eastAsia" w:eastAsia="仿宋_GB2312" w:cs="Times New Roman"/>
          <w:bCs w:val="0"/>
        </w:rPr>
        <w:t>，项目卫生防护距离范围内不得</w:t>
      </w:r>
      <w:r>
        <w:rPr>
          <w:rFonts w:hint="eastAsia" w:eastAsia="仿宋_GB2312" w:cs="Times New Roman"/>
        </w:rPr>
        <w:t>新建</w:t>
      </w:r>
      <w:r>
        <w:rPr>
          <w:rFonts w:hint="eastAsia" w:eastAsia="仿宋_GB2312" w:cs="Times New Roman"/>
          <w:bCs w:val="0"/>
        </w:rPr>
        <w:t>学校、医院、居民区等敏感目标。</w:t>
      </w:r>
    </w:p>
    <w:p w14:paraId="44AB05F8">
      <w:pPr>
        <w:keepNext w:val="0"/>
        <w:keepLines w:val="0"/>
        <w:pageBreakBefore w:val="0"/>
        <w:widowControl w:val="0"/>
        <w:kinsoku/>
        <w:wordWrap/>
        <w:overflowPunct/>
        <w:topLinePunct w:val="0"/>
        <w:autoSpaceDE w:val="0"/>
        <w:autoSpaceDN w:val="0"/>
        <w:bidi w:val="0"/>
        <w:adjustRightInd w:val="0"/>
        <w:snapToGrid/>
        <w:spacing w:line="56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（四）落实固废处置措施。</w:t>
      </w:r>
      <w:r>
        <w:rPr>
          <w:rFonts w:hint="eastAsia" w:ascii="Times New Roman" w:hAnsi="Times New Roman" w:eastAsia="仿宋_GB2312" w:cs="Times New Roman"/>
        </w:rPr>
        <w:t>施工期：</w:t>
      </w:r>
      <w:r>
        <w:rPr>
          <w:rFonts w:hint="eastAsia" w:ascii="Times New Roman" w:eastAsia="仿宋_GB2312" w:cs="Times New Roman"/>
          <w:kern w:val="2"/>
          <w:sz w:val="32"/>
          <w:szCs w:val="32"/>
        </w:rPr>
        <w:t>开挖</w:t>
      </w:r>
      <w:r>
        <w:rPr>
          <w:rFonts w:hint="eastAsia" w:eastAsia="仿宋_GB2312" w:cs="Times New Roman"/>
        </w:rPr>
        <w:t>的</w:t>
      </w:r>
      <w:r>
        <w:rPr>
          <w:rFonts w:hint="eastAsia" w:ascii="Times New Roman" w:eastAsia="仿宋_GB2312" w:cs="Times New Roman"/>
          <w:kern w:val="2"/>
          <w:sz w:val="32"/>
          <w:szCs w:val="32"/>
        </w:rPr>
        <w:t>土石方全部用于场地回填、调整场平，建筑垃圾及时清运至指定地点处置，施工人员生活垃圾经袋装收集后，</w:t>
      </w:r>
      <w:r>
        <w:rPr>
          <w:rFonts w:hint="eastAsia" w:eastAsia="仿宋_GB2312" w:cs="Times New Roman"/>
        </w:rPr>
        <w:t>交</w:t>
      </w:r>
      <w:r>
        <w:rPr>
          <w:rFonts w:hint="eastAsia" w:ascii="Times New Roman" w:eastAsia="仿宋_GB2312" w:cs="Times New Roman"/>
          <w:kern w:val="2"/>
          <w:sz w:val="32"/>
          <w:szCs w:val="32"/>
        </w:rPr>
        <w:t>由环卫部门统一清运处理。</w:t>
      </w:r>
      <w:r>
        <w:rPr>
          <w:rFonts w:hint="eastAsia" w:eastAsia="仿宋_GB2312" w:cs="Times New Roman"/>
        </w:rPr>
        <w:t>运营期：按要求落实固体废物分类收集、贮存、运输、处置措施。废旧模具、废边角料、残次品、废旧铝箔、废包装材料等经分类收集后暂存于一般固废间，其中废旧模具定期交由模具厂商回收处置，其余一般固体废物定期外售废旧资源回收站；废网版、废油墨桶、废机油及包装桶、废活性炭、废弃劳保用品等危险废物分类收集后暂存于危废暂存间，定期交由有资质单位清运处置；餐厨垃圾（含隔油池浮油）交由取得经营许可的餐厨垃圾处置单位清运处理；生活垃圾、预处理池污泥经收集后统一交由市政环卫部门清运处理。</w:t>
      </w:r>
    </w:p>
    <w:p w14:paraId="656E8FA5">
      <w:pPr>
        <w:keepNext w:val="0"/>
        <w:keepLines w:val="0"/>
        <w:pageBreakBefore w:val="0"/>
        <w:kinsoku/>
        <w:wordWrap/>
        <w:overflowPunct w:val="0"/>
        <w:bidi w:val="0"/>
        <w:adjustRightInd w:val="0"/>
        <w:snapToGrid w:val="0"/>
        <w:spacing w:line="56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（五）落实噪声防治措施。</w:t>
      </w:r>
      <w:r>
        <w:rPr>
          <w:rFonts w:hint="eastAsia" w:ascii="Times New Roman" w:hAnsi="Times New Roman" w:eastAsia="仿宋_GB2312" w:cs="Times New Roman"/>
        </w:rPr>
        <w:t>施工期：合理布局施工平面，选用低噪声施工工艺，禁止夜间进行产生噪声</w:t>
      </w:r>
      <w:r>
        <w:rPr>
          <w:rFonts w:hint="eastAsia" w:eastAsia="仿宋_GB2312" w:cs="Times New Roman"/>
        </w:rPr>
        <w:t>污染</w:t>
      </w:r>
      <w:r>
        <w:rPr>
          <w:rFonts w:hint="eastAsia" w:ascii="Times New Roman" w:eastAsia="仿宋_GB2312" w:cs="Times New Roman"/>
          <w:kern w:val="2"/>
          <w:sz w:val="32"/>
          <w:szCs w:val="32"/>
        </w:rPr>
        <w:t>的建筑施工作业</w:t>
      </w:r>
      <w:r>
        <w:rPr>
          <w:rFonts w:hint="eastAsia" w:eastAsia="仿宋_GB2312" w:cs="Times New Roman"/>
        </w:rPr>
        <w:t>。运营期：主要噪声源合理布局，在设备选型上优选低噪声设备，采取隔声、减振、消声等措施，同时加强机械设备的日常维护，确保厂界噪声满足《工业企业厂界环境噪声排放标准》（GB12348-2008）中的3类声环境功能区排放限值的要求。</w:t>
      </w:r>
    </w:p>
    <w:p w14:paraId="2FBA5D63">
      <w:pPr>
        <w:keepNext w:val="0"/>
        <w:keepLines w:val="0"/>
        <w:pageBreakBefore w:val="0"/>
        <w:kinsoku/>
        <w:wordWrap/>
        <w:overflowPunct w:val="0"/>
        <w:bidi w:val="0"/>
        <w:adjustRightInd w:val="0"/>
        <w:snapToGrid w:val="0"/>
        <w:spacing w:line="56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（六）落实地下水、土壤污染防治措施。</w:t>
      </w:r>
      <w:r>
        <w:rPr>
          <w:rFonts w:hint="eastAsia" w:eastAsia="仿宋_GB2312" w:cs="Times New Roman"/>
        </w:rPr>
        <w:t>落实分区防渗措施，印刷间、辅料库房进行重点防渗，生产车间、循环水塔、成品库房进行一般防渗，防止地下水和土壤环境污染。</w:t>
      </w:r>
    </w:p>
    <w:p w14:paraId="4911693F">
      <w:pPr>
        <w:pStyle w:val="9"/>
        <w:keepNext w:val="0"/>
        <w:keepLines w:val="0"/>
        <w:pageBreakBefore w:val="0"/>
        <w:kinsoku/>
        <w:wordWrap/>
        <w:bidi w:val="0"/>
        <w:spacing w:line="560" w:lineRule="exact"/>
        <w:ind w:left="0" w:firstLine="632" w:firstLineChars="200"/>
        <w:jc w:val="both"/>
        <w:textAlignment w:val="auto"/>
        <w:rPr>
          <w:rFonts w:ascii="Times New Roman" w:eastAsia="黑体" w:cs="Times New Roman"/>
          <w:bCs/>
        </w:rPr>
      </w:pPr>
      <w:r>
        <w:rPr>
          <w:rFonts w:hint="eastAsia" w:ascii="Times New Roman" w:eastAsia="黑体" w:cs="Times New Roman"/>
        </w:rPr>
        <w:t>三、污染物排放总量</w:t>
      </w:r>
    </w:p>
    <w:p w14:paraId="01B5911B">
      <w:pPr>
        <w:pStyle w:val="2"/>
        <w:keepNext w:val="0"/>
        <w:keepLines w:val="0"/>
        <w:pageBreakBefore w:val="0"/>
        <w:kinsoku/>
        <w:wordWrap/>
        <w:bidi w:val="0"/>
        <w:spacing w:line="560" w:lineRule="exact"/>
        <w:ind w:left="0" w:firstLine="632" w:firstLineChars="200"/>
        <w:jc w:val="both"/>
        <w:textAlignment w:val="auto"/>
        <w:rPr>
          <w:rFonts w:ascii="Times New Roman" w:hAnsi="Times New Roman" w:eastAsia="仿宋_GB2312" w:cs="Times New Roman"/>
        </w:rPr>
      </w:pPr>
      <w:r>
        <w:rPr>
          <w:rFonts w:hint="eastAsia" w:ascii="Times New Roman" w:hAnsi="Times New Roman" w:eastAsia="仿宋_GB2312" w:cs="Times New Roman"/>
        </w:rPr>
        <w:t>根据《报告表》预测，项目建成后主要大气污染物有组织排放总量为：</w:t>
      </w:r>
      <w:r>
        <w:rPr>
          <w:rFonts w:ascii="Times New Roman" w:hAnsi="Times New Roman" w:eastAsia="仿宋_GB2312" w:cs="Times New Roman"/>
          <w:color w:val="auto"/>
        </w:rPr>
        <w:t>VOCs</w:t>
      </w:r>
      <w:r>
        <w:rPr>
          <w:rFonts w:hint="eastAsia" w:ascii="Times New Roman" w:hAnsi="Times New Roman" w:cs="Times New Roman"/>
          <w:color w:val="auto"/>
          <w:lang w:val="en-US" w:eastAsia="zh-CN"/>
        </w:rPr>
        <w:t xml:space="preserve"> </w:t>
      </w:r>
      <w:r>
        <w:rPr>
          <w:rFonts w:hint="eastAsia" w:ascii="Times New Roman" w:hAnsi="Times New Roman" w:eastAsia="仿宋_GB2312" w:cs="Times New Roman"/>
          <w:bCs w:val="0"/>
          <w:color w:val="auto"/>
        </w:rPr>
        <w:t>0.4013</w:t>
      </w:r>
      <w:r>
        <w:rPr>
          <w:rFonts w:ascii="Times New Roman" w:hAnsi="Times New Roman" w:eastAsia="仿宋_GB2312" w:cs="Times New Roman"/>
        </w:rPr>
        <w:t>t</w:t>
      </w:r>
      <w:r>
        <w:rPr>
          <w:rFonts w:ascii="Times New Roman" w:hAnsi="Times New Roman" w:eastAsia="仿宋_GB2312" w:cs="Times New Roman"/>
          <w:bCs w:val="0"/>
          <w:color w:val="auto"/>
        </w:rPr>
        <w:t>/a</w:t>
      </w:r>
      <w:r>
        <w:rPr>
          <w:rFonts w:hint="eastAsia" w:ascii="Times New Roman" w:hAnsi="Times New Roman" w:eastAsia="仿宋_GB2312" w:cs="Times New Roman"/>
          <w:bCs w:val="0"/>
          <w:color w:val="auto"/>
        </w:rPr>
        <w:t>；主要水污染物排放总量为：</w:t>
      </w:r>
      <w:r>
        <w:rPr>
          <w:rFonts w:ascii="Times New Roman" w:hAnsi="Times New Roman" w:eastAsia="仿宋_GB2312" w:cs="Times New Roman"/>
        </w:rPr>
        <w:t>CODcr</w:t>
      </w:r>
      <w:r>
        <w:rPr>
          <w:rFonts w:hint="eastAsia" w:ascii="Times New Roman" w:hAnsi="Times New Roman" w:cs="Times New Roman"/>
          <w:lang w:val="en-US" w:eastAsia="zh-CN"/>
        </w:rPr>
        <w:t xml:space="preserve"> </w:t>
      </w:r>
      <w:r>
        <w:rPr>
          <w:rFonts w:ascii="Times New Roman" w:hAnsi="Times New Roman" w:eastAsia="仿宋_GB2312" w:cs="Times New Roman"/>
        </w:rPr>
        <w:t>0</w:t>
      </w:r>
      <w:r>
        <w:rPr>
          <w:rFonts w:hint="eastAsia" w:ascii="Times New Roman" w:hAnsi="Times New Roman" w:eastAsia="仿宋_GB2312" w:cs="Times New Roman"/>
          <w:bCs w:val="0"/>
        </w:rPr>
        <w:t>.4254</w:t>
      </w:r>
      <w:r>
        <w:rPr>
          <w:rFonts w:hint="eastAsia" w:ascii="Times New Roman" w:hAnsi="Times New Roman" w:eastAsia="仿宋_GB2312" w:cs="Times New Roman"/>
        </w:rPr>
        <w:t>t/a、氨氮</w:t>
      </w:r>
      <w:r>
        <w:rPr>
          <w:rFonts w:ascii="Times New Roman" w:hAnsi="Times New Roman" w:eastAsia="仿宋_GB2312" w:cs="Times New Roman"/>
        </w:rPr>
        <w:t>0.0</w:t>
      </w:r>
      <w:r>
        <w:rPr>
          <w:rFonts w:hint="eastAsia" w:ascii="Times New Roman" w:hAnsi="Times New Roman" w:eastAsia="仿宋_GB2312" w:cs="Times New Roman"/>
        </w:rPr>
        <w:t>383</w:t>
      </w:r>
      <w:r>
        <w:rPr>
          <w:rFonts w:ascii="Times New Roman" w:hAnsi="Times New Roman" w:eastAsia="仿宋_GB2312" w:cs="Times New Roman"/>
        </w:rPr>
        <w:t>t/a</w:t>
      </w:r>
      <w:r>
        <w:rPr>
          <w:rFonts w:hint="eastAsia" w:ascii="Times New Roman" w:hAnsi="Times New Roman" w:eastAsia="仿宋_GB2312" w:cs="Times New Roman"/>
          <w:bCs w:val="0"/>
          <w:color w:val="auto"/>
        </w:rPr>
        <w:t>（排入工业污水处理厂的排放量）</w:t>
      </w:r>
      <w:r>
        <w:rPr>
          <w:rFonts w:hint="eastAsia" w:ascii="Times New Roman" w:hAnsi="Times New Roman" w:eastAsia="仿宋_GB2312" w:cs="Times New Roman"/>
        </w:rPr>
        <w:t>。</w:t>
      </w:r>
    </w:p>
    <w:p w14:paraId="564C9D70">
      <w:pPr>
        <w:keepNext w:val="0"/>
        <w:keepLines w:val="0"/>
        <w:pageBreakBefore w:val="0"/>
        <w:kinsoku/>
        <w:wordWrap/>
        <w:bidi w:val="0"/>
        <w:spacing w:line="560" w:lineRule="exact"/>
        <w:ind w:left="0" w:firstLine="632" w:firstLineChars="200"/>
        <w:jc w:val="both"/>
        <w:textAlignment w:val="auto"/>
        <w:rPr>
          <w:rFonts w:eastAsia="仿宋_GB2312" w:cs="Times New Roman"/>
          <w:color w:val="000000"/>
          <w:kern w:val="18"/>
        </w:rPr>
      </w:pPr>
      <w:r>
        <w:rPr>
          <w:rFonts w:hint="eastAsia" w:eastAsia="黑体" w:cs="Times New Roman"/>
          <w:color w:val="000000"/>
          <w:kern w:val="18"/>
        </w:rPr>
        <w:t>四、</w:t>
      </w:r>
      <w:r>
        <w:rPr>
          <w:rFonts w:hint="eastAsia" w:eastAsia="仿宋_GB2312" w:cs="Times New Roman"/>
          <w:color w:val="000000"/>
          <w:kern w:val="18"/>
        </w:rPr>
        <w:t>项目开工建设前，应依法完备其他行政许可手续。</w:t>
      </w:r>
    </w:p>
    <w:p w14:paraId="0099DF36">
      <w:pPr>
        <w:keepNext w:val="0"/>
        <w:keepLines w:val="0"/>
        <w:pageBreakBefore w:val="0"/>
        <w:kinsoku/>
        <w:wordWrap/>
        <w:overflowPunct w:val="0"/>
        <w:bidi w:val="0"/>
        <w:snapToGrid w:val="0"/>
        <w:spacing w:line="560" w:lineRule="exact"/>
        <w:ind w:left="0" w:firstLine="632" w:firstLineChars="200"/>
        <w:jc w:val="both"/>
        <w:textAlignment w:val="auto"/>
        <w:rPr>
          <w:rFonts w:eastAsia="黑体" w:cs="Times New Roman"/>
        </w:rPr>
      </w:pPr>
      <w:r>
        <w:rPr>
          <w:rFonts w:hint="eastAsia" w:eastAsia="黑体" w:cs="Times New Roman"/>
          <w:color w:val="000000"/>
          <w:kern w:val="18"/>
        </w:rPr>
        <w:t>五、排污许可和环保</w:t>
      </w:r>
      <w:r>
        <w:rPr>
          <w:rFonts w:hint="eastAsia" w:eastAsia="黑体" w:cs="Times New Roman"/>
        </w:rPr>
        <w:t>验收</w:t>
      </w:r>
    </w:p>
    <w:p w14:paraId="24D477CF">
      <w:pPr>
        <w:keepNext w:val="0"/>
        <w:keepLines w:val="0"/>
        <w:pageBreakBefore w:val="0"/>
        <w:kinsoku/>
        <w:wordWrap/>
        <w:overflowPunct w:val="0"/>
        <w:bidi w:val="0"/>
        <w:snapToGrid w:val="0"/>
        <w:spacing w:line="560" w:lineRule="exact"/>
        <w:ind w:left="0" w:firstLine="632" w:firstLineChars="200"/>
        <w:jc w:val="both"/>
        <w:textAlignment w:val="auto"/>
        <w:rPr>
          <w:rFonts w:hint="eastAsia" w:eastAsia="仿宋_GB2312" w:cs="Times New Roman"/>
        </w:rPr>
      </w:pPr>
      <w:r>
        <w:rPr>
          <w:rFonts w:hint="eastAsia" w:eastAsia="仿宋_GB2312" w:cs="Times New Roman"/>
        </w:rPr>
        <w:t>项目建设必须严格执行配套建设的环境保护设施与主体工程同时设计、同时施工、同时投产使用的环境保护“三同时”制度。在发生实际排污行为前，按照国家排污许可管理有关规定要求，依法申领排污许可证或者填报排污登记表，不得无证排污或不按证排污。</w:t>
      </w:r>
    </w:p>
    <w:p w14:paraId="0C3D34DB">
      <w:pPr>
        <w:keepNext w:val="0"/>
        <w:keepLines w:val="0"/>
        <w:pageBreakBefore w:val="0"/>
        <w:kinsoku/>
        <w:wordWrap/>
        <w:overflowPunct w:val="0"/>
        <w:bidi w:val="0"/>
        <w:snapToGrid w:val="0"/>
        <w:spacing w:line="560" w:lineRule="exact"/>
        <w:ind w:left="0" w:firstLine="632" w:firstLineChars="200"/>
        <w:jc w:val="both"/>
        <w:textAlignment w:val="auto"/>
        <w:rPr>
          <w:rFonts w:eastAsia="仿宋_GB2312" w:cs="Times New Roman"/>
        </w:rPr>
      </w:pPr>
      <w:r>
        <w:rPr>
          <w:rFonts w:hint="eastAsia" w:eastAsia="仿宋_GB2312" w:cs="Times New Roman"/>
        </w:rPr>
        <w:t>你公司是建设项目竣工环境保护验收的责任主体，应当在项目竣工后，按照规定的程序和标准，组织对配套建设的环境保护设施及对策措施进行验收，并依法公开验收报告和相关信息，接受社会监督。项目验收合格后方可投入生产或使用。</w:t>
      </w:r>
    </w:p>
    <w:p w14:paraId="79F7101F">
      <w:pPr>
        <w:keepNext w:val="0"/>
        <w:keepLines w:val="0"/>
        <w:pageBreakBefore w:val="0"/>
        <w:kinsoku/>
        <w:wordWrap/>
        <w:overflowPunct w:val="0"/>
        <w:bidi w:val="0"/>
        <w:snapToGrid w:val="0"/>
        <w:spacing w:line="560" w:lineRule="exact"/>
        <w:ind w:left="0" w:firstLine="632" w:firstLineChars="200"/>
        <w:jc w:val="both"/>
        <w:textAlignment w:val="auto"/>
        <w:rPr>
          <w:rFonts w:eastAsia="黑体" w:cs="Times New Roman"/>
          <w:color w:val="000000"/>
          <w:kern w:val="18"/>
        </w:rPr>
      </w:pPr>
      <w:r>
        <w:rPr>
          <w:rFonts w:hint="eastAsia" w:eastAsia="黑体" w:cs="Times New Roman"/>
          <w:color w:val="000000"/>
          <w:kern w:val="18"/>
        </w:rPr>
        <w:t>六、其他规定</w:t>
      </w:r>
    </w:p>
    <w:p w14:paraId="10607212">
      <w:pPr>
        <w:pStyle w:val="23"/>
        <w:keepNext w:val="0"/>
        <w:keepLines w:val="0"/>
        <w:pageBreakBefore w:val="0"/>
        <w:kinsoku/>
        <w:wordWrap/>
        <w:bidi w:val="0"/>
        <w:spacing w:line="560" w:lineRule="exact"/>
        <w:ind w:left="0" w:firstLine="632"/>
        <w:jc w:val="both"/>
        <w:textAlignment w:val="auto"/>
        <w:rPr>
          <w:rFonts w:hint="eastAsia" w:eastAsia="仿宋_GB2312"/>
          <w:szCs w:val="32"/>
        </w:rPr>
      </w:pPr>
      <w:r>
        <w:rPr>
          <w:rFonts w:hint="eastAsia" w:eastAsia="仿宋_GB2312"/>
          <w:szCs w:val="32"/>
        </w:rPr>
        <w:t>项目环境影响评价文件经批准后，如项目的性质、规模、地点、工艺或者防治污染、防止生态破坏的措施发生重大变动，你公司应当重新报批环境影响评价文件，否则不得实施建设。</w:t>
      </w:r>
    </w:p>
    <w:p w14:paraId="49EF2928">
      <w:pPr>
        <w:pStyle w:val="23"/>
        <w:keepNext w:val="0"/>
        <w:keepLines w:val="0"/>
        <w:pageBreakBefore w:val="0"/>
        <w:kinsoku/>
        <w:wordWrap/>
        <w:bidi w:val="0"/>
        <w:spacing w:line="560" w:lineRule="exact"/>
        <w:ind w:left="0" w:firstLine="632"/>
        <w:jc w:val="both"/>
        <w:textAlignment w:val="auto"/>
        <w:rPr>
          <w:rFonts w:eastAsia="仿宋_GB2312"/>
          <w:szCs w:val="32"/>
        </w:rPr>
      </w:pPr>
      <w:r>
        <w:rPr>
          <w:rFonts w:hint="eastAsia" w:eastAsia="仿宋_GB2312"/>
          <w:szCs w:val="32"/>
        </w:rPr>
        <w:t>自环境影响评价文件批准之日起，如项目超过5年方决定开工建设，环境影响评价文件应当报我局重新审核。</w:t>
      </w:r>
    </w:p>
    <w:p w14:paraId="3278A569">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_GB2312" w:hAnsi="仿宋_GB2312" w:cs="仿宋_GB2312"/>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_GB2312" w:hAnsi="仿宋_GB2312" w:cs="仿宋_GB2312"/>
          <w:color w:val="auto"/>
          <w:sz w:val="32"/>
          <w:szCs w:val="32"/>
          <w:lang w:val="en-US" w:eastAsia="zh-CN"/>
        </w:rPr>
      </w:pPr>
    </w:p>
    <w:p w14:paraId="779AAE4A">
      <w:pPr>
        <w:pStyle w:val="23"/>
        <w:keepNext w:val="0"/>
        <w:keepLines w:val="0"/>
        <w:pageBreakBefore w:val="0"/>
        <w:widowControl w:val="0"/>
        <w:kinsoku/>
        <w:wordWrap/>
        <w:overflowPunct/>
        <w:topLinePunct w:val="0"/>
        <w:autoSpaceDE/>
        <w:autoSpaceDN/>
        <w:bidi w:val="0"/>
        <w:adjustRightInd/>
        <w:snapToGrid/>
        <w:spacing w:line="600" w:lineRule="exact"/>
        <w:ind w:firstLine="4864" w:firstLineChars="16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遂宁市大英生态环境局</w:t>
      </w:r>
    </w:p>
    <w:p w14:paraId="4F6977CE">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pacing w:val="-6"/>
          <w:sz w:val="32"/>
          <w:szCs w:val="32"/>
          <w:lang w:val="en-US" w:eastAsia="zh-CN"/>
        </w:rPr>
      </w:pPr>
      <w:r>
        <w:rPr>
          <w:rFonts w:hint="default" w:ascii="Times New Roman" w:hAnsi="Times New Roman" w:eastAsia="仿宋_GB2312" w:cs="Times New Roman"/>
          <w:spacing w:val="-6"/>
          <w:sz w:val="32"/>
          <w:szCs w:val="32"/>
          <w:lang w:val="en-US" w:eastAsia="zh-CN"/>
        </w:rPr>
        <w:t>2024年</w:t>
      </w:r>
      <w:r>
        <w:rPr>
          <w:rFonts w:hint="eastAsia" w:cs="Times New Roman"/>
          <w:spacing w:val="-6"/>
          <w:sz w:val="32"/>
          <w:szCs w:val="32"/>
          <w:lang w:val="en-US" w:eastAsia="zh-CN"/>
        </w:rPr>
        <w:t>11</w:t>
      </w:r>
      <w:r>
        <w:rPr>
          <w:rFonts w:hint="default" w:ascii="Times New Roman" w:hAnsi="Times New Roman" w:eastAsia="仿宋_GB2312" w:cs="Times New Roman"/>
          <w:spacing w:val="-6"/>
          <w:sz w:val="32"/>
          <w:szCs w:val="32"/>
          <w:lang w:val="en-US" w:eastAsia="zh-CN"/>
        </w:rPr>
        <w:t>月</w:t>
      </w:r>
      <w:r>
        <w:rPr>
          <w:rFonts w:hint="eastAsia" w:cs="Times New Roman"/>
          <w:spacing w:val="-6"/>
          <w:sz w:val="32"/>
          <w:szCs w:val="32"/>
          <w:lang w:val="en-US" w:eastAsia="zh-CN"/>
        </w:rPr>
        <w:t>26</w:t>
      </w:r>
      <w:r>
        <w:rPr>
          <w:rFonts w:hint="default" w:ascii="Times New Roman" w:hAnsi="Times New Roman" w:eastAsia="仿宋_GB2312" w:cs="Times New Roman"/>
          <w:spacing w:val="-6"/>
          <w:sz w:val="32"/>
          <w:szCs w:val="32"/>
          <w:lang w:val="en-US" w:eastAsia="zh-CN"/>
        </w:rPr>
        <w:t>日</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val="en-US" w:eastAsia="zh-CN"/>
        </w:rPr>
        <w:t xml:space="preserve"> </w:t>
      </w:r>
      <w:bookmarkEnd w:id="0"/>
      <w:bookmarkStart w:id="1" w:name="_GoBack"/>
      <w:bookmarkEnd w:id="1"/>
    </w:p>
    <w:sectPr>
      <w:footerReference r:id="rId6" w:type="default"/>
      <w:footerReference r:id="rId7" w:type="even"/>
      <w:pgSz w:w="11906" w:h="16838"/>
      <w:pgMar w:top="2098" w:right="1474" w:bottom="1417" w:left="1587" w:header="851" w:footer="1020"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8964">
    <w:pPr>
      <w:pStyle w:val="12"/>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5ABA2">
    <w:pPr>
      <w:pStyle w:val="12"/>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50E19">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NJkVN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4C750E19">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F61A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3022E">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ye8Vv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6F23022E">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OWE3MDVlM2Q2OTkzNDAyZWI2OGIxMWRmNTA5NWYifQ=="/>
  </w:docVars>
  <w:rsids>
    <w:rsidRoot w:val="00000000"/>
    <w:rsid w:val="000E3FC3"/>
    <w:rsid w:val="000F1CC9"/>
    <w:rsid w:val="00200875"/>
    <w:rsid w:val="00951FEE"/>
    <w:rsid w:val="009F3AFC"/>
    <w:rsid w:val="00BC05CB"/>
    <w:rsid w:val="011F28D3"/>
    <w:rsid w:val="01844E19"/>
    <w:rsid w:val="01CF32DE"/>
    <w:rsid w:val="01DD1972"/>
    <w:rsid w:val="01FD40F1"/>
    <w:rsid w:val="02051E2E"/>
    <w:rsid w:val="02B22144"/>
    <w:rsid w:val="030014CC"/>
    <w:rsid w:val="03455479"/>
    <w:rsid w:val="03AC7D7B"/>
    <w:rsid w:val="04013FA5"/>
    <w:rsid w:val="04051239"/>
    <w:rsid w:val="041E0EAD"/>
    <w:rsid w:val="04B073F7"/>
    <w:rsid w:val="058E1023"/>
    <w:rsid w:val="05C807C9"/>
    <w:rsid w:val="060A0D89"/>
    <w:rsid w:val="061D4AE9"/>
    <w:rsid w:val="062B5ABB"/>
    <w:rsid w:val="069C40D7"/>
    <w:rsid w:val="06B31420"/>
    <w:rsid w:val="07445783"/>
    <w:rsid w:val="07BE62CF"/>
    <w:rsid w:val="08076BAC"/>
    <w:rsid w:val="08157D0A"/>
    <w:rsid w:val="082B7D91"/>
    <w:rsid w:val="08516175"/>
    <w:rsid w:val="088675ED"/>
    <w:rsid w:val="089E130F"/>
    <w:rsid w:val="08A70EB9"/>
    <w:rsid w:val="092A1E12"/>
    <w:rsid w:val="094E2162"/>
    <w:rsid w:val="095B2106"/>
    <w:rsid w:val="098F0FA5"/>
    <w:rsid w:val="098F7460"/>
    <w:rsid w:val="09A231A8"/>
    <w:rsid w:val="0A892BC4"/>
    <w:rsid w:val="0AE4604C"/>
    <w:rsid w:val="0B0E303B"/>
    <w:rsid w:val="0B327E48"/>
    <w:rsid w:val="0B5D195B"/>
    <w:rsid w:val="0B8E1704"/>
    <w:rsid w:val="0BE4740F"/>
    <w:rsid w:val="0C112E71"/>
    <w:rsid w:val="0C4C2651"/>
    <w:rsid w:val="0C8F3D96"/>
    <w:rsid w:val="0F410220"/>
    <w:rsid w:val="0F5D7B56"/>
    <w:rsid w:val="0F926D2E"/>
    <w:rsid w:val="0FB35FED"/>
    <w:rsid w:val="10632F32"/>
    <w:rsid w:val="108B04C2"/>
    <w:rsid w:val="10D95F27"/>
    <w:rsid w:val="10FC434A"/>
    <w:rsid w:val="1142587A"/>
    <w:rsid w:val="11553800"/>
    <w:rsid w:val="12011292"/>
    <w:rsid w:val="129F4917"/>
    <w:rsid w:val="13421B62"/>
    <w:rsid w:val="13A050E7"/>
    <w:rsid w:val="13A244C7"/>
    <w:rsid w:val="13EF0002"/>
    <w:rsid w:val="147409B1"/>
    <w:rsid w:val="14741B39"/>
    <w:rsid w:val="14AA3E63"/>
    <w:rsid w:val="14CA62B3"/>
    <w:rsid w:val="150D00D3"/>
    <w:rsid w:val="15AB60E4"/>
    <w:rsid w:val="15C947BC"/>
    <w:rsid w:val="16243B6E"/>
    <w:rsid w:val="16500214"/>
    <w:rsid w:val="16614C2A"/>
    <w:rsid w:val="16793172"/>
    <w:rsid w:val="16C46D32"/>
    <w:rsid w:val="172120C7"/>
    <w:rsid w:val="1735378C"/>
    <w:rsid w:val="17586B74"/>
    <w:rsid w:val="17866686"/>
    <w:rsid w:val="18196B6F"/>
    <w:rsid w:val="18C66128"/>
    <w:rsid w:val="1907403C"/>
    <w:rsid w:val="194A1AC8"/>
    <w:rsid w:val="196654F1"/>
    <w:rsid w:val="19763CFA"/>
    <w:rsid w:val="1A5916FA"/>
    <w:rsid w:val="1ACF0994"/>
    <w:rsid w:val="1ADB2985"/>
    <w:rsid w:val="1B326960"/>
    <w:rsid w:val="1B7C3FB9"/>
    <w:rsid w:val="1BCC1635"/>
    <w:rsid w:val="1D04432C"/>
    <w:rsid w:val="1D1F6E89"/>
    <w:rsid w:val="1D383FD6"/>
    <w:rsid w:val="1D8F0099"/>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464F13"/>
    <w:rsid w:val="215313DE"/>
    <w:rsid w:val="21BE719F"/>
    <w:rsid w:val="224F429B"/>
    <w:rsid w:val="23631F61"/>
    <w:rsid w:val="23775858"/>
    <w:rsid w:val="238D507B"/>
    <w:rsid w:val="23E07BD5"/>
    <w:rsid w:val="24B16B47"/>
    <w:rsid w:val="251C281B"/>
    <w:rsid w:val="25280D20"/>
    <w:rsid w:val="25FC1B6A"/>
    <w:rsid w:val="26672398"/>
    <w:rsid w:val="26B37B9F"/>
    <w:rsid w:val="271B5D95"/>
    <w:rsid w:val="273A436A"/>
    <w:rsid w:val="27710810"/>
    <w:rsid w:val="27E16961"/>
    <w:rsid w:val="290D5E5A"/>
    <w:rsid w:val="29BD7D3C"/>
    <w:rsid w:val="29E46919"/>
    <w:rsid w:val="2A1F2C38"/>
    <w:rsid w:val="2A2D6A04"/>
    <w:rsid w:val="2A784B2D"/>
    <w:rsid w:val="2A785045"/>
    <w:rsid w:val="2AAB5339"/>
    <w:rsid w:val="2AC24BA7"/>
    <w:rsid w:val="2B79362F"/>
    <w:rsid w:val="2B8C4F39"/>
    <w:rsid w:val="2B9E2295"/>
    <w:rsid w:val="2C8B41B2"/>
    <w:rsid w:val="2CFA5D9C"/>
    <w:rsid w:val="2DA72631"/>
    <w:rsid w:val="2DC309C3"/>
    <w:rsid w:val="2DED6716"/>
    <w:rsid w:val="2E07339C"/>
    <w:rsid w:val="2EFC29C4"/>
    <w:rsid w:val="2F1C72B3"/>
    <w:rsid w:val="2FC71794"/>
    <w:rsid w:val="310F7B8F"/>
    <w:rsid w:val="31224929"/>
    <w:rsid w:val="31442D31"/>
    <w:rsid w:val="31774C75"/>
    <w:rsid w:val="31F50C2D"/>
    <w:rsid w:val="31FD6612"/>
    <w:rsid w:val="32C1089D"/>
    <w:rsid w:val="32EB3B6C"/>
    <w:rsid w:val="33351A68"/>
    <w:rsid w:val="33775400"/>
    <w:rsid w:val="33F01C8F"/>
    <w:rsid w:val="34047828"/>
    <w:rsid w:val="343706EB"/>
    <w:rsid w:val="344E1C6F"/>
    <w:rsid w:val="347C2F67"/>
    <w:rsid w:val="34996C6F"/>
    <w:rsid w:val="34A22009"/>
    <w:rsid w:val="34D12CF9"/>
    <w:rsid w:val="354A265C"/>
    <w:rsid w:val="355D2B6D"/>
    <w:rsid w:val="35B53FBD"/>
    <w:rsid w:val="362D0AB7"/>
    <w:rsid w:val="363D60B8"/>
    <w:rsid w:val="36501413"/>
    <w:rsid w:val="36A77DAA"/>
    <w:rsid w:val="36C83179"/>
    <w:rsid w:val="36CF7301"/>
    <w:rsid w:val="370C4333"/>
    <w:rsid w:val="37225683"/>
    <w:rsid w:val="372748CB"/>
    <w:rsid w:val="37461371"/>
    <w:rsid w:val="376A1E4F"/>
    <w:rsid w:val="37A81FD1"/>
    <w:rsid w:val="37D20E57"/>
    <w:rsid w:val="386B7755"/>
    <w:rsid w:val="38C236CA"/>
    <w:rsid w:val="39116741"/>
    <w:rsid w:val="39457BDA"/>
    <w:rsid w:val="3965276B"/>
    <w:rsid w:val="39E83924"/>
    <w:rsid w:val="3A110B07"/>
    <w:rsid w:val="3A2A31CC"/>
    <w:rsid w:val="3B2522B6"/>
    <w:rsid w:val="3B313DE1"/>
    <w:rsid w:val="3B495557"/>
    <w:rsid w:val="3B7918F6"/>
    <w:rsid w:val="3B9603ED"/>
    <w:rsid w:val="3BD232AA"/>
    <w:rsid w:val="3BF770DE"/>
    <w:rsid w:val="3C1E30AA"/>
    <w:rsid w:val="3C620396"/>
    <w:rsid w:val="3C722C08"/>
    <w:rsid w:val="3C7D32C2"/>
    <w:rsid w:val="3C857BDC"/>
    <w:rsid w:val="3C8A5E5F"/>
    <w:rsid w:val="3D996A75"/>
    <w:rsid w:val="3E406C06"/>
    <w:rsid w:val="3ED417EA"/>
    <w:rsid w:val="3EEF569D"/>
    <w:rsid w:val="3F042EDF"/>
    <w:rsid w:val="3F0F2990"/>
    <w:rsid w:val="3F8A2017"/>
    <w:rsid w:val="40100624"/>
    <w:rsid w:val="40B97948"/>
    <w:rsid w:val="40BF5A1E"/>
    <w:rsid w:val="40F40090"/>
    <w:rsid w:val="40F45458"/>
    <w:rsid w:val="410302D3"/>
    <w:rsid w:val="41313A1B"/>
    <w:rsid w:val="415844BA"/>
    <w:rsid w:val="41A33677"/>
    <w:rsid w:val="41EC74B9"/>
    <w:rsid w:val="42A751E8"/>
    <w:rsid w:val="42B94077"/>
    <w:rsid w:val="42CC2872"/>
    <w:rsid w:val="42D92940"/>
    <w:rsid w:val="42E61C5A"/>
    <w:rsid w:val="433E49AD"/>
    <w:rsid w:val="43C024AB"/>
    <w:rsid w:val="44000AFA"/>
    <w:rsid w:val="44242A3A"/>
    <w:rsid w:val="44496945"/>
    <w:rsid w:val="445043AE"/>
    <w:rsid w:val="44D6679B"/>
    <w:rsid w:val="44EB79FC"/>
    <w:rsid w:val="45650C43"/>
    <w:rsid w:val="457B0D80"/>
    <w:rsid w:val="45EE22DC"/>
    <w:rsid w:val="46564467"/>
    <w:rsid w:val="46CE1751"/>
    <w:rsid w:val="47173438"/>
    <w:rsid w:val="47ED3A8B"/>
    <w:rsid w:val="47FC4AB3"/>
    <w:rsid w:val="48473F43"/>
    <w:rsid w:val="486C0E54"/>
    <w:rsid w:val="489B34E7"/>
    <w:rsid w:val="491F4DFE"/>
    <w:rsid w:val="49225801"/>
    <w:rsid w:val="4944487A"/>
    <w:rsid w:val="49F74B85"/>
    <w:rsid w:val="4B6126FE"/>
    <w:rsid w:val="4BA71E75"/>
    <w:rsid w:val="4BBC5C4E"/>
    <w:rsid w:val="4C6267F5"/>
    <w:rsid w:val="4CD46FC7"/>
    <w:rsid w:val="4D534390"/>
    <w:rsid w:val="4D61085B"/>
    <w:rsid w:val="4DA81B78"/>
    <w:rsid w:val="4DC1579E"/>
    <w:rsid w:val="4DC16BB8"/>
    <w:rsid w:val="4E4D24B7"/>
    <w:rsid w:val="4E7F7BF0"/>
    <w:rsid w:val="4F284BD5"/>
    <w:rsid w:val="4F4B6A64"/>
    <w:rsid w:val="504C6A58"/>
    <w:rsid w:val="509E5922"/>
    <w:rsid w:val="50A22112"/>
    <w:rsid w:val="50B74C36"/>
    <w:rsid w:val="50B909AE"/>
    <w:rsid w:val="50D50B0D"/>
    <w:rsid w:val="50E26863"/>
    <w:rsid w:val="517406A1"/>
    <w:rsid w:val="518979CC"/>
    <w:rsid w:val="51F64AEC"/>
    <w:rsid w:val="52614E59"/>
    <w:rsid w:val="52A56FED"/>
    <w:rsid w:val="53B349BB"/>
    <w:rsid w:val="53ED2369"/>
    <w:rsid w:val="53FC1520"/>
    <w:rsid w:val="540E1011"/>
    <w:rsid w:val="54454557"/>
    <w:rsid w:val="5467641D"/>
    <w:rsid w:val="54C73958"/>
    <w:rsid w:val="54E51D72"/>
    <w:rsid w:val="55590D4A"/>
    <w:rsid w:val="558A2919"/>
    <w:rsid w:val="559317CE"/>
    <w:rsid w:val="5598523A"/>
    <w:rsid w:val="55D1023B"/>
    <w:rsid w:val="55E55DA1"/>
    <w:rsid w:val="560F5A51"/>
    <w:rsid w:val="561346BC"/>
    <w:rsid w:val="56655A83"/>
    <w:rsid w:val="566A0472"/>
    <w:rsid w:val="56A122EE"/>
    <w:rsid w:val="56B365F2"/>
    <w:rsid w:val="571C1C97"/>
    <w:rsid w:val="573E7E5F"/>
    <w:rsid w:val="577473DD"/>
    <w:rsid w:val="57DD263C"/>
    <w:rsid w:val="57EE76DD"/>
    <w:rsid w:val="58402ED1"/>
    <w:rsid w:val="585711D8"/>
    <w:rsid w:val="58902BFC"/>
    <w:rsid w:val="58AD279A"/>
    <w:rsid w:val="58C4394C"/>
    <w:rsid w:val="58D418CA"/>
    <w:rsid w:val="58E529EC"/>
    <w:rsid w:val="59030A18"/>
    <w:rsid w:val="59205D38"/>
    <w:rsid w:val="592D1F39"/>
    <w:rsid w:val="597D4C6F"/>
    <w:rsid w:val="59C94FB5"/>
    <w:rsid w:val="59D820AB"/>
    <w:rsid w:val="5A9803FD"/>
    <w:rsid w:val="5B2E7F20"/>
    <w:rsid w:val="5C46174B"/>
    <w:rsid w:val="5C781657"/>
    <w:rsid w:val="5CBA1D36"/>
    <w:rsid w:val="5D307EFB"/>
    <w:rsid w:val="5D942597"/>
    <w:rsid w:val="5DCB6DD4"/>
    <w:rsid w:val="5DDD5997"/>
    <w:rsid w:val="5DDE7CA6"/>
    <w:rsid w:val="5EC51967"/>
    <w:rsid w:val="5EFB1046"/>
    <w:rsid w:val="5F13397F"/>
    <w:rsid w:val="5F304531"/>
    <w:rsid w:val="5F7F5B76"/>
    <w:rsid w:val="5F9E07E1"/>
    <w:rsid w:val="60217911"/>
    <w:rsid w:val="60570CFE"/>
    <w:rsid w:val="60B414A2"/>
    <w:rsid w:val="60E60A94"/>
    <w:rsid w:val="613926B5"/>
    <w:rsid w:val="61A44D62"/>
    <w:rsid w:val="61CD7A93"/>
    <w:rsid w:val="61CF012A"/>
    <w:rsid w:val="61D562CA"/>
    <w:rsid w:val="62466CE8"/>
    <w:rsid w:val="62B47F03"/>
    <w:rsid w:val="62BB2173"/>
    <w:rsid w:val="6307250B"/>
    <w:rsid w:val="63133F4E"/>
    <w:rsid w:val="632C2E62"/>
    <w:rsid w:val="63A23524"/>
    <w:rsid w:val="64EF4296"/>
    <w:rsid w:val="654B3E73"/>
    <w:rsid w:val="65A43DE1"/>
    <w:rsid w:val="66C335AB"/>
    <w:rsid w:val="670815C7"/>
    <w:rsid w:val="67B77544"/>
    <w:rsid w:val="67C91DE0"/>
    <w:rsid w:val="67CC6DC1"/>
    <w:rsid w:val="681D537C"/>
    <w:rsid w:val="682A747C"/>
    <w:rsid w:val="682D2963"/>
    <w:rsid w:val="68AF64C7"/>
    <w:rsid w:val="69966FC3"/>
    <w:rsid w:val="69BE7A7D"/>
    <w:rsid w:val="69CD2D06"/>
    <w:rsid w:val="6A2932E0"/>
    <w:rsid w:val="6A832EF5"/>
    <w:rsid w:val="6AAA7F05"/>
    <w:rsid w:val="6AAE27AE"/>
    <w:rsid w:val="6AEF34F2"/>
    <w:rsid w:val="6BD65887"/>
    <w:rsid w:val="6C564F9A"/>
    <w:rsid w:val="6C846928"/>
    <w:rsid w:val="6CAD5413"/>
    <w:rsid w:val="6CB26586"/>
    <w:rsid w:val="6D274DA7"/>
    <w:rsid w:val="6D3C5791"/>
    <w:rsid w:val="6D5A5D50"/>
    <w:rsid w:val="6DEB6B12"/>
    <w:rsid w:val="6DEC5AC7"/>
    <w:rsid w:val="6E02688E"/>
    <w:rsid w:val="6E550418"/>
    <w:rsid w:val="6E560B0F"/>
    <w:rsid w:val="6EAF58DB"/>
    <w:rsid w:val="6EF74724"/>
    <w:rsid w:val="6EFF47BA"/>
    <w:rsid w:val="6F394D3C"/>
    <w:rsid w:val="6F657F39"/>
    <w:rsid w:val="6F6E3FD1"/>
    <w:rsid w:val="6F705600"/>
    <w:rsid w:val="6FC445FC"/>
    <w:rsid w:val="6FD61F1E"/>
    <w:rsid w:val="6FF46C64"/>
    <w:rsid w:val="708C17E3"/>
    <w:rsid w:val="70B207C4"/>
    <w:rsid w:val="70D24CB2"/>
    <w:rsid w:val="714B060F"/>
    <w:rsid w:val="71B27028"/>
    <w:rsid w:val="724B2FD5"/>
    <w:rsid w:val="72774C9A"/>
    <w:rsid w:val="727C1767"/>
    <w:rsid w:val="72B86D8A"/>
    <w:rsid w:val="72C65FB9"/>
    <w:rsid w:val="72F86CBC"/>
    <w:rsid w:val="73C80D84"/>
    <w:rsid w:val="740B7313"/>
    <w:rsid w:val="746F0F41"/>
    <w:rsid w:val="74AF784E"/>
    <w:rsid w:val="74B80DF9"/>
    <w:rsid w:val="74C657DF"/>
    <w:rsid w:val="75091655"/>
    <w:rsid w:val="751C3136"/>
    <w:rsid w:val="76150602"/>
    <w:rsid w:val="761738FD"/>
    <w:rsid w:val="767A3729"/>
    <w:rsid w:val="7695679F"/>
    <w:rsid w:val="76D249F1"/>
    <w:rsid w:val="76D96E05"/>
    <w:rsid w:val="76FC7D28"/>
    <w:rsid w:val="77992DA9"/>
    <w:rsid w:val="782446B8"/>
    <w:rsid w:val="78532FC3"/>
    <w:rsid w:val="78E33F6B"/>
    <w:rsid w:val="78E7601E"/>
    <w:rsid w:val="78EA778B"/>
    <w:rsid w:val="78F06C72"/>
    <w:rsid w:val="79294BA1"/>
    <w:rsid w:val="79C96773"/>
    <w:rsid w:val="79D61A12"/>
    <w:rsid w:val="7A195E96"/>
    <w:rsid w:val="7AA33F18"/>
    <w:rsid w:val="7AB14D88"/>
    <w:rsid w:val="7ADF7B23"/>
    <w:rsid w:val="7B191EC6"/>
    <w:rsid w:val="7B6A44CF"/>
    <w:rsid w:val="7BE10C35"/>
    <w:rsid w:val="7BEE3352"/>
    <w:rsid w:val="7C663B77"/>
    <w:rsid w:val="7C7535FD"/>
    <w:rsid w:val="7C7E6484"/>
    <w:rsid w:val="7C7F518D"/>
    <w:rsid w:val="7CCB0AFF"/>
    <w:rsid w:val="7D1512CD"/>
    <w:rsid w:val="7D254B52"/>
    <w:rsid w:val="7D282312"/>
    <w:rsid w:val="7DC26844"/>
    <w:rsid w:val="7E17693C"/>
    <w:rsid w:val="7E696DF4"/>
    <w:rsid w:val="7EBC6E92"/>
    <w:rsid w:val="7ED22AB7"/>
    <w:rsid w:val="7F1B7FBA"/>
    <w:rsid w:val="7F645E05"/>
    <w:rsid w:val="7F710522"/>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3">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ind w:left="120"/>
    </w:pPr>
    <w:rPr>
      <w:rFonts w:ascii="宋体" w:hAnsi="宋体"/>
      <w:sz w:val="32"/>
      <w:szCs w:val="32"/>
    </w:rPr>
  </w:style>
  <w:style w:type="paragraph" w:styleId="5">
    <w:name w:val="List Number"/>
    <w:basedOn w:val="1"/>
    <w:autoRedefine/>
    <w:qFormat/>
    <w:uiPriority w:val="0"/>
    <w:pPr>
      <w:numPr>
        <w:ilvl w:val="0"/>
        <w:numId w:val="1"/>
      </w:numPr>
    </w:pPr>
  </w:style>
  <w:style w:type="paragraph" w:styleId="6">
    <w:name w:val="toa heading"/>
    <w:basedOn w:val="1"/>
    <w:next w:val="1"/>
    <w:autoRedefine/>
    <w:qFormat/>
    <w:uiPriority w:val="0"/>
    <w:pPr>
      <w:spacing w:before="120"/>
    </w:pPr>
    <w:rPr>
      <w:rFonts w:ascii="Arial" w:hAnsi="Arial" w:cs="Arial"/>
    </w:r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eastAsia="宋体" w:cs="Times New Roman"/>
    </w:rPr>
  </w:style>
  <w:style w:type="paragraph" w:styleId="9">
    <w:name w:val="Body Text Indent 2"/>
    <w:basedOn w:val="1"/>
    <w:next w:val="10"/>
    <w:autoRedefine/>
    <w:qFormat/>
    <w:uiPriority w:val="0"/>
    <w:pPr>
      <w:adjustRightInd w:val="0"/>
      <w:snapToGrid w:val="0"/>
      <w:spacing w:line="440" w:lineRule="atLeast"/>
      <w:ind w:firstLine="573"/>
    </w:pPr>
    <w:rPr>
      <w:rFonts w:ascii="宋体"/>
    </w:rPr>
  </w:style>
  <w:style w:type="paragraph" w:customStyle="1" w:styleId="10">
    <w:name w:val="简单回函地址"/>
    <w:basedOn w:val="1"/>
    <w:next w:val="11"/>
    <w:autoRedefine/>
    <w:qFormat/>
    <w:uiPriority w:val="0"/>
    <w:rPr>
      <w:szCs w:val="20"/>
    </w:rPr>
  </w:style>
  <w:style w:type="paragraph" w:customStyle="1" w:styleId="1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autoRedefine/>
    <w:qFormat/>
    <w:uiPriority w:val="0"/>
    <w:pPr>
      <w:ind w:left="2100"/>
    </w:pPr>
    <w:rPr>
      <w:rFonts w:ascii="楷体_GB2312" w:hAnsi="Calibri" w:eastAsia="楷体_GB2312"/>
    </w:rPr>
  </w:style>
  <w:style w:type="paragraph" w:styleId="15">
    <w:name w:val="table of figures"/>
    <w:basedOn w:val="1"/>
    <w:next w:val="1"/>
    <w:autoRedefine/>
    <w:qFormat/>
    <w:uiPriority w:val="0"/>
    <w:pPr>
      <w:ind w:left="200" w:leftChars="200" w:hanging="200" w:hanging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_Style 2"/>
    <w:basedOn w:val="1"/>
    <w:autoRedefine/>
    <w:qFormat/>
    <w:uiPriority w:val="34"/>
    <w:pPr>
      <w:ind w:firstLine="420" w:firstLineChars="200"/>
    </w:pPr>
  </w:style>
  <w:style w:type="paragraph" w:customStyle="1" w:styleId="23">
    <w:name w:val="常用样式（方正仿宋简）"/>
    <w:basedOn w:val="24"/>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4">
    <w:name w:val="正文1"/>
    <w:next w:val="2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正文文本1"/>
    <w:basedOn w:val="24"/>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8">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9">
    <w:name w:val="font21"/>
    <w:basedOn w:val="20"/>
    <w:autoRedefine/>
    <w:qFormat/>
    <w:uiPriority w:val="0"/>
    <w:rPr>
      <w:rFonts w:hint="eastAsia" w:ascii="宋体" w:hAnsi="宋体" w:eastAsia="宋体" w:cs="宋体"/>
      <w:color w:val="000000"/>
      <w:sz w:val="20"/>
      <w:szCs w:val="20"/>
      <w:u w:val="none"/>
    </w:rPr>
  </w:style>
  <w:style w:type="paragraph" w:customStyle="1" w:styleId="30">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1">
    <w:name w:val="font71"/>
    <w:basedOn w:val="20"/>
    <w:autoRedefine/>
    <w:qFormat/>
    <w:uiPriority w:val="0"/>
    <w:rPr>
      <w:rFonts w:hint="eastAsia" w:ascii="宋体" w:hAnsi="宋体" w:eastAsia="宋体" w:cs="宋体"/>
      <w:color w:val="000000"/>
      <w:sz w:val="22"/>
      <w:szCs w:val="22"/>
      <w:u w:val="none"/>
    </w:rPr>
  </w:style>
  <w:style w:type="paragraph" w:customStyle="1" w:styleId="32">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3">
    <w:name w:val="List Paragraph"/>
    <w:basedOn w:val="1"/>
    <w:autoRedefine/>
    <w:qFormat/>
    <w:uiPriority w:val="99"/>
    <w:pPr>
      <w:ind w:firstLine="420" w:firstLineChars="200"/>
    </w:pPr>
  </w:style>
  <w:style w:type="character" w:customStyle="1" w:styleId="34">
    <w:name w:val="font01"/>
    <w:basedOn w:val="20"/>
    <w:autoRedefine/>
    <w:qFormat/>
    <w:uiPriority w:val="0"/>
    <w:rPr>
      <w:rFonts w:hint="eastAsia" w:ascii="宋体" w:hAnsi="宋体" w:eastAsia="宋体" w:cs="宋体"/>
      <w:color w:val="000000"/>
      <w:sz w:val="16"/>
      <w:szCs w:val="16"/>
      <w:u w:val="none"/>
    </w:rPr>
  </w:style>
  <w:style w:type="paragraph" w:customStyle="1" w:styleId="35">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6">
    <w:name w:val="font11"/>
    <w:autoRedefine/>
    <w:qFormat/>
    <w:uiPriority w:val="0"/>
    <w:rPr>
      <w:rFonts w:ascii="宋体" w:eastAsia="宋体" w:cs="宋体"/>
      <w:color w:val="000000"/>
      <w:sz w:val="22"/>
      <w:szCs w:val="22"/>
      <w:u w:val="none"/>
      <w:lang w:bidi="ar-SA"/>
    </w:rPr>
  </w:style>
  <w:style w:type="paragraph" w:customStyle="1" w:styleId="37">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2388</Words>
  <Characters>2525</Characters>
  <Lines>0</Lines>
  <Paragraphs>0</Paragraphs>
  <TotalTime>0</TotalTime>
  <ScaleCrop>false</ScaleCrop>
  <LinksUpToDate>false</LinksUpToDate>
  <CharactersWithSpaces>2537</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文溢</cp:lastModifiedBy>
  <cp:lastPrinted>2024-10-23T03:35:00Z</cp:lastPrinted>
  <dcterms:modified xsi:type="dcterms:W3CDTF">2024-11-27T01:13:17Z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770FC33594934BA7A1849BCD676E20C8_13</vt:lpwstr>
  </property>
</Properties>
</file>